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A6FE9">
      <w:pPr>
        <w:ind w:firstLine="720"/>
        <w:jc w:val="left"/>
        <w:rPr>
          <w:rFonts w:hint="default" w:ascii="Times New Roman" w:hAnsi="Times New Roman" w:eastAsia="宋体" w:cs="Times New Roman"/>
          <w:color w:val="auto"/>
          <w:sz w:val="36"/>
          <w:szCs w:val="36"/>
          <w:highlight w:val="none"/>
        </w:rPr>
      </w:pPr>
    </w:p>
    <w:p w14:paraId="2754EBE9">
      <w:pPr>
        <w:ind w:firstLine="720"/>
        <w:rPr>
          <w:rFonts w:hint="default" w:ascii="Times New Roman" w:hAnsi="Times New Roman" w:eastAsia="宋体" w:cs="Times New Roman"/>
          <w:color w:val="auto"/>
          <w:sz w:val="36"/>
          <w:szCs w:val="36"/>
          <w:highlight w:val="none"/>
        </w:rPr>
      </w:pPr>
    </w:p>
    <w:p w14:paraId="0205766F">
      <w:pPr>
        <w:ind w:firstLine="720"/>
        <w:rPr>
          <w:rFonts w:hint="default" w:ascii="Times New Roman" w:hAnsi="Times New Roman" w:eastAsia="宋体" w:cs="Times New Roman"/>
          <w:color w:val="auto"/>
          <w:sz w:val="36"/>
          <w:szCs w:val="36"/>
          <w:highlight w:val="none"/>
        </w:rPr>
      </w:pPr>
    </w:p>
    <w:p w14:paraId="4D479A31">
      <w:pPr>
        <w:adjustRightInd w:val="0"/>
        <w:snapToGrid w:val="0"/>
        <w:jc w:val="both"/>
        <w:rPr>
          <w:rFonts w:hint="default" w:ascii="Times New Roman" w:hAnsi="Times New Roman" w:eastAsia="宋体" w:cs="Times New Roman"/>
          <w:bCs/>
          <w:color w:val="auto"/>
          <w:sz w:val="72"/>
          <w:szCs w:val="72"/>
          <w:highlight w:val="none"/>
        </w:rPr>
      </w:pPr>
      <w:r>
        <w:rPr>
          <w:rFonts w:hint="default" w:ascii="Times New Roman" w:hAnsi="Times New Roman" w:eastAsia="宋体" w:cs="Times New Roman"/>
          <w:bCs/>
          <w:color w:val="auto"/>
          <w:sz w:val="72"/>
          <w:szCs w:val="72"/>
          <w:highlight w:val="none"/>
        </w:rPr>
        <w:t>建设项目环境影响报告表</w:t>
      </w:r>
    </w:p>
    <w:p w14:paraId="22501A08">
      <w:pPr>
        <w:pStyle w:val="31"/>
        <w:ind w:left="0" w:leftChars="0" w:firstLine="0" w:firstLineChars="0"/>
        <w:jc w:val="center"/>
        <w:rPr>
          <w:rFonts w:hint="eastAsia" w:ascii="Times New Roman" w:hAnsi="Times New Roman" w:eastAsia="宋体" w:cs="Times New Roman"/>
          <w:bCs/>
          <w:color w:val="auto"/>
          <w:sz w:val="48"/>
          <w:szCs w:val="48"/>
          <w:highlight w:val="none"/>
          <w:lang w:eastAsia="zh-CN"/>
        </w:rPr>
      </w:pPr>
      <w:r>
        <w:rPr>
          <w:rFonts w:hint="eastAsia" w:cs="Times New Roman"/>
          <w:bCs/>
          <w:color w:val="auto"/>
          <w:sz w:val="48"/>
          <w:szCs w:val="48"/>
          <w:highlight w:val="none"/>
          <w:lang w:eastAsia="zh-CN"/>
        </w:rPr>
        <w:t>（</w:t>
      </w:r>
      <w:r>
        <w:rPr>
          <w:rFonts w:hint="default" w:ascii="Times New Roman" w:hAnsi="Times New Roman" w:eastAsia="宋体" w:cs="Times New Roman"/>
          <w:bCs/>
          <w:color w:val="auto"/>
          <w:sz w:val="48"/>
          <w:szCs w:val="48"/>
          <w:highlight w:val="none"/>
        </w:rPr>
        <w:t>污染影响类</w:t>
      </w:r>
      <w:r>
        <w:rPr>
          <w:rFonts w:hint="eastAsia" w:cs="Times New Roman"/>
          <w:bCs/>
          <w:color w:val="auto"/>
          <w:sz w:val="48"/>
          <w:szCs w:val="48"/>
          <w:highlight w:val="none"/>
          <w:lang w:eastAsia="zh-CN"/>
        </w:rPr>
        <w:t>）</w:t>
      </w:r>
    </w:p>
    <w:p w14:paraId="6570B232">
      <w:pPr>
        <w:pStyle w:val="31"/>
        <w:ind w:left="0" w:leftChars="0" w:firstLine="0" w:firstLineChars="0"/>
        <w:jc w:val="center"/>
        <w:rPr>
          <w:rFonts w:hint="default" w:ascii="Times New Roman" w:hAnsi="Times New Roman" w:eastAsia="宋体" w:cs="Times New Roman"/>
          <w:color w:val="auto"/>
          <w:highlight w:val="none"/>
        </w:rPr>
      </w:pPr>
      <w:r>
        <w:rPr>
          <w:rStyle w:val="40"/>
          <w:rFonts w:hint="eastAsia" w:cs="Times New Roman"/>
          <w:color w:val="auto"/>
          <w:sz w:val="40"/>
          <w:szCs w:val="36"/>
          <w:highlight w:val="none"/>
          <w:lang w:val="en-US" w:eastAsia="zh-CN"/>
        </w:rPr>
        <w:t>（公示本）</w:t>
      </w:r>
    </w:p>
    <w:p w14:paraId="5C0AA721">
      <w:pPr>
        <w:ind w:firstLine="720"/>
        <w:jc w:val="left"/>
        <w:rPr>
          <w:rFonts w:hint="default" w:ascii="Times New Roman" w:hAnsi="Times New Roman" w:eastAsia="宋体" w:cs="Times New Roman"/>
          <w:color w:val="auto"/>
          <w:sz w:val="36"/>
          <w:szCs w:val="36"/>
          <w:highlight w:val="none"/>
        </w:rPr>
      </w:pPr>
    </w:p>
    <w:p w14:paraId="0F9D3479">
      <w:pPr>
        <w:ind w:firstLine="720"/>
        <w:jc w:val="left"/>
        <w:rPr>
          <w:rFonts w:hint="default" w:ascii="Times New Roman" w:hAnsi="Times New Roman" w:eastAsia="宋体" w:cs="Times New Roman"/>
          <w:color w:val="auto"/>
          <w:sz w:val="36"/>
          <w:szCs w:val="36"/>
          <w:highlight w:val="none"/>
        </w:rPr>
      </w:pPr>
    </w:p>
    <w:p w14:paraId="6447C302">
      <w:pPr>
        <w:ind w:firstLine="720"/>
        <w:jc w:val="left"/>
        <w:rPr>
          <w:rFonts w:hint="default" w:ascii="Times New Roman" w:hAnsi="Times New Roman" w:eastAsia="宋体" w:cs="Times New Roman"/>
          <w:color w:val="auto"/>
          <w:sz w:val="36"/>
          <w:szCs w:val="36"/>
          <w:highlight w:val="none"/>
        </w:rPr>
      </w:pPr>
    </w:p>
    <w:p w14:paraId="70FC6657">
      <w:pPr>
        <w:ind w:firstLine="720"/>
        <w:jc w:val="left"/>
        <w:rPr>
          <w:rFonts w:hint="default" w:ascii="Times New Roman" w:hAnsi="Times New Roman" w:eastAsia="宋体" w:cs="Times New Roman"/>
          <w:color w:val="auto"/>
          <w:sz w:val="36"/>
          <w:szCs w:val="36"/>
          <w:highlight w:val="none"/>
        </w:rPr>
      </w:pPr>
      <w:bookmarkStart w:id="27" w:name="_GoBack"/>
      <w:bookmarkEnd w:id="27"/>
    </w:p>
    <w:p w14:paraId="5DF79839">
      <w:pPr>
        <w:ind w:firstLine="720"/>
        <w:jc w:val="left"/>
        <w:rPr>
          <w:rFonts w:hint="default" w:ascii="Times New Roman" w:hAnsi="Times New Roman" w:eastAsia="宋体" w:cs="Times New Roman"/>
          <w:color w:val="auto"/>
          <w:sz w:val="36"/>
          <w:szCs w:val="36"/>
          <w:highlight w:val="none"/>
        </w:rPr>
      </w:pPr>
    </w:p>
    <w:p w14:paraId="7FD340C1">
      <w:pPr>
        <w:ind w:firstLine="720"/>
        <w:jc w:val="left"/>
        <w:rPr>
          <w:rFonts w:hint="default" w:ascii="Times New Roman" w:hAnsi="Times New Roman" w:eastAsia="宋体" w:cs="Times New Roman"/>
          <w:color w:val="auto"/>
          <w:sz w:val="36"/>
          <w:szCs w:val="36"/>
          <w:highlight w:val="none"/>
        </w:rPr>
      </w:pPr>
    </w:p>
    <w:p w14:paraId="095EF09E">
      <w:pPr>
        <w:ind w:firstLine="720"/>
        <w:jc w:val="left"/>
        <w:rPr>
          <w:rFonts w:hint="default" w:ascii="Times New Roman" w:hAnsi="Times New Roman" w:eastAsia="宋体" w:cs="Times New Roman"/>
          <w:color w:val="auto"/>
          <w:sz w:val="36"/>
          <w:szCs w:val="36"/>
          <w:highlight w:val="none"/>
        </w:rPr>
      </w:pPr>
    </w:p>
    <w:p w14:paraId="6A110429">
      <w:pPr>
        <w:ind w:firstLine="720"/>
        <w:jc w:val="left"/>
        <w:rPr>
          <w:rFonts w:hint="default" w:ascii="Times New Roman" w:hAnsi="Times New Roman" w:eastAsia="宋体" w:cs="Times New Roman"/>
          <w:color w:val="auto"/>
          <w:sz w:val="36"/>
          <w:szCs w:val="36"/>
          <w:highlight w:val="none"/>
        </w:rPr>
      </w:pPr>
    </w:p>
    <w:p w14:paraId="43887F2A">
      <w:pPr>
        <w:ind w:firstLine="720"/>
        <w:jc w:val="left"/>
        <w:rPr>
          <w:rFonts w:hint="default" w:ascii="Times New Roman" w:hAnsi="Times New Roman" w:eastAsia="宋体" w:cs="Times New Roman"/>
          <w:color w:val="auto"/>
          <w:sz w:val="36"/>
          <w:szCs w:val="36"/>
          <w:highlight w:val="none"/>
        </w:rPr>
      </w:pPr>
    </w:p>
    <w:p w14:paraId="0091DE7E">
      <w:pPr>
        <w:ind w:firstLine="720"/>
        <w:jc w:val="left"/>
        <w:rPr>
          <w:rFonts w:hint="default" w:ascii="Times New Roman" w:hAnsi="Times New Roman" w:eastAsia="宋体" w:cs="Times New Roman"/>
          <w:color w:val="auto"/>
          <w:sz w:val="36"/>
          <w:szCs w:val="36"/>
          <w:highlight w:val="none"/>
        </w:rPr>
      </w:pPr>
    </w:p>
    <w:p w14:paraId="0424886E">
      <w:pPr>
        <w:adjustRightInd w:val="0"/>
        <w:snapToGrid w:val="0"/>
        <w:spacing w:line="360" w:lineRule="auto"/>
        <w:ind w:left="2520" w:leftChars="300" w:hanging="1800" w:hangingChars="500"/>
        <w:jc w:val="left"/>
        <w:rPr>
          <w:rFonts w:hint="default" w:ascii="Times New Roman" w:hAnsi="Times New Roman" w:eastAsia="宋体" w:cs="Times New Roman"/>
          <w:color w:val="auto"/>
          <w:sz w:val="36"/>
          <w:szCs w:val="36"/>
          <w:highlight w:val="none"/>
          <w:u w:val="single"/>
          <w:lang w:val="en-US" w:eastAsia="zh-CN"/>
        </w:rPr>
      </w:pPr>
      <w:r>
        <w:rPr>
          <w:rFonts w:hint="default" w:ascii="Times New Roman" w:hAnsi="Times New Roman" w:eastAsia="宋体" w:cs="Times New Roman"/>
          <w:color w:val="auto"/>
          <w:sz w:val="36"/>
          <w:szCs w:val="36"/>
          <w:highlight w:val="none"/>
        </w:rPr>
        <w:t>项目名称：</w:t>
      </w:r>
      <w:r>
        <w:rPr>
          <w:rFonts w:hint="default" w:ascii="Times New Roman" w:hAnsi="Times New Roman" w:eastAsia="宋体" w:cs="Times New Roman"/>
          <w:strike w:val="0"/>
          <w:dstrike w:val="0"/>
          <w:color w:val="auto"/>
          <w:sz w:val="36"/>
          <w:szCs w:val="36"/>
          <w:highlight w:val="none"/>
          <w:u w:val="thick"/>
        </w:rPr>
        <w:t>磨西镇磨岗岭村民族团结进步示范村（民族团结进步示范社区）项目（屠宰场工程）</w:t>
      </w:r>
      <w:r>
        <w:rPr>
          <w:rFonts w:hint="eastAsia" w:cs="Times New Roman"/>
          <w:strike w:val="0"/>
          <w:dstrike w:val="0"/>
          <w:color w:val="auto"/>
          <w:sz w:val="36"/>
          <w:szCs w:val="36"/>
          <w:highlight w:val="none"/>
          <w:u w:val="thick"/>
          <w:lang w:val="en-US" w:eastAsia="zh-CN"/>
        </w:rPr>
        <w:t xml:space="preserve">                      </w:t>
      </w:r>
    </w:p>
    <w:p w14:paraId="5DCEA819">
      <w:pPr>
        <w:adjustRightInd w:val="0"/>
        <w:snapToGrid w:val="0"/>
        <w:spacing w:line="360" w:lineRule="auto"/>
        <w:ind w:firstLine="720"/>
        <w:rPr>
          <w:rFonts w:hint="default" w:ascii="Times New Roman" w:hAnsi="Times New Roman" w:eastAsia="宋体" w:cs="Times New Roman"/>
          <w:color w:val="auto"/>
          <w:sz w:val="36"/>
          <w:szCs w:val="36"/>
          <w:highlight w:val="none"/>
          <w:lang w:val="en-US" w:eastAsia="zh-CN"/>
        </w:rPr>
      </w:pPr>
      <w:r>
        <w:rPr>
          <w:rFonts w:hint="default" w:ascii="Times New Roman" w:hAnsi="Times New Roman" w:eastAsia="宋体" w:cs="Times New Roman"/>
          <w:color w:val="auto"/>
          <w:sz w:val="36"/>
          <w:szCs w:val="36"/>
          <w:highlight w:val="none"/>
        </w:rPr>
        <w:t>建设单位：</w:t>
      </w:r>
      <w:r>
        <w:rPr>
          <w:rFonts w:hint="eastAsia" w:cs="Times New Roman"/>
          <w:color w:val="auto"/>
          <w:sz w:val="36"/>
          <w:szCs w:val="36"/>
          <w:highlight w:val="none"/>
          <w:u w:val="thick"/>
          <w:lang w:val="en-US" w:eastAsia="zh-CN"/>
        </w:rPr>
        <w:t xml:space="preserve">       泸定县</w:t>
      </w:r>
      <w:r>
        <w:rPr>
          <w:rFonts w:hint="default" w:ascii="Times New Roman" w:hAnsi="Times New Roman" w:eastAsia="宋体" w:cs="Times New Roman"/>
          <w:color w:val="auto"/>
          <w:sz w:val="36"/>
          <w:szCs w:val="36"/>
          <w:highlight w:val="none"/>
          <w:u w:val="thick"/>
        </w:rPr>
        <w:t>磨西镇人民政府</w:t>
      </w:r>
      <w:r>
        <w:rPr>
          <w:rFonts w:hint="eastAsia" w:cs="Times New Roman"/>
          <w:color w:val="auto"/>
          <w:sz w:val="36"/>
          <w:szCs w:val="36"/>
          <w:highlight w:val="none"/>
          <w:u w:val="thick"/>
          <w:lang w:val="en-US" w:eastAsia="zh-CN"/>
        </w:rPr>
        <w:t xml:space="preserve">     </w:t>
      </w:r>
    </w:p>
    <w:p w14:paraId="7DCCD898">
      <w:pPr>
        <w:adjustRightInd w:val="0"/>
        <w:snapToGrid w:val="0"/>
        <w:spacing w:line="360" w:lineRule="auto"/>
        <w:ind w:firstLine="1080" w:firstLineChars="300"/>
        <w:rPr>
          <w:rFonts w:hint="default" w:ascii="Times New Roman" w:hAnsi="Times New Roman" w:eastAsia="宋体" w:cs="Times New Roman"/>
          <w:color w:val="auto"/>
          <w:sz w:val="36"/>
          <w:szCs w:val="36"/>
          <w:highlight w:val="none"/>
          <w:u w:val="single"/>
          <w:lang w:val="en-US" w:eastAsia="zh-CN"/>
        </w:rPr>
      </w:pPr>
      <w:r>
        <w:rPr>
          <w:rFonts w:hint="default" w:ascii="Times New Roman" w:hAnsi="Times New Roman" w:eastAsia="宋体" w:cs="Times New Roman"/>
          <w:color w:val="auto"/>
          <w:sz w:val="36"/>
          <w:szCs w:val="36"/>
          <w:highlight w:val="none"/>
        </w:rPr>
        <w:t>编制日期：</w:t>
      </w:r>
      <w:r>
        <w:rPr>
          <w:rFonts w:hint="default" w:ascii="Times New Roman" w:hAnsi="Times New Roman" w:eastAsia="宋体" w:cs="Times New Roman"/>
          <w:color w:val="auto"/>
          <w:sz w:val="36"/>
          <w:szCs w:val="36"/>
          <w:highlight w:val="none"/>
          <w:u w:val="single"/>
          <w:lang w:val="en-US" w:eastAsia="zh-CN"/>
        </w:rPr>
        <w:t xml:space="preserve">    </w:t>
      </w:r>
      <w:r>
        <w:rPr>
          <w:rFonts w:hint="default" w:ascii="Times New Roman" w:hAnsi="Times New Roman" w:eastAsia="宋体" w:cs="Times New Roman"/>
          <w:b w:val="0"/>
          <w:bCs/>
          <w:color w:val="auto"/>
          <w:sz w:val="36"/>
          <w:szCs w:val="36"/>
          <w:highlight w:val="none"/>
          <w:u w:val="single"/>
        </w:rPr>
        <w:t>二〇二</w:t>
      </w:r>
      <w:r>
        <w:rPr>
          <w:rFonts w:hint="eastAsia" w:cs="Times New Roman"/>
          <w:b w:val="0"/>
          <w:bCs/>
          <w:color w:val="auto"/>
          <w:sz w:val="36"/>
          <w:szCs w:val="36"/>
          <w:highlight w:val="none"/>
          <w:u w:val="single"/>
          <w:lang w:val="en-US" w:eastAsia="zh-CN"/>
        </w:rPr>
        <w:t>五</w:t>
      </w:r>
      <w:r>
        <w:rPr>
          <w:rFonts w:hint="default" w:ascii="Times New Roman" w:hAnsi="Times New Roman" w:eastAsia="宋体" w:cs="Times New Roman"/>
          <w:b w:val="0"/>
          <w:bCs/>
          <w:color w:val="auto"/>
          <w:sz w:val="36"/>
          <w:szCs w:val="36"/>
          <w:highlight w:val="none"/>
          <w:u w:val="single"/>
        </w:rPr>
        <w:t>年</w:t>
      </w:r>
      <w:r>
        <w:rPr>
          <w:rFonts w:hint="eastAsia" w:cs="Times New Roman"/>
          <w:b w:val="0"/>
          <w:bCs/>
          <w:color w:val="auto"/>
          <w:sz w:val="36"/>
          <w:szCs w:val="36"/>
          <w:highlight w:val="none"/>
          <w:u w:val="single"/>
          <w:lang w:val="en-US" w:eastAsia="zh-CN"/>
        </w:rPr>
        <w:t>三</w:t>
      </w:r>
      <w:r>
        <w:rPr>
          <w:rFonts w:hint="default" w:ascii="Times New Roman" w:hAnsi="Times New Roman" w:eastAsia="宋体" w:cs="Times New Roman"/>
          <w:b w:val="0"/>
          <w:bCs/>
          <w:color w:val="auto"/>
          <w:sz w:val="36"/>
          <w:szCs w:val="36"/>
          <w:highlight w:val="none"/>
          <w:u w:val="single"/>
        </w:rPr>
        <w:t>月</w:t>
      </w:r>
      <w:bookmarkStart w:id="0" w:name="_Hlk57884087"/>
      <w:r>
        <w:rPr>
          <w:rFonts w:hint="default" w:ascii="Times New Roman" w:hAnsi="Times New Roman" w:eastAsia="宋体" w:cs="Times New Roman"/>
          <w:b/>
          <w:color w:val="auto"/>
          <w:sz w:val="36"/>
          <w:szCs w:val="36"/>
          <w:highlight w:val="none"/>
          <w:u w:val="single"/>
          <w:lang w:val="en-US" w:eastAsia="zh-CN"/>
        </w:rPr>
        <w:t xml:space="preserve">       </w:t>
      </w:r>
    </w:p>
    <w:p w14:paraId="0404B0D5">
      <w:pPr>
        <w:ind w:firstLine="720"/>
        <w:jc w:val="left"/>
        <w:rPr>
          <w:rFonts w:hint="default" w:ascii="Times New Roman" w:hAnsi="Times New Roman" w:eastAsia="宋体" w:cs="Times New Roman"/>
          <w:color w:val="auto"/>
          <w:sz w:val="36"/>
          <w:szCs w:val="36"/>
          <w:highlight w:val="none"/>
        </w:rPr>
      </w:pPr>
    </w:p>
    <w:p w14:paraId="314FC3D4">
      <w:pPr>
        <w:ind w:firstLine="720"/>
        <w:jc w:val="left"/>
        <w:rPr>
          <w:rFonts w:hint="default" w:ascii="Times New Roman" w:hAnsi="Times New Roman" w:eastAsia="宋体" w:cs="Times New Roman"/>
          <w:color w:val="auto"/>
          <w:sz w:val="36"/>
          <w:szCs w:val="36"/>
          <w:highlight w:val="none"/>
        </w:rPr>
      </w:pPr>
    </w:p>
    <w:p w14:paraId="75A92816">
      <w:pPr>
        <w:ind w:firstLine="720"/>
        <w:jc w:val="left"/>
        <w:rPr>
          <w:rFonts w:hint="default" w:ascii="Times New Roman" w:hAnsi="Times New Roman" w:eastAsia="宋体" w:cs="Times New Roman"/>
          <w:color w:val="auto"/>
          <w:sz w:val="36"/>
          <w:szCs w:val="36"/>
          <w:highlight w:val="none"/>
        </w:rPr>
      </w:pPr>
    </w:p>
    <w:p w14:paraId="04B3023A">
      <w:pPr>
        <w:ind w:firstLine="720"/>
        <w:jc w:val="left"/>
        <w:rPr>
          <w:rFonts w:hint="default" w:ascii="Times New Roman" w:hAnsi="Times New Roman" w:eastAsia="宋体" w:cs="Times New Roman"/>
          <w:color w:val="auto"/>
          <w:sz w:val="36"/>
          <w:szCs w:val="36"/>
          <w:highlight w:val="none"/>
        </w:rPr>
      </w:pPr>
    </w:p>
    <w:p w14:paraId="771BBE24">
      <w:pPr>
        <w:ind w:firstLine="720"/>
        <w:jc w:val="left"/>
        <w:rPr>
          <w:rFonts w:hint="default" w:ascii="Times New Roman" w:hAnsi="Times New Roman" w:eastAsia="宋体" w:cs="Times New Roman"/>
          <w:color w:val="auto"/>
          <w:sz w:val="36"/>
          <w:szCs w:val="36"/>
          <w:highlight w:val="none"/>
        </w:rPr>
      </w:pPr>
    </w:p>
    <w:bookmarkEnd w:id="0"/>
    <w:p w14:paraId="55C7EA27">
      <w:pPr>
        <w:adjustRightInd w:val="0"/>
        <w:snapToGrid w:val="0"/>
        <w:spacing w:line="288" w:lineRule="auto"/>
        <w:jc w:val="center"/>
        <w:rPr>
          <w:rFonts w:hint="default" w:ascii="Times New Roman" w:hAnsi="Times New Roman" w:eastAsia="宋体" w:cs="Times New Roman"/>
          <w:color w:val="auto"/>
          <w:sz w:val="36"/>
          <w:szCs w:val="36"/>
          <w:highlight w:val="none"/>
        </w:rPr>
      </w:pPr>
      <w:r>
        <w:rPr>
          <w:rFonts w:hint="default" w:ascii="Times New Roman" w:hAnsi="Times New Roman" w:eastAsia="宋体" w:cs="Times New Roman"/>
          <w:color w:val="auto"/>
          <w:sz w:val="36"/>
          <w:szCs w:val="36"/>
          <w:highlight w:val="none"/>
        </w:rPr>
        <w:t>中华人民共和国生态环境部制</w:t>
      </w:r>
    </w:p>
    <w:p w14:paraId="5F67606D">
      <w:pPr>
        <w:adjustRightInd w:val="0"/>
        <w:snapToGrid w:val="0"/>
        <w:spacing w:line="288" w:lineRule="auto"/>
        <w:ind w:firstLine="720"/>
        <w:rPr>
          <w:rFonts w:hint="default" w:ascii="Times New Roman" w:hAnsi="Times New Roman" w:eastAsia="宋体" w:cs="Times New Roman"/>
          <w:color w:val="auto"/>
          <w:sz w:val="36"/>
          <w:szCs w:val="36"/>
          <w:highlight w:val="none"/>
        </w:rPr>
        <w:sectPr>
          <w:footerReference r:id="rId3" w:type="default"/>
          <w:footerReference r:id="rId4" w:type="even"/>
          <w:pgSz w:w="11906" w:h="16838"/>
          <w:pgMar w:top="1474" w:right="1814" w:bottom="1474" w:left="1814" w:header="851" w:footer="1077" w:gutter="0"/>
          <w:pgBorders>
            <w:top w:val="none" w:sz="0" w:space="0"/>
            <w:left w:val="none" w:sz="0" w:space="0"/>
            <w:bottom w:val="none" w:sz="0" w:space="0"/>
            <w:right w:val="none" w:sz="0" w:space="0"/>
          </w:pgBorders>
          <w:pgNumType w:start="3"/>
          <w:cols w:space="720" w:num="1"/>
          <w:docGrid w:linePitch="312" w:charSpace="0"/>
        </w:sectPr>
      </w:pPr>
    </w:p>
    <w:p w14:paraId="0E4E3477">
      <w:pPr>
        <w:ind w:firstLine="420"/>
        <w:jc w:val="center"/>
        <w:rPr>
          <w:rFonts w:hint="default" w:ascii="Times New Roman" w:hAnsi="Times New Roman" w:eastAsia="宋体" w:cs="Times New Roman"/>
          <w:color w:val="auto"/>
          <w:sz w:val="21"/>
          <w:highlight w:val="none"/>
        </w:rPr>
      </w:pPr>
    </w:p>
    <w:p w14:paraId="3C6EC897">
      <w:pPr>
        <w:ind w:firstLine="420"/>
        <w:jc w:val="center"/>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目录</w:t>
      </w:r>
    </w:p>
    <w:p w14:paraId="056F28C2">
      <w:pPr>
        <w:ind w:firstLine="420"/>
        <w:jc w:val="center"/>
        <w:rPr>
          <w:rFonts w:hint="default" w:ascii="Times New Roman" w:hAnsi="Times New Roman" w:eastAsia="宋体" w:cs="Times New Roman"/>
          <w:color w:val="auto"/>
          <w:sz w:val="28"/>
          <w:szCs w:val="28"/>
          <w:highlight w:val="none"/>
        </w:rPr>
      </w:pPr>
    </w:p>
    <w:p w14:paraId="3FFE88E3">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snapToGrid w:val="0"/>
          <w:color w:val="auto"/>
          <w:sz w:val="30"/>
          <w:szCs w:val="30"/>
          <w:highlight w:val="none"/>
        </w:rPr>
        <w:fldChar w:fldCharType="begin"/>
      </w:r>
      <w:r>
        <w:rPr>
          <w:rFonts w:hint="default" w:ascii="Times New Roman" w:hAnsi="Times New Roman" w:eastAsia="宋体" w:cs="Times New Roman"/>
          <w:snapToGrid w:val="0"/>
          <w:color w:val="auto"/>
          <w:sz w:val="30"/>
          <w:szCs w:val="30"/>
          <w:highlight w:val="none"/>
        </w:rPr>
        <w:instrText xml:space="preserve">TOC \o "1-3" \h \u </w:instrText>
      </w:r>
      <w:r>
        <w:rPr>
          <w:rFonts w:hint="default" w:ascii="Times New Roman" w:hAnsi="Times New Roman" w:eastAsia="宋体" w:cs="Times New Roman"/>
          <w:snapToGrid w:val="0"/>
          <w:color w:val="auto"/>
          <w:sz w:val="30"/>
          <w:szCs w:val="30"/>
          <w:highlight w:val="none"/>
        </w:rPr>
        <w:fldChar w:fldCharType="separate"/>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"_Toc1829"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0"/>
          <w:highlight w:val="none"/>
        </w:rPr>
        <w:t>一、建设项目基本情况</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_Toc1829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19555E23">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"_Toc21541"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0"/>
          <w:highlight w:val="none"/>
        </w:rPr>
        <w:t>二、建设项目工程分析</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_Toc21541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33</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5C0A8EF3">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"_Toc11706"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0"/>
          <w:highlight w:val="none"/>
        </w:rPr>
        <w:t>三、区域环境质量现状、环境保护目标及评价标准</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_Toc11706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51</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2DEC7706">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"_Toc10738"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0"/>
          <w:highlight w:val="none"/>
        </w:rPr>
        <w:t>四、主要环境影响和保护措施</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_Toc10738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72</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0BBE9BF6">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"_Toc31315"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0"/>
          <w:highlight w:val="none"/>
        </w:rPr>
        <w:t>五、环境保护措施监督检查清单</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_Toc31315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129</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62181B53">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"_Toc23104"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0"/>
          <w:highlight w:val="none"/>
        </w:rPr>
        <w:t>六、结论</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_Toc23104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136</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3861F149">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"_Toc9911"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2"/>
          <w:highlight w:val="none"/>
        </w:rPr>
        <w:t>附表</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_Toc9911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137</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4AA978FD">
      <w:pPr>
        <w:pStyle w:val="24"/>
        <w:tabs>
          <w:tab w:val="right" w:leader="dot" w:pos="8300"/>
        </w:tabs>
        <w:spacing w:line="360" w:lineRule="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"_Toc7757"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snapToGrid w:val="0"/>
          <w:color w:val="auto"/>
          <w:szCs w:val="38"/>
          <w:highlight w:val="none"/>
        </w:rPr>
        <w:t>建设项目污染物排放量汇总表</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_Toc7757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137</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195BFC82">
      <w:pPr>
        <w:pStyle w:val="27"/>
        <w:spacing w:line="360" w:lineRule="auto"/>
        <w:jc w:val="center"/>
        <w:rPr>
          <w:rFonts w:hint="default" w:ascii="Times New Roman" w:hAnsi="Times New Roman" w:eastAsia="宋体" w:cs="Times New Roman"/>
          <w:snapToGrid w:val="0"/>
          <w:color w:val="auto"/>
          <w:szCs w:val="30"/>
          <w:highlight w:val="none"/>
        </w:rPr>
      </w:pPr>
      <w:r>
        <w:rPr>
          <w:rFonts w:hint="default" w:ascii="Times New Roman" w:hAnsi="Times New Roman" w:eastAsia="宋体" w:cs="Times New Roman"/>
          <w:snapToGrid w:val="0"/>
          <w:color w:val="auto"/>
          <w:szCs w:val="30"/>
          <w:highlight w:val="none"/>
        </w:rPr>
        <w:fldChar w:fldCharType="end"/>
      </w:r>
    </w:p>
    <w:p w14:paraId="32324952">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snapToGrid w:val="0"/>
          <w:color w:val="auto"/>
          <w:szCs w:val="30"/>
          <w:highlight w:val="none"/>
        </w:rPr>
        <w:br w:type="page"/>
      </w:r>
      <w:r>
        <w:rPr>
          <w:rFonts w:hint="default" w:ascii="Times New Roman" w:hAnsi="Times New Roman" w:eastAsia="宋体" w:cs="Times New Roman"/>
          <w:color w:val="auto"/>
          <w:highlight w:val="none"/>
        </w:rPr>
        <w:t>本报告附以下附件、附图：</w:t>
      </w:r>
    </w:p>
    <w:p w14:paraId="1D66ACC1">
      <w:pPr>
        <w:ind w:firstLine="482"/>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rPr>
        <w:t>附图</w:t>
      </w:r>
    </w:p>
    <w:tbl>
      <w:tblPr>
        <w:tblStyle w:val="32"/>
        <w:tblW w:w="0" w:type="auto"/>
        <w:jc w:val="center"/>
        <w:tblLayout w:type="autofit"/>
        <w:tblCellMar>
          <w:top w:w="0" w:type="dxa"/>
          <w:left w:w="108" w:type="dxa"/>
          <w:bottom w:w="0" w:type="dxa"/>
          <w:right w:w="108" w:type="dxa"/>
        </w:tblCellMar>
      </w:tblPr>
      <w:tblGrid>
        <w:gridCol w:w="1208"/>
        <w:gridCol w:w="6088"/>
      </w:tblGrid>
      <w:tr w14:paraId="51747277">
        <w:trPr>
          <w:trHeight w:val="397" w:hRule="atLeast"/>
          <w:jc w:val="center"/>
        </w:trPr>
        <w:tc>
          <w:tcPr>
            <w:tcW w:w="1208" w:type="dxa"/>
            <w:vAlign w:val="center"/>
          </w:tcPr>
          <w:p w14:paraId="357F39A1">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附图1</w:t>
            </w:r>
          </w:p>
        </w:tc>
        <w:tc>
          <w:tcPr>
            <w:tcW w:w="6088" w:type="dxa"/>
            <w:vAlign w:val="center"/>
          </w:tcPr>
          <w:p w14:paraId="7C809EA9">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项目地理位置图</w:t>
            </w:r>
          </w:p>
        </w:tc>
      </w:tr>
      <w:tr w14:paraId="01D87A5F">
        <w:tblPrEx>
          <w:tblCellMar>
            <w:top w:w="0" w:type="dxa"/>
            <w:left w:w="108" w:type="dxa"/>
            <w:bottom w:w="0" w:type="dxa"/>
            <w:right w:w="108" w:type="dxa"/>
          </w:tblCellMar>
        </w:tblPrEx>
        <w:trPr>
          <w:trHeight w:val="397" w:hRule="atLeast"/>
          <w:jc w:val="center"/>
        </w:trPr>
        <w:tc>
          <w:tcPr>
            <w:tcW w:w="1208" w:type="dxa"/>
            <w:vAlign w:val="center"/>
          </w:tcPr>
          <w:p w14:paraId="5787FBA9">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附图2</w:t>
            </w:r>
          </w:p>
        </w:tc>
        <w:tc>
          <w:tcPr>
            <w:tcW w:w="6088" w:type="dxa"/>
            <w:vAlign w:val="center"/>
          </w:tcPr>
          <w:p w14:paraId="676B97C1">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项目远距离外环境关系及环评评价范围图</w:t>
            </w:r>
          </w:p>
        </w:tc>
      </w:tr>
      <w:tr w14:paraId="70F29A1D">
        <w:tblPrEx>
          <w:tblCellMar>
            <w:top w:w="0" w:type="dxa"/>
            <w:left w:w="108" w:type="dxa"/>
            <w:bottom w:w="0" w:type="dxa"/>
            <w:right w:w="108" w:type="dxa"/>
          </w:tblCellMar>
        </w:tblPrEx>
        <w:trPr>
          <w:trHeight w:val="397" w:hRule="atLeast"/>
          <w:jc w:val="center"/>
        </w:trPr>
        <w:tc>
          <w:tcPr>
            <w:tcW w:w="1208" w:type="dxa"/>
            <w:vAlign w:val="center"/>
          </w:tcPr>
          <w:p w14:paraId="6FE18604">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rPr>
              <w:t>附图3</w:t>
            </w:r>
          </w:p>
        </w:tc>
        <w:tc>
          <w:tcPr>
            <w:tcW w:w="6088" w:type="dxa"/>
            <w:vAlign w:val="center"/>
          </w:tcPr>
          <w:p w14:paraId="353E3A29">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项目近距离外环境关系及卫生防护距离图</w:t>
            </w:r>
          </w:p>
        </w:tc>
      </w:tr>
      <w:tr w14:paraId="2D68106A">
        <w:tblPrEx>
          <w:tblCellMar>
            <w:top w:w="0" w:type="dxa"/>
            <w:left w:w="108" w:type="dxa"/>
            <w:bottom w:w="0" w:type="dxa"/>
            <w:right w:w="108" w:type="dxa"/>
          </w:tblCellMar>
        </w:tblPrEx>
        <w:trPr>
          <w:trHeight w:val="397" w:hRule="atLeast"/>
          <w:jc w:val="center"/>
        </w:trPr>
        <w:tc>
          <w:tcPr>
            <w:tcW w:w="1208" w:type="dxa"/>
            <w:vAlign w:val="center"/>
          </w:tcPr>
          <w:p w14:paraId="181B45AD">
            <w:pPr>
              <w:widowControl/>
              <w:jc w:val="left"/>
              <w:textAlignment w:val="center"/>
              <w:rPr>
                <w:rFonts w:hint="eastAsia" w:ascii="Times New Roman" w:hAnsi="Times New Roman" w:eastAsia="宋体" w:cs="Times New Roman"/>
                <w:color w:val="auto"/>
                <w:kern w:val="0"/>
                <w:highlight w:val="none"/>
                <w:lang w:eastAsia="zh-CN"/>
              </w:rPr>
            </w:pPr>
            <w:r>
              <w:rPr>
                <w:rFonts w:hint="default" w:ascii="Times New Roman" w:hAnsi="Times New Roman" w:eastAsia="宋体" w:cs="Times New Roman"/>
                <w:color w:val="auto"/>
                <w:kern w:val="0"/>
                <w:highlight w:val="none"/>
              </w:rPr>
              <w:t>附图</w:t>
            </w:r>
            <w:r>
              <w:rPr>
                <w:rFonts w:hint="eastAsia" w:cs="Times New Roman"/>
                <w:color w:val="auto"/>
                <w:kern w:val="0"/>
                <w:highlight w:val="none"/>
                <w:lang w:val="en-US" w:eastAsia="zh-CN"/>
              </w:rPr>
              <w:t>4</w:t>
            </w:r>
          </w:p>
        </w:tc>
        <w:tc>
          <w:tcPr>
            <w:tcW w:w="6088" w:type="dxa"/>
            <w:vAlign w:val="center"/>
          </w:tcPr>
          <w:p w14:paraId="5ACCCC11">
            <w:pPr>
              <w:widowControl/>
              <w:jc w:val="left"/>
              <w:textAlignment w:val="center"/>
              <w:rPr>
                <w:rFonts w:hint="default" w:ascii="Times New Roman" w:hAnsi="Times New Roman" w:eastAsia="宋体" w:cs="Times New Roman"/>
                <w:color w:val="auto"/>
                <w:kern w:val="0"/>
                <w:highlight w:val="none"/>
                <w:lang w:val="en-US"/>
              </w:rPr>
            </w:pPr>
            <w:r>
              <w:rPr>
                <w:rFonts w:hint="default" w:ascii="Times New Roman" w:hAnsi="Times New Roman" w:eastAsia="宋体" w:cs="Times New Roman"/>
                <w:color w:val="auto"/>
                <w:kern w:val="0"/>
                <w:highlight w:val="none"/>
                <w:lang w:val="en-US" w:eastAsia="zh-CN"/>
              </w:rPr>
              <w:t>项目</w:t>
            </w:r>
            <w:r>
              <w:rPr>
                <w:rFonts w:hint="eastAsia" w:cs="Times New Roman"/>
                <w:color w:val="auto"/>
                <w:kern w:val="0"/>
                <w:highlight w:val="none"/>
                <w:lang w:val="en-US" w:eastAsia="zh-CN"/>
              </w:rPr>
              <w:t>区域水系图</w:t>
            </w:r>
          </w:p>
        </w:tc>
      </w:tr>
      <w:tr w14:paraId="1BB17971">
        <w:tblPrEx>
          <w:tblCellMar>
            <w:top w:w="0" w:type="dxa"/>
            <w:left w:w="108" w:type="dxa"/>
            <w:bottom w:w="0" w:type="dxa"/>
            <w:right w:w="108" w:type="dxa"/>
          </w:tblCellMar>
        </w:tblPrEx>
        <w:trPr>
          <w:trHeight w:val="397" w:hRule="atLeast"/>
          <w:jc w:val="center"/>
        </w:trPr>
        <w:tc>
          <w:tcPr>
            <w:tcW w:w="1208" w:type="dxa"/>
            <w:vAlign w:val="center"/>
          </w:tcPr>
          <w:p w14:paraId="3A3597E5">
            <w:pPr>
              <w:widowControl/>
              <w:jc w:val="left"/>
              <w:textAlignment w:val="center"/>
              <w:rPr>
                <w:rFonts w:hint="eastAsia" w:ascii="Times New Roman" w:hAnsi="Times New Roman" w:eastAsia="宋体" w:cs="Times New Roman"/>
                <w:color w:val="auto"/>
                <w:kern w:val="0"/>
                <w:highlight w:val="none"/>
                <w:lang w:eastAsia="zh-CN"/>
              </w:rPr>
            </w:pPr>
            <w:r>
              <w:rPr>
                <w:rFonts w:hint="default" w:ascii="Times New Roman" w:hAnsi="Times New Roman" w:eastAsia="宋体" w:cs="Times New Roman"/>
                <w:color w:val="auto"/>
                <w:kern w:val="0"/>
                <w:highlight w:val="none"/>
              </w:rPr>
              <w:t>附图</w:t>
            </w:r>
            <w:r>
              <w:rPr>
                <w:rFonts w:hint="eastAsia" w:cs="Times New Roman"/>
                <w:color w:val="auto"/>
                <w:kern w:val="0"/>
                <w:highlight w:val="none"/>
                <w:lang w:val="en-US" w:eastAsia="zh-CN"/>
              </w:rPr>
              <w:t>5</w:t>
            </w:r>
          </w:p>
        </w:tc>
        <w:tc>
          <w:tcPr>
            <w:tcW w:w="6088" w:type="dxa"/>
            <w:vAlign w:val="center"/>
          </w:tcPr>
          <w:p w14:paraId="57D683CE">
            <w:pPr>
              <w:widowControl/>
              <w:jc w:val="left"/>
              <w:textAlignment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lang w:val="en-US" w:eastAsia="zh-CN"/>
              </w:rPr>
              <w:t>项目与磨西镇城镇规划的位置关系图</w:t>
            </w:r>
          </w:p>
        </w:tc>
      </w:tr>
      <w:tr w14:paraId="771D9294">
        <w:tblPrEx>
          <w:tblCellMar>
            <w:top w:w="0" w:type="dxa"/>
            <w:left w:w="108" w:type="dxa"/>
            <w:bottom w:w="0" w:type="dxa"/>
            <w:right w:w="108" w:type="dxa"/>
          </w:tblCellMar>
        </w:tblPrEx>
        <w:trPr>
          <w:trHeight w:val="397" w:hRule="atLeast"/>
          <w:jc w:val="center"/>
        </w:trPr>
        <w:tc>
          <w:tcPr>
            <w:tcW w:w="1208" w:type="dxa"/>
            <w:vAlign w:val="center"/>
          </w:tcPr>
          <w:p w14:paraId="078A5253">
            <w:pPr>
              <w:widowControl/>
              <w:jc w:val="left"/>
              <w:textAlignment w:val="center"/>
              <w:rPr>
                <w:rFonts w:hint="default" w:ascii="Times New Roman" w:hAnsi="Times New Roman" w:eastAsia="宋体" w:cs="Times New Roman"/>
                <w:color w:val="auto"/>
                <w:kern w:val="0"/>
                <w:highlight w:val="none"/>
                <w:lang w:val="en-US" w:eastAsia="zh-CN"/>
              </w:rPr>
            </w:pPr>
            <w:r>
              <w:rPr>
                <w:rFonts w:hint="default" w:ascii="Times New Roman" w:hAnsi="Times New Roman" w:eastAsia="宋体" w:cs="Times New Roman"/>
                <w:color w:val="auto"/>
                <w:kern w:val="0"/>
                <w:highlight w:val="none"/>
              </w:rPr>
              <w:t>附图</w:t>
            </w:r>
            <w:r>
              <w:rPr>
                <w:rFonts w:hint="eastAsia" w:cs="Times New Roman"/>
                <w:color w:val="auto"/>
                <w:kern w:val="0"/>
                <w:highlight w:val="none"/>
                <w:lang w:val="en-US" w:eastAsia="zh-CN"/>
              </w:rPr>
              <w:t>6-1</w:t>
            </w:r>
          </w:p>
        </w:tc>
        <w:tc>
          <w:tcPr>
            <w:tcW w:w="6088" w:type="dxa"/>
            <w:vAlign w:val="center"/>
          </w:tcPr>
          <w:p w14:paraId="4E1E82C8">
            <w:pPr>
              <w:widowControl/>
              <w:jc w:val="left"/>
              <w:textAlignment w:val="center"/>
              <w:rPr>
                <w:rFonts w:hint="default" w:ascii="Times New Roman" w:hAnsi="Times New Roman" w:eastAsia="宋体" w:cs="Times New Roman"/>
                <w:color w:val="auto"/>
                <w:kern w:val="0"/>
                <w:highlight w:val="none"/>
                <w:lang w:val="en-US" w:eastAsia="zh-CN"/>
              </w:rPr>
            </w:pPr>
            <w:r>
              <w:rPr>
                <w:rFonts w:hint="default" w:ascii="Times New Roman" w:hAnsi="Times New Roman" w:eastAsia="宋体" w:cs="Times New Roman"/>
                <w:color w:val="auto"/>
                <w:kern w:val="0"/>
                <w:highlight w:val="none"/>
                <w:lang w:val="en-US" w:eastAsia="zh-CN"/>
              </w:rPr>
              <w:t>项目与贡嘎山风景名胜区的关系图</w:t>
            </w:r>
          </w:p>
        </w:tc>
      </w:tr>
      <w:tr w14:paraId="57A9C8B3">
        <w:trPr>
          <w:trHeight w:val="397" w:hRule="atLeast"/>
          <w:jc w:val="center"/>
        </w:trPr>
        <w:tc>
          <w:tcPr>
            <w:tcW w:w="1208" w:type="dxa"/>
            <w:vAlign w:val="center"/>
          </w:tcPr>
          <w:p w14:paraId="7A5C740F">
            <w:pPr>
              <w:widowControl/>
              <w:jc w:val="left"/>
              <w:textAlignment w:val="center"/>
              <w:rPr>
                <w:rFonts w:hint="default"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附图6-2</w:t>
            </w:r>
          </w:p>
        </w:tc>
        <w:tc>
          <w:tcPr>
            <w:tcW w:w="6088" w:type="dxa"/>
            <w:vAlign w:val="center"/>
          </w:tcPr>
          <w:p w14:paraId="39167905">
            <w:pPr>
              <w:widowControl/>
              <w:jc w:val="left"/>
              <w:textAlignment w:val="center"/>
              <w:rPr>
                <w:rFonts w:hint="default"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项目与贡嘎山风景名胜区的关系图（局部）</w:t>
            </w:r>
          </w:p>
        </w:tc>
      </w:tr>
      <w:tr w14:paraId="4D645CD4">
        <w:tblPrEx>
          <w:tblCellMar>
            <w:top w:w="0" w:type="dxa"/>
            <w:left w:w="108" w:type="dxa"/>
            <w:bottom w:w="0" w:type="dxa"/>
            <w:right w:w="108" w:type="dxa"/>
          </w:tblCellMar>
        </w:tblPrEx>
        <w:trPr>
          <w:trHeight w:val="397" w:hRule="atLeast"/>
          <w:jc w:val="center"/>
        </w:trPr>
        <w:tc>
          <w:tcPr>
            <w:tcW w:w="1208" w:type="dxa"/>
            <w:vAlign w:val="center"/>
          </w:tcPr>
          <w:p w14:paraId="54E72B81">
            <w:pPr>
              <w:widowControl/>
              <w:jc w:val="left"/>
              <w:textAlignment w:val="center"/>
              <w:rPr>
                <w:rFonts w:hint="eastAsia" w:ascii="Times New Roman" w:hAnsi="Times New Roman" w:eastAsia="宋体" w:cs="Times New Roman"/>
                <w:color w:val="auto"/>
                <w:kern w:val="0"/>
                <w:highlight w:val="none"/>
                <w:lang w:eastAsia="zh-CN"/>
              </w:rPr>
            </w:pPr>
            <w:r>
              <w:rPr>
                <w:rFonts w:hint="default" w:ascii="Times New Roman" w:hAnsi="Times New Roman" w:eastAsia="宋体" w:cs="Times New Roman"/>
                <w:color w:val="auto"/>
                <w:kern w:val="0"/>
                <w:highlight w:val="none"/>
              </w:rPr>
              <w:t>附图</w:t>
            </w:r>
            <w:r>
              <w:rPr>
                <w:rFonts w:hint="eastAsia" w:cs="Times New Roman"/>
                <w:color w:val="auto"/>
                <w:kern w:val="0"/>
                <w:highlight w:val="none"/>
                <w:lang w:val="en-US" w:eastAsia="zh-CN"/>
              </w:rPr>
              <w:t>7</w:t>
            </w:r>
          </w:p>
        </w:tc>
        <w:tc>
          <w:tcPr>
            <w:tcW w:w="6088" w:type="dxa"/>
            <w:vAlign w:val="center"/>
          </w:tcPr>
          <w:p w14:paraId="6600FD87">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项目与贡嘎山自然保护区的关系图</w:t>
            </w:r>
          </w:p>
        </w:tc>
      </w:tr>
      <w:tr w14:paraId="4600D27C">
        <w:tblPrEx>
          <w:tblCellMar>
            <w:top w:w="0" w:type="dxa"/>
            <w:left w:w="108" w:type="dxa"/>
            <w:bottom w:w="0" w:type="dxa"/>
            <w:right w:w="108" w:type="dxa"/>
          </w:tblCellMar>
        </w:tblPrEx>
        <w:trPr>
          <w:trHeight w:val="397" w:hRule="atLeast"/>
          <w:jc w:val="center"/>
        </w:trPr>
        <w:tc>
          <w:tcPr>
            <w:tcW w:w="1208" w:type="dxa"/>
            <w:vAlign w:val="center"/>
          </w:tcPr>
          <w:p w14:paraId="1AF632DE">
            <w:pPr>
              <w:widowControl/>
              <w:jc w:val="left"/>
              <w:textAlignment w:val="center"/>
              <w:rPr>
                <w:rFonts w:hint="eastAsia" w:ascii="Times New Roman" w:hAnsi="Times New Roman" w:eastAsia="宋体" w:cs="Times New Roman"/>
                <w:color w:val="auto"/>
                <w:kern w:val="0"/>
                <w:highlight w:val="none"/>
                <w:lang w:eastAsia="zh-CN"/>
              </w:rPr>
            </w:pPr>
            <w:r>
              <w:rPr>
                <w:rFonts w:hint="default" w:ascii="Times New Roman" w:hAnsi="Times New Roman" w:eastAsia="宋体" w:cs="Times New Roman"/>
                <w:color w:val="auto"/>
                <w:kern w:val="0"/>
                <w:highlight w:val="none"/>
              </w:rPr>
              <w:t>附图</w:t>
            </w:r>
            <w:r>
              <w:rPr>
                <w:rFonts w:hint="eastAsia" w:cs="Times New Roman"/>
                <w:color w:val="auto"/>
                <w:kern w:val="0"/>
                <w:highlight w:val="none"/>
                <w:lang w:val="en-US" w:eastAsia="zh-CN"/>
              </w:rPr>
              <w:t>8</w:t>
            </w:r>
          </w:p>
        </w:tc>
        <w:tc>
          <w:tcPr>
            <w:tcW w:w="6088" w:type="dxa"/>
            <w:vAlign w:val="center"/>
          </w:tcPr>
          <w:p w14:paraId="7CB19922">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项目与海螺沟国家冰川森林公园的关系图</w:t>
            </w:r>
          </w:p>
        </w:tc>
      </w:tr>
      <w:tr w14:paraId="2C4019DF">
        <w:tblPrEx>
          <w:tblCellMar>
            <w:top w:w="0" w:type="dxa"/>
            <w:left w:w="108" w:type="dxa"/>
            <w:bottom w:w="0" w:type="dxa"/>
            <w:right w:w="108" w:type="dxa"/>
          </w:tblCellMar>
        </w:tblPrEx>
        <w:trPr>
          <w:trHeight w:val="397" w:hRule="atLeast"/>
          <w:jc w:val="center"/>
        </w:trPr>
        <w:tc>
          <w:tcPr>
            <w:tcW w:w="1208" w:type="dxa"/>
            <w:vAlign w:val="center"/>
          </w:tcPr>
          <w:p w14:paraId="74DA6901">
            <w:pPr>
              <w:widowControl/>
              <w:jc w:val="left"/>
              <w:textAlignment w:val="center"/>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kern w:val="0"/>
                <w:highlight w:val="none"/>
              </w:rPr>
              <w:t>附图</w:t>
            </w:r>
            <w:r>
              <w:rPr>
                <w:rFonts w:hint="eastAsia" w:cs="Times New Roman"/>
                <w:color w:val="auto"/>
                <w:kern w:val="0"/>
                <w:highlight w:val="none"/>
                <w:lang w:val="en-US" w:eastAsia="zh-CN"/>
              </w:rPr>
              <w:t>9</w:t>
            </w:r>
          </w:p>
        </w:tc>
        <w:tc>
          <w:tcPr>
            <w:tcW w:w="6088" w:type="dxa"/>
            <w:vAlign w:val="center"/>
          </w:tcPr>
          <w:p w14:paraId="25643B22">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项目与海螺沟国家地质公园的关系图</w:t>
            </w:r>
          </w:p>
        </w:tc>
      </w:tr>
      <w:tr w14:paraId="2FA3181E">
        <w:tblPrEx>
          <w:tblCellMar>
            <w:top w:w="0" w:type="dxa"/>
            <w:left w:w="108" w:type="dxa"/>
            <w:bottom w:w="0" w:type="dxa"/>
            <w:right w:w="108" w:type="dxa"/>
          </w:tblCellMar>
        </w:tblPrEx>
        <w:trPr>
          <w:trHeight w:val="397" w:hRule="atLeast"/>
          <w:jc w:val="center"/>
        </w:trPr>
        <w:tc>
          <w:tcPr>
            <w:tcW w:w="1208" w:type="dxa"/>
            <w:vAlign w:val="center"/>
          </w:tcPr>
          <w:p w14:paraId="4271FC41">
            <w:pPr>
              <w:widowControl/>
              <w:jc w:val="left"/>
              <w:textAlignment w:val="center"/>
              <w:rPr>
                <w:rFonts w:hint="default"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附图10</w:t>
            </w:r>
          </w:p>
        </w:tc>
        <w:tc>
          <w:tcPr>
            <w:tcW w:w="6088" w:type="dxa"/>
            <w:vAlign w:val="center"/>
          </w:tcPr>
          <w:p w14:paraId="7EC6DF74">
            <w:pPr>
              <w:widowControl/>
              <w:jc w:val="left"/>
              <w:textAlignment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监测布点图</w:t>
            </w:r>
          </w:p>
        </w:tc>
      </w:tr>
      <w:tr w14:paraId="7ACB875E">
        <w:tblPrEx>
          <w:tblCellMar>
            <w:top w:w="0" w:type="dxa"/>
            <w:left w:w="108" w:type="dxa"/>
            <w:bottom w:w="0" w:type="dxa"/>
            <w:right w:w="108" w:type="dxa"/>
          </w:tblCellMar>
        </w:tblPrEx>
        <w:trPr>
          <w:trHeight w:val="397" w:hRule="atLeast"/>
          <w:jc w:val="center"/>
        </w:trPr>
        <w:tc>
          <w:tcPr>
            <w:tcW w:w="1208" w:type="dxa"/>
            <w:vAlign w:val="center"/>
          </w:tcPr>
          <w:p w14:paraId="6510B936">
            <w:pPr>
              <w:widowControl/>
              <w:jc w:val="left"/>
              <w:textAlignment w:val="center"/>
              <w:rPr>
                <w:rFonts w:hint="default" w:cs="Times New Roman"/>
                <w:color w:val="auto"/>
                <w:kern w:val="0"/>
                <w:highlight w:val="none"/>
                <w:lang w:val="en-US" w:eastAsia="zh-CN"/>
              </w:rPr>
            </w:pPr>
            <w:r>
              <w:rPr>
                <w:rFonts w:hint="eastAsia" w:cs="Times New Roman"/>
                <w:color w:val="auto"/>
                <w:kern w:val="0"/>
                <w:highlight w:val="none"/>
                <w:lang w:val="en-US" w:eastAsia="zh-CN"/>
              </w:rPr>
              <w:t>附图11</w:t>
            </w:r>
          </w:p>
        </w:tc>
        <w:tc>
          <w:tcPr>
            <w:tcW w:w="6088" w:type="dxa"/>
            <w:vAlign w:val="center"/>
          </w:tcPr>
          <w:p w14:paraId="7271CF36">
            <w:pPr>
              <w:widowControl/>
              <w:jc w:val="left"/>
              <w:textAlignment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项目厂区总平布置图</w:t>
            </w:r>
          </w:p>
        </w:tc>
      </w:tr>
      <w:tr w14:paraId="5598B991">
        <w:tblPrEx>
          <w:tblCellMar>
            <w:top w:w="0" w:type="dxa"/>
            <w:left w:w="108" w:type="dxa"/>
            <w:bottom w:w="0" w:type="dxa"/>
            <w:right w:w="108" w:type="dxa"/>
          </w:tblCellMar>
        </w:tblPrEx>
        <w:trPr>
          <w:trHeight w:val="397" w:hRule="atLeast"/>
          <w:jc w:val="center"/>
        </w:trPr>
        <w:tc>
          <w:tcPr>
            <w:tcW w:w="1208" w:type="dxa"/>
            <w:vAlign w:val="center"/>
          </w:tcPr>
          <w:p w14:paraId="701E705E">
            <w:pPr>
              <w:widowControl/>
              <w:jc w:val="left"/>
              <w:textAlignment w:val="center"/>
              <w:rPr>
                <w:rFonts w:hint="default" w:cs="Times New Roman"/>
                <w:color w:val="auto"/>
                <w:kern w:val="0"/>
                <w:highlight w:val="none"/>
                <w:lang w:val="en-US" w:eastAsia="zh-CN"/>
              </w:rPr>
            </w:pPr>
            <w:r>
              <w:rPr>
                <w:rFonts w:hint="eastAsia" w:cs="Times New Roman"/>
                <w:color w:val="auto"/>
                <w:kern w:val="0"/>
                <w:highlight w:val="none"/>
                <w:lang w:val="en-US" w:eastAsia="zh-CN"/>
              </w:rPr>
              <w:t>附图12</w:t>
            </w:r>
          </w:p>
        </w:tc>
        <w:tc>
          <w:tcPr>
            <w:tcW w:w="6088" w:type="dxa"/>
            <w:vAlign w:val="center"/>
          </w:tcPr>
          <w:p w14:paraId="7311DE39">
            <w:pPr>
              <w:widowControl/>
              <w:jc w:val="left"/>
              <w:textAlignment w:val="center"/>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项目屠宰与分割车间布置图</w:t>
            </w:r>
          </w:p>
        </w:tc>
      </w:tr>
      <w:tr w14:paraId="071112C4">
        <w:tblPrEx>
          <w:tblCellMar>
            <w:top w:w="0" w:type="dxa"/>
            <w:left w:w="108" w:type="dxa"/>
            <w:bottom w:w="0" w:type="dxa"/>
            <w:right w:w="108" w:type="dxa"/>
          </w:tblCellMar>
        </w:tblPrEx>
        <w:trPr>
          <w:trHeight w:val="397" w:hRule="atLeast"/>
          <w:jc w:val="center"/>
        </w:trPr>
        <w:tc>
          <w:tcPr>
            <w:tcW w:w="1208" w:type="dxa"/>
            <w:shd w:val="clear" w:color="auto" w:fill="auto"/>
            <w:vAlign w:val="center"/>
          </w:tcPr>
          <w:p w14:paraId="366B6640">
            <w:pPr>
              <w:widowControl/>
              <w:jc w:val="left"/>
              <w:textAlignment w:val="center"/>
              <w:rPr>
                <w:rFonts w:hint="eastAsia" w:ascii="Times New Roman" w:hAnsi="Times New Roman" w:eastAsia="宋体" w:cs="Times New Roman"/>
                <w:color w:val="auto"/>
                <w:kern w:val="0"/>
                <w:sz w:val="24"/>
                <w:szCs w:val="24"/>
                <w:highlight w:val="none"/>
                <w:lang w:val="en-US" w:eastAsia="zh-CN" w:bidi="ar-SA"/>
              </w:rPr>
            </w:pPr>
            <w:r>
              <w:rPr>
                <w:rFonts w:hint="eastAsia" w:cs="Times New Roman"/>
                <w:color w:val="auto"/>
                <w:kern w:val="0"/>
                <w:highlight w:val="none"/>
                <w:lang w:val="en-US" w:eastAsia="zh-CN"/>
              </w:rPr>
              <w:t>附图13</w:t>
            </w:r>
          </w:p>
        </w:tc>
        <w:tc>
          <w:tcPr>
            <w:tcW w:w="6088" w:type="dxa"/>
            <w:shd w:val="clear" w:color="auto" w:fill="auto"/>
            <w:vAlign w:val="center"/>
          </w:tcPr>
          <w:p w14:paraId="36901E79">
            <w:pPr>
              <w:widowControl/>
              <w:jc w:val="left"/>
              <w:textAlignment w:val="center"/>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eastAsia="宋体" w:cs="Times New Roman"/>
                <w:color w:val="auto"/>
                <w:kern w:val="0"/>
                <w:highlight w:val="none"/>
                <w:lang w:val="en-US" w:eastAsia="zh-CN"/>
              </w:rPr>
              <w:t>项目污水罐车运输路线、肉类运输路线图</w:t>
            </w:r>
          </w:p>
        </w:tc>
      </w:tr>
    </w:tbl>
    <w:p w14:paraId="2B1579B3">
      <w:pPr>
        <w:ind w:firstLine="482"/>
        <w:rPr>
          <w:rFonts w:hint="default" w:ascii="Times New Roman" w:hAnsi="Times New Roman" w:eastAsia="宋体" w:cs="Times New Roman"/>
          <w:b/>
          <w:bCs/>
          <w:color w:val="auto"/>
          <w:highlight w:val="none"/>
        </w:rPr>
      </w:pPr>
    </w:p>
    <w:p w14:paraId="2DB093B5">
      <w:pPr>
        <w:ind w:firstLine="48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附件</w:t>
      </w:r>
    </w:p>
    <w:tbl>
      <w:tblPr>
        <w:tblStyle w:val="32"/>
        <w:tblW w:w="7332" w:type="dxa"/>
        <w:jc w:val="center"/>
        <w:tblLayout w:type="autofit"/>
        <w:tblCellMar>
          <w:top w:w="0" w:type="dxa"/>
          <w:left w:w="108" w:type="dxa"/>
          <w:bottom w:w="0" w:type="dxa"/>
          <w:right w:w="108" w:type="dxa"/>
        </w:tblCellMar>
      </w:tblPr>
      <w:tblGrid>
        <w:gridCol w:w="1214"/>
        <w:gridCol w:w="6118"/>
      </w:tblGrid>
      <w:tr w14:paraId="3494E4D8">
        <w:tblPrEx>
          <w:tblCellMar>
            <w:top w:w="0" w:type="dxa"/>
            <w:left w:w="108" w:type="dxa"/>
            <w:bottom w:w="0" w:type="dxa"/>
            <w:right w:w="108" w:type="dxa"/>
          </w:tblCellMar>
        </w:tblPrEx>
        <w:trPr>
          <w:trHeight w:val="397" w:hRule="atLeast"/>
          <w:jc w:val="center"/>
        </w:trPr>
        <w:tc>
          <w:tcPr>
            <w:tcW w:w="1214" w:type="dxa"/>
            <w:vAlign w:val="center"/>
          </w:tcPr>
          <w:p w14:paraId="6556AB11">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rPr>
              <w:t>附件1</w:t>
            </w:r>
            <w:r>
              <w:rPr>
                <w:rFonts w:hint="eastAsia" w:cs="Times New Roman"/>
                <w:color w:val="auto"/>
                <w:kern w:val="0"/>
                <w:highlight w:val="none"/>
                <w:lang w:val="en-US" w:eastAsia="zh-CN"/>
              </w:rPr>
              <w:t>-1</w:t>
            </w:r>
          </w:p>
        </w:tc>
        <w:tc>
          <w:tcPr>
            <w:tcW w:w="6118" w:type="dxa"/>
            <w:vAlign w:val="center"/>
          </w:tcPr>
          <w:p w14:paraId="70467A14">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环评委托书</w:t>
            </w:r>
          </w:p>
        </w:tc>
      </w:tr>
      <w:tr w14:paraId="7AB01049">
        <w:tblPrEx>
          <w:tblCellMar>
            <w:top w:w="0" w:type="dxa"/>
            <w:left w:w="108" w:type="dxa"/>
            <w:bottom w:w="0" w:type="dxa"/>
            <w:right w:w="108" w:type="dxa"/>
          </w:tblCellMar>
        </w:tblPrEx>
        <w:trPr>
          <w:trHeight w:val="397" w:hRule="atLeast"/>
          <w:jc w:val="center"/>
        </w:trPr>
        <w:tc>
          <w:tcPr>
            <w:tcW w:w="1214" w:type="dxa"/>
            <w:vAlign w:val="center"/>
          </w:tcPr>
          <w:p w14:paraId="09B3EB8E">
            <w:pPr>
              <w:widowControl/>
              <w:jc w:val="left"/>
              <w:textAlignment w:val="center"/>
              <w:rPr>
                <w:rFonts w:hint="default"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附件1-2</w:t>
            </w:r>
          </w:p>
        </w:tc>
        <w:tc>
          <w:tcPr>
            <w:tcW w:w="6118" w:type="dxa"/>
            <w:vAlign w:val="center"/>
          </w:tcPr>
          <w:p w14:paraId="6B301436">
            <w:pPr>
              <w:widowControl/>
              <w:jc w:val="left"/>
              <w:textAlignment w:val="center"/>
              <w:rPr>
                <w:rFonts w:hint="default"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甘孜州生猪屠宰行业发展实施方案</w:t>
            </w:r>
          </w:p>
        </w:tc>
      </w:tr>
      <w:tr w14:paraId="07F9743F">
        <w:tblPrEx>
          <w:tblCellMar>
            <w:top w:w="0" w:type="dxa"/>
            <w:left w:w="108" w:type="dxa"/>
            <w:bottom w:w="0" w:type="dxa"/>
            <w:right w:w="108" w:type="dxa"/>
          </w:tblCellMar>
        </w:tblPrEx>
        <w:trPr>
          <w:trHeight w:val="397" w:hRule="atLeast"/>
          <w:jc w:val="center"/>
        </w:trPr>
        <w:tc>
          <w:tcPr>
            <w:tcW w:w="1214" w:type="dxa"/>
            <w:vAlign w:val="center"/>
          </w:tcPr>
          <w:p w14:paraId="72C3865E">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rPr>
              <w:t>附件2</w:t>
            </w:r>
            <w:r>
              <w:rPr>
                <w:rFonts w:hint="eastAsia" w:cs="Times New Roman"/>
                <w:color w:val="auto"/>
                <w:kern w:val="0"/>
                <w:highlight w:val="none"/>
                <w:lang w:val="en-US" w:eastAsia="zh-CN"/>
              </w:rPr>
              <w:t>-1</w:t>
            </w:r>
          </w:p>
        </w:tc>
        <w:tc>
          <w:tcPr>
            <w:tcW w:w="6118" w:type="dxa"/>
            <w:vAlign w:val="center"/>
          </w:tcPr>
          <w:p w14:paraId="3E055D3E">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可研批复</w:t>
            </w:r>
          </w:p>
        </w:tc>
      </w:tr>
      <w:tr w14:paraId="1EA919AE">
        <w:tblPrEx>
          <w:tblCellMar>
            <w:top w:w="0" w:type="dxa"/>
            <w:left w:w="108" w:type="dxa"/>
            <w:bottom w:w="0" w:type="dxa"/>
            <w:right w:w="108" w:type="dxa"/>
          </w:tblCellMar>
        </w:tblPrEx>
        <w:trPr>
          <w:trHeight w:val="397" w:hRule="atLeast"/>
          <w:jc w:val="center"/>
        </w:trPr>
        <w:tc>
          <w:tcPr>
            <w:tcW w:w="1214" w:type="dxa"/>
            <w:vAlign w:val="center"/>
          </w:tcPr>
          <w:p w14:paraId="44A87136">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rPr>
              <w:t>附件</w:t>
            </w:r>
            <w:r>
              <w:rPr>
                <w:rFonts w:hint="eastAsia" w:cs="Times New Roman"/>
                <w:color w:val="auto"/>
                <w:kern w:val="0"/>
                <w:highlight w:val="none"/>
                <w:lang w:val="en-US" w:eastAsia="zh-CN"/>
              </w:rPr>
              <w:t>2-2</w:t>
            </w:r>
          </w:p>
        </w:tc>
        <w:tc>
          <w:tcPr>
            <w:tcW w:w="6118" w:type="dxa"/>
            <w:vAlign w:val="center"/>
          </w:tcPr>
          <w:p w14:paraId="300F0951">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kern w:val="0"/>
                <w:highlight w:val="none"/>
                <w:lang w:val="en-US" w:eastAsia="zh-CN"/>
              </w:rPr>
              <w:t>项目建设情况说明书</w:t>
            </w:r>
          </w:p>
        </w:tc>
      </w:tr>
      <w:tr w14:paraId="5FC10DFF">
        <w:tblPrEx>
          <w:tblCellMar>
            <w:top w:w="0" w:type="dxa"/>
            <w:left w:w="108" w:type="dxa"/>
            <w:bottom w:w="0" w:type="dxa"/>
            <w:right w:w="108" w:type="dxa"/>
          </w:tblCellMar>
        </w:tblPrEx>
        <w:trPr>
          <w:trHeight w:val="397" w:hRule="atLeast"/>
          <w:jc w:val="center"/>
        </w:trPr>
        <w:tc>
          <w:tcPr>
            <w:tcW w:w="1214" w:type="dxa"/>
            <w:vAlign w:val="center"/>
          </w:tcPr>
          <w:p w14:paraId="3944F550">
            <w:pPr>
              <w:widowControl/>
              <w:jc w:val="left"/>
              <w:textAlignment w:val="center"/>
              <w:rPr>
                <w:rFonts w:hint="default"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附件2-3</w:t>
            </w:r>
          </w:p>
        </w:tc>
        <w:tc>
          <w:tcPr>
            <w:tcW w:w="6118" w:type="dxa"/>
            <w:vAlign w:val="center"/>
          </w:tcPr>
          <w:p w14:paraId="173ECCB6">
            <w:pPr>
              <w:widowControl/>
              <w:jc w:val="left"/>
              <w:textAlignment w:val="center"/>
              <w:rPr>
                <w:rFonts w:hint="eastAsia" w:cs="Times New Roman"/>
                <w:color w:val="auto"/>
                <w:kern w:val="0"/>
                <w:highlight w:val="none"/>
                <w:lang w:val="en-US" w:eastAsia="zh-CN"/>
              </w:rPr>
            </w:pPr>
            <w:r>
              <w:rPr>
                <w:rFonts w:hint="eastAsia" w:cs="Times New Roman"/>
                <w:color w:val="auto"/>
                <w:kern w:val="0"/>
                <w:highlight w:val="none"/>
                <w:lang w:val="en-US" w:eastAsia="zh-CN"/>
              </w:rPr>
              <w:t>海螺沟景区管理委员会城乡生态局关于项目选址、规模的函</w:t>
            </w:r>
          </w:p>
        </w:tc>
      </w:tr>
      <w:tr w14:paraId="1B93BA5E">
        <w:tblPrEx>
          <w:tblCellMar>
            <w:top w:w="0" w:type="dxa"/>
            <w:left w:w="108" w:type="dxa"/>
            <w:bottom w:w="0" w:type="dxa"/>
            <w:right w:w="108" w:type="dxa"/>
          </w:tblCellMar>
        </w:tblPrEx>
        <w:trPr>
          <w:trHeight w:val="397" w:hRule="atLeast"/>
          <w:jc w:val="center"/>
        </w:trPr>
        <w:tc>
          <w:tcPr>
            <w:tcW w:w="1214" w:type="dxa"/>
            <w:vAlign w:val="center"/>
          </w:tcPr>
          <w:p w14:paraId="1550EA74">
            <w:pPr>
              <w:widowControl/>
              <w:jc w:val="left"/>
              <w:textAlignment w:val="center"/>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kern w:val="0"/>
                <w:highlight w:val="none"/>
              </w:rPr>
              <w:t>附件</w:t>
            </w:r>
            <w:r>
              <w:rPr>
                <w:rFonts w:hint="eastAsia" w:cs="Times New Roman"/>
                <w:color w:val="auto"/>
                <w:kern w:val="0"/>
                <w:highlight w:val="none"/>
                <w:lang w:val="en-US" w:eastAsia="zh-CN"/>
              </w:rPr>
              <w:t>3</w:t>
            </w:r>
          </w:p>
        </w:tc>
        <w:tc>
          <w:tcPr>
            <w:tcW w:w="6118" w:type="dxa"/>
            <w:vAlign w:val="center"/>
          </w:tcPr>
          <w:p w14:paraId="11EE5E81">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业主机构代码及法人身份证</w:t>
            </w:r>
          </w:p>
        </w:tc>
      </w:tr>
      <w:tr w14:paraId="54AB158F">
        <w:tblPrEx>
          <w:tblCellMar>
            <w:top w:w="0" w:type="dxa"/>
            <w:left w:w="108" w:type="dxa"/>
            <w:bottom w:w="0" w:type="dxa"/>
            <w:right w:w="108" w:type="dxa"/>
          </w:tblCellMar>
        </w:tblPrEx>
        <w:trPr>
          <w:trHeight w:val="397" w:hRule="atLeast"/>
          <w:jc w:val="center"/>
        </w:trPr>
        <w:tc>
          <w:tcPr>
            <w:tcW w:w="1214" w:type="dxa"/>
            <w:vAlign w:val="center"/>
          </w:tcPr>
          <w:p w14:paraId="1DBF5F86">
            <w:pPr>
              <w:widowControl/>
              <w:jc w:val="left"/>
              <w:textAlignment w:val="center"/>
              <w:rPr>
                <w:rFonts w:hint="default" w:ascii="Times New Roman" w:hAnsi="Times New Roman" w:eastAsia="宋体" w:cs="Times New Roman"/>
                <w:color w:val="auto"/>
                <w:kern w:val="0"/>
                <w:highlight w:val="none"/>
                <w:lang w:val="en-US" w:eastAsia="zh-CN"/>
              </w:rPr>
            </w:pPr>
            <w:r>
              <w:rPr>
                <w:rFonts w:hint="default" w:ascii="Times New Roman" w:hAnsi="Times New Roman" w:eastAsia="宋体" w:cs="Times New Roman"/>
                <w:color w:val="auto"/>
                <w:kern w:val="0"/>
                <w:highlight w:val="none"/>
              </w:rPr>
              <w:t>附件</w:t>
            </w:r>
            <w:r>
              <w:rPr>
                <w:rFonts w:hint="eastAsia" w:cs="Times New Roman"/>
                <w:color w:val="auto"/>
                <w:kern w:val="0"/>
                <w:highlight w:val="none"/>
                <w:lang w:val="en-US" w:eastAsia="zh-CN"/>
              </w:rPr>
              <w:t>4-1</w:t>
            </w:r>
          </w:p>
        </w:tc>
        <w:tc>
          <w:tcPr>
            <w:tcW w:w="6118" w:type="dxa"/>
            <w:vAlign w:val="center"/>
          </w:tcPr>
          <w:p w14:paraId="5ACAB22A">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选址意见书</w:t>
            </w:r>
          </w:p>
        </w:tc>
      </w:tr>
      <w:tr w14:paraId="24B833E1">
        <w:tblPrEx>
          <w:tblCellMar>
            <w:top w:w="0" w:type="dxa"/>
            <w:left w:w="108" w:type="dxa"/>
            <w:bottom w:w="0" w:type="dxa"/>
            <w:right w:w="108" w:type="dxa"/>
          </w:tblCellMar>
        </w:tblPrEx>
        <w:trPr>
          <w:trHeight w:val="397" w:hRule="atLeast"/>
          <w:jc w:val="center"/>
        </w:trPr>
        <w:tc>
          <w:tcPr>
            <w:tcW w:w="1214" w:type="dxa"/>
            <w:vAlign w:val="center"/>
          </w:tcPr>
          <w:p w14:paraId="5CF1AA8A">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rPr>
              <w:t>附件</w:t>
            </w:r>
            <w:r>
              <w:rPr>
                <w:rFonts w:hint="eastAsia" w:cs="Times New Roman"/>
                <w:color w:val="auto"/>
                <w:kern w:val="0"/>
                <w:highlight w:val="none"/>
                <w:lang w:val="en-US" w:eastAsia="zh-CN"/>
              </w:rPr>
              <w:t>4-2</w:t>
            </w:r>
          </w:p>
        </w:tc>
        <w:tc>
          <w:tcPr>
            <w:tcW w:w="6118" w:type="dxa"/>
            <w:vAlign w:val="center"/>
          </w:tcPr>
          <w:p w14:paraId="796B0631">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土地用地性质</w:t>
            </w:r>
          </w:p>
        </w:tc>
      </w:tr>
      <w:tr w14:paraId="7E27E546">
        <w:tblPrEx>
          <w:tblCellMar>
            <w:top w:w="0" w:type="dxa"/>
            <w:left w:w="108" w:type="dxa"/>
            <w:bottom w:w="0" w:type="dxa"/>
            <w:right w:w="108" w:type="dxa"/>
          </w:tblCellMar>
        </w:tblPrEx>
        <w:trPr>
          <w:trHeight w:val="397" w:hRule="atLeast"/>
          <w:jc w:val="center"/>
        </w:trPr>
        <w:tc>
          <w:tcPr>
            <w:tcW w:w="1214" w:type="dxa"/>
            <w:vAlign w:val="center"/>
          </w:tcPr>
          <w:p w14:paraId="2A7AC9A3">
            <w:pPr>
              <w:widowControl/>
              <w:jc w:val="left"/>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附件</w:t>
            </w:r>
            <w:r>
              <w:rPr>
                <w:rFonts w:hint="eastAsia" w:cs="Times New Roman"/>
                <w:color w:val="auto"/>
                <w:kern w:val="0"/>
                <w:highlight w:val="none"/>
                <w:lang w:val="en-US" w:eastAsia="zh-CN"/>
              </w:rPr>
              <w:t>5</w:t>
            </w:r>
          </w:p>
        </w:tc>
        <w:tc>
          <w:tcPr>
            <w:tcW w:w="6118" w:type="dxa"/>
            <w:vAlign w:val="center"/>
          </w:tcPr>
          <w:p w14:paraId="2D4DC0F4">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不涉及生态红线及基本农田的文件</w:t>
            </w:r>
          </w:p>
        </w:tc>
      </w:tr>
      <w:tr w14:paraId="6EACBFDB">
        <w:tblPrEx>
          <w:tblCellMar>
            <w:top w:w="0" w:type="dxa"/>
            <w:left w:w="108" w:type="dxa"/>
            <w:bottom w:w="0" w:type="dxa"/>
            <w:right w:w="108" w:type="dxa"/>
          </w:tblCellMar>
        </w:tblPrEx>
        <w:trPr>
          <w:trHeight w:val="397" w:hRule="atLeast"/>
          <w:jc w:val="center"/>
        </w:trPr>
        <w:tc>
          <w:tcPr>
            <w:tcW w:w="1214" w:type="dxa"/>
            <w:vAlign w:val="center"/>
          </w:tcPr>
          <w:p w14:paraId="5F72A97B">
            <w:pPr>
              <w:widowControl/>
              <w:jc w:val="left"/>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rPr>
              <w:t>附件</w:t>
            </w:r>
            <w:r>
              <w:rPr>
                <w:rFonts w:hint="eastAsia" w:cs="Times New Roman"/>
                <w:color w:val="auto"/>
                <w:kern w:val="0"/>
                <w:highlight w:val="none"/>
                <w:lang w:val="en-US" w:eastAsia="zh-CN"/>
              </w:rPr>
              <w:t>6-1</w:t>
            </w:r>
          </w:p>
        </w:tc>
        <w:tc>
          <w:tcPr>
            <w:tcW w:w="6118" w:type="dxa"/>
            <w:vAlign w:val="center"/>
          </w:tcPr>
          <w:p w14:paraId="753F4682">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不涉及一级公益林、自然保护区、风景名胜区的文件</w:t>
            </w:r>
          </w:p>
        </w:tc>
      </w:tr>
      <w:tr w14:paraId="2865F975">
        <w:tblPrEx>
          <w:tblCellMar>
            <w:top w:w="0" w:type="dxa"/>
            <w:left w:w="108" w:type="dxa"/>
            <w:bottom w:w="0" w:type="dxa"/>
            <w:right w:w="108" w:type="dxa"/>
          </w:tblCellMar>
        </w:tblPrEx>
        <w:trPr>
          <w:trHeight w:val="397" w:hRule="atLeast"/>
          <w:jc w:val="center"/>
        </w:trPr>
        <w:tc>
          <w:tcPr>
            <w:tcW w:w="1214" w:type="dxa"/>
            <w:vAlign w:val="center"/>
          </w:tcPr>
          <w:p w14:paraId="1ED7A207">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附件6-2</w:t>
            </w:r>
          </w:p>
        </w:tc>
        <w:tc>
          <w:tcPr>
            <w:tcW w:w="6118" w:type="dxa"/>
            <w:vAlign w:val="center"/>
          </w:tcPr>
          <w:p w14:paraId="1E005D54">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项目与贡嘎山自然保护区位置关系的复函</w:t>
            </w:r>
          </w:p>
        </w:tc>
      </w:tr>
      <w:tr w14:paraId="24AFBDC4">
        <w:tblPrEx>
          <w:tblCellMar>
            <w:top w:w="0" w:type="dxa"/>
            <w:left w:w="108" w:type="dxa"/>
            <w:bottom w:w="0" w:type="dxa"/>
            <w:right w:w="108" w:type="dxa"/>
          </w:tblCellMar>
        </w:tblPrEx>
        <w:trPr>
          <w:trHeight w:val="397" w:hRule="atLeast"/>
          <w:jc w:val="center"/>
        </w:trPr>
        <w:tc>
          <w:tcPr>
            <w:tcW w:w="1214" w:type="dxa"/>
            <w:vAlign w:val="center"/>
          </w:tcPr>
          <w:p w14:paraId="52C7E691">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附件6-3</w:t>
            </w:r>
          </w:p>
        </w:tc>
        <w:tc>
          <w:tcPr>
            <w:tcW w:w="6118" w:type="dxa"/>
            <w:vAlign w:val="center"/>
          </w:tcPr>
          <w:p w14:paraId="3BA71824">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不涉及饮用水源保护区的文件</w:t>
            </w:r>
          </w:p>
        </w:tc>
      </w:tr>
      <w:tr w14:paraId="7C89D0AD">
        <w:tblPrEx>
          <w:tblCellMar>
            <w:top w:w="0" w:type="dxa"/>
            <w:left w:w="108" w:type="dxa"/>
            <w:bottom w:w="0" w:type="dxa"/>
            <w:right w:w="108" w:type="dxa"/>
          </w:tblCellMar>
        </w:tblPrEx>
        <w:trPr>
          <w:trHeight w:val="397" w:hRule="atLeast"/>
          <w:jc w:val="center"/>
        </w:trPr>
        <w:tc>
          <w:tcPr>
            <w:tcW w:w="1214" w:type="dxa"/>
            <w:vAlign w:val="center"/>
          </w:tcPr>
          <w:p w14:paraId="6D0F18A7">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附件7-1</w:t>
            </w:r>
          </w:p>
        </w:tc>
        <w:tc>
          <w:tcPr>
            <w:tcW w:w="6118" w:type="dxa"/>
            <w:vAlign w:val="center"/>
          </w:tcPr>
          <w:p w14:paraId="4390425F">
            <w:pPr>
              <w:widowControl/>
              <w:jc w:val="left"/>
              <w:textAlignment w:val="center"/>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废水清运协议及磨西污水厂排污口批复</w:t>
            </w:r>
          </w:p>
        </w:tc>
      </w:tr>
      <w:tr w14:paraId="6BB46C1C">
        <w:tblPrEx>
          <w:tblCellMar>
            <w:top w:w="0" w:type="dxa"/>
            <w:left w:w="108" w:type="dxa"/>
            <w:bottom w:w="0" w:type="dxa"/>
            <w:right w:w="108" w:type="dxa"/>
          </w:tblCellMar>
        </w:tblPrEx>
        <w:trPr>
          <w:trHeight w:val="397" w:hRule="atLeast"/>
          <w:jc w:val="center"/>
        </w:trPr>
        <w:tc>
          <w:tcPr>
            <w:tcW w:w="1214" w:type="dxa"/>
            <w:shd w:val="clear" w:color="auto" w:fill="auto"/>
            <w:vAlign w:val="center"/>
          </w:tcPr>
          <w:p w14:paraId="074F129C">
            <w:pPr>
              <w:widowControl/>
              <w:jc w:val="left"/>
              <w:textAlignment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highlight w:val="none"/>
                <w:lang w:val="en-US" w:eastAsia="zh-CN"/>
              </w:rPr>
              <w:t>附件7-2</w:t>
            </w:r>
          </w:p>
        </w:tc>
        <w:tc>
          <w:tcPr>
            <w:tcW w:w="6118" w:type="dxa"/>
            <w:shd w:val="clear" w:color="auto" w:fill="auto"/>
            <w:vAlign w:val="center"/>
          </w:tcPr>
          <w:p w14:paraId="41012751">
            <w:pPr>
              <w:widowControl/>
              <w:jc w:val="left"/>
              <w:textAlignment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highlight w:val="none"/>
                <w:lang w:val="en-US" w:eastAsia="zh-CN"/>
              </w:rPr>
              <w:t>废水转运承诺书</w:t>
            </w:r>
          </w:p>
        </w:tc>
      </w:tr>
      <w:tr w14:paraId="6308EE0D">
        <w:tblPrEx>
          <w:tblCellMar>
            <w:top w:w="0" w:type="dxa"/>
            <w:left w:w="108" w:type="dxa"/>
            <w:bottom w:w="0" w:type="dxa"/>
            <w:right w:w="108" w:type="dxa"/>
          </w:tblCellMar>
        </w:tblPrEx>
        <w:trPr>
          <w:trHeight w:val="397" w:hRule="atLeast"/>
          <w:jc w:val="center"/>
        </w:trPr>
        <w:tc>
          <w:tcPr>
            <w:tcW w:w="1214" w:type="dxa"/>
            <w:vAlign w:val="center"/>
          </w:tcPr>
          <w:p w14:paraId="485944BF">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附件8</w:t>
            </w:r>
          </w:p>
        </w:tc>
        <w:tc>
          <w:tcPr>
            <w:tcW w:w="6118" w:type="dxa"/>
            <w:vAlign w:val="center"/>
          </w:tcPr>
          <w:p w14:paraId="5829705F">
            <w:pPr>
              <w:widowControl/>
              <w:jc w:val="left"/>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土地消纳协议</w:t>
            </w:r>
          </w:p>
        </w:tc>
      </w:tr>
      <w:tr w14:paraId="109451DA">
        <w:tblPrEx>
          <w:tblCellMar>
            <w:top w:w="0" w:type="dxa"/>
            <w:left w:w="108" w:type="dxa"/>
            <w:bottom w:w="0" w:type="dxa"/>
            <w:right w:w="108" w:type="dxa"/>
          </w:tblCellMar>
        </w:tblPrEx>
        <w:trPr>
          <w:trHeight w:val="397" w:hRule="atLeast"/>
          <w:jc w:val="center"/>
        </w:trPr>
        <w:tc>
          <w:tcPr>
            <w:tcW w:w="1214" w:type="dxa"/>
            <w:vAlign w:val="center"/>
          </w:tcPr>
          <w:p w14:paraId="29BC5F1B">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附件9</w:t>
            </w:r>
          </w:p>
        </w:tc>
        <w:tc>
          <w:tcPr>
            <w:tcW w:w="6118" w:type="dxa"/>
            <w:vAlign w:val="center"/>
          </w:tcPr>
          <w:p w14:paraId="0A693A37">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监测报告</w:t>
            </w:r>
          </w:p>
        </w:tc>
      </w:tr>
      <w:tr w14:paraId="503AA127">
        <w:tblPrEx>
          <w:tblCellMar>
            <w:top w:w="0" w:type="dxa"/>
            <w:left w:w="108" w:type="dxa"/>
            <w:bottom w:w="0" w:type="dxa"/>
            <w:right w:w="108" w:type="dxa"/>
          </w:tblCellMar>
        </w:tblPrEx>
        <w:trPr>
          <w:trHeight w:val="397" w:hRule="atLeast"/>
          <w:jc w:val="center"/>
        </w:trPr>
        <w:tc>
          <w:tcPr>
            <w:tcW w:w="1214" w:type="dxa"/>
            <w:shd w:val="clear" w:color="auto" w:fill="auto"/>
            <w:vAlign w:val="center"/>
          </w:tcPr>
          <w:p w14:paraId="1080FD84">
            <w:pPr>
              <w:widowControl/>
              <w:jc w:val="left"/>
              <w:textAlignment w:val="center"/>
              <w:rPr>
                <w:rFonts w:hint="eastAsia" w:ascii="Times New Roman" w:hAnsi="Times New Roman" w:eastAsia="宋体" w:cs="Times New Roman"/>
                <w:color w:val="auto"/>
                <w:kern w:val="2"/>
                <w:sz w:val="24"/>
                <w:szCs w:val="24"/>
                <w:highlight w:val="none"/>
                <w:lang w:val="en-US" w:eastAsia="zh-CN" w:bidi="ar-SA"/>
              </w:rPr>
            </w:pPr>
            <w:r>
              <w:rPr>
                <w:rFonts w:hint="eastAsia" w:cs="Times New Roman"/>
                <w:color w:val="auto"/>
                <w:highlight w:val="none"/>
                <w:lang w:val="en-US" w:eastAsia="zh-CN"/>
              </w:rPr>
              <w:t>附件10</w:t>
            </w:r>
          </w:p>
        </w:tc>
        <w:tc>
          <w:tcPr>
            <w:tcW w:w="6118" w:type="dxa"/>
            <w:shd w:val="clear" w:color="auto" w:fill="auto"/>
            <w:vAlign w:val="center"/>
          </w:tcPr>
          <w:p w14:paraId="1B38DBE5">
            <w:pPr>
              <w:widowControl/>
              <w:jc w:val="left"/>
              <w:textAlignment w:val="center"/>
              <w:rPr>
                <w:rFonts w:hint="eastAsia" w:ascii="Times New Roman" w:hAnsi="Times New Roman" w:eastAsia="宋体" w:cs="Times New Roman"/>
                <w:color w:val="auto"/>
                <w:kern w:val="2"/>
                <w:sz w:val="24"/>
                <w:szCs w:val="24"/>
                <w:highlight w:val="none"/>
                <w:lang w:val="en-US" w:eastAsia="zh-CN" w:bidi="ar-SA"/>
              </w:rPr>
            </w:pPr>
            <w:r>
              <w:rPr>
                <w:rFonts w:hint="eastAsia" w:cs="Times New Roman"/>
                <w:color w:val="auto"/>
                <w:highlight w:val="none"/>
                <w:lang w:val="en-US" w:eastAsia="zh-CN"/>
              </w:rPr>
              <w:t>管理用房租赁协议及磨西人民政府关于项目租赁卫生防护距离内居民用房的说明</w:t>
            </w:r>
          </w:p>
        </w:tc>
      </w:tr>
      <w:tr w14:paraId="7CADDDBA">
        <w:tblPrEx>
          <w:tblCellMar>
            <w:top w:w="0" w:type="dxa"/>
            <w:left w:w="108" w:type="dxa"/>
            <w:bottom w:w="0" w:type="dxa"/>
            <w:right w:w="108" w:type="dxa"/>
          </w:tblCellMar>
        </w:tblPrEx>
        <w:trPr>
          <w:trHeight w:val="397" w:hRule="atLeast"/>
          <w:jc w:val="center"/>
        </w:trPr>
        <w:tc>
          <w:tcPr>
            <w:tcW w:w="1214" w:type="dxa"/>
            <w:vAlign w:val="center"/>
          </w:tcPr>
          <w:p w14:paraId="71A8E818">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附件11</w:t>
            </w:r>
          </w:p>
        </w:tc>
        <w:tc>
          <w:tcPr>
            <w:tcW w:w="6118" w:type="dxa"/>
            <w:vAlign w:val="center"/>
          </w:tcPr>
          <w:p w14:paraId="3A7D4D72">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无害化处理协议</w:t>
            </w:r>
          </w:p>
        </w:tc>
      </w:tr>
      <w:tr w14:paraId="630633C6">
        <w:tblPrEx>
          <w:tblCellMar>
            <w:top w:w="0" w:type="dxa"/>
            <w:left w:w="108" w:type="dxa"/>
            <w:bottom w:w="0" w:type="dxa"/>
            <w:right w:w="108" w:type="dxa"/>
          </w:tblCellMar>
        </w:tblPrEx>
        <w:trPr>
          <w:trHeight w:val="397" w:hRule="atLeast"/>
          <w:jc w:val="center"/>
        </w:trPr>
        <w:tc>
          <w:tcPr>
            <w:tcW w:w="1214" w:type="dxa"/>
            <w:vAlign w:val="center"/>
          </w:tcPr>
          <w:p w14:paraId="1A5FBBDA">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附件12</w:t>
            </w:r>
          </w:p>
        </w:tc>
        <w:tc>
          <w:tcPr>
            <w:tcW w:w="6118" w:type="dxa"/>
            <w:vAlign w:val="center"/>
          </w:tcPr>
          <w:p w14:paraId="2F2BFD97">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公众参与表</w:t>
            </w:r>
          </w:p>
        </w:tc>
      </w:tr>
      <w:tr w14:paraId="53B9EC35">
        <w:tblPrEx>
          <w:tblCellMar>
            <w:top w:w="0" w:type="dxa"/>
            <w:left w:w="108" w:type="dxa"/>
            <w:bottom w:w="0" w:type="dxa"/>
            <w:right w:w="108" w:type="dxa"/>
          </w:tblCellMar>
        </w:tblPrEx>
        <w:trPr>
          <w:trHeight w:val="397" w:hRule="atLeast"/>
          <w:jc w:val="center"/>
        </w:trPr>
        <w:tc>
          <w:tcPr>
            <w:tcW w:w="1214" w:type="dxa"/>
            <w:vAlign w:val="center"/>
          </w:tcPr>
          <w:p w14:paraId="1B2292B5">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 xml:space="preserve">附件13 </w:t>
            </w:r>
          </w:p>
        </w:tc>
        <w:tc>
          <w:tcPr>
            <w:tcW w:w="6118" w:type="dxa"/>
            <w:vAlign w:val="center"/>
          </w:tcPr>
          <w:p w14:paraId="2A7996DE">
            <w:pPr>
              <w:widowControl/>
              <w:jc w:val="left"/>
              <w:textAlignment w:val="center"/>
              <w:rPr>
                <w:rFonts w:hint="default" w:cs="Times New Roman"/>
                <w:color w:val="auto"/>
                <w:highlight w:val="none"/>
                <w:lang w:val="en-US" w:eastAsia="zh-CN"/>
              </w:rPr>
            </w:pPr>
            <w:r>
              <w:rPr>
                <w:rFonts w:hint="eastAsia" w:cs="Times New Roman"/>
                <w:color w:val="auto"/>
                <w:highlight w:val="none"/>
                <w:lang w:val="en-US" w:eastAsia="zh-CN"/>
              </w:rPr>
              <w:t>预审意见</w:t>
            </w:r>
          </w:p>
        </w:tc>
      </w:tr>
    </w:tbl>
    <w:p w14:paraId="71353D9E">
      <w:pPr>
        <w:pStyle w:val="27"/>
        <w:jc w:val="center"/>
        <w:rPr>
          <w:rFonts w:hint="default" w:ascii="Times New Roman" w:hAnsi="Times New Roman" w:eastAsia="宋体" w:cs="Times New Roman"/>
          <w:snapToGrid w:val="0"/>
          <w:color w:val="auto"/>
          <w:szCs w:val="30"/>
          <w:highlight w:val="none"/>
        </w:rPr>
      </w:pPr>
    </w:p>
    <w:p w14:paraId="6050DB60">
      <w:pPr>
        <w:pStyle w:val="27"/>
        <w:jc w:val="center"/>
        <w:rPr>
          <w:rFonts w:hint="default" w:ascii="Times New Roman" w:hAnsi="Times New Roman" w:eastAsia="宋体" w:cs="Times New Roman"/>
          <w:snapToGrid w:val="0"/>
          <w:color w:val="auto"/>
          <w:szCs w:val="30"/>
          <w:highlight w:val="none"/>
        </w:rPr>
        <w:sectPr>
          <w:footerReference r:id="rId5" w:type="default"/>
          <w:pgSz w:w="11906" w:h="16838"/>
          <w:pgMar w:top="1440" w:right="1803" w:bottom="1440" w:left="1803" w:header="851" w:footer="1077" w:gutter="0"/>
          <w:pgBorders>
            <w:top w:val="none" w:sz="0" w:space="0"/>
            <w:left w:val="none" w:sz="0" w:space="0"/>
            <w:bottom w:val="none" w:sz="0" w:space="0"/>
            <w:right w:val="none" w:sz="0" w:space="0"/>
          </w:pgBorders>
          <w:pgNumType w:fmt="upperRoman" w:start="1"/>
          <w:cols w:space="720" w:num="1"/>
          <w:docGrid w:linePitch="312" w:charSpace="0"/>
        </w:sectPr>
      </w:pPr>
    </w:p>
    <w:p w14:paraId="7F822D73">
      <w:pPr>
        <w:pStyle w:val="27"/>
        <w:ind w:firstLine="1018" w:firstLineChars="0"/>
        <w:jc w:val="center"/>
        <w:outlineLvl w:val="0"/>
        <w:rPr>
          <w:rFonts w:hint="default" w:ascii="Times New Roman" w:hAnsi="Times New Roman" w:eastAsia="宋体" w:cs="Times New Roman"/>
          <w:snapToGrid w:val="0"/>
          <w:color w:val="auto"/>
          <w:sz w:val="30"/>
          <w:szCs w:val="30"/>
          <w:highlight w:val="none"/>
        </w:rPr>
      </w:pPr>
      <w:bookmarkStart w:id="1" w:name="_Toc1829"/>
      <w:r>
        <w:rPr>
          <w:rFonts w:hint="default" w:ascii="Times New Roman" w:hAnsi="Times New Roman" w:eastAsia="宋体" w:cs="Times New Roman"/>
          <w:snapToGrid w:val="0"/>
          <w:color w:val="auto"/>
          <w:sz w:val="30"/>
          <w:szCs w:val="30"/>
          <w:highlight w:val="none"/>
        </w:rPr>
        <w:t>一、建设项目基本情况</w:t>
      </w:r>
      <w:bookmarkEnd w:id="1"/>
      <w:r>
        <w:rPr>
          <w:rFonts w:hint="default" w:ascii="Times New Roman" w:hAnsi="Times New Roman" w:eastAsia="宋体" w:cs="Times New Roman"/>
          <w:color w:val="auto"/>
          <w:sz w:val="24"/>
          <w:szCs w:val="24"/>
          <w:highlight w:val="none"/>
          <w:shd w:val="clear" w:fill="E9ECEF"/>
        </w:rPr>
        <w:pict>
          <v:shape id="_x0000_i1025" o:spt="201" type="#_x0000_t201" style="height:0pt;width:0.05pt;" filled="f" stroked="f" coordsize="21600,21600">
            <v:path/>
            <v:fill on="f" focussize="0,0"/>
            <v:stroke on="f"/>
            <v:imagedata o:title=""/>
            <o:lock v:ext="edit" aspectratio="t"/>
            <w10:wrap type="none"/>
            <w10:anchorlock/>
          </v:shape>
        </w:pict>
      </w: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39"/>
        <w:gridCol w:w="1900"/>
        <w:gridCol w:w="2100"/>
        <w:gridCol w:w="3093"/>
      </w:tblGrid>
      <w:tr w14:paraId="2BC1E1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53F64DDE">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建设项目名称</w:t>
            </w:r>
          </w:p>
        </w:tc>
        <w:tc>
          <w:tcPr>
            <w:tcW w:w="7093" w:type="dxa"/>
            <w:gridSpan w:val="3"/>
            <w:vAlign w:val="center"/>
          </w:tcPr>
          <w:p w14:paraId="3F74A18E">
            <w:pPr>
              <w:adjustRightInd w:val="0"/>
              <w:snapToGrid w:val="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磨西镇磨岗岭村民族团结进步示范村（民族团结进步示范社区）项目（屠宰场工程）</w:t>
            </w:r>
          </w:p>
        </w:tc>
      </w:tr>
      <w:tr w14:paraId="10D8A0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56903A8A">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项目代码</w:t>
            </w:r>
          </w:p>
        </w:tc>
        <w:tc>
          <w:tcPr>
            <w:tcW w:w="7093" w:type="dxa"/>
            <w:gridSpan w:val="3"/>
            <w:vAlign w:val="center"/>
          </w:tcPr>
          <w:p w14:paraId="08AD5987">
            <w:pPr>
              <w:widowControl/>
              <w:jc w:val="center"/>
              <w:rPr>
                <w:rFonts w:hint="default" w:ascii="Times New Roman" w:hAnsi="Times New Roman" w:eastAsia="宋体" w:cs="Times New Roman"/>
                <w:color w:val="auto"/>
                <w:highlight w:val="none"/>
                <w:lang w:val="en-US" w:eastAsia="zh-CN"/>
              </w:rPr>
            </w:pPr>
            <w:r>
              <w:rPr>
                <w:rFonts w:hint="eastAsia"/>
                <w:color w:val="auto"/>
                <w:highlight w:val="none"/>
                <w:lang w:val="en-US" w:eastAsia="zh-CN"/>
              </w:rPr>
              <w:t>2407-513322-04-01-593137</w:t>
            </w:r>
          </w:p>
        </w:tc>
      </w:tr>
      <w:tr w14:paraId="6CF74A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3177E945">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建设单位联系人</w:t>
            </w:r>
          </w:p>
        </w:tc>
        <w:tc>
          <w:tcPr>
            <w:tcW w:w="1900" w:type="dxa"/>
            <w:vAlign w:val="center"/>
          </w:tcPr>
          <w:p w14:paraId="74F6B36D">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吴亮</w:t>
            </w:r>
          </w:p>
        </w:tc>
        <w:tc>
          <w:tcPr>
            <w:tcW w:w="2100" w:type="dxa"/>
            <w:vAlign w:val="center"/>
          </w:tcPr>
          <w:p w14:paraId="787A70D7">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联系方式</w:t>
            </w:r>
          </w:p>
        </w:tc>
        <w:tc>
          <w:tcPr>
            <w:tcW w:w="3093" w:type="dxa"/>
            <w:vAlign w:val="center"/>
          </w:tcPr>
          <w:p w14:paraId="6D55A961">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13678360145</w:t>
            </w:r>
          </w:p>
        </w:tc>
      </w:tr>
      <w:tr w14:paraId="469B4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68A3CAFC">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建设地点</w:t>
            </w:r>
          </w:p>
        </w:tc>
        <w:tc>
          <w:tcPr>
            <w:tcW w:w="7093" w:type="dxa"/>
            <w:gridSpan w:val="3"/>
            <w:vAlign w:val="center"/>
          </w:tcPr>
          <w:p w14:paraId="15C53D05">
            <w:pPr>
              <w:adjustRightInd w:val="0"/>
              <w:snapToGrid w:val="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磨西镇磨岗岭村</w:t>
            </w:r>
          </w:p>
        </w:tc>
      </w:tr>
      <w:tr w14:paraId="0DB2EF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18617AAF">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地理坐标</w:t>
            </w:r>
          </w:p>
        </w:tc>
        <w:tc>
          <w:tcPr>
            <w:tcW w:w="7093" w:type="dxa"/>
            <w:gridSpan w:val="3"/>
            <w:vAlign w:val="center"/>
          </w:tcPr>
          <w:p w14:paraId="2DB2E5A6">
            <w:pPr>
              <w:jc w:val="center"/>
              <w:rPr>
                <w:rFonts w:hint="default" w:ascii="Times New Roman" w:hAnsi="Times New Roman" w:eastAsia="宋体" w:cs="Times New Roman"/>
                <w:color w:val="auto"/>
                <w:highlight w:val="none"/>
              </w:rPr>
            </w:pPr>
            <w:r>
              <w:rPr>
                <w:rFonts w:hint="eastAsia" w:cs="Times New Roman"/>
                <w:color w:val="auto"/>
                <w:highlight w:val="none"/>
                <w:lang w:eastAsia="zh-CN"/>
              </w:rPr>
              <w:t>（</w:t>
            </w:r>
            <w:r>
              <w:rPr>
                <w:rFonts w:hint="default" w:ascii="Times New Roman" w:hAnsi="Times New Roman" w:eastAsia="宋体" w:cs="Times New Roman"/>
                <w:color w:val="auto"/>
                <w:highlight w:val="none"/>
              </w:rPr>
              <w:t>东经</w:t>
            </w:r>
            <w:r>
              <w:rPr>
                <w:rFonts w:hint="default" w:ascii="Times New Roman" w:hAnsi="Times New Roman" w:eastAsia="宋体" w:cs="Times New Roman"/>
                <w:color w:val="auto"/>
                <w:highlight w:val="none"/>
                <w:u w:val="single"/>
              </w:rPr>
              <w:t>10</w:t>
            </w:r>
            <w:r>
              <w:rPr>
                <w:rFonts w:hint="eastAsia" w:cs="Times New Roman"/>
                <w:color w:val="auto"/>
                <w:highlight w:val="none"/>
                <w:u w:val="single"/>
                <w:lang w:val="en-US" w:eastAsia="zh-CN"/>
              </w:rPr>
              <w:t>2</w:t>
            </w:r>
            <w:r>
              <w:rPr>
                <w:rFonts w:hint="default" w:ascii="Times New Roman" w:hAnsi="Times New Roman" w:eastAsia="宋体" w:cs="Times New Roman"/>
                <w:color w:val="auto"/>
                <w:highlight w:val="none"/>
              </w:rPr>
              <w:t>度</w:t>
            </w:r>
            <w:r>
              <w:rPr>
                <w:rFonts w:hint="eastAsia" w:cs="Times New Roman"/>
                <w:color w:val="auto"/>
                <w:highlight w:val="none"/>
                <w:u w:val="single"/>
                <w:lang w:val="en-US" w:eastAsia="zh-CN"/>
              </w:rPr>
              <w:t>7</w:t>
            </w:r>
            <w:r>
              <w:rPr>
                <w:rFonts w:hint="default" w:ascii="Times New Roman" w:hAnsi="Times New Roman" w:eastAsia="宋体" w:cs="Times New Roman"/>
                <w:color w:val="auto"/>
                <w:highlight w:val="none"/>
              </w:rPr>
              <w:t>分</w:t>
            </w:r>
            <w:r>
              <w:rPr>
                <w:rFonts w:hint="eastAsia" w:cs="Times New Roman"/>
                <w:color w:val="auto"/>
                <w:highlight w:val="none"/>
                <w:u w:val="single"/>
                <w:lang w:val="en-US" w:eastAsia="zh-CN"/>
              </w:rPr>
              <w:t>50.219</w:t>
            </w:r>
            <w:r>
              <w:rPr>
                <w:rFonts w:hint="default" w:ascii="Times New Roman" w:hAnsi="Times New Roman" w:eastAsia="宋体" w:cs="Times New Roman"/>
                <w:color w:val="auto"/>
                <w:highlight w:val="none"/>
              </w:rPr>
              <w:t>秒，北纬</w:t>
            </w:r>
            <w:r>
              <w:rPr>
                <w:rFonts w:hint="eastAsia" w:cs="Times New Roman"/>
                <w:color w:val="auto"/>
                <w:highlight w:val="none"/>
                <w:u w:val="single"/>
                <w:lang w:val="en-US" w:eastAsia="zh-CN"/>
              </w:rPr>
              <w:t>29</w:t>
            </w:r>
            <w:r>
              <w:rPr>
                <w:rFonts w:hint="default" w:ascii="Times New Roman" w:hAnsi="Times New Roman" w:eastAsia="宋体" w:cs="Times New Roman"/>
                <w:color w:val="auto"/>
                <w:highlight w:val="none"/>
              </w:rPr>
              <w:t>度</w:t>
            </w:r>
            <w:r>
              <w:rPr>
                <w:rFonts w:hint="default" w:ascii="Times New Roman" w:hAnsi="Times New Roman" w:eastAsia="宋体" w:cs="Times New Roman"/>
                <w:color w:val="auto"/>
                <w:highlight w:val="none"/>
                <w:u w:val="single"/>
                <w:lang w:val="en-US" w:eastAsia="zh-CN"/>
              </w:rPr>
              <w:t>3</w:t>
            </w:r>
            <w:r>
              <w:rPr>
                <w:rFonts w:hint="eastAsia" w:cs="Times New Roman"/>
                <w:color w:val="auto"/>
                <w:highlight w:val="none"/>
                <w:u w:val="single"/>
                <w:lang w:val="en-US" w:eastAsia="zh-CN"/>
              </w:rPr>
              <w:t>8</w:t>
            </w:r>
            <w:r>
              <w:rPr>
                <w:rFonts w:hint="default" w:ascii="Times New Roman" w:hAnsi="Times New Roman" w:eastAsia="宋体" w:cs="Times New Roman"/>
                <w:color w:val="auto"/>
                <w:highlight w:val="none"/>
              </w:rPr>
              <w:t>分</w:t>
            </w:r>
            <w:r>
              <w:rPr>
                <w:rFonts w:hint="eastAsia" w:cs="Times New Roman"/>
                <w:color w:val="auto"/>
                <w:highlight w:val="none"/>
                <w:u w:val="single"/>
                <w:lang w:val="en-US" w:eastAsia="zh-CN"/>
              </w:rPr>
              <w:t>42.015</w:t>
            </w:r>
            <w:r>
              <w:rPr>
                <w:rFonts w:hint="default" w:ascii="Times New Roman" w:hAnsi="Times New Roman" w:eastAsia="宋体" w:cs="Times New Roman"/>
                <w:color w:val="auto"/>
                <w:highlight w:val="none"/>
              </w:rPr>
              <w:t>秒</w:t>
            </w:r>
            <w:r>
              <w:rPr>
                <w:rFonts w:hint="eastAsia" w:cs="Times New Roman"/>
                <w:color w:val="auto"/>
                <w:highlight w:val="none"/>
                <w:lang w:eastAsia="zh-CN"/>
              </w:rPr>
              <w:t>）</w:t>
            </w:r>
          </w:p>
        </w:tc>
      </w:tr>
      <w:tr w14:paraId="57B207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239" w:type="dxa"/>
            <w:tcMar>
              <w:top w:w="16" w:type="dxa"/>
              <w:left w:w="16" w:type="dxa"/>
              <w:right w:w="16" w:type="dxa"/>
            </w:tcMar>
            <w:vAlign w:val="center"/>
          </w:tcPr>
          <w:p w14:paraId="58DE92B2">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国民经济</w:t>
            </w:r>
          </w:p>
          <w:p w14:paraId="7E70DD47">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行业类别</w:t>
            </w:r>
          </w:p>
        </w:tc>
        <w:tc>
          <w:tcPr>
            <w:tcW w:w="1900" w:type="dxa"/>
            <w:vAlign w:val="center"/>
          </w:tcPr>
          <w:p w14:paraId="72C9F204">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C1351 牲畜屠宰</w:t>
            </w:r>
          </w:p>
        </w:tc>
        <w:tc>
          <w:tcPr>
            <w:tcW w:w="2100" w:type="dxa"/>
            <w:vAlign w:val="center"/>
          </w:tcPr>
          <w:p w14:paraId="79CF7093">
            <w:pPr>
              <w:adjustRightInd w:val="0"/>
              <w:snapToGrid w:val="0"/>
              <w:jc w:val="center"/>
              <w:rPr>
                <w:rFonts w:hint="default" w:ascii="Times New Roman" w:hAnsi="Times New Roman" w:eastAsia="宋体" w:cs="Times New Roman"/>
                <w:color w:val="auto"/>
                <w:highlight w:val="none"/>
              </w:rPr>
            </w:pPr>
            <w:bookmarkStart w:id="2" w:name="_Hlk49843745"/>
            <w:r>
              <w:rPr>
                <w:rFonts w:hint="default" w:ascii="Times New Roman" w:hAnsi="Times New Roman" w:eastAsia="宋体" w:cs="Times New Roman"/>
                <w:color w:val="auto"/>
                <w:highlight w:val="none"/>
              </w:rPr>
              <w:t>建设项目</w:t>
            </w:r>
          </w:p>
          <w:p w14:paraId="58D3D3B4">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行业类别</w:t>
            </w:r>
            <w:bookmarkEnd w:id="2"/>
          </w:p>
        </w:tc>
        <w:tc>
          <w:tcPr>
            <w:tcW w:w="3093" w:type="dxa"/>
            <w:vAlign w:val="center"/>
          </w:tcPr>
          <w:p w14:paraId="767305BA">
            <w:pPr>
              <w:adjustRightInd w:val="0"/>
              <w:snapToGrid w:val="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十、农副食品加工业-18 屠宰及肉类加工 135-其他屠宰</w:t>
            </w:r>
          </w:p>
        </w:tc>
      </w:tr>
      <w:tr w14:paraId="1C8654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239" w:type="dxa"/>
            <w:tcMar>
              <w:top w:w="16" w:type="dxa"/>
              <w:left w:w="16" w:type="dxa"/>
              <w:right w:w="16" w:type="dxa"/>
            </w:tcMar>
            <w:vAlign w:val="center"/>
          </w:tcPr>
          <w:p w14:paraId="28E59D9B">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建设性质</w:t>
            </w:r>
          </w:p>
        </w:tc>
        <w:tc>
          <w:tcPr>
            <w:tcW w:w="1900" w:type="dxa"/>
            <w:vAlign w:val="center"/>
          </w:tcPr>
          <w:p w14:paraId="451F7F24">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FE"/>
            </w:r>
            <w:r>
              <w:rPr>
                <w:rFonts w:hint="default" w:ascii="Times New Roman" w:hAnsi="Times New Roman" w:eastAsia="宋体" w:cs="Times New Roman"/>
                <w:color w:val="auto"/>
                <w:highlight w:val="none"/>
              </w:rPr>
              <w:t>新建</w:t>
            </w:r>
            <w:r>
              <w:rPr>
                <w:rFonts w:hint="eastAsia" w:cs="Times New Roman"/>
                <w:color w:val="auto"/>
                <w:highlight w:val="none"/>
                <w:lang w:eastAsia="zh-CN"/>
              </w:rPr>
              <w:t>（</w:t>
            </w:r>
            <w:r>
              <w:rPr>
                <w:rFonts w:hint="default" w:ascii="Times New Roman" w:hAnsi="Times New Roman" w:eastAsia="宋体" w:cs="Times New Roman"/>
                <w:color w:val="auto"/>
                <w:highlight w:val="none"/>
              </w:rPr>
              <w:t>迁建</w:t>
            </w:r>
            <w:r>
              <w:rPr>
                <w:rFonts w:hint="eastAsia" w:cs="Times New Roman"/>
                <w:color w:val="auto"/>
                <w:highlight w:val="none"/>
                <w:lang w:eastAsia="zh-CN"/>
              </w:rPr>
              <w:t>）</w:t>
            </w:r>
          </w:p>
          <w:p w14:paraId="48E7455D">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A8"/>
            </w:r>
            <w:r>
              <w:rPr>
                <w:rFonts w:hint="default" w:ascii="Times New Roman" w:hAnsi="Times New Roman" w:eastAsia="宋体" w:cs="Times New Roman"/>
                <w:color w:val="auto"/>
                <w:highlight w:val="none"/>
              </w:rPr>
              <w:t>改建</w:t>
            </w:r>
          </w:p>
          <w:p w14:paraId="0964F371">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A8"/>
            </w:r>
            <w:r>
              <w:rPr>
                <w:rFonts w:hint="default" w:ascii="Times New Roman" w:hAnsi="Times New Roman" w:eastAsia="宋体" w:cs="Times New Roman"/>
                <w:color w:val="auto"/>
                <w:highlight w:val="none"/>
              </w:rPr>
              <w:t>扩建</w:t>
            </w:r>
          </w:p>
          <w:p w14:paraId="2C82CD08">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A8"/>
            </w:r>
            <w:r>
              <w:rPr>
                <w:rFonts w:hint="default" w:ascii="Times New Roman" w:hAnsi="Times New Roman" w:eastAsia="宋体" w:cs="Times New Roman"/>
                <w:color w:val="auto"/>
                <w:highlight w:val="none"/>
              </w:rPr>
              <w:t>技术改造</w:t>
            </w:r>
          </w:p>
        </w:tc>
        <w:tc>
          <w:tcPr>
            <w:tcW w:w="2100" w:type="dxa"/>
            <w:vAlign w:val="center"/>
          </w:tcPr>
          <w:p w14:paraId="0D1A7531">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建设项目</w:t>
            </w:r>
          </w:p>
          <w:p w14:paraId="33236B24">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申报情形</w:t>
            </w:r>
          </w:p>
        </w:tc>
        <w:tc>
          <w:tcPr>
            <w:tcW w:w="3093" w:type="dxa"/>
            <w:vAlign w:val="center"/>
          </w:tcPr>
          <w:p w14:paraId="56362435">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F0FE"/>
            </w:r>
            <w:r>
              <w:rPr>
                <w:rFonts w:hint="default" w:ascii="Times New Roman" w:hAnsi="Times New Roman" w:eastAsia="宋体" w:cs="Times New Roman"/>
                <w:color w:val="auto"/>
                <w:highlight w:val="none"/>
              </w:rPr>
              <w:t>首次申报项目</w:t>
            </w:r>
          </w:p>
          <w:p w14:paraId="2E5246CD">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A8"/>
            </w:r>
            <w:r>
              <w:rPr>
                <w:rFonts w:hint="default" w:ascii="Times New Roman" w:hAnsi="Times New Roman" w:eastAsia="宋体" w:cs="Times New Roman"/>
                <w:color w:val="auto"/>
                <w:highlight w:val="none"/>
              </w:rPr>
              <w:t>不予批准后再次申报项目</w:t>
            </w:r>
          </w:p>
          <w:p w14:paraId="0A2F38E0">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A8"/>
            </w:r>
            <w:r>
              <w:rPr>
                <w:rFonts w:hint="default" w:ascii="Times New Roman" w:hAnsi="Times New Roman" w:eastAsia="宋体" w:cs="Times New Roman"/>
                <w:color w:val="auto"/>
                <w:highlight w:val="none"/>
              </w:rPr>
              <w:t>超五年重新审核项目</w:t>
            </w:r>
          </w:p>
          <w:p w14:paraId="4C420F67">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w:char="00A8"/>
            </w:r>
            <w:r>
              <w:rPr>
                <w:rFonts w:hint="default" w:ascii="Times New Roman" w:hAnsi="Times New Roman" w:eastAsia="宋体" w:cs="Times New Roman"/>
                <w:color w:val="auto"/>
                <w:highlight w:val="none"/>
              </w:rPr>
              <w:t>重大变动重新报批项目</w:t>
            </w:r>
          </w:p>
        </w:tc>
      </w:tr>
      <w:tr w14:paraId="2CCA0D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39" w:type="dxa"/>
            <w:tcMar>
              <w:top w:w="16" w:type="dxa"/>
              <w:left w:w="16" w:type="dxa"/>
              <w:right w:w="16" w:type="dxa"/>
            </w:tcMar>
            <w:vAlign w:val="center"/>
          </w:tcPr>
          <w:p w14:paraId="5C3D66BA">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项目审批(核准/备案</w:t>
            </w:r>
            <w:r>
              <w:rPr>
                <w:rFonts w:hint="eastAsia" w:cs="Times New Roman"/>
                <w:color w:val="auto"/>
                <w:highlight w:val="none"/>
                <w:lang w:eastAsia="zh-CN"/>
              </w:rPr>
              <w:t>）</w:t>
            </w:r>
            <w:r>
              <w:rPr>
                <w:rFonts w:hint="default" w:ascii="Times New Roman" w:hAnsi="Times New Roman" w:eastAsia="宋体" w:cs="Times New Roman"/>
                <w:color w:val="auto"/>
                <w:highlight w:val="none"/>
              </w:rPr>
              <w:t>部门(选填</w:t>
            </w:r>
            <w:r>
              <w:rPr>
                <w:rFonts w:hint="eastAsia" w:cs="Times New Roman"/>
                <w:color w:val="auto"/>
                <w:highlight w:val="none"/>
                <w:lang w:eastAsia="zh-CN"/>
              </w:rPr>
              <w:t>）</w:t>
            </w:r>
          </w:p>
        </w:tc>
        <w:tc>
          <w:tcPr>
            <w:tcW w:w="1900" w:type="dxa"/>
            <w:vAlign w:val="center"/>
          </w:tcPr>
          <w:p w14:paraId="4180DC39">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海螺沟景区管理委员会发展建设局</w:t>
            </w:r>
          </w:p>
        </w:tc>
        <w:tc>
          <w:tcPr>
            <w:tcW w:w="2100" w:type="dxa"/>
            <w:vAlign w:val="center"/>
          </w:tcPr>
          <w:p w14:paraId="3FCE0044">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项目审批(核准/</w:t>
            </w:r>
          </w:p>
          <w:p w14:paraId="3D54F910">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备案</w:t>
            </w:r>
            <w:r>
              <w:rPr>
                <w:rFonts w:hint="eastAsia" w:cs="Times New Roman"/>
                <w:color w:val="auto"/>
                <w:highlight w:val="none"/>
                <w:lang w:eastAsia="zh-CN"/>
              </w:rPr>
              <w:t>）</w:t>
            </w:r>
            <w:r>
              <w:rPr>
                <w:rFonts w:hint="default" w:ascii="Times New Roman" w:hAnsi="Times New Roman" w:eastAsia="宋体" w:cs="Times New Roman"/>
                <w:color w:val="auto"/>
                <w:highlight w:val="none"/>
              </w:rPr>
              <w:t>文号(选填</w:t>
            </w:r>
            <w:r>
              <w:rPr>
                <w:rFonts w:hint="eastAsia" w:cs="Times New Roman"/>
                <w:color w:val="auto"/>
                <w:highlight w:val="none"/>
                <w:lang w:eastAsia="zh-CN"/>
              </w:rPr>
              <w:t>）</w:t>
            </w:r>
          </w:p>
        </w:tc>
        <w:tc>
          <w:tcPr>
            <w:tcW w:w="3093" w:type="dxa"/>
            <w:vAlign w:val="center"/>
          </w:tcPr>
          <w:p w14:paraId="51756D90">
            <w:pPr>
              <w:adjustRightInd w:val="0"/>
              <w:snapToGrid w:val="0"/>
              <w:jc w:val="center"/>
              <w:rPr>
                <w:rFonts w:hint="default" w:ascii="Times New Roman" w:hAnsi="Times New Roman" w:eastAsia="宋体" w:cs="Times New Roman"/>
                <w:color w:val="auto"/>
                <w:highlight w:val="none"/>
                <w:lang w:eastAsia="zh-CN"/>
              </w:rPr>
            </w:pPr>
            <w:r>
              <w:rPr>
                <w:rFonts w:hint="eastAsia"/>
                <w:color w:val="auto"/>
                <w:highlight w:val="none"/>
                <w:lang w:val="en-US" w:eastAsia="zh-CN"/>
              </w:rPr>
              <w:t>甘海发展</w:t>
            </w:r>
            <w:r>
              <w:rPr>
                <w:rFonts w:hint="eastAsia" w:ascii="微软雅黑" w:hAnsi="微软雅黑" w:eastAsia="微软雅黑" w:cs="微软雅黑"/>
                <w:color w:val="auto"/>
                <w:highlight w:val="none"/>
                <w:lang w:val="en-US" w:eastAsia="zh-CN"/>
              </w:rPr>
              <w:t>〔</w:t>
            </w:r>
            <w:r>
              <w:rPr>
                <w:rFonts w:hint="eastAsia"/>
                <w:color w:val="auto"/>
                <w:highlight w:val="none"/>
                <w:lang w:val="en-US" w:eastAsia="zh-CN"/>
              </w:rPr>
              <w:t>2024</w:t>
            </w:r>
            <w:r>
              <w:rPr>
                <w:rFonts w:hint="eastAsia" w:ascii="微软雅黑" w:hAnsi="微软雅黑" w:eastAsia="微软雅黑" w:cs="微软雅黑"/>
                <w:color w:val="auto"/>
                <w:highlight w:val="none"/>
                <w:lang w:val="en-US" w:eastAsia="zh-CN"/>
              </w:rPr>
              <w:t>〕</w:t>
            </w:r>
            <w:r>
              <w:rPr>
                <w:rFonts w:hint="eastAsia"/>
                <w:color w:val="auto"/>
                <w:highlight w:val="none"/>
                <w:lang w:val="en-US" w:eastAsia="zh-CN"/>
              </w:rPr>
              <w:t>126号</w:t>
            </w:r>
          </w:p>
        </w:tc>
      </w:tr>
      <w:tr w14:paraId="4DACDA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3B0E18AA">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总投资(万元</w:t>
            </w:r>
            <w:r>
              <w:rPr>
                <w:rFonts w:hint="eastAsia" w:cs="Times New Roman"/>
                <w:color w:val="auto"/>
                <w:highlight w:val="none"/>
                <w:lang w:eastAsia="zh-CN"/>
              </w:rPr>
              <w:t>）</w:t>
            </w:r>
          </w:p>
        </w:tc>
        <w:tc>
          <w:tcPr>
            <w:tcW w:w="1900" w:type="dxa"/>
            <w:vAlign w:val="center"/>
          </w:tcPr>
          <w:p w14:paraId="183294C2">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285</w:t>
            </w:r>
          </w:p>
        </w:tc>
        <w:tc>
          <w:tcPr>
            <w:tcW w:w="2100" w:type="dxa"/>
            <w:tcMar>
              <w:top w:w="16" w:type="dxa"/>
              <w:left w:w="16" w:type="dxa"/>
              <w:right w:w="16" w:type="dxa"/>
            </w:tcMar>
            <w:vAlign w:val="center"/>
          </w:tcPr>
          <w:p w14:paraId="6FE0149D">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环保投资(万元</w:t>
            </w:r>
            <w:r>
              <w:rPr>
                <w:rFonts w:hint="eastAsia" w:cs="Times New Roman"/>
                <w:color w:val="auto"/>
                <w:highlight w:val="none"/>
                <w:lang w:eastAsia="zh-CN"/>
              </w:rPr>
              <w:t>）</w:t>
            </w:r>
          </w:p>
        </w:tc>
        <w:tc>
          <w:tcPr>
            <w:tcW w:w="3093" w:type="dxa"/>
            <w:vAlign w:val="center"/>
          </w:tcPr>
          <w:p w14:paraId="13B16E33">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44.5</w:t>
            </w:r>
          </w:p>
        </w:tc>
      </w:tr>
      <w:tr w14:paraId="43F2C5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2857AD85">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环保投资占比(%</w:t>
            </w:r>
            <w:r>
              <w:rPr>
                <w:rFonts w:hint="eastAsia" w:cs="Times New Roman"/>
                <w:color w:val="auto"/>
                <w:highlight w:val="none"/>
                <w:lang w:eastAsia="zh-CN"/>
              </w:rPr>
              <w:t>）</w:t>
            </w:r>
          </w:p>
        </w:tc>
        <w:tc>
          <w:tcPr>
            <w:tcW w:w="1900" w:type="dxa"/>
            <w:vAlign w:val="center"/>
          </w:tcPr>
          <w:p w14:paraId="25104B17">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15.6</w:t>
            </w:r>
          </w:p>
        </w:tc>
        <w:tc>
          <w:tcPr>
            <w:tcW w:w="2100" w:type="dxa"/>
            <w:tcMar>
              <w:top w:w="16" w:type="dxa"/>
              <w:left w:w="16" w:type="dxa"/>
              <w:right w:w="16" w:type="dxa"/>
            </w:tcMar>
            <w:vAlign w:val="center"/>
          </w:tcPr>
          <w:p w14:paraId="33852640">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施工工期</w:t>
            </w:r>
          </w:p>
        </w:tc>
        <w:tc>
          <w:tcPr>
            <w:tcW w:w="3093" w:type="dxa"/>
            <w:vAlign w:val="center"/>
          </w:tcPr>
          <w:p w14:paraId="3F0D8567">
            <w:pPr>
              <w:adjustRightInd w:val="0"/>
              <w:snapToGrid w:val="0"/>
              <w:jc w:val="center"/>
              <w:rPr>
                <w:rFonts w:hint="default" w:ascii="Times New Roman" w:hAnsi="Times New Roman" w:eastAsia="宋体" w:cs="Times New Roman"/>
                <w:color w:val="auto"/>
                <w:highlight w:val="none"/>
              </w:rPr>
            </w:pPr>
            <w:r>
              <w:rPr>
                <w:rFonts w:hint="eastAsia" w:cs="Times New Roman"/>
                <w:color w:val="auto"/>
                <w:highlight w:val="none"/>
                <w:lang w:val="en-US" w:eastAsia="zh-CN"/>
              </w:rPr>
              <w:t>6</w:t>
            </w:r>
            <w:r>
              <w:rPr>
                <w:rFonts w:hint="default" w:ascii="Times New Roman" w:hAnsi="Times New Roman" w:eastAsia="宋体" w:cs="Times New Roman"/>
                <w:color w:val="auto"/>
                <w:highlight w:val="none"/>
              </w:rPr>
              <w:t>个月</w:t>
            </w:r>
          </w:p>
        </w:tc>
      </w:tr>
      <w:tr w14:paraId="383AFB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39" w:type="dxa"/>
            <w:tcMar>
              <w:top w:w="16" w:type="dxa"/>
              <w:left w:w="16" w:type="dxa"/>
              <w:right w:w="16" w:type="dxa"/>
            </w:tcMar>
            <w:vAlign w:val="center"/>
          </w:tcPr>
          <w:p w14:paraId="49278066">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是否开工建设</w:t>
            </w:r>
          </w:p>
        </w:tc>
        <w:tc>
          <w:tcPr>
            <w:tcW w:w="1900" w:type="dxa"/>
            <w:vAlign w:val="center"/>
          </w:tcPr>
          <w:p w14:paraId="6FFF5CAC">
            <w:pPr>
              <w:adjustRightInd w:val="0"/>
              <w:snapToGrid w:val="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2" w:char="0052"/>
            </w:r>
            <w:r>
              <w:rPr>
                <w:rFonts w:hint="default" w:ascii="Times New Roman" w:hAnsi="Times New Roman" w:eastAsia="宋体" w:cs="Times New Roman"/>
                <w:color w:val="auto"/>
                <w:highlight w:val="none"/>
              </w:rPr>
              <w:t>否</w:t>
            </w:r>
          </w:p>
          <w:p w14:paraId="54A1FFD4">
            <w:pPr>
              <w:adjustRightInd w:val="0"/>
              <w:snapToGrid w:val="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sym w:font="Wingdings 2" w:char="00A3"/>
            </w:r>
            <w:r>
              <w:rPr>
                <w:rFonts w:hint="default" w:ascii="Times New Roman" w:hAnsi="Times New Roman" w:eastAsia="宋体" w:cs="Times New Roman"/>
                <w:color w:val="auto"/>
                <w:highlight w:val="none"/>
              </w:rPr>
              <w:t>是：</w:t>
            </w:r>
          </w:p>
        </w:tc>
        <w:tc>
          <w:tcPr>
            <w:tcW w:w="2100" w:type="dxa"/>
            <w:tcMar>
              <w:top w:w="16" w:type="dxa"/>
              <w:left w:w="16" w:type="dxa"/>
              <w:right w:w="16" w:type="dxa"/>
            </w:tcMar>
            <w:vAlign w:val="center"/>
          </w:tcPr>
          <w:p w14:paraId="55A9BBBF">
            <w:pPr>
              <w:adjustRightInd w:val="0"/>
              <w:snapToGrid w:val="0"/>
              <w:ind w:firstLine="456"/>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spacing w:val="-6"/>
                <w:highlight w:val="none"/>
              </w:rPr>
              <w:t>用地(用海</w:t>
            </w:r>
            <w:r>
              <w:rPr>
                <w:rFonts w:hint="eastAsia" w:cs="Times New Roman"/>
                <w:color w:val="auto"/>
                <w:spacing w:val="-6"/>
                <w:highlight w:val="none"/>
                <w:lang w:eastAsia="zh-CN"/>
              </w:rPr>
              <w:t>）</w:t>
            </w:r>
            <w:r>
              <w:rPr>
                <w:rFonts w:hint="default" w:ascii="Times New Roman" w:hAnsi="Times New Roman" w:eastAsia="宋体" w:cs="Times New Roman"/>
                <w:color w:val="auto"/>
                <w:spacing w:val="-6"/>
                <w:highlight w:val="none"/>
              </w:rPr>
              <w:t>面积(m</w:t>
            </w:r>
            <w:r>
              <w:rPr>
                <w:rFonts w:hint="default" w:ascii="Times New Roman" w:hAnsi="Times New Roman" w:eastAsia="宋体" w:cs="Times New Roman"/>
                <w:color w:val="auto"/>
                <w:spacing w:val="-6"/>
                <w:highlight w:val="none"/>
                <w:vertAlign w:val="superscript"/>
              </w:rPr>
              <w:t>2</w:t>
            </w:r>
            <w:r>
              <w:rPr>
                <w:rFonts w:hint="eastAsia" w:cs="Times New Roman"/>
                <w:color w:val="auto"/>
                <w:spacing w:val="-6"/>
                <w:highlight w:val="none"/>
                <w:vertAlign w:val="superscript"/>
                <w:lang w:eastAsia="zh-CN"/>
              </w:rPr>
              <w:t>）</w:t>
            </w:r>
          </w:p>
        </w:tc>
        <w:tc>
          <w:tcPr>
            <w:tcW w:w="3093" w:type="dxa"/>
            <w:vAlign w:val="center"/>
          </w:tcPr>
          <w:p w14:paraId="7D7394FF">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1998.51</w:t>
            </w:r>
          </w:p>
        </w:tc>
      </w:tr>
      <w:tr w14:paraId="4EAA21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39" w:type="dxa"/>
            <w:vAlign w:val="center"/>
          </w:tcPr>
          <w:p w14:paraId="7B2EF6D2">
            <w:pPr>
              <w:autoSpaceDE w:val="0"/>
              <w:autoSpaceDN w:val="0"/>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专项评价设置情况</w:t>
            </w:r>
          </w:p>
        </w:tc>
        <w:tc>
          <w:tcPr>
            <w:tcW w:w="7093" w:type="dxa"/>
            <w:gridSpan w:val="3"/>
            <w:vAlign w:val="center"/>
          </w:tcPr>
          <w:p w14:paraId="56B04B34">
            <w:pPr>
              <w:autoSpaceDE w:val="0"/>
              <w:autoSpaceDN w:val="0"/>
              <w:adjustRightInd w:val="0"/>
              <w:snapToGrid w:val="0"/>
              <w:spacing w:before="120" w:beforeLines="50"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根据《建设项目环境影响报告表编制技术指南(污染影响类)(试行</w:t>
            </w:r>
            <w:r>
              <w:rPr>
                <w:rFonts w:hint="eastAsia" w:cs="Times New Roman"/>
                <w:color w:val="auto"/>
                <w:highlight w:val="none"/>
                <w:lang w:eastAsia="zh-CN"/>
              </w:rPr>
              <w:t>）</w:t>
            </w:r>
            <w:r>
              <w:rPr>
                <w:rFonts w:hint="default" w:ascii="Times New Roman" w:hAnsi="Times New Roman" w:eastAsia="宋体" w:cs="Times New Roman"/>
                <w:color w:val="auto"/>
                <w:highlight w:val="none"/>
              </w:rPr>
              <w:t>》，本项目专项评价设置情况见下表。</w:t>
            </w:r>
          </w:p>
          <w:p w14:paraId="4A1F71E4">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本项目专项评价设置情况</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2455"/>
              <w:gridCol w:w="3304"/>
            </w:tblGrid>
            <w:tr w14:paraId="0F17C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3" w:type="pct"/>
                  <w:vAlign w:val="center"/>
                </w:tcPr>
                <w:p w14:paraId="106DD29F">
                  <w:pPr>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专项评价的类别</w:t>
                  </w:r>
                </w:p>
              </w:tc>
              <w:tc>
                <w:tcPr>
                  <w:tcW w:w="1785" w:type="pct"/>
                  <w:vAlign w:val="center"/>
                </w:tcPr>
                <w:p w14:paraId="68A855A2">
                  <w:pPr>
                    <w:ind w:firstLine="422"/>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设置原则</w:t>
                  </w:r>
                </w:p>
              </w:tc>
              <w:tc>
                <w:tcPr>
                  <w:tcW w:w="2400" w:type="pct"/>
                  <w:vAlign w:val="center"/>
                </w:tcPr>
                <w:p w14:paraId="1E3CDECD">
                  <w:pPr>
                    <w:ind w:firstLine="422"/>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本项目设置情况</w:t>
                  </w:r>
                </w:p>
              </w:tc>
            </w:tr>
            <w:tr w14:paraId="2B0B75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3" w:type="pct"/>
                  <w:vAlign w:val="center"/>
                </w:tcPr>
                <w:p w14:paraId="724B72C6">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w:t>
                  </w:r>
                </w:p>
              </w:tc>
              <w:tc>
                <w:tcPr>
                  <w:tcW w:w="1785" w:type="pct"/>
                  <w:vAlign w:val="center"/>
                </w:tcPr>
                <w:p w14:paraId="6D9F444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排放废气含有毒有害污染物</w:t>
                  </w:r>
                  <w:r>
                    <w:rPr>
                      <w:rFonts w:hint="default" w:ascii="Times New Roman" w:hAnsi="Times New Roman" w:eastAsia="宋体" w:cs="Times New Roman"/>
                      <w:color w:val="auto"/>
                      <w:sz w:val="21"/>
                      <w:szCs w:val="21"/>
                      <w:highlight w:val="none"/>
                      <w:vertAlign w:val="superscript"/>
                    </w:rPr>
                    <w:t>1</w:t>
                  </w:r>
                  <w:r>
                    <w:rPr>
                      <w:rFonts w:hint="default" w:ascii="Times New Roman" w:hAnsi="Times New Roman" w:eastAsia="宋体" w:cs="Times New Roman"/>
                      <w:color w:val="auto"/>
                      <w:sz w:val="21"/>
                      <w:szCs w:val="21"/>
                      <w:highlight w:val="none"/>
                    </w:rPr>
                    <w:t>、二噁英、苯并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a</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芘、氰化物、氯气且厂界外500米范围内有环境空气保护目标</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的建设项目</w:t>
                  </w:r>
                </w:p>
              </w:tc>
              <w:tc>
                <w:tcPr>
                  <w:tcW w:w="2400" w:type="pct"/>
                  <w:vAlign w:val="center"/>
                </w:tcPr>
                <w:p w14:paraId="64A332DB">
                  <w:pPr>
                    <w:pStyle w:val="11"/>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本项目产生的废气</w:t>
                  </w:r>
                  <w:r>
                    <w:rPr>
                      <w:rFonts w:hint="default" w:ascii="Times New Roman" w:hAnsi="Times New Roman" w:eastAsia="宋体" w:cs="Times New Roman"/>
                      <w:color w:val="auto"/>
                      <w:sz w:val="21"/>
                      <w:szCs w:val="21"/>
                      <w:highlight w:val="none"/>
                      <w:lang w:val="en-US" w:eastAsia="zh-CN"/>
                    </w:rPr>
                    <w:t>主要为氨、硫化氢、颗粒物、SO</w:t>
                  </w:r>
                  <w:r>
                    <w:rPr>
                      <w:rFonts w:hint="default" w:ascii="Times New Roman" w:hAnsi="Times New Roman" w:eastAsia="宋体" w:cs="Times New Roman"/>
                      <w:color w:val="auto"/>
                      <w:sz w:val="21"/>
                      <w:szCs w:val="21"/>
                      <w:highlight w:val="none"/>
                      <w:vertAlign w:val="subscript"/>
                      <w:lang w:val="en-US" w:eastAsia="zh-CN"/>
                    </w:rPr>
                    <w:t>2</w:t>
                  </w:r>
                  <w:r>
                    <w:rPr>
                      <w:rFonts w:hint="default" w:ascii="Times New Roman" w:hAnsi="Times New Roman" w:eastAsia="宋体" w:cs="Times New Roman"/>
                      <w:color w:val="auto"/>
                      <w:sz w:val="21"/>
                      <w:szCs w:val="21"/>
                      <w:highlight w:val="none"/>
                      <w:lang w:val="en-US" w:eastAsia="zh-CN"/>
                    </w:rPr>
                    <w:t>、NO</w:t>
                  </w:r>
                  <w:r>
                    <w:rPr>
                      <w:rFonts w:hint="default" w:ascii="Times New Roman" w:hAnsi="Times New Roman" w:eastAsia="宋体" w:cs="Times New Roman"/>
                      <w:color w:val="auto"/>
                      <w:sz w:val="21"/>
                      <w:szCs w:val="21"/>
                      <w:highlight w:val="none"/>
                      <w:vertAlign w:val="subscript"/>
                      <w:lang w:val="en-US" w:eastAsia="zh-CN"/>
                    </w:rPr>
                    <w:t>X</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不含有毒有害污染物1、二噁英、苯并</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a</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芘、氰化物、氯气等有毒有害废气，因此，</w:t>
                  </w:r>
                  <w:r>
                    <w:rPr>
                      <w:rFonts w:hint="default" w:ascii="Times New Roman" w:hAnsi="Times New Roman" w:eastAsia="宋体" w:cs="Times New Roman"/>
                      <w:b/>
                      <w:bCs/>
                      <w:color w:val="auto"/>
                      <w:sz w:val="21"/>
                      <w:szCs w:val="21"/>
                      <w:highlight w:val="none"/>
                    </w:rPr>
                    <w:t>本项目不设置大气专项评价。</w:t>
                  </w:r>
                </w:p>
              </w:tc>
            </w:tr>
            <w:tr w14:paraId="638473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3" w:type="pct"/>
                  <w:vAlign w:val="center"/>
                </w:tcPr>
                <w:p w14:paraId="7EDE65F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w:t>
                  </w:r>
                </w:p>
              </w:tc>
              <w:tc>
                <w:tcPr>
                  <w:tcW w:w="1785" w:type="pct"/>
                  <w:vAlign w:val="center"/>
                </w:tcPr>
                <w:p w14:paraId="169FE67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新增工业废水直排建设项目(槽罐车外送污水处理厂的除外</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；新增废水直排的污水集中处理厂</w:t>
                  </w:r>
                </w:p>
              </w:tc>
              <w:tc>
                <w:tcPr>
                  <w:tcW w:w="2400" w:type="pct"/>
                  <w:vAlign w:val="center"/>
                </w:tcPr>
                <w:p w14:paraId="51F19B5A">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本项目废水全部进入自建污水处理站处理达标后</w:t>
                  </w:r>
                  <w:r>
                    <w:rPr>
                      <w:rFonts w:hint="default" w:ascii="Times New Roman" w:hAnsi="Times New Roman" w:eastAsia="宋体" w:cs="Times New Roman"/>
                      <w:color w:val="auto"/>
                      <w:sz w:val="21"/>
                      <w:szCs w:val="21"/>
                      <w:highlight w:val="none"/>
                      <w:lang w:val="en-US" w:eastAsia="zh-CN"/>
                    </w:rPr>
                    <w:t>由罐车运送至海螺沟磨西镇城市生活污水处理厂处理</w:t>
                  </w:r>
                  <w:r>
                    <w:rPr>
                      <w:rFonts w:hint="default" w:ascii="Times New Roman" w:hAnsi="Times New Roman" w:eastAsia="宋体" w:cs="Times New Roman"/>
                      <w:color w:val="auto"/>
                      <w:sz w:val="21"/>
                      <w:szCs w:val="21"/>
                      <w:highlight w:val="none"/>
                    </w:rPr>
                    <w:t>。属于间接排放，</w:t>
                  </w:r>
                  <w:r>
                    <w:rPr>
                      <w:rFonts w:hint="default" w:ascii="Times New Roman" w:hAnsi="Times New Roman" w:eastAsia="宋体" w:cs="Times New Roman"/>
                      <w:b/>
                      <w:bCs/>
                      <w:color w:val="auto"/>
                      <w:sz w:val="21"/>
                      <w:szCs w:val="21"/>
                      <w:highlight w:val="none"/>
                      <w:lang w:val="en-US" w:eastAsia="zh-CN"/>
                    </w:rPr>
                    <w:t>因此</w:t>
                  </w:r>
                  <w:r>
                    <w:rPr>
                      <w:rFonts w:hint="eastAsia" w:ascii="Times New Roman" w:hAnsi="Times New Roman" w:eastAsia="宋体" w:cs="Times New Roman"/>
                      <w:b/>
                      <w:bCs/>
                      <w:color w:val="auto"/>
                      <w:sz w:val="21"/>
                      <w:szCs w:val="21"/>
                      <w:highlight w:val="none"/>
                      <w:lang w:val="en-US" w:eastAsia="zh-CN"/>
                    </w:rPr>
                    <w:t>不设置</w:t>
                  </w:r>
                  <w:r>
                    <w:rPr>
                      <w:rFonts w:hint="default" w:ascii="Times New Roman" w:hAnsi="Times New Roman" w:eastAsia="宋体" w:cs="Times New Roman"/>
                      <w:b/>
                      <w:bCs/>
                      <w:color w:val="auto"/>
                      <w:sz w:val="21"/>
                      <w:szCs w:val="21"/>
                      <w:highlight w:val="none"/>
                    </w:rPr>
                    <w:t>地表水专项评价</w:t>
                  </w:r>
                </w:p>
              </w:tc>
            </w:tr>
            <w:tr w14:paraId="597B39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3" w:type="pct"/>
                  <w:vAlign w:val="center"/>
                </w:tcPr>
                <w:p w14:paraId="299E4DE7">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w:t>
                  </w:r>
                </w:p>
              </w:tc>
              <w:tc>
                <w:tcPr>
                  <w:tcW w:w="1785" w:type="pct"/>
                  <w:vAlign w:val="center"/>
                </w:tcPr>
                <w:p w14:paraId="3C0E0FA8">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有毒有害和易燃易爆危险物质存储量超过临界量3的建设项目</w:t>
                  </w:r>
                </w:p>
              </w:tc>
              <w:tc>
                <w:tcPr>
                  <w:tcW w:w="2400" w:type="pct"/>
                  <w:vAlign w:val="center"/>
                </w:tcPr>
                <w:p w14:paraId="2B34F9EB">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bCs w:val="0"/>
                      <w:color w:val="auto"/>
                      <w:sz w:val="21"/>
                      <w:szCs w:val="21"/>
                      <w:highlight w:val="none"/>
                    </w:rPr>
                    <w:t>本项目风险物质总量与其临界量比值Q＜1，环境风险潜势为I级。本项目“有毒有害和易燃易爆危险物质”存储量未超过临界量</w:t>
                  </w:r>
                  <w:r>
                    <w:rPr>
                      <w:rFonts w:hint="default" w:ascii="Times New Roman" w:hAnsi="Times New Roman" w:eastAsia="宋体" w:cs="Times New Roman"/>
                      <w:b/>
                      <w:bCs/>
                      <w:color w:val="auto"/>
                      <w:sz w:val="21"/>
                      <w:szCs w:val="21"/>
                      <w:highlight w:val="none"/>
                    </w:rPr>
                    <w:t>，</w:t>
                  </w:r>
                  <w:r>
                    <w:rPr>
                      <w:rFonts w:hint="eastAsia" w:ascii="Times New Roman" w:hAnsi="Times New Roman" w:eastAsia="宋体" w:cs="Times New Roman"/>
                      <w:b/>
                      <w:bCs/>
                      <w:color w:val="auto"/>
                      <w:sz w:val="21"/>
                      <w:szCs w:val="21"/>
                      <w:highlight w:val="none"/>
                      <w:lang w:val="en-US" w:eastAsia="zh-CN"/>
                    </w:rPr>
                    <w:t>不</w:t>
                  </w:r>
                  <w:r>
                    <w:rPr>
                      <w:rFonts w:hint="eastAsia" w:cs="Times New Roman"/>
                      <w:b/>
                      <w:bCs/>
                      <w:color w:val="auto"/>
                      <w:sz w:val="21"/>
                      <w:szCs w:val="21"/>
                      <w:highlight w:val="none"/>
                      <w:lang w:val="en-US" w:eastAsia="zh-CN"/>
                    </w:rPr>
                    <w:t>设置</w:t>
                  </w:r>
                  <w:r>
                    <w:rPr>
                      <w:rFonts w:hint="default" w:ascii="Times New Roman" w:hAnsi="Times New Roman" w:eastAsia="宋体" w:cs="Times New Roman"/>
                      <w:b/>
                      <w:bCs/>
                      <w:color w:val="auto"/>
                      <w:sz w:val="21"/>
                      <w:szCs w:val="21"/>
                      <w:highlight w:val="none"/>
                    </w:rPr>
                    <w:t>环境风险专项评价</w:t>
                  </w:r>
                  <w:r>
                    <w:rPr>
                      <w:rFonts w:hint="default" w:ascii="Times New Roman" w:hAnsi="Times New Roman" w:eastAsia="宋体" w:cs="Times New Roman"/>
                      <w:color w:val="auto"/>
                      <w:sz w:val="21"/>
                      <w:szCs w:val="21"/>
                      <w:highlight w:val="none"/>
                    </w:rPr>
                    <w:t>。</w:t>
                  </w:r>
                </w:p>
              </w:tc>
            </w:tr>
            <w:tr w14:paraId="1169A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13" w:type="pct"/>
                  <w:vAlign w:val="center"/>
                </w:tcPr>
                <w:p w14:paraId="5FFE002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生态</w:t>
                  </w:r>
                </w:p>
              </w:tc>
              <w:tc>
                <w:tcPr>
                  <w:tcW w:w="1785" w:type="pct"/>
                  <w:vAlign w:val="center"/>
                </w:tcPr>
                <w:p w14:paraId="7D8697B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取水口下游500米范围内有重要水生生物的自然产卵场、索饵场、越冬场和洄游通道的新增河道取水的污染类建设项目</w:t>
                  </w:r>
                </w:p>
              </w:tc>
              <w:tc>
                <w:tcPr>
                  <w:tcW w:w="2400" w:type="pct"/>
                  <w:vAlign w:val="center"/>
                </w:tcPr>
                <w:p w14:paraId="25BAED6A">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本项目不涉及取水口，</w:t>
                  </w:r>
                  <w:r>
                    <w:rPr>
                      <w:rFonts w:hint="default" w:ascii="Times New Roman" w:hAnsi="Times New Roman" w:eastAsia="宋体" w:cs="Times New Roman"/>
                      <w:b/>
                      <w:bCs/>
                      <w:color w:val="auto"/>
                      <w:kern w:val="0"/>
                      <w:sz w:val="21"/>
                      <w:szCs w:val="21"/>
                      <w:highlight w:val="none"/>
                    </w:rPr>
                    <w:t>不设置生态专项评价。</w:t>
                  </w:r>
                </w:p>
              </w:tc>
            </w:tr>
            <w:tr w14:paraId="708011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3" w:type="pct"/>
                  <w:vAlign w:val="center"/>
                </w:tcPr>
                <w:p w14:paraId="06BAF7A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海洋</w:t>
                  </w:r>
                </w:p>
              </w:tc>
              <w:tc>
                <w:tcPr>
                  <w:tcW w:w="1785" w:type="pct"/>
                  <w:vAlign w:val="center"/>
                </w:tcPr>
                <w:p w14:paraId="535E8D0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直接向海排放污染物的海洋工程建设项目</w:t>
                  </w:r>
                </w:p>
              </w:tc>
              <w:tc>
                <w:tcPr>
                  <w:tcW w:w="2400" w:type="pct"/>
                  <w:vAlign w:val="center"/>
                </w:tcPr>
                <w:p w14:paraId="368A85E0">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b/>
                      <w:bCs/>
                      <w:color w:val="auto"/>
                      <w:sz w:val="21"/>
                      <w:szCs w:val="21"/>
                      <w:highlight w:val="none"/>
                    </w:rPr>
                    <w:t>不设置海洋专项评价。</w:t>
                  </w:r>
                </w:p>
              </w:tc>
            </w:tr>
            <w:tr w14:paraId="594B0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14:paraId="71FBDAE0">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注：1.废气中有毒有害污染物指纳入《有毒有害大气污染物名录》的污染物(不包括无排放标准的污染物</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w:t>
                  </w:r>
                </w:p>
                <w:p w14:paraId="6B940313">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2.环境空气保护目标指自然保护区、风景名胜区、居住区、文化区和农村地区中人群较集中的区域。</w:t>
                  </w:r>
                </w:p>
                <w:p w14:paraId="1B7956C3">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3.临界量及其计算方法可参考《建设项目环境风险评价技术导则》(HJ169</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附录B、附录C</w:t>
                  </w:r>
                </w:p>
              </w:tc>
            </w:tr>
          </w:tbl>
          <w:p w14:paraId="5F5B7487">
            <w:pPr>
              <w:pStyle w:val="31"/>
              <w:adjustRightInd w:val="0"/>
              <w:snapToGrid w:val="0"/>
              <w:spacing w:after="0" w:line="360" w:lineRule="auto"/>
              <w:ind w:left="480" w:firstLine="0" w:firstLineChars="0"/>
              <w:jc w:val="left"/>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highlight w:val="none"/>
              </w:rPr>
              <w:t>由上表可知，</w:t>
            </w:r>
            <w:r>
              <w:rPr>
                <w:rFonts w:hint="default" w:ascii="Times New Roman" w:hAnsi="Times New Roman" w:eastAsia="宋体" w:cs="Times New Roman"/>
                <w:b/>
                <w:bCs/>
                <w:color w:val="auto"/>
                <w:highlight w:val="none"/>
              </w:rPr>
              <w:t>本项目不需设置专项评价</w:t>
            </w:r>
            <w:r>
              <w:rPr>
                <w:rFonts w:hint="default" w:ascii="Times New Roman" w:hAnsi="Times New Roman" w:eastAsia="宋体" w:cs="Times New Roman"/>
                <w:color w:val="auto"/>
                <w:highlight w:val="none"/>
              </w:rPr>
              <w:t>。</w:t>
            </w:r>
          </w:p>
        </w:tc>
      </w:tr>
      <w:tr w14:paraId="6F20F9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1239" w:type="dxa"/>
            <w:vAlign w:val="center"/>
          </w:tcPr>
          <w:p w14:paraId="479E7A73">
            <w:pPr>
              <w:autoSpaceDE w:val="0"/>
              <w:autoSpaceDN w:val="0"/>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highlight w:val="none"/>
              </w:rPr>
              <w:t>规划情况</w:t>
            </w:r>
          </w:p>
        </w:tc>
        <w:tc>
          <w:tcPr>
            <w:tcW w:w="7093" w:type="dxa"/>
            <w:gridSpan w:val="3"/>
            <w:vAlign w:val="center"/>
          </w:tcPr>
          <w:p w14:paraId="36354801">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kern w:val="0"/>
                <w:highlight w:val="none"/>
                <w:lang w:eastAsia="zh-CN"/>
              </w:rPr>
            </w:pPr>
            <w:r>
              <w:rPr>
                <w:rFonts w:hint="eastAsia" w:cs="Times New Roman"/>
                <w:color w:val="auto"/>
                <w:kern w:val="0"/>
                <w:highlight w:val="none"/>
                <w:lang w:val="en-US" w:eastAsia="zh-CN"/>
              </w:rPr>
              <w:t>无</w:t>
            </w:r>
          </w:p>
        </w:tc>
      </w:tr>
      <w:tr w14:paraId="0DB060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85" w:hRule="atLeast"/>
          <w:jc w:val="center"/>
        </w:trPr>
        <w:tc>
          <w:tcPr>
            <w:tcW w:w="1239" w:type="dxa"/>
            <w:vAlign w:val="center"/>
          </w:tcPr>
          <w:p w14:paraId="6D3CD1D8">
            <w:pPr>
              <w:adjustRightInd w:val="0"/>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规划环境影响</w:t>
            </w:r>
          </w:p>
          <w:p w14:paraId="23E5C08C">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highlight w:val="none"/>
              </w:rPr>
              <w:t>评价情况</w:t>
            </w:r>
          </w:p>
        </w:tc>
        <w:tc>
          <w:tcPr>
            <w:tcW w:w="7093" w:type="dxa"/>
            <w:gridSpan w:val="3"/>
            <w:vAlign w:val="center"/>
          </w:tcPr>
          <w:p w14:paraId="3D9977AF">
            <w:pPr>
              <w:adjustRightInd w:val="0"/>
              <w:snapToGrid w:val="0"/>
              <w:spacing w:line="360" w:lineRule="auto"/>
              <w:ind w:firstLine="480" w:firstLineChars="200"/>
              <w:rPr>
                <w:rFonts w:hint="eastAsia" w:ascii="Times New Roman" w:hAnsi="Times New Roman" w:eastAsia="宋体" w:cs="Times New Roman"/>
                <w:color w:val="auto"/>
                <w:kern w:val="0"/>
                <w:highlight w:val="none"/>
                <w:lang w:eastAsia="zh-CN"/>
              </w:rPr>
            </w:pPr>
            <w:r>
              <w:rPr>
                <w:rFonts w:hint="eastAsia" w:cs="Times New Roman"/>
                <w:color w:val="auto"/>
                <w:highlight w:val="none"/>
                <w:lang w:val="en-US" w:eastAsia="zh-CN"/>
              </w:rPr>
              <w:t>无</w:t>
            </w:r>
          </w:p>
        </w:tc>
      </w:tr>
      <w:tr w14:paraId="3450F7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Align w:val="center"/>
          </w:tcPr>
          <w:p w14:paraId="5961BD71">
            <w:pPr>
              <w:autoSpaceDE w:val="0"/>
              <w:autoSpaceDN w:val="0"/>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规划及规划环境影响评价符合性分析</w:t>
            </w:r>
          </w:p>
        </w:tc>
        <w:tc>
          <w:tcPr>
            <w:tcW w:w="7093" w:type="dxa"/>
            <w:gridSpan w:val="3"/>
            <w:vAlign w:val="center"/>
          </w:tcPr>
          <w:p w14:paraId="0BCFE457">
            <w:pPr>
              <w:autoSpaceDE w:val="0"/>
              <w:autoSpaceDN w:val="0"/>
              <w:adjustRightInd w:val="0"/>
              <w:snapToGrid w:val="0"/>
              <w:spacing w:line="360" w:lineRule="auto"/>
              <w:ind w:firstLine="480" w:firstLineChars="200"/>
              <w:rPr>
                <w:rFonts w:hint="eastAsia"/>
                <w:color w:val="auto"/>
                <w:highlight w:val="none"/>
                <w:lang w:val="en-US" w:eastAsia="zh-CN"/>
              </w:rPr>
            </w:pPr>
            <w:r>
              <w:rPr>
                <w:rFonts w:hint="eastAsia" w:cs="Times New Roman"/>
                <w:color w:val="auto"/>
                <w:kern w:val="0"/>
                <w:highlight w:val="none"/>
                <w:lang w:val="en-US" w:eastAsia="zh-CN"/>
              </w:rPr>
              <w:t>无</w:t>
            </w:r>
          </w:p>
        </w:tc>
      </w:tr>
      <w:tr w14:paraId="0E8333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Align w:val="center"/>
          </w:tcPr>
          <w:p w14:paraId="5347F989">
            <w:pPr>
              <w:autoSpaceDE w:val="0"/>
              <w:autoSpaceDN w:val="0"/>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其他符合性分析</w:t>
            </w:r>
          </w:p>
        </w:tc>
        <w:tc>
          <w:tcPr>
            <w:tcW w:w="7093" w:type="dxa"/>
            <w:gridSpan w:val="3"/>
            <w:vAlign w:val="center"/>
          </w:tcPr>
          <w:p w14:paraId="32C55426">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1、产业政策的符合性</w:t>
            </w:r>
          </w:p>
          <w:p w14:paraId="0D4EDBE7">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根据《国民经济行业分类》(GB/T4754-2017)</w:t>
            </w:r>
            <w:r>
              <w:rPr>
                <w:rFonts w:hint="eastAsia" w:cs="Times New Roman"/>
                <w:bCs/>
                <w:color w:val="auto"/>
                <w:highlight w:val="none"/>
                <w:lang w:eastAsia="zh-CN"/>
              </w:rPr>
              <w:t>（</w:t>
            </w:r>
            <w:r>
              <w:rPr>
                <w:rFonts w:hint="default" w:ascii="Times New Roman" w:hAnsi="Times New Roman" w:eastAsia="宋体" w:cs="Times New Roman"/>
                <w:bCs/>
                <w:color w:val="auto"/>
                <w:highlight w:val="none"/>
              </w:rPr>
              <w:t>2019年</w:t>
            </w:r>
            <w:r>
              <w:rPr>
                <w:rFonts w:hint="eastAsia" w:cs="Times New Roman"/>
                <w:bCs/>
                <w:color w:val="auto"/>
                <w:highlight w:val="none"/>
                <w:lang w:val="en-US" w:eastAsia="zh-CN"/>
              </w:rPr>
              <w:t>修订</w:t>
            </w:r>
            <w:r>
              <w:rPr>
                <w:rFonts w:hint="eastAsia" w:cs="Times New Roman"/>
                <w:bCs/>
                <w:color w:val="auto"/>
                <w:highlight w:val="none"/>
                <w:lang w:eastAsia="zh-CN"/>
              </w:rPr>
              <w:t>）</w:t>
            </w:r>
            <w:r>
              <w:rPr>
                <w:rFonts w:hint="default" w:ascii="Times New Roman" w:hAnsi="Times New Roman" w:eastAsia="宋体" w:cs="Times New Roman"/>
                <w:bCs/>
                <w:color w:val="auto"/>
                <w:highlight w:val="none"/>
              </w:rPr>
              <w:t>，本项目属于</w:t>
            </w:r>
            <w:r>
              <w:rPr>
                <w:rFonts w:hint="default" w:ascii="Times New Roman" w:hAnsi="Times New Roman" w:eastAsia="宋体" w:cs="Times New Roman"/>
                <w:bCs/>
                <w:color w:val="auto"/>
                <w:highlight w:val="none"/>
                <w:lang w:eastAsia="zh-CN"/>
              </w:rPr>
              <w:t>C1</w:t>
            </w:r>
            <w:r>
              <w:rPr>
                <w:rFonts w:hint="eastAsia" w:cs="Times New Roman"/>
                <w:bCs/>
                <w:color w:val="auto"/>
                <w:highlight w:val="none"/>
                <w:lang w:val="en-US" w:eastAsia="zh-CN"/>
              </w:rPr>
              <w:t>351</w:t>
            </w:r>
            <w:r>
              <w:rPr>
                <w:rFonts w:hint="default" w:ascii="Times New Roman" w:hAnsi="Times New Roman" w:eastAsia="宋体" w:cs="Times New Roman"/>
                <w:bCs/>
                <w:color w:val="auto"/>
                <w:highlight w:val="none"/>
                <w:lang w:eastAsia="zh-CN"/>
              </w:rPr>
              <w:t xml:space="preserve"> </w:t>
            </w:r>
            <w:r>
              <w:rPr>
                <w:rFonts w:hint="eastAsia" w:cs="Times New Roman"/>
                <w:bCs/>
                <w:color w:val="auto"/>
                <w:highlight w:val="none"/>
                <w:lang w:val="en-US" w:eastAsia="zh-CN"/>
              </w:rPr>
              <w:t>牲畜屠宰</w:t>
            </w:r>
            <w:r>
              <w:rPr>
                <w:rFonts w:hint="default" w:ascii="Times New Roman" w:hAnsi="Times New Roman" w:eastAsia="宋体" w:cs="Times New Roman"/>
                <w:bCs/>
                <w:color w:val="auto"/>
                <w:highlight w:val="none"/>
              </w:rPr>
              <w:t>。</w:t>
            </w:r>
          </w:p>
          <w:p w14:paraId="14B35DE0">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lang w:val="zh-CN"/>
              </w:rPr>
              <w:t>根据《产业结构调整指导目录</w:t>
            </w:r>
            <w:r>
              <w:rPr>
                <w:rFonts w:hint="eastAsia" w:cs="Times New Roman"/>
                <w:bCs/>
                <w:color w:val="auto"/>
                <w:highlight w:val="none"/>
                <w:lang w:val="zh-CN"/>
              </w:rPr>
              <w:t>（</w:t>
            </w:r>
            <w:r>
              <w:rPr>
                <w:rFonts w:hint="default" w:ascii="Times New Roman" w:hAnsi="Times New Roman" w:eastAsia="宋体" w:cs="Times New Roman"/>
                <w:bCs/>
                <w:color w:val="auto"/>
                <w:highlight w:val="none"/>
                <w:lang w:val="zh-CN"/>
              </w:rPr>
              <w:t>20</w:t>
            </w:r>
            <w:r>
              <w:rPr>
                <w:rFonts w:hint="default" w:ascii="Times New Roman" w:hAnsi="Times New Roman" w:eastAsia="宋体" w:cs="Times New Roman"/>
                <w:bCs/>
                <w:color w:val="auto"/>
                <w:highlight w:val="none"/>
              </w:rPr>
              <w:t>24</w:t>
            </w:r>
            <w:r>
              <w:rPr>
                <w:rFonts w:hint="default" w:ascii="Times New Roman" w:hAnsi="Times New Roman" w:eastAsia="宋体" w:cs="Times New Roman"/>
                <w:bCs/>
                <w:color w:val="auto"/>
                <w:highlight w:val="none"/>
                <w:lang w:val="zh-CN"/>
              </w:rPr>
              <w:t>年本</w:t>
            </w:r>
            <w:r>
              <w:rPr>
                <w:rFonts w:hint="eastAsia" w:ascii="Times New Roman" w:hAnsi="Times New Roman" w:eastAsia="宋体" w:cs="Times New Roman"/>
                <w:bCs/>
                <w:color w:val="auto"/>
                <w:highlight w:val="none"/>
                <w:lang w:val="zh-CN"/>
              </w:rPr>
              <w:t>）</w:t>
            </w:r>
            <w:r>
              <w:rPr>
                <w:rFonts w:hint="default" w:ascii="Times New Roman" w:hAnsi="Times New Roman" w:eastAsia="宋体" w:cs="Times New Roman"/>
                <w:bCs/>
                <w:color w:val="auto"/>
                <w:highlight w:val="none"/>
                <w:lang w:val="zh-CN"/>
              </w:rPr>
              <w:t>》</w:t>
            </w:r>
            <w:r>
              <w:rPr>
                <w:rFonts w:hint="eastAsia" w:cs="Times New Roman"/>
                <w:bCs/>
                <w:color w:val="auto"/>
                <w:highlight w:val="none"/>
                <w:lang w:val="zh-CN"/>
              </w:rPr>
              <w:t>，</w:t>
            </w:r>
            <w:r>
              <w:rPr>
                <w:rFonts w:hint="eastAsia" w:cs="Times New Roman"/>
                <w:bCs/>
                <w:color w:val="auto"/>
                <w:highlight w:val="none"/>
                <w:lang w:val="en-US" w:eastAsia="zh-CN"/>
              </w:rPr>
              <w:t>第十二项“轻工”中第24条“年屠宰生猪 15 万头及以下、肉牛 1 万头及以下、肉羊15万只以下、活禽1000万只及以下的屠宰建设项目（少数民族地区除外）”属于限制类，本项目年屠宰生猪7300头，位于甘孜藏族自治州泸定县磨西镇，属于少数民族地区，故不属于限制类，</w:t>
            </w:r>
            <w:r>
              <w:rPr>
                <w:rFonts w:hint="default" w:ascii="Times New Roman" w:hAnsi="Times New Roman" w:eastAsia="宋体" w:cs="Times New Roman"/>
                <w:color w:val="auto"/>
                <w:highlight w:val="none"/>
              </w:rPr>
              <w:t>属于</w:t>
            </w:r>
            <w:r>
              <w:rPr>
                <w:rFonts w:hint="default" w:ascii="Times New Roman" w:hAnsi="Times New Roman" w:eastAsia="宋体" w:cs="Times New Roman"/>
                <w:bCs/>
                <w:color w:val="auto"/>
                <w:highlight w:val="none"/>
              </w:rPr>
              <w:t>允许类。</w:t>
            </w:r>
          </w:p>
          <w:p w14:paraId="43B32EE4">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同时</w:t>
            </w:r>
            <w:r>
              <w:rPr>
                <w:rFonts w:hint="default" w:ascii="Times New Roman" w:hAnsi="Times New Roman" w:eastAsia="宋体" w:cs="Times New Roman"/>
                <w:bCs/>
                <w:color w:val="auto"/>
                <w:highlight w:val="none"/>
                <w:lang w:val="zh-CN"/>
              </w:rPr>
              <w:t>根据《产业结构调整指导目录</w:t>
            </w:r>
            <w:r>
              <w:rPr>
                <w:rFonts w:hint="eastAsia" w:cs="Times New Roman"/>
                <w:bCs/>
                <w:color w:val="auto"/>
                <w:highlight w:val="none"/>
                <w:lang w:val="zh-CN"/>
              </w:rPr>
              <w:t>（</w:t>
            </w:r>
            <w:r>
              <w:rPr>
                <w:rFonts w:hint="default" w:ascii="Times New Roman" w:hAnsi="Times New Roman" w:eastAsia="宋体" w:cs="Times New Roman"/>
                <w:bCs/>
                <w:color w:val="auto"/>
                <w:highlight w:val="none"/>
                <w:lang w:val="zh-CN"/>
              </w:rPr>
              <w:t>20</w:t>
            </w:r>
            <w:r>
              <w:rPr>
                <w:rFonts w:hint="default" w:ascii="Times New Roman" w:hAnsi="Times New Roman" w:eastAsia="宋体" w:cs="Times New Roman"/>
                <w:bCs/>
                <w:color w:val="auto"/>
                <w:highlight w:val="none"/>
              </w:rPr>
              <w:t>24</w:t>
            </w:r>
            <w:r>
              <w:rPr>
                <w:rFonts w:hint="default" w:ascii="Times New Roman" w:hAnsi="Times New Roman" w:eastAsia="宋体" w:cs="Times New Roman"/>
                <w:bCs/>
                <w:color w:val="auto"/>
                <w:highlight w:val="none"/>
                <w:lang w:val="zh-CN"/>
              </w:rPr>
              <w:t>年本</w:t>
            </w:r>
            <w:r>
              <w:rPr>
                <w:rFonts w:hint="eastAsia" w:ascii="Times New Roman" w:hAnsi="Times New Roman" w:eastAsia="宋体" w:cs="Times New Roman"/>
                <w:bCs/>
                <w:color w:val="auto"/>
                <w:highlight w:val="none"/>
                <w:lang w:val="zh-CN"/>
              </w:rPr>
              <w:t>）</w:t>
            </w:r>
            <w:r>
              <w:rPr>
                <w:rFonts w:hint="default" w:ascii="Times New Roman" w:hAnsi="Times New Roman" w:eastAsia="宋体" w:cs="Times New Roman"/>
                <w:bCs/>
                <w:color w:val="auto"/>
                <w:highlight w:val="none"/>
                <w:lang w:val="zh-CN"/>
              </w:rPr>
              <w:t>》</w:t>
            </w:r>
            <w:r>
              <w:rPr>
                <w:rFonts w:ascii="宋体" w:hAnsi="宋体" w:eastAsia="宋体" w:cs="宋体"/>
                <w:color w:val="auto"/>
                <w:sz w:val="24"/>
                <w:szCs w:val="24"/>
                <w:highlight w:val="none"/>
              </w:rPr>
              <w:t>第三条</w:t>
            </w:r>
            <w:r>
              <w:rPr>
                <w:rFonts w:ascii="Times New Roman" w:hAnsi="Times New Roman" w:eastAsia="Times New Roman" w:cs="Times New Roman"/>
                <w:color w:val="auto"/>
                <w:spacing w:val="-1"/>
                <w:sz w:val="24"/>
                <w:szCs w:val="24"/>
                <w:highlight w:val="none"/>
              </w:rPr>
              <w:t>“</w:t>
            </w:r>
            <w:r>
              <w:rPr>
                <w:rFonts w:ascii="宋体" w:hAnsi="宋体" w:eastAsia="宋体" w:cs="宋体"/>
                <w:color w:val="auto"/>
                <w:spacing w:val="-1"/>
                <w:sz w:val="24"/>
                <w:szCs w:val="24"/>
                <w:highlight w:val="none"/>
              </w:rPr>
              <w:t>淘汰类</w:t>
            </w:r>
            <w:r>
              <w:rPr>
                <w:rFonts w:ascii="Times New Roman" w:hAnsi="Times New Roman" w:eastAsia="Times New Roman" w:cs="Times New Roman"/>
                <w:color w:val="auto"/>
                <w:spacing w:val="-1"/>
                <w:sz w:val="24"/>
                <w:szCs w:val="24"/>
                <w:highlight w:val="none"/>
              </w:rPr>
              <w:t>”</w:t>
            </w:r>
            <w:r>
              <w:rPr>
                <w:rFonts w:ascii="宋体" w:hAnsi="宋体" w:eastAsia="宋体" w:cs="宋体"/>
                <w:color w:val="auto"/>
                <w:spacing w:val="-1"/>
                <w:sz w:val="24"/>
                <w:szCs w:val="24"/>
                <w:highlight w:val="none"/>
              </w:rPr>
              <w:t>第十二条</w:t>
            </w:r>
            <w:r>
              <w:rPr>
                <w:rFonts w:ascii="Times New Roman" w:hAnsi="Times New Roman" w:eastAsia="Times New Roman" w:cs="Times New Roman"/>
                <w:color w:val="auto"/>
                <w:spacing w:val="-1"/>
                <w:sz w:val="24"/>
                <w:szCs w:val="24"/>
                <w:highlight w:val="none"/>
              </w:rPr>
              <w:t>“</w:t>
            </w:r>
            <w:r>
              <w:rPr>
                <w:rFonts w:ascii="宋体" w:hAnsi="宋体" w:eastAsia="宋体" w:cs="宋体"/>
                <w:color w:val="auto"/>
                <w:spacing w:val="-1"/>
                <w:sz w:val="24"/>
                <w:szCs w:val="24"/>
                <w:highlight w:val="none"/>
              </w:rPr>
              <w:t>轻</w:t>
            </w:r>
            <w:r>
              <w:rPr>
                <w:rFonts w:ascii="宋体" w:hAnsi="宋体" w:eastAsia="宋体" w:cs="宋体"/>
                <w:color w:val="auto"/>
                <w:spacing w:val="-6"/>
                <w:sz w:val="24"/>
                <w:szCs w:val="24"/>
                <w:highlight w:val="none"/>
              </w:rPr>
              <w:t>工</w:t>
            </w:r>
            <w:r>
              <w:rPr>
                <w:rFonts w:ascii="Times New Roman" w:hAnsi="Times New Roman" w:eastAsia="Times New Roman" w:cs="Times New Roman"/>
                <w:color w:val="auto"/>
                <w:spacing w:val="-6"/>
                <w:sz w:val="24"/>
                <w:szCs w:val="24"/>
                <w:highlight w:val="none"/>
              </w:rPr>
              <w:t>”</w:t>
            </w:r>
            <w:r>
              <w:rPr>
                <w:rFonts w:ascii="宋体" w:hAnsi="宋体" w:eastAsia="宋体" w:cs="宋体"/>
                <w:color w:val="auto"/>
                <w:spacing w:val="-6"/>
                <w:sz w:val="24"/>
                <w:szCs w:val="24"/>
                <w:highlight w:val="none"/>
              </w:rPr>
              <w:t>第二十八款</w:t>
            </w:r>
            <w:r>
              <w:rPr>
                <w:rFonts w:ascii="Times New Roman" w:hAnsi="Times New Roman" w:eastAsia="Times New Roman" w:cs="Times New Roman"/>
                <w:color w:val="auto"/>
                <w:spacing w:val="-6"/>
                <w:sz w:val="24"/>
                <w:szCs w:val="24"/>
                <w:highlight w:val="none"/>
              </w:rPr>
              <w:t>“</w:t>
            </w:r>
            <w:r>
              <w:rPr>
                <w:rFonts w:ascii="宋体" w:hAnsi="宋体" w:eastAsia="宋体" w:cs="宋体"/>
                <w:color w:val="auto"/>
                <w:spacing w:val="-6"/>
                <w:sz w:val="24"/>
                <w:szCs w:val="24"/>
                <w:highlight w:val="none"/>
              </w:rPr>
              <w:t>桥式劈半锯、敞式生猪烫毛机等生猪屠宰设备</w:t>
            </w:r>
            <w:r>
              <w:rPr>
                <w:rFonts w:ascii="Times New Roman" w:hAnsi="Times New Roman" w:eastAsia="Times New Roman" w:cs="Times New Roman"/>
                <w:color w:val="auto"/>
                <w:spacing w:val="-6"/>
                <w:sz w:val="24"/>
                <w:szCs w:val="24"/>
                <w:highlight w:val="none"/>
              </w:rPr>
              <w:t>”</w:t>
            </w:r>
            <w:r>
              <w:rPr>
                <w:rFonts w:ascii="宋体" w:hAnsi="宋体" w:eastAsia="宋体" w:cs="宋体"/>
                <w:color w:val="auto"/>
                <w:spacing w:val="-6"/>
                <w:sz w:val="24"/>
                <w:szCs w:val="24"/>
                <w:highlight w:val="none"/>
              </w:rPr>
              <w:t>，第二十九款</w:t>
            </w:r>
            <w:r>
              <w:rPr>
                <w:rFonts w:ascii="Times New Roman" w:hAnsi="Times New Roman" w:eastAsia="Times New Roman" w:cs="Times New Roman"/>
                <w:color w:val="auto"/>
                <w:spacing w:val="-6"/>
                <w:sz w:val="24"/>
                <w:szCs w:val="24"/>
                <w:highlight w:val="none"/>
              </w:rPr>
              <w:t>“</w:t>
            </w:r>
            <w:r>
              <w:rPr>
                <w:rFonts w:ascii="宋体" w:hAnsi="宋体" w:eastAsia="宋体" w:cs="宋体"/>
                <w:color w:val="auto"/>
                <w:spacing w:val="-6"/>
                <w:sz w:val="24"/>
                <w:szCs w:val="24"/>
                <w:highlight w:val="none"/>
              </w:rPr>
              <w:t>猪、</w:t>
            </w:r>
            <w:r>
              <w:rPr>
                <w:rFonts w:ascii="宋体" w:hAnsi="宋体" w:eastAsia="宋体" w:cs="宋体"/>
                <w:color w:val="auto"/>
                <w:spacing w:val="-1"/>
                <w:sz w:val="24"/>
                <w:szCs w:val="24"/>
                <w:highlight w:val="none"/>
              </w:rPr>
              <w:t>牛、羊、禽手工屠宰工艺</w:t>
            </w:r>
            <w:r>
              <w:rPr>
                <w:rFonts w:ascii="Times New Roman" w:hAnsi="Times New Roman" w:eastAsia="Times New Roman" w:cs="Times New Roman"/>
                <w:color w:val="auto"/>
                <w:spacing w:val="-1"/>
                <w:sz w:val="24"/>
                <w:szCs w:val="24"/>
                <w:highlight w:val="none"/>
              </w:rPr>
              <w:t>”</w:t>
            </w:r>
            <w:r>
              <w:rPr>
                <w:rFonts w:ascii="宋体" w:hAnsi="宋体" w:eastAsia="宋体" w:cs="宋体"/>
                <w:color w:val="auto"/>
                <w:spacing w:val="-1"/>
                <w:sz w:val="24"/>
                <w:szCs w:val="24"/>
                <w:highlight w:val="none"/>
              </w:rPr>
              <w:t>，项目不涉及上述落后屠宰设备，且屠</w:t>
            </w:r>
            <w:r>
              <w:rPr>
                <w:rFonts w:ascii="宋体" w:hAnsi="宋体" w:eastAsia="宋体" w:cs="宋体"/>
                <w:color w:val="auto"/>
                <w:spacing w:val="-2"/>
                <w:sz w:val="24"/>
                <w:szCs w:val="24"/>
                <w:highlight w:val="none"/>
              </w:rPr>
              <w:t>宰工艺为全自</w:t>
            </w:r>
            <w:r>
              <w:rPr>
                <w:rFonts w:ascii="宋体" w:hAnsi="宋体" w:eastAsia="宋体" w:cs="宋体"/>
                <w:color w:val="auto"/>
                <w:spacing w:val="-1"/>
                <w:sz w:val="24"/>
                <w:szCs w:val="24"/>
                <w:highlight w:val="none"/>
              </w:rPr>
              <w:t>动机械式屠宰工艺，因此本项目设备不属于淘汰类设备</w:t>
            </w:r>
          </w:p>
          <w:p w14:paraId="1E1344E9">
            <w:pPr>
              <w:spacing w:line="360" w:lineRule="auto"/>
              <w:ind w:firstLine="480" w:firstLineChars="200"/>
              <w:rPr>
                <w:rFonts w:hint="default" w:ascii="Times New Roman" w:hAnsi="Times New Roman" w:eastAsia="宋体" w:cs="Times New Roman"/>
                <w:bCs/>
                <w:color w:val="auto"/>
                <w:highlight w:val="none"/>
                <w:lang w:val="zh-CN"/>
              </w:rPr>
            </w:pPr>
            <w:r>
              <w:rPr>
                <w:rFonts w:hint="default" w:ascii="Times New Roman" w:hAnsi="Times New Roman" w:eastAsia="宋体" w:cs="Times New Roman"/>
                <w:color w:val="auto"/>
                <w:highlight w:val="none"/>
              </w:rPr>
              <w:t>除此之外</w:t>
            </w:r>
            <w:r>
              <w:rPr>
                <w:rFonts w:hint="default" w:ascii="Times New Roman" w:hAnsi="Times New Roman" w:eastAsia="宋体" w:cs="Times New Roman"/>
                <w:bCs/>
                <w:color w:val="auto"/>
                <w:highlight w:val="none"/>
                <w:lang w:val="zh-CN"/>
              </w:rPr>
              <w:t>，本项目已取得海螺沟景区管理委员会发展建设</w:t>
            </w:r>
            <w:r>
              <w:rPr>
                <w:rFonts w:hint="default" w:ascii="Times New Roman" w:hAnsi="Times New Roman" w:eastAsia="宋体" w:cs="Times New Roman"/>
                <w:color w:val="auto"/>
                <w:highlight w:val="none"/>
              </w:rPr>
              <w:t>局</w:t>
            </w:r>
            <w:r>
              <w:rPr>
                <w:rFonts w:hint="default" w:ascii="Times New Roman" w:hAnsi="Times New Roman" w:eastAsia="宋体" w:cs="Times New Roman"/>
                <w:bCs/>
                <w:color w:val="auto"/>
                <w:highlight w:val="none"/>
                <w:lang w:val="zh-CN"/>
              </w:rPr>
              <w:t>出具</w:t>
            </w:r>
            <w:r>
              <w:rPr>
                <w:rFonts w:hint="eastAsia" w:cs="Times New Roman"/>
                <w:bCs/>
                <w:color w:val="auto"/>
                <w:highlight w:val="none"/>
                <w:lang w:val="en-US" w:eastAsia="zh-CN"/>
              </w:rPr>
              <w:t>的《甘孜州海螺沟景区管理委员会发展建设局关于磨西镇磨岗岭村民族团结进步示范村（民族团结进步示范社区）项目可行性研究报告的批复》（</w:t>
            </w:r>
            <w:r>
              <w:rPr>
                <w:rFonts w:hint="eastAsia"/>
                <w:color w:val="auto"/>
                <w:highlight w:val="none"/>
                <w:lang w:val="en-US" w:eastAsia="zh-CN"/>
              </w:rPr>
              <w:t>甘海发展</w:t>
            </w:r>
            <w:r>
              <w:rPr>
                <w:rFonts w:hint="eastAsia" w:ascii="微软雅黑" w:hAnsi="微软雅黑" w:eastAsia="微软雅黑" w:cs="微软雅黑"/>
                <w:color w:val="auto"/>
                <w:highlight w:val="none"/>
                <w:lang w:val="en-US" w:eastAsia="zh-CN"/>
              </w:rPr>
              <w:t>〔</w:t>
            </w:r>
            <w:r>
              <w:rPr>
                <w:rFonts w:hint="eastAsia"/>
                <w:color w:val="auto"/>
                <w:highlight w:val="none"/>
                <w:lang w:val="en-US" w:eastAsia="zh-CN"/>
              </w:rPr>
              <w:t>2024</w:t>
            </w:r>
            <w:r>
              <w:rPr>
                <w:rFonts w:hint="eastAsia" w:ascii="微软雅黑" w:hAnsi="微软雅黑" w:eastAsia="微软雅黑" w:cs="微软雅黑"/>
                <w:color w:val="auto"/>
                <w:highlight w:val="none"/>
                <w:lang w:val="en-US" w:eastAsia="zh-CN"/>
              </w:rPr>
              <w:t>〕</w:t>
            </w:r>
            <w:r>
              <w:rPr>
                <w:rFonts w:hint="eastAsia"/>
                <w:color w:val="auto"/>
                <w:highlight w:val="none"/>
                <w:lang w:val="en-US" w:eastAsia="zh-CN"/>
              </w:rPr>
              <w:t>126号</w:t>
            </w:r>
            <w:r>
              <w:rPr>
                <w:rFonts w:hint="eastAsia" w:cs="Times New Roman"/>
                <w:bCs/>
                <w:color w:val="auto"/>
                <w:highlight w:val="none"/>
                <w:lang w:val="en-US" w:eastAsia="zh-CN"/>
              </w:rPr>
              <w:t>）</w:t>
            </w:r>
            <w:r>
              <w:rPr>
                <w:rFonts w:hint="default" w:ascii="Times New Roman" w:hAnsi="Times New Roman" w:eastAsia="宋体" w:cs="Times New Roman"/>
                <w:bCs/>
                <w:color w:val="auto"/>
                <w:highlight w:val="none"/>
                <w:lang w:val="zh-CN"/>
              </w:rPr>
              <w:t>，同意本项目建设。</w:t>
            </w:r>
          </w:p>
          <w:p w14:paraId="6544DD66">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cs="Times New Roman"/>
                <w:bCs/>
                <w:color w:val="auto"/>
                <w:highlight w:val="none"/>
                <w:lang w:val="en-US" w:eastAsia="zh-CN"/>
              </w:rPr>
              <w:t>同时，甘孜藏族自治州海螺沟景区管委会城乡融合发展和生态环境局出具了《海螺沟景区管理委员会城乡生态局关于磨闵岭村民族团结进步示范村（民族团结示范社区）项目（屠宰场工程）选址、规模的函》（甘海城环函</w:t>
            </w:r>
            <w:r>
              <w:rPr>
                <w:rFonts w:hint="eastAsia" w:ascii="微软雅黑" w:hAnsi="微软雅黑" w:eastAsia="微软雅黑" w:cs="微软雅黑"/>
                <w:color w:val="auto"/>
                <w:highlight w:val="none"/>
                <w:lang w:val="en-US" w:eastAsia="zh-CN"/>
              </w:rPr>
              <w:t>〔</w:t>
            </w:r>
            <w:r>
              <w:rPr>
                <w:rFonts w:hint="eastAsia"/>
                <w:color w:val="auto"/>
                <w:highlight w:val="none"/>
                <w:lang w:val="en-US" w:eastAsia="zh-CN"/>
              </w:rPr>
              <w:t>2024</w:t>
            </w:r>
            <w:r>
              <w:rPr>
                <w:rFonts w:hint="eastAsia" w:ascii="微软雅黑" w:hAnsi="微软雅黑" w:eastAsia="微软雅黑" w:cs="微软雅黑"/>
                <w:color w:val="auto"/>
                <w:highlight w:val="none"/>
                <w:lang w:val="en-US" w:eastAsia="zh-CN"/>
              </w:rPr>
              <w:t>〕</w:t>
            </w:r>
            <w:r>
              <w:rPr>
                <w:rFonts w:hint="eastAsia" w:cs="Times New Roman"/>
                <w:bCs/>
                <w:color w:val="auto"/>
                <w:highlight w:val="none"/>
                <w:lang w:val="en-US" w:eastAsia="zh-CN"/>
              </w:rPr>
              <w:t>6号），该项目符合相关规划要求。</w:t>
            </w:r>
          </w:p>
          <w:p w14:paraId="71BFC451">
            <w:pPr>
              <w:spacing w:line="360" w:lineRule="auto"/>
              <w:ind w:firstLine="480" w:firstLineChars="200"/>
              <w:rPr>
                <w:rFonts w:hint="default"/>
                <w:color w:val="auto"/>
                <w:lang w:val="zh-CN"/>
              </w:rPr>
            </w:pPr>
            <w:r>
              <w:rPr>
                <w:rFonts w:hint="default" w:ascii="Times New Roman" w:hAnsi="Times New Roman" w:eastAsia="宋体" w:cs="Times New Roman"/>
                <w:bCs/>
                <w:color w:val="auto"/>
                <w:highlight w:val="none"/>
                <w:lang w:val="zh-CN"/>
              </w:rPr>
              <w:t>因此，本项目的建设符合国家现行产业政策。</w:t>
            </w:r>
          </w:p>
          <w:p w14:paraId="37CCB41B">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2、项目土地利用规划符合性分析</w:t>
            </w:r>
          </w:p>
          <w:p w14:paraId="05B26B96">
            <w:pPr>
              <w:autoSpaceDE w:val="0"/>
              <w:autoSpaceDN w:val="0"/>
              <w:adjustRightInd w:val="0"/>
              <w:snapToGrid w:val="0"/>
              <w:spacing w:line="360" w:lineRule="auto"/>
              <w:ind w:firstLine="480" w:firstLineChars="200"/>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本项目位于磨西镇磨岗岭村，根据</w:t>
            </w:r>
            <w:r>
              <w:rPr>
                <w:rFonts w:hint="eastAsia" w:ascii="Times New Roman" w:hAnsi="Times New Roman" w:eastAsia="宋体" w:cs="Times New Roman"/>
                <w:color w:val="auto"/>
                <w:kern w:val="0"/>
                <w:highlight w:val="none"/>
                <w:lang w:val="en-US" w:eastAsia="zh-CN"/>
              </w:rPr>
              <w:t xml:space="preserve">泸定县自然资源局出具了本项目的《建设项目用地预审与选址意见书》（用字第 </w:t>
            </w:r>
            <w:r>
              <w:rPr>
                <w:rFonts w:hint="default" w:ascii="Times New Roman" w:hAnsi="Times New Roman" w:eastAsia="宋体" w:cs="Times New Roman"/>
                <w:color w:val="auto"/>
                <w:kern w:val="0"/>
                <w:highlight w:val="none"/>
                <w:lang w:val="en-US" w:eastAsia="zh-CN"/>
              </w:rPr>
              <w:t>513</w:t>
            </w:r>
            <w:r>
              <w:rPr>
                <w:rFonts w:hint="eastAsia" w:ascii="Times New Roman" w:hAnsi="Times New Roman" w:eastAsia="宋体" w:cs="Times New Roman"/>
                <w:color w:val="auto"/>
                <w:kern w:val="0"/>
                <w:highlight w:val="none"/>
                <w:lang w:val="en-US" w:eastAsia="zh-CN"/>
              </w:rPr>
              <w:t>322202400027号），拟用地面积1998</w:t>
            </w:r>
            <w:r>
              <w:rPr>
                <w:rFonts w:hint="default" w:ascii="Times New Roman" w:hAnsi="Times New Roman" w:eastAsia="宋体" w:cs="Times New Roman"/>
                <w:color w:val="auto"/>
                <w:kern w:val="0"/>
                <w:highlight w:val="none"/>
                <w:lang w:val="en-US" w:eastAsia="zh-CN"/>
              </w:rPr>
              <w:t>m</w:t>
            </w:r>
            <w:r>
              <w:rPr>
                <w:rFonts w:hint="default" w:ascii="Times New Roman" w:hAnsi="Times New Roman" w:eastAsia="宋体" w:cs="Times New Roman"/>
                <w:color w:val="auto"/>
                <w:kern w:val="0"/>
                <w:highlight w:val="none"/>
                <w:vertAlign w:val="superscript"/>
                <w:lang w:val="en-US" w:eastAsia="zh-CN"/>
              </w:rPr>
              <w:t>2</w:t>
            </w:r>
            <w:r>
              <w:rPr>
                <w:rFonts w:hint="default" w:ascii="Times New Roman" w:hAnsi="Times New Roman" w:eastAsia="宋体" w:cs="Times New Roman"/>
                <w:color w:val="auto"/>
                <w:kern w:val="0"/>
                <w:highlight w:val="none"/>
              </w:rPr>
              <w:t>，</w:t>
            </w:r>
            <w:r>
              <w:rPr>
                <w:rFonts w:hint="eastAsia" w:cs="Times New Roman"/>
                <w:color w:val="auto"/>
                <w:kern w:val="0"/>
                <w:highlight w:val="none"/>
                <w:lang w:val="en-US" w:eastAsia="zh-CN"/>
              </w:rPr>
              <w:t>结合贡嘎山风景名胜区管理局出具的《关于核实磨西镇屠宰场项目是否占用林地的函》及泸定县林业和草原局出具的《关于核实磨西镇磨岗岭村民族团结进步示范村（民族团结进步示范社区）项目范围内的复函》，明确本项目占用林地</w:t>
            </w:r>
            <w:r>
              <w:rPr>
                <w:rFonts w:hint="eastAsia" w:ascii="Times New Roman" w:hAnsi="Times New Roman" w:eastAsia="宋体" w:cs="Times New Roman"/>
                <w:color w:val="auto"/>
                <w:kern w:val="0"/>
                <w:highlight w:val="none"/>
                <w:vertAlign w:val="baseline"/>
                <w:lang w:val="en-US" w:eastAsia="zh-CN"/>
              </w:rPr>
              <w:t>，</w:t>
            </w:r>
            <w:r>
              <w:rPr>
                <w:rFonts w:hint="eastAsia" w:cs="Times New Roman"/>
                <w:color w:val="auto"/>
                <w:kern w:val="0"/>
                <w:highlight w:val="none"/>
                <w:lang w:val="en-US" w:eastAsia="zh-CN"/>
              </w:rPr>
              <w:t>不涉及国家一级公益林和草地。目前林地手续正在办理中。</w:t>
            </w:r>
          </w:p>
          <w:p w14:paraId="3AEF6A0B">
            <w:pPr>
              <w:autoSpaceDE w:val="0"/>
              <w:autoSpaceDN w:val="0"/>
              <w:adjustRightInd w:val="0"/>
              <w:snapToGrid w:val="0"/>
              <w:spacing w:line="360" w:lineRule="auto"/>
              <w:ind w:firstLine="480" w:firstLineChars="200"/>
              <w:rPr>
                <w:rFonts w:hint="default"/>
                <w:color w:val="auto"/>
                <w:highlight w:val="none"/>
                <w:lang w:val="en-US" w:eastAsia="zh-CN"/>
              </w:rPr>
            </w:pPr>
            <w:r>
              <w:rPr>
                <w:rFonts w:hint="default" w:ascii="Times New Roman" w:hAnsi="Times New Roman" w:eastAsia="宋体" w:cs="Times New Roman"/>
                <w:color w:val="auto"/>
                <w:kern w:val="0"/>
                <w:highlight w:val="none"/>
              </w:rPr>
              <w:t>因此，本项目的用地符合相关规划，用地合理。</w:t>
            </w:r>
          </w:p>
          <w:p w14:paraId="5A7D2BDE">
            <w:pPr>
              <w:keepNext w:val="0"/>
              <w:keepLines w:val="0"/>
              <w:pageBreakBefore w:val="0"/>
              <w:widowControl w:val="0"/>
              <w:numPr>
                <w:ilvl w:val="0"/>
                <w:numId w:val="4"/>
              </w:numPr>
              <w:kinsoku/>
              <w:wordWrap w:val="0"/>
              <w:overflowPunct/>
              <w:topLinePunct w:val="0"/>
              <w:autoSpaceDE/>
              <w:autoSpaceDN/>
              <w:bidi w:val="0"/>
              <w:adjustRightInd/>
              <w:snapToGrid/>
              <w:spacing w:line="360" w:lineRule="auto"/>
              <w:ind w:firstLine="482" w:firstLineChars="200"/>
              <w:textAlignment w:val="auto"/>
              <w:rPr>
                <w:rFonts w:hint="eastAsia" w:cs="Times New Roman"/>
                <w:b/>
                <w:bCs/>
                <w:color w:val="auto"/>
                <w:highlight w:val="none"/>
                <w:lang w:val="en-US" w:eastAsia="zh-CN"/>
              </w:rPr>
            </w:pPr>
            <w:r>
              <w:rPr>
                <w:rFonts w:hint="eastAsia" w:cs="Times New Roman"/>
                <w:b/>
                <w:bCs/>
                <w:color w:val="auto"/>
                <w:highlight w:val="none"/>
                <w:lang w:val="en-US" w:eastAsia="zh-CN"/>
              </w:rPr>
              <w:t>与《生猪屠宰管理条例》（2021修订版）的符合性分析</w:t>
            </w:r>
          </w:p>
          <w:p w14:paraId="08739FA2">
            <w:pPr>
              <w:autoSpaceDE w:val="0"/>
              <w:autoSpaceDN w:val="0"/>
              <w:adjustRightInd w:val="0"/>
              <w:snapToGrid w:val="0"/>
              <w:spacing w:line="360" w:lineRule="auto"/>
              <w:ind w:firstLine="480" w:firstLineChars="200"/>
              <w:rPr>
                <w:rFonts w:hint="default"/>
                <w:color w:val="auto"/>
                <w:highlight w:val="none"/>
                <w:lang w:val="en-US" w:eastAsia="zh-CN"/>
              </w:rPr>
            </w:pPr>
            <w:r>
              <w:rPr>
                <w:rFonts w:hint="default" w:cs="Times New Roman"/>
                <w:b w:val="0"/>
                <w:bCs w:val="0"/>
                <w:color w:val="auto"/>
                <w:highlight w:val="none"/>
                <w:lang w:val="en-US" w:eastAsia="zh-CN"/>
              </w:rPr>
              <w:t>本项目与《生猪屠宰管理条例》（20</w:t>
            </w:r>
            <w:r>
              <w:rPr>
                <w:rFonts w:hint="eastAsia" w:cs="Times New Roman"/>
                <w:b w:val="0"/>
                <w:bCs w:val="0"/>
                <w:color w:val="auto"/>
                <w:highlight w:val="none"/>
                <w:lang w:val="en-US" w:eastAsia="zh-CN"/>
              </w:rPr>
              <w:t>21</w:t>
            </w:r>
            <w:r>
              <w:rPr>
                <w:rFonts w:hint="default" w:cs="Times New Roman"/>
                <w:b w:val="0"/>
                <w:bCs w:val="0"/>
                <w:color w:val="auto"/>
                <w:highlight w:val="none"/>
                <w:lang w:val="en-US" w:eastAsia="zh-CN"/>
              </w:rPr>
              <w:t>修订版）的符合性分析详见下表：</w:t>
            </w:r>
          </w:p>
          <w:p w14:paraId="6EA4FFA5">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kern w:val="2"/>
                <w:sz w:val="21"/>
                <w:szCs w:val="21"/>
                <w:highlight w:val="none"/>
              </w:rPr>
            </w:pPr>
            <w:r>
              <w:rPr>
                <w:rFonts w:hint="eastAsia" w:ascii="Times New Roman" w:hAnsi="Times New Roman" w:eastAsia="宋体" w:cs="Times New Roman"/>
                <w:b/>
                <w:bCs/>
                <w:color w:val="auto"/>
                <w:kern w:val="2"/>
                <w:sz w:val="21"/>
                <w:szCs w:val="21"/>
                <w:highlight w:val="none"/>
                <w:lang w:val="en-US" w:eastAsia="zh-CN"/>
              </w:rPr>
              <w:t>本项目与</w:t>
            </w:r>
            <w:r>
              <w:rPr>
                <w:rFonts w:hint="default" w:ascii="Times New Roman" w:hAnsi="Times New Roman" w:eastAsia="宋体" w:cs="Times New Roman"/>
                <w:b/>
                <w:bCs/>
                <w:color w:val="auto"/>
                <w:kern w:val="2"/>
                <w:sz w:val="21"/>
                <w:szCs w:val="21"/>
                <w:highlight w:val="none"/>
              </w:rPr>
              <w:t>《生猪屠宰管理条例》（20</w:t>
            </w:r>
            <w:r>
              <w:rPr>
                <w:rFonts w:hint="eastAsia" w:ascii="Times New Roman" w:hAnsi="Times New Roman" w:eastAsia="宋体" w:cs="Times New Roman"/>
                <w:b/>
                <w:bCs/>
                <w:color w:val="auto"/>
                <w:kern w:val="2"/>
                <w:sz w:val="21"/>
                <w:szCs w:val="21"/>
                <w:highlight w:val="none"/>
                <w:lang w:val="en-US" w:eastAsia="zh-CN"/>
              </w:rPr>
              <w:t>21</w:t>
            </w:r>
            <w:r>
              <w:rPr>
                <w:rFonts w:hint="default" w:ascii="Times New Roman" w:hAnsi="Times New Roman" w:eastAsia="宋体" w:cs="Times New Roman"/>
                <w:b/>
                <w:bCs/>
                <w:color w:val="auto"/>
                <w:kern w:val="2"/>
                <w:sz w:val="21"/>
                <w:szCs w:val="21"/>
                <w:highlight w:val="none"/>
              </w:rPr>
              <w:t>修订版）</w:t>
            </w:r>
            <w:r>
              <w:rPr>
                <w:rFonts w:hint="eastAsia" w:ascii="Times New Roman" w:hAnsi="Times New Roman" w:eastAsia="宋体" w:cs="Times New Roman"/>
                <w:b/>
                <w:bCs/>
                <w:color w:val="auto"/>
                <w:kern w:val="2"/>
                <w:sz w:val="21"/>
                <w:szCs w:val="21"/>
                <w:highlight w:val="none"/>
                <w:lang w:val="en-US" w:eastAsia="zh-CN"/>
              </w:rPr>
              <w:t>的符合性分析</w:t>
            </w:r>
          </w:p>
          <w:p w14:paraId="259D9F65">
            <w:pPr>
              <w:spacing w:line="93" w:lineRule="exact"/>
              <w:rPr>
                <w:b/>
                <w:bCs/>
                <w:color w:val="auto"/>
                <w:sz w:val="21"/>
                <w:szCs w:val="21"/>
                <w:highlight w:val="none"/>
              </w:rPr>
            </w:pPr>
          </w:p>
          <w:tbl>
            <w:tblPr>
              <w:tblStyle w:val="103"/>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288"/>
              <w:gridCol w:w="2482"/>
              <w:gridCol w:w="1101"/>
            </w:tblGrid>
            <w:tr w14:paraId="6A71F6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3" w:hRule="atLeast"/>
              </w:trPr>
              <w:tc>
                <w:tcPr>
                  <w:tcW w:w="2392" w:type="pct"/>
                  <w:tcBorders>
                    <w:top w:val="single" w:color="auto" w:sz="8" w:space="0"/>
                    <w:bottom w:val="single" w:color="auto" w:sz="8" w:space="0"/>
                    <w:right w:val="single" w:color="auto" w:sz="8" w:space="0"/>
                  </w:tcBorders>
                  <w:vAlign w:val="center"/>
                </w:tcPr>
                <w:p w14:paraId="26C09F70">
                  <w:pPr>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条例要求</w:t>
                  </w:r>
                </w:p>
              </w:tc>
              <w:tc>
                <w:tcPr>
                  <w:tcW w:w="1806" w:type="pct"/>
                  <w:tcBorders>
                    <w:top w:val="single" w:color="auto" w:sz="8" w:space="0"/>
                    <w:left w:val="single" w:color="auto" w:sz="8" w:space="0"/>
                    <w:bottom w:val="single" w:color="auto" w:sz="8" w:space="0"/>
                    <w:right w:val="single" w:color="auto" w:sz="8" w:space="0"/>
                  </w:tcBorders>
                  <w:vAlign w:val="center"/>
                </w:tcPr>
                <w:p w14:paraId="4D62DAF2">
                  <w:pPr>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本项目</w:t>
                  </w:r>
                </w:p>
              </w:tc>
              <w:tc>
                <w:tcPr>
                  <w:tcW w:w="801" w:type="pct"/>
                  <w:tcBorders>
                    <w:top w:val="single" w:color="auto" w:sz="8" w:space="0"/>
                    <w:left w:val="single" w:color="auto" w:sz="8" w:space="0"/>
                    <w:bottom w:val="single" w:color="auto" w:sz="8" w:space="0"/>
                    <w:right w:val="nil"/>
                  </w:tcBorders>
                  <w:vAlign w:val="center"/>
                </w:tcPr>
                <w:p w14:paraId="4C9A94E9">
                  <w:pPr>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符合性</w:t>
                  </w:r>
                </w:p>
              </w:tc>
            </w:tr>
            <w:tr w14:paraId="79C9A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6" w:hRule="atLeast"/>
              </w:trPr>
              <w:tc>
                <w:tcPr>
                  <w:tcW w:w="2392" w:type="pct"/>
                  <w:tcBorders>
                    <w:top w:val="single" w:color="auto" w:sz="8" w:space="0"/>
                    <w:left w:val="nil"/>
                    <w:bottom w:val="single" w:color="auto" w:sz="8" w:space="0"/>
                    <w:right w:val="single" w:color="auto" w:sz="8" w:space="0"/>
                  </w:tcBorders>
                  <w:vAlign w:val="center"/>
                </w:tcPr>
                <w:p w14:paraId="6203B3CC">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第</w:t>
                  </w:r>
                  <w:r>
                    <w:rPr>
                      <w:rFonts w:hint="eastAsia" w:ascii="Times New Roman" w:hAnsi="Times New Roman" w:eastAsia="宋体" w:cs="Times New Roman"/>
                      <w:b w:val="0"/>
                      <w:bCs w:val="0"/>
                      <w:color w:val="auto"/>
                      <w:sz w:val="21"/>
                      <w:szCs w:val="21"/>
                      <w:highlight w:val="none"/>
                      <w:vertAlign w:val="baseline"/>
                      <w:lang w:val="en-US" w:eastAsia="zh-CN"/>
                    </w:rPr>
                    <w:t>十一</w:t>
                  </w:r>
                  <w:r>
                    <w:rPr>
                      <w:rFonts w:hint="default" w:ascii="Times New Roman" w:hAnsi="Times New Roman" w:eastAsia="宋体" w:cs="Times New Roman"/>
                      <w:b w:val="0"/>
                      <w:bCs w:val="0"/>
                      <w:color w:val="auto"/>
                      <w:sz w:val="21"/>
                      <w:szCs w:val="21"/>
                      <w:highlight w:val="none"/>
                      <w:vertAlign w:val="baseline"/>
                      <w:lang w:val="en-US" w:eastAsia="zh-CN"/>
                    </w:rPr>
                    <w:t>条生猪定点屠宰厂(场</w:t>
                  </w:r>
                  <w:r>
                    <w:rPr>
                      <w:rFonts w:hint="eastAsia" w:cs="Times New Roman"/>
                      <w:b w:val="0"/>
                      <w:bCs w:val="0"/>
                      <w:color w:val="auto"/>
                      <w:sz w:val="21"/>
                      <w:szCs w:val="21"/>
                      <w:highlight w:val="none"/>
                      <w:vertAlign w:val="baseline"/>
                      <w:lang w:val="en-US" w:eastAsia="zh-CN"/>
                    </w:rPr>
                    <w:t>）</w:t>
                  </w:r>
                  <w:r>
                    <w:rPr>
                      <w:rFonts w:hint="default" w:ascii="Times New Roman" w:hAnsi="Times New Roman" w:eastAsia="宋体" w:cs="Times New Roman"/>
                      <w:b w:val="0"/>
                      <w:bCs w:val="0"/>
                      <w:color w:val="auto"/>
                      <w:sz w:val="21"/>
                      <w:szCs w:val="21"/>
                      <w:highlight w:val="none"/>
                      <w:vertAlign w:val="baseline"/>
                      <w:lang w:val="en-US" w:eastAsia="zh-CN"/>
                    </w:rPr>
                    <w:t>应当具备下列条件：</w:t>
                  </w:r>
                </w:p>
                <w:p w14:paraId="29CA5D21">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(一</w:t>
                  </w:r>
                  <w:r>
                    <w:rPr>
                      <w:rFonts w:hint="eastAsia" w:cs="Times New Roman"/>
                      <w:b w:val="0"/>
                      <w:bCs w:val="0"/>
                      <w:color w:val="auto"/>
                      <w:sz w:val="21"/>
                      <w:szCs w:val="21"/>
                      <w:highlight w:val="none"/>
                      <w:vertAlign w:val="baseline"/>
                      <w:lang w:val="en-US" w:eastAsia="zh-CN"/>
                    </w:rPr>
                    <w:t>）</w:t>
                  </w:r>
                  <w:r>
                    <w:rPr>
                      <w:rFonts w:hint="default" w:ascii="Times New Roman" w:hAnsi="Times New Roman" w:eastAsia="宋体" w:cs="Times New Roman"/>
                      <w:b w:val="0"/>
                      <w:bCs w:val="0"/>
                      <w:color w:val="auto"/>
                      <w:sz w:val="21"/>
                      <w:szCs w:val="21"/>
                      <w:highlight w:val="none"/>
                      <w:vertAlign w:val="baseline"/>
                      <w:lang w:val="en-US" w:eastAsia="zh-CN"/>
                    </w:rPr>
                    <w:t>有与屠宰规模相适应、水质符合国家规定标准的水源条件；</w:t>
                  </w:r>
                </w:p>
                <w:p w14:paraId="08913B3F">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(二</w:t>
                  </w:r>
                  <w:r>
                    <w:rPr>
                      <w:rFonts w:hint="eastAsia" w:cs="Times New Roman"/>
                      <w:b w:val="0"/>
                      <w:bCs w:val="0"/>
                      <w:color w:val="auto"/>
                      <w:sz w:val="21"/>
                      <w:szCs w:val="21"/>
                      <w:highlight w:val="none"/>
                      <w:vertAlign w:val="baseline"/>
                      <w:lang w:val="en-US" w:eastAsia="zh-CN"/>
                    </w:rPr>
                    <w:t>）</w:t>
                  </w:r>
                  <w:r>
                    <w:rPr>
                      <w:rFonts w:hint="default" w:ascii="Times New Roman" w:hAnsi="Times New Roman" w:eastAsia="宋体" w:cs="Times New Roman"/>
                      <w:b w:val="0"/>
                      <w:bCs w:val="0"/>
                      <w:color w:val="auto"/>
                      <w:sz w:val="21"/>
                      <w:szCs w:val="21"/>
                      <w:highlight w:val="none"/>
                      <w:vertAlign w:val="baseline"/>
                      <w:lang w:val="en-US" w:eastAsia="zh-CN"/>
                    </w:rPr>
                    <w:t>有符合国家规定要求的待宰间、屠宰间、急宰间、检验室以及生猪屠宰设备和运载工具；</w:t>
                  </w:r>
                </w:p>
                <w:p w14:paraId="241440AC">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(三</w:t>
                  </w:r>
                  <w:r>
                    <w:rPr>
                      <w:rFonts w:hint="eastAsia" w:cs="Times New Roman"/>
                      <w:b w:val="0"/>
                      <w:bCs w:val="0"/>
                      <w:color w:val="auto"/>
                      <w:sz w:val="21"/>
                      <w:szCs w:val="21"/>
                      <w:highlight w:val="none"/>
                      <w:vertAlign w:val="baseline"/>
                      <w:lang w:val="en-US" w:eastAsia="zh-CN"/>
                    </w:rPr>
                    <w:t>）</w:t>
                  </w:r>
                  <w:r>
                    <w:rPr>
                      <w:rFonts w:hint="default" w:ascii="Times New Roman" w:hAnsi="Times New Roman" w:eastAsia="宋体" w:cs="Times New Roman"/>
                      <w:b w:val="0"/>
                      <w:bCs w:val="0"/>
                      <w:color w:val="auto"/>
                      <w:sz w:val="21"/>
                      <w:szCs w:val="21"/>
                      <w:highlight w:val="none"/>
                      <w:vertAlign w:val="baseline"/>
                      <w:lang w:val="en-US" w:eastAsia="zh-CN"/>
                    </w:rPr>
                    <w:t>有依法取得健康证明的屠宰技术人员；</w:t>
                  </w:r>
                </w:p>
                <w:p w14:paraId="4FF3D6F1">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（四）有经考核合格的兽医卫生检验人员；</w:t>
                  </w:r>
                </w:p>
                <w:p w14:paraId="22F7FC71">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（五）有符合国家规定要求的检验设备、消毒设施以及符合环境保护要求的污染防治设施；</w:t>
                  </w:r>
                </w:p>
                <w:p w14:paraId="497C5197">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（六）有病害生猪及生猪产品无害化处理设施或者无害化处理委托协议；</w:t>
                  </w:r>
                </w:p>
                <w:p w14:paraId="24BA5BA5">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（七）依法取得动物防疫条件合格证。</w:t>
                  </w:r>
                </w:p>
              </w:tc>
              <w:tc>
                <w:tcPr>
                  <w:tcW w:w="1806" w:type="pct"/>
                  <w:tcBorders>
                    <w:top w:val="single" w:color="auto" w:sz="8" w:space="0"/>
                    <w:left w:val="single" w:color="auto" w:sz="8" w:space="0"/>
                    <w:bottom w:val="single" w:color="auto" w:sz="8" w:space="0"/>
                    <w:right w:val="single" w:color="auto" w:sz="8" w:space="0"/>
                  </w:tcBorders>
                  <w:vAlign w:val="center"/>
                </w:tcPr>
                <w:p w14:paraId="0578364B">
                  <w:pPr>
                    <w:jc w:val="center"/>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（一）</w:t>
                  </w:r>
                  <w:r>
                    <w:rPr>
                      <w:rFonts w:hint="default" w:ascii="Times New Roman" w:hAnsi="Times New Roman" w:eastAsia="宋体" w:cs="Times New Roman"/>
                      <w:b w:val="0"/>
                      <w:bCs w:val="0"/>
                      <w:color w:val="auto"/>
                      <w:sz w:val="21"/>
                      <w:szCs w:val="21"/>
                      <w:highlight w:val="none"/>
                      <w:vertAlign w:val="baseline"/>
                      <w:lang w:val="en-US" w:eastAsia="zh-CN"/>
                    </w:rPr>
                    <w:t>本项目所在区域主要采用自来水，水质良好，满足项目需求</w:t>
                  </w:r>
                  <w:r>
                    <w:rPr>
                      <w:rFonts w:hint="eastAsia" w:ascii="Times New Roman" w:hAnsi="Times New Roman" w:eastAsia="宋体" w:cs="Times New Roman"/>
                      <w:b w:val="0"/>
                      <w:bCs w:val="0"/>
                      <w:color w:val="auto"/>
                      <w:sz w:val="21"/>
                      <w:szCs w:val="21"/>
                      <w:highlight w:val="none"/>
                      <w:vertAlign w:val="baseline"/>
                      <w:lang w:val="en-US" w:eastAsia="zh-CN"/>
                    </w:rPr>
                    <w:t>；</w:t>
                  </w:r>
                </w:p>
                <w:p w14:paraId="559CA5F0">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（二）</w:t>
                  </w:r>
                  <w:r>
                    <w:rPr>
                      <w:rFonts w:hint="default" w:ascii="Times New Roman" w:hAnsi="Times New Roman" w:eastAsia="宋体" w:cs="Times New Roman"/>
                      <w:b w:val="0"/>
                      <w:bCs w:val="0"/>
                      <w:color w:val="auto"/>
                      <w:sz w:val="21"/>
                      <w:szCs w:val="21"/>
                      <w:highlight w:val="none"/>
                      <w:vertAlign w:val="baseline"/>
                      <w:lang w:val="en-US" w:eastAsia="zh-CN"/>
                    </w:rPr>
                    <w:t>项目配套建设符合规定的待宰间、屠宰间、急宰间以及生猪屠宰设备和运载工具；</w:t>
                  </w:r>
                </w:p>
                <w:p w14:paraId="172E1C6D">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（三）</w:t>
                  </w:r>
                  <w:r>
                    <w:rPr>
                      <w:rFonts w:hint="default" w:ascii="Times New Roman" w:hAnsi="Times New Roman" w:eastAsia="宋体" w:cs="Times New Roman"/>
                      <w:b w:val="0"/>
                      <w:bCs w:val="0"/>
                      <w:color w:val="auto"/>
                      <w:sz w:val="21"/>
                      <w:szCs w:val="21"/>
                      <w:highlight w:val="none"/>
                      <w:vertAlign w:val="baseline"/>
                      <w:lang w:val="en-US" w:eastAsia="zh-CN"/>
                    </w:rPr>
                    <w:t>本项目为</w:t>
                  </w:r>
                  <w:r>
                    <w:rPr>
                      <w:rFonts w:hint="eastAsia" w:ascii="Times New Roman" w:hAnsi="Times New Roman" w:eastAsia="宋体" w:cs="Times New Roman"/>
                      <w:b w:val="0"/>
                      <w:bCs w:val="0"/>
                      <w:color w:val="auto"/>
                      <w:sz w:val="21"/>
                      <w:szCs w:val="21"/>
                      <w:highlight w:val="none"/>
                      <w:vertAlign w:val="baseline"/>
                      <w:lang w:val="en-US" w:eastAsia="zh-CN"/>
                    </w:rPr>
                    <w:t>新</w:t>
                  </w:r>
                  <w:r>
                    <w:rPr>
                      <w:rFonts w:hint="default" w:ascii="Times New Roman" w:hAnsi="Times New Roman" w:eastAsia="宋体" w:cs="Times New Roman"/>
                      <w:b w:val="0"/>
                      <w:bCs w:val="0"/>
                      <w:color w:val="auto"/>
                      <w:sz w:val="21"/>
                      <w:szCs w:val="21"/>
                      <w:highlight w:val="none"/>
                      <w:vertAlign w:val="baseline"/>
                      <w:lang w:val="en-US" w:eastAsia="zh-CN"/>
                    </w:rPr>
                    <w:t>建项目，劳动定员</w:t>
                  </w:r>
                  <w:r>
                    <w:rPr>
                      <w:rFonts w:hint="eastAsia" w:ascii="Times New Roman" w:hAnsi="Times New Roman" w:eastAsia="宋体" w:cs="Times New Roman"/>
                      <w:b w:val="0"/>
                      <w:bCs w:val="0"/>
                      <w:color w:val="auto"/>
                      <w:sz w:val="21"/>
                      <w:szCs w:val="21"/>
                      <w:highlight w:val="none"/>
                      <w:vertAlign w:val="baseline"/>
                      <w:lang w:val="en-US" w:eastAsia="zh-CN"/>
                    </w:rPr>
                    <w:t>将采用</w:t>
                  </w:r>
                  <w:r>
                    <w:rPr>
                      <w:rFonts w:hint="default" w:ascii="Times New Roman" w:hAnsi="Times New Roman" w:eastAsia="宋体" w:cs="Times New Roman"/>
                      <w:b w:val="0"/>
                      <w:bCs w:val="0"/>
                      <w:color w:val="auto"/>
                      <w:sz w:val="21"/>
                      <w:szCs w:val="21"/>
                      <w:highlight w:val="none"/>
                      <w:vertAlign w:val="baseline"/>
                      <w:lang w:val="en-US" w:eastAsia="zh-CN"/>
                    </w:rPr>
                    <w:t>取得健康证明的屠宰技术人员</w:t>
                  </w:r>
                  <w:r>
                    <w:rPr>
                      <w:rFonts w:hint="eastAsia" w:ascii="Times New Roman" w:hAnsi="Times New Roman" w:eastAsia="宋体" w:cs="Times New Roman"/>
                      <w:b w:val="0"/>
                      <w:bCs w:val="0"/>
                      <w:color w:val="auto"/>
                      <w:sz w:val="21"/>
                      <w:szCs w:val="21"/>
                      <w:highlight w:val="none"/>
                      <w:vertAlign w:val="baseline"/>
                      <w:lang w:val="en-US" w:eastAsia="zh-CN"/>
                    </w:rPr>
                    <w:t>；</w:t>
                  </w:r>
                </w:p>
                <w:p w14:paraId="555168BD">
                  <w:pPr>
                    <w:jc w:val="center"/>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（四）本项目将采用</w:t>
                  </w:r>
                  <w:r>
                    <w:rPr>
                      <w:rFonts w:hint="default" w:ascii="Times New Roman" w:hAnsi="Times New Roman" w:eastAsia="宋体" w:cs="Times New Roman"/>
                      <w:b w:val="0"/>
                      <w:bCs w:val="0"/>
                      <w:color w:val="auto"/>
                      <w:sz w:val="21"/>
                      <w:szCs w:val="21"/>
                      <w:highlight w:val="none"/>
                      <w:vertAlign w:val="baseline"/>
                      <w:lang w:val="en-US" w:eastAsia="zh-CN"/>
                    </w:rPr>
                    <w:t>经考核合格的兽医卫生检验人员；</w:t>
                  </w:r>
                </w:p>
                <w:p w14:paraId="528E05CD">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（五）</w:t>
                  </w:r>
                  <w:r>
                    <w:rPr>
                      <w:rFonts w:hint="default" w:ascii="Times New Roman" w:hAnsi="Times New Roman" w:eastAsia="宋体" w:cs="Times New Roman"/>
                      <w:b w:val="0"/>
                      <w:bCs w:val="0"/>
                      <w:color w:val="auto"/>
                      <w:sz w:val="21"/>
                      <w:szCs w:val="21"/>
                      <w:highlight w:val="none"/>
                      <w:vertAlign w:val="baseline"/>
                      <w:lang w:val="en-US" w:eastAsia="zh-CN"/>
                    </w:rPr>
                    <w:t>项目设置检验室，配备合格设备、消毒设施；设置大气、废水、固废、噪声等污染防治设施；</w:t>
                  </w:r>
                </w:p>
                <w:p w14:paraId="0C3F0294">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（六）本项目</w:t>
                  </w:r>
                  <w:r>
                    <w:rPr>
                      <w:rFonts w:hint="eastAsia" w:cs="Times New Roman"/>
                      <w:b w:val="0"/>
                      <w:bCs w:val="0"/>
                      <w:color w:val="auto"/>
                      <w:sz w:val="21"/>
                      <w:szCs w:val="21"/>
                      <w:highlight w:val="none"/>
                      <w:vertAlign w:val="baseline"/>
                      <w:lang w:val="en-US" w:eastAsia="zh-CN"/>
                    </w:rPr>
                    <w:t>病害生猪及生猪产品委托成都市科农动物无害化处置有限公司进行集中处置</w:t>
                  </w:r>
                  <w:r>
                    <w:rPr>
                      <w:rFonts w:hint="eastAsia" w:ascii="Times New Roman" w:hAnsi="Times New Roman" w:eastAsia="宋体" w:cs="Times New Roman"/>
                      <w:b w:val="0"/>
                      <w:bCs w:val="0"/>
                      <w:color w:val="auto"/>
                      <w:sz w:val="21"/>
                      <w:szCs w:val="21"/>
                      <w:highlight w:val="none"/>
                      <w:vertAlign w:val="baseline"/>
                      <w:lang w:val="en-US" w:eastAsia="zh-CN"/>
                    </w:rPr>
                    <w:t>。</w:t>
                  </w:r>
                </w:p>
                <w:p w14:paraId="7DDFFA9E">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（七）本项目将依法</w:t>
                  </w:r>
                  <w:r>
                    <w:rPr>
                      <w:rFonts w:hint="default" w:ascii="Times New Roman" w:hAnsi="Times New Roman" w:eastAsia="宋体" w:cs="Times New Roman"/>
                      <w:b w:val="0"/>
                      <w:bCs w:val="0"/>
                      <w:color w:val="auto"/>
                      <w:sz w:val="21"/>
                      <w:szCs w:val="21"/>
                      <w:highlight w:val="none"/>
                      <w:vertAlign w:val="baseline"/>
                      <w:lang w:val="en-US" w:eastAsia="zh-CN"/>
                    </w:rPr>
                    <w:t>取得防疫条件合格证。</w:t>
                  </w:r>
                </w:p>
              </w:tc>
              <w:tc>
                <w:tcPr>
                  <w:tcW w:w="801" w:type="pct"/>
                  <w:tcBorders>
                    <w:top w:val="single" w:color="auto" w:sz="8" w:space="0"/>
                    <w:left w:val="single" w:color="auto" w:sz="8" w:space="0"/>
                    <w:bottom w:val="single" w:color="auto" w:sz="8" w:space="0"/>
                    <w:right w:val="nil"/>
                  </w:tcBorders>
                  <w:vAlign w:val="center"/>
                </w:tcPr>
                <w:p w14:paraId="2F1F1032">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符合</w:t>
                  </w:r>
                </w:p>
              </w:tc>
            </w:tr>
            <w:tr w14:paraId="6A0BA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2392" w:type="pct"/>
                  <w:tcBorders>
                    <w:top w:val="single" w:color="auto" w:sz="8" w:space="0"/>
                    <w:left w:val="nil"/>
                    <w:bottom w:val="single" w:color="auto" w:sz="8" w:space="0"/>
                    <w:right w:val="single" w:color="auto" w:sz="8" w:space="0"/>
                  </w:tcBorders>
                  <w:vAlign w:val="center"/>
                </w:tcPr>
                <w:p w14:paraId="09F05DE4">
                  <w:pPr>
                    <w:jc w:val="both"/>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第十四条　生猪定点屠宰厂（场）屠宰生猪，应当遵守国家规定的操作规程、技术要求和生猪屠宰质量管理规范，并严格执行消毒技术规范。发生动物疫情时，应当按照国务院农业农村主管部门的规定，开展动物疫病检测，做好动物疫情排查和报告</w:t>
                  </w:r>
                </w:p>
              </w:tc>
              <w:tc>
                <w:tcPr>
                  <w:tcW w:w="1806" w:type="pct"/>
                  <w:tcBorders>
                    <w:top w:val="single" w:color="auto" w:sz="8" w:space="0"/>
                    <w:left w:val="single" w:color="auto" w:sz="8" w:space="0"/>
                    <w:bottom w:val="single" w:color="auto" w:sz="8" w:space="0"/>
                    <w:right w:val="single" w:color="auto" w:sz="8" w:space="0"/>
                  </w:tcBorders>
                  <w:vAlign w:val="center"/>
                </w:tcPr>
                <w:p w14:paraId="093D21D2">
                  <w:pPr>
                    <w:jc w:val="both"/>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本项目采取了先进的自动宰杀工艺，技术人员均符合相关技术条件，操作满足相关规定。发生动物疫情时，</w:t>
                  </w:r>
                  <w:r>
                    <w:rPr>
                      <w:rFonts w:hint="eastAsia" w:ascii="Times New Roman" w:hAnsi="Times New Roman" w:eastAsia="宋体" w:cs="Times New Roman"/>
                      <w:b w:val="0"/>
                      <w:bCs w:val="0"/>
                      <w:color w:val="auto"/>
                      <w:sz w:val="21"/>
                      <w:szCs w:val="21"/>
                      <w:highlight w:val="none"/>
                      <w:vertAlign w:val="baseline"/>
                      <w:lang w:val="en-US" w:eastAsia="zh-CN"/>
                    </w:rPr>
                    <w:t>严格</w:t>
                  </w:r>
                  <w:r>
                    <w:rPr>
                      <w:rFonts w:hint="default" w:ascii="Times New Roman" w:hAnsi="Times New Roman" w:eastAsia="宋体" w:cs="Times New Roman"/>
                      <w:b w:val="0"/>
                      <w:bCs w:val="0"/>
                      <w:color w:val="auto"/>
                      <w:sz w:val="21"/>
                      <w:szCs w:val="21"/>
                      <w:highlight w:val="none"/>
                      <w:vertAlign w:val="baseline"/>
                      <w:lang w:val="en-US" w:eastAsia="zh-CN"/>
                    </w:rPr>
                    <w:t>按照国务院农业农村主管部门的规定，开展动物疫病检测，做好动物疫情排查和报告</w:t>
                  </w:r>
                </w:p>
              </w:tc>
              <w:tc>
                <w:tcPr>
                  <w:tcW w:w="801" w:type="pct"/>
                  <w:tcBorders>
                    <w:top w:val="single" w:color="auto" w:sz="8" w:space="0"/>
                    <w:left w:val="single" w:color="auto" w:sz="8" w:space="0"/>
                    <w:bottom w:val="single" w:color="auto" w:sz="8" w:space="0"/>
                    <w:right w:val="nil"/>
                  </w:tcBorders>
                  <w:vAlign w:val="center"/>
                </w:tcPr>
                <w:p w14:paraId="1B1B9E89">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符合</w:t>
                  </w:r>
                </w:p>
              </w:tc>
            </w:tr>
          </w:tbl>
          <w:p w14:paraId="0EFE52B6">
            <w:pPr>
              <w:pStyle w:val="73"/>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由上表可知，</w:t>
            </w:r>
            <w:r>
              <w:rPr>
                <w:rFonts w:hint="eastAsia" w:ascii="Times New Roman" w:hAnsi="Times New Roman" w:eastAsia="宋体" w:cs="Times New Roman"/>
                <w:color w:val="auto"/>
                <w:highlight w:val="none"/>
                <w:lang w:val="en-US" w:eastAsia="zh-CN"/>
              </w:rPr>
              <w:t>本</w:t>
            </w:r>
            <w:r>
              <w:rPr>
                <w:rFonts w:hint="default" w:ascii="Times New Roman" w:hAnsi="Times New Roman" w:eastAsia="宋体" w:cs="Times New Roman"/>
                <w:color w:val="auto"/>
                <w:highlight w:val="none"/>
              </w:rPr>
              <w:t>项目符合《生猪屠宰管理条例》（2021修订版）</w:t>
            </w:r>
            <w:r>
              <w:rPr>
                <w:rFonts w:hint="eastAsia"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要求。</w:t>
            </w:r>
          </w:p>
          <w:p w14:paraId="5CBA5207">
            <w:pPr>
              <w:keepNext w:val="0"/>
              <w:keepLines w:val="0"/>
              <w:pageBreakBefore w:val="0"/>
              <w:widowControl w:val="0"/>
              <w:kinsoku/>
              <w:wordWrap w:val="0"/>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4、</w:t>
            </w:r>
            <w:r>
              <w:rPr>
                <w:rFonts w:hint="default" w:ascii="Times New Roman" w:hAnsi="Times New Roman" w:eastAsia="宋体" w:cs="Times New Roman"/>
                <w:b/>
                <w:bCs/>
                <w:color w:val="auto"/>
                <w:highlight w:val="none"/>
                <w:lang w:val="en-US" w:eastAsia="zh-CN"/>
              </w:rPr>
              <w:t>与《食品安全国家标准 畜禽屠宰加工卫生规范》（GB 12694-2016）的符合性分析</w:t>
            </w:r>
          </w:p>
          <w:p w14:paraId="36F2241F">
            <w:pPr>
              <w:autoSpaceDE w:val="0"/>
              <w:autoSpaceDN w:val="0"/>
              <w:adjustRightInd w:val="0"/>
              <w:snapToGrid w:val="0"/>
              <w:spacing w:line="360" w:lineRule="auto"/>
              <w:ind w:firstLine="480" w:firstLineChars="200"/>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本项目与《食品安全国家标准 畜禽屠宰加工卫生规范》（</w:t>
            </w:r>
            <w:r>
              <w:rPr>
                <w:rFonts w:hint="default" w:ascii="Times New Roman" w:hAnsi="Times New Roman" w:eastAsia="宋体" w:cs="Times New Roman"/>
                <w:color w:val="auto"/>
                <w:kern w:val="0"/>
                <w:highlight w:val="none"/>
                <w:lang w:val="en-US" w:eastAsia="zh-CN"/>
              </w:rPr>
              <w:t>GB 12694-2016</w:t>
            </w:r>
            <w:r>
              <w:rPr>
                <w:rFonts w:hint="eastAsia" w:ascii="Times New Roman" w:hAnsi="Times New Roman" w:eastAsia="宋体" w:cs="Times New Roman"/>
                <w:color w:val="auto"/>
                <w:kern w:val="0"/>
                <w:highlight w:val="none"/>
                <w:lang w:val="en-US" w:eastAsia="zh-CN"/>
              </w:rPr>
              <w:t>）的符合性分析详见下表：</w:t>
            </w:r>
          </w:p>
          <w:p w14:paraId="3AF67704">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本项目与</w:t>
            </w:r>
            <w:r>
              <w:rPr>
                <w:rFonts w:hint="default" w:ascii="Times New Roman" w:hAnsi="Times New Roman" w:eastAsia="宋体" w:cs="Times New Roman"/>
                <w:b/>
                <w:bCs/>
                <w:color w:val="auto"/>
                <w:sz w:val="21"/>
                <w:szCs w:val="21"/>
                <w:highlight w:val="none"/>
                <w:lang w:val="en-US" w:eastAsia="zh-CN"/>
              </w:rPr>
              <w:t>《食品安全国家标准 畜禽屠宰加工卫生规范》（GB 12694-2016）</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57"/>
              <w:gridCol w:w="2951"/>
              <w:gridCol w:w="859"/>
            </w:tblGrid>
            <w:tr w14:paraId="3F1A8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vAlign w:val="center"/>
                </w:tcPr>
                <w:p w14:paraId="2B050121">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规范要求</w:t>
                  </w:r>
                </w:p>
              </w:tc>
              <w:tc>
                <w:tcPr>
                  <w:tcW w:w="2149" w:type="pct"/>
                  <w:vAlign w:val="center"/>
                </w:tcPr>
                <w:p w14:paraId="460AA8C5">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本项目建设情况</w:t>
                  </w:r>
                </w:p>
              </w:tc>
              <w:tc>
                <w:tcPr>
                  <w:tcW w:w="624" w:type="pct"/>
                  <w:tcBorders>
                    <w:right w:val="nil"/>
                  </w:tcBorders>
                  <w:vAlign w:val="center"/>
                </w:tcPr>
                <w:p w14:paraId="2CB3D982">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符合性</w:t>
                  </w:r>
                </w:p>
              </w:tc>
            </w:tr>
            <w:tr w14:paraId="603A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3"/>
                  <w:tcBorders>
                    <w:left w:val="nil"/>
                    <w:right w:val="nil"/>
                  </w:tcBorders>
                  <w:vAlign w:val="center"/>
                </w:tcPr>
                <w:p w14:paraId="4E323D39">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选址</w:t>
                  </w:r>
                </w:p>
              </w:tc>
            </w:tr>
            <w:tr w14:paraId="3DE04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5415E3AA">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卫生防护距离应符合GB18078. 1及动物防疫要求。</w:t>
                  </w:r>
                </w:p>
              </w:tc>
              <w:tc>
                <w:tcPr>
                  <w:tcW w:w="2149" w:type="pct"/>
                  <w:vAlign w:val="center"/>
                </w:tcPr>
                <w:p w14:paraId="10DB6756">
                  <w:pPr>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GB18078.1已被GB/T39499-2020代替，根据其计算应设置</w:t>
                  </w:r>
                  <w:r>
                    <w:rPr>
                      <w:rFonts w:hint="eastAsia" w:cs="Times New Roman"/>
                      <w:b w:val="0"/>
                      <w:bCs w:val="0"/>
                      <w:color w:val="auto"/>
                      <w:sz w:val="21"/>
                      <w:szCs w:val="21"/>
                      <w:highlight w:val="none"/>
                      <w:vertAlign w:val="baseline"/>
                      <w:lang w:val="en-US" w:eastAsia="zh-CN"/>
                    </w:rPr>
                    <w:t>100</w:t>
                  </w:r>
                  <w:r>
                    <w:rPr>
                      <w:rFonts w:hint="default" w:ascii="Times New Roman" w:hAnsi="Times New Roman" w:eastAsia="宋体" w:cs="Times New Roman"/>
                      <w:b w:val="0"/>
                      <w:bCs w:val="0"/>
                      <w:color w:val="auto"/>
                      <w:sz w:val="21"/>
                      <w:szCs w:val="21"/>
                      <w:highlight w:val="none"/>
                      <w:vertAlign w:val="baseline"/>
                      <w:lang w:val="en-US" w:eastAsia="zh-CN"/>
                    </w:rPr>
                    <w:t>m的卫生防护距离。</w:t>
                  </w:r>
                </w:p>
              </w:tc>
              <w:tc>
                <w:tcPr>
                  <w:tcW w:w="624" w:type="pct"/>
                  <w:tcBorders>
                    <w:right w:val="nil"/>
                  </w:tcBorders>
                  <w:vAlign w:val="center"/>
                </w:tcPr>
                <w:p w14:paraId="51CA8252">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09B36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26" w:type="pct"/>
                  <w:tcBorders>
                    <w:left w:val="nil"/>
                  </w:tcBorders>
                  <w:vAlign w:val="center"/>
                </w:tcPr>
                <w:p w14:paraId="40FB4A67">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厂址周围应有良好的环境卫生条件。厂区应远离受污染的水体，并应避开产生有害气体、烟雾、粉尘等污染源的工业企业或其他产生污染源的地区或场所。</w:t>
                  </w:r>
                </w:p>
              </w:tc>
              <w:tc>
                <w:tcPr>
                  <w:tcW w:w="2149" w:type="pct"/>
                  <w:vAlign w:val="center"/>
                </w:tcPr>
                <w:p w14:paraId="3B040133">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厂址周围无受污染的水体，无产生有害气体、烟雾、粉尘等污染源的工业企业或其他产生污染源的地区或场所。</w:t>
                  </w:r>
                </w:p>
              </w:tc>
              <w:tc>
                <w:tcPr>
                  <w:tcW w:w="624" w:type="pct"/>
                  <w:tcBorders>
                    <w:right w:val="nil"/>
                  </w:tcBorders>
                  <w:vAlign w:val="center"/>
                </w:tcPr>
                <w:p w14:paraId="3CAD6A1C">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413B9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26" w:type="pct"/>
                  <w:tcBorders>
                    <w:left w:val="nil"/>
                  </w:tcBorders>
                  <w:vAlign w:val="center"/>
                </w:tcPr>
                <w:p w14:paraId="785963EA">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厂址必须具备符合要求的水源和电源，应结合工艺要求因地制宜地确定，并应符合屠宰企业设置规划的要求。</w:t>
                  </w:r>
                </w:p>
              </w:tc>
              <w:tc>
                <w:tcPr>
                  <w:tcW w:w="2149" w:type="pct"/>
                  <w:vAlign w:val="center"/>
                </w:tcPr>
                <w:p w14:paraId="29CEE2D2">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厂址具备符合要求的水源和电源。</w:t>
                  </w:r>
                </w:p>
              </w:tc>
              <w:tc>
                <w:tcPr>
                  <w:tcW w:w="624" w:type="pct"/>
                  <w:tcBorders>
                    <w:right w:val="nil"/>
                  </w:tcBorders>
                  <w:vAlign w:val="center"/>
                </w:tcPr>
                <w:p w14:paraId="382DCDF2">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7BABE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left w:val="nil"/>
                    <w:right w:val="nil"/>
                  </w:tcBorders>
                  <w:vAlign w:val="center"/>
                </w:tcPr>
                <w:p w14:paraId="34F1C9FE">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厂区环境</w:t>
                  </w:r>
                </w:p>
              </w:tc>
            </w:tr>
            <w:tr w14:paraId="2C959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4397D3EA">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厂区主要道路应硬化（如混凝土或沥青路 面等），路面平整、易冲洗，不积水。</w:t>
                  </w:r>
                </w:p>
              </w:tc>
              <w:tc>
                <w:tcPr>
                  <w:tcW w:w="2149" w:type="pct"/>
                  <w:vAlign w:val="center"/>
                </w:tcPr>
                <w:p w14:paraId="170AEC5C">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厂区道路将全部硬化。</w:t>
                  </w:r>
                </w:p>
              </w:tc>
              <w:tc>
                <w:tcPr>
                  <w:tcW w:w="624" w:type="pct"/>
                  <w:tcBorders>
                    <w:right w:val="nil"/>
                  </w:tcBorders>
                  <w:vAlign w:val="center"/>
                </w:tcPr>
                <w:p w14:paraId="21B0E25F">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36009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55ADEDDB">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厂区应设有废弃物、垃圾暂存或处理设施，废弃物应及时清除或处理，避免对厂区环境造成污染。厂区内不应堆放废弃设备和其他杂物。</w:t>
                  </w:r>
                </w:p>
              </w:tc>
              <w:tc>
                <w:tcPr>
                  <w:tcW w:w="2149" w:type="pct"/>
                  <w:vAlign w:val="center"/>
                </w:tcPr>
                <w:p w14:paraId="0051457A">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厂内设有</w:t>
                  </w:r>
                  <w:r>
                    <w:rPr>
                      <w:rFonts w:hint="eastAsia" w:cs="Times New Roman"/>
                      <w:b w:val="0"/>
                      <w:bCs w:val="0"/>
                      <w:color w:val="auto"/>
                      <w:sz w:val="21"/>
                      <w:szCs w:val="21"/>
                      <w:highlight w:val="none"/>
                      <w:vertAlign w:val="baseline"/>
                      <w:lang w:val="en-US" w:eastAsia="zh-CN"/>
                    </w:rPr>
                    <w:t>病体间</w:t>
                  </w:r>
                  <w:r>
                    <w:rPr>
                      <w:rFonts w:hint="default" w:ascii="Times New Roman" w:hAnsi="Times New Roman" w:eastAsia="宋体" w:cs="Times New Roman"/>
                      <w:b w:val="0"/>
                      <w:bCs w:val="0"/>
                      <w:color w:val="auto"/>
                      <w:sz w:val="21"/>
                      <w:szCs w:val="21"/>
                      <w:highlight w:val="none"/>
                      <w:vertAlign w:val="baseline"/>
                      <w:lang w:val="en-US" w:eastAsia="zh-CN"/>
                    </w:rPr>
                    <w:t>，对病死猪、不合格胴体及内脏进行</w:t>
                  </w:r>
                  <w:r>
                    <w:rPr>
                      <w:rFonts w:hint="eastAsia" w:cs="Times New Roman"/>
                      <w:b w:val="0"/>
                      <w:bCs w:val="0"/>
                      <w:color w:val="auto"/>
                      <w:sz w:val="21"/>
                      <w:szCs w:val="21"/>
                      <w:highlight w:val="none"/>
                      <w:vertAlign w:val="baseline"/>
                      <w:lang w:val="en-US" w:eastAsia="zh-CN"/>
                    </w:rPr>
                    <w:t>暂存</w:t>
                  </w:r>
                  <w:r>
                    <w:rPr>
                      <w:rFonts w:hint="default" w:ascii="Times New Roman" w:hAnsi="Times New Roman" w:eastAsia="宋体" w:cs="Times New Roman"/>
                      <w:b w:val="0"/>
                      <w:bCs w:val="0"/>
                      <w:color w:val="auto"/>
                      <w:sz w:val="21"/>
                      <w:szCs w:val="21"/>
                      <w:highlight w:val="none"/>
                      <w:vertAlign w:val="baseline"/>
                      <w:lang w:val="en-US" w:eastAsia="zh-CN"/>
                    </w:rPr>
                    <w:t>，</w:t>
                  </w:r>
                  <w:r>
                    <w:rPr>
                      <w:rFonts w:hint="eastAsia" w:ascii="Times New Roman" w:hAnsi="Times New Roman" w:eastAsia="宋体" w:cs="Times New Roman"/>
                      <w:b w:val="0"/>
                      <w:bCs w:val="0"/>
                      <w:color w:val="auto"/>
                      <w:sz w:val="21"/>
                      <w:szCs w:val="21"/>
                      <w:highlight w:val="none"/>
                      <w:vertAlign w:val="baseline"/>
                      <w:lang w:val="en-US" w:eastAsia="zh-CN"/>
                    </w:rPr>
                    <w:t>设有猪粪、猪毛及肠内容物暂存间，定期清运</w:t>
                  </w:r>
                  <w:r>
                    <w:rPr>
                      <w:rFonts w:hint="default" w:ascii="Times New Roman" w:hAnsi="Times New Roman" w:eastAsia="宋体" w:cs="Times New Roman"/>
                      <w:b w:val="0"/>
                      <w:bCs w:val="0"/>
                      <w:color w:val="auto"/>
                      <w:sz w:val="21"/>
                      <w:szCs w:val="21"/>
                      <w:highlight w:val="none"/>
                      <w:vertAlign w:val="baseline"/>
                      <w:lang w:val="en-US" w:eastAsia="zh-CN"/>
                    </w:rPr>
                    <w:t>不在厂区长期堆存。</w:t>
                  </w:r>
                </w:p>
              </w:tc>
              <w:tc>
                <w:tcPr>
                  <w:tcW w:w="624" w:type="pct"/>
                  <w:tcBorders>
                    <w:right w:val="nil"/>
                  </w:tcBorders>
                  <w:vAlign w:val="center"/>
                </w:tcPr>
                <w:p w14:paraId="61DF79EC">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0111C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6FF6BA76">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废弃物存放和处理排放应符合国家环保要求。</w:t>
                  </w:r>
                </w:p>
              </w:tc>
              <w:tc>
                <w:tcPr>
                  <w:tcW w:w="2149" w:type="pct"/>
                  <w:vAlign w:val="center"/>
                </w:tcPr>
                <w:p w14:paraId="6B643663">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按照本次评价提出的要求，废弃物的存放和处理排放均能符合国家环保要求。</w:t>
                  </w:r>
                </w:p>
              </w:tc>
              <w:tc>
                <w:tcPr>
                  <w:tcW w:w="624" w:type="pct"/>
                  <w:tcBorders>
                    <w:right w:val="nil"/>
                  </w:tcBorders>
                  <w:vAlign w:val="center"/>
                </w:tcPr>
                <w:p w14:paraId="5B364A38">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4A1B5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1D5F37E8">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厂区内禁止饲养与屠宰加工无关的动物。</w:t>
                  </w:r>
                </w:p>
              </w:tc>
              <w:tc>
                <w:tcPr>
                  <w:tcW w:w="2149" w:type="pct"/>
                  <w:vAlign w:val="center"/>
                </w:tcPr>
                <w:p w14:paraId="72060384">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项目</w:t>
                  </w:r>
                  <w:r>
                    <w:rPr>
                      <w:rFonts w:hint="eastAsia" w:ascii="Times New Roman" w:hAnsi="Times New Roman" w:eastAsia="宋体" w:cs="Times New Roman"/>
                      <w:b w:val="0"/>
                      <w:bCs w:val="0"/>
                      <w:color w:val="auto"/>
                      <w:sz w:val="21"/>
                      <w:szCs w:val="21"/>
                      <w:highlight w:val="none"/>
                      <w:vertAlign w:val="baseline"/>
                      <w:lang w:val="en-US" w:eastAsia="zh-CN"/>
                    </w:rPr>
                    <w:t>生猪</w:t>
                  </w:r>
                  <w:r>
                    <w:rPr>
                      <w:rFonts w:hint="default" w:ascii="Times New Roman" w:hAnsi="Times New Roman" w:eastAsia="宋体" w:cs="Times New Roman"/>
                      <w:b w:val="0"/>
                      <w:bCs w:val="0"/>
                      <w:color w:val="auto"/>
                      <w:sz w:val="21"/>
                      <w:szCs w:val="21"/>
                      <w:highlight w:val="none"/>
                      <w:vertAlign w:val="baseline"/>
                      <w:lang w:val="en-US" w:eastAsia="zh-CN"/>
                    </w:rPr>
                    <w:t>仅在待宰圈进行静养，静养时间约为12~24h。厂内不饲养与屠宰加工无关的动物</w:t>
                  </w:r>
                </w:p>
              </w:tc>
              <w:tc>
                <w:tcPr>
                  <w:tcW w:w="624" w:type="pct"/>
                  <w:tcBorders>
                    <w:right w:val="nil"/>
                  </w:tcBorders>
                  <w:vAlign w:val="center"/>
                </w:tcPr>
                <w:p w14:paraId="7D77E31E">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3456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left w:val="nil"/>
                    <w:right w:val="nil"/>
                  </w:tcBorders>
                  <w:vAlign w:val="center"/>
                </w:tcPr>
                <w:p w14:paraId="37F75AFB">
                  <w:pPr>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设计和布局</w:t>
                  </w:r>
                </w:p>
              </w:tc>
            </w:tr>
            <w:tr w14:paraId="45915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09C00D19">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厂区应划分为生产区和非生产区。活畜禽、废弃物运送与成品出厂不得共用一个大门，场内不得共用一个通道。</w:t>
                  </w:r>
                </w:p>
              </w:tc>
              <w:tc>
                <w:tcPr>
                  <w:tcW w:w="2149" w:type="pct"/>
                  <w:vAlign w:val="center"/>
                </w:tcPr>
                <w:p w14:paraId="1147F375">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厂区平面布置按照生产区和非生产区布置。活畜禽、废弃物运送与成品出厂不共用一个大门，场内设置两个通道。</w:t>
                  </w:r>
                </w:p>
              </w:tc>
              <w:tc>
                <w:tcPr>
                  <w:tcW w:w="624" w:type="pct"/>
                  <w:tcBorders>
                    <w:right w:val="nil"/>
                  </w:tcBorders>
                  <w:vAlign w:val="center"/>
                </w:tcPr>
                <w:p w14:paraId="03D3EA7F">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47082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37691AC3">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生产区各车间的布局与设施应满足生产工艺流程和卫生要求。车间清洁区与非清洁区应分隔。</w:t>
                  </w:r>
                </w:p>
              </w:tc>
              <w:tc>
                <w:tcPr>
                  <w:tcW w:w="2149" w:type="pct"/>
                  <w:vAlign w:val="center"/>
                </w:tcPr>
                <w:p w14:paraId="6A41E82F">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生产区各车间的布局与设施满足生产工艺流程和卫生要求。车间清洁区与非清洁区分隔。</w:t>
                  </w:r>
                </w:p>
              </w:tc>
              <w:tc>
                <w:tcPr>
                  <w:tcW w:w="624" w:type="pct"/>
                  <w:tcBorders>
                    <w:right w:val="nil"/>
                  </w:tcBorders>
                  <w:vAlign w:val="center"/>
                </w:tcPr>
                <w:p w14:paraId="50EB5D75">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03660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204C788C">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屠宰车间、分割车间的建筑面积与建筑设施应与生产规模相适应。车间内各加工区应按生产工艺流程划分明确，人流、物流互不干扰，并符合工艺、卫生及检疫检验要求。</w:t>
                  </w:r>
                </w:p>
              </w:tc>
              <w:tc>
                <w:tcPr>
                  <w:tcW w:w="2149" w:type="pct"/>
                  <w:vAlign w:val="center"/>
                </w:tcPr>
                <w:p w14:paraId="395EA651">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屠宰车间、分割车间的建筑面积与建筑设施与生产规模相适应。车间内各加工区按生产工艺流程划分明确，人流、物流互不干扰，并符合工艺、卫生及检疫检验要求。</w:t>
                  </w:r>
                </w:p>
              </w:tc>
              <w:tc>
                <w:tcPr>
                  <w:tcW w:w="624" w:type="pct"/>
                  <w:tcBorders>
                    <w:right w:val="nil"/>
                  </w:tcBorders>
                  <w:vAlign w:val="center"/>
                </w:tcPr>
                <w:p w14:paraId="1C3610FC">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35798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46B7AC0F">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屠宰企业应设有待宰圈（区）、隔离间、急宰间、实验（化验）室、官方兽医室、化学品存放间和无害化处理间。屠宰企业的厂区应设有畜禽和产品运输车辆和工具清洗、消毒的专门区域。</w:t>
                  </w:r>
                </w:p>
              </w:tc>
              <w:tc>
                <w:tcPr>
                  <w:tcW w:w="2149" w:type="pct"/>
                  <w:vAlign w:val="center"/>
                </w:tcPr>
                <w:p w14:paraId="6B4BEDAD">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厂内设有待宰圈、隔离圈、急宰间、检疫间、动检室、无害化处理间。厂区设有畜禽和产品运输车辆和工具清洗、消毒的区域。</w:t>
                  </w:r>
                </w:p>
              </w:tc>
              <w:tc>
                <w:tcPr>
                  <w:tcW w:w="624" w:type="pct"/>
                  <w:tcBorders>
                    <w:right w:val="nil"/>
                  </w:tcBorders>
                  <w:vAlign w:val="center"/>
                </w:tcPr>
                <w:p w14:paraId="3C7AAC87">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452C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32577B4A">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对于没有设立无害化处理间的屠宰企业，应委托具有资质的专业无害化处理场实施无害化处理。</w:t>
                  </w:r>
                </w:p>
              </w:tc>
              <w:tc>
                <w:tcPr>
                  <w:tcW w:w="2149" w:type="pct"/>
                  <w:vAlign w:val="center"/>
                </w:tcPr>
                <w:p w14:paraId="5CB29020">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本项目</w:t>
                  </w:r>
                  <w:r>
                    <w:rPr>
                      <w:rFonts w:hint="eastAsia" w:cs="Times New Roman"/>
                      <w:b w:val="0"/>
                      <w:bCs w:val="0"/>
                      <w:color w:val="auto"/>
                      <w:sz w:val="21"/>
                      <w:szCs w:val="21"/>
                      <w:highlight w:val="none"/>
                      <w:vertAlign w:val="baseline"/>
                      <w:lang w:val="en-US" w:eastAsia="zh-CN"/>
                    </w:rPr>
                    <w:t>病害生猪及生猪产品委托成都市科农动物无害化处置有限公司进行集中处置</w:t>
                  </w:r>
                  <w:r>
                    <w:rPr>
                      <w:rFonts w:hint="eastAsia" w:ascii="Times New Roman" w:hAnsi="Times New Roman" w:eastAsia="宋体" w:cs="Times New Roman"/>
                      <w:b w:val="0"/>
                      <w:bCs w:val="0"/>
                      <w:color w:val="auto"/>
                      <w:sz w:val="21"/>
                      <w:szCs w:val="21"/>
                      <w:highlight w:val="none"/>
                      <w:vertAlign w:val="baseline"/>
                      <w:lang w:val="en-US" w:eastAsia="zh-CN"/>
                    </w:rPr>
                    <w:t>。</w:t>
                  </w:r>
                </w:p>
              </w:tc>
              <w:tc>
                <w:tcPr>
                  <w:tcW w:w="624" w:type="pct"/>
                  <w:tcBorders>
                    <w:right w:val="nil"/>
                  </w:tcBorders>
                  <w:vAlign w:val="center"/>
                </w:tcPr>
                <w:p w14:paraId="496365BF">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35879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left w:val="nil"/>
                    <w:right w:val="nil"/>
                  </w:tcBorders>
                  <w:vAlign w:val="center"/>
                </w:tcPr>
                <w:p w14:paraId="522E5333">
                  <w:pPr>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排水要求</w:t>
                  </w:r>
                </w:p>
              </w:tc>
            </w:tr>
            <w:tr w14:paraId="7D9CA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23D2F5F1">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屠宰与分割车间地面不应积水，车间内排水流向应从清洁区流向非清洁区。</w:t>
                  </w:r>
                </w:p>
              </w:tc>
              <w:tc>
                <w:tcPr>
                  <w:tcW w:w="2149" w:type="pct"/>
                  <w:vAlign w:val="center"/>
                </w:tcPr>
                <w:p w14:paraId="19701B45">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屠宰与分割车间地面设置汇水口，水向从清洁区流向非清洁区。</w:t>
                  </w:r>
                </w:p>
              </w:tc>
              <w:tc>
                <w:tcPr>
                  <w:tcW w:w="624" w:type="pct"/>
                  <w:tcBorders>
                    <w:right w:val="nil"/>
                  </w:tcBorders>
                  <w:vAlign w:val="center"/>
                </w:tcPr>
                <w:p w14:paraId="314CF234">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0F25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0F9A2B99">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应在明沟排水口处设置不易腐蚀材质格栅，并有防鼠、防臭的设施。</w:t>
                  </w:r>
                </w:p>
              </w:tc>
              <w:tc>
                <w:tcPr>
                  <w:tcW w:w="2149" w:type="pct"/>
                  <w:vAlign w:val="center"/>
                </w:tcPr>
                <w:p w14:paraId="770F3503">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在明沟排水口处设置不易腐蚀材质格栅，并有防鼠网。</w:t>
                  </w:r>
                </w:p>
              </w:tc>
              <w:tc>
                <w:tcPr>
                  <w:tcW w:w="624" w:type="pct"/>
                  <w:tcBorders>
                    <w:right w:val="nil"/>
                  </w:tcBorders>
                  <w:vAlign w:val="center"/>
                </w:tcPr>
                <w:p w14:paraId="0A0BD0CC">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r w14:paraId="2A21E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pct"/>
                  <w:tcBorders>
                    <w:left w:val="nil"/>
                  </w:tcBorders>
                  <w:vAlign w:val="center"/>
                </w:tcPr>
                <w:p w14:paraId="7610E557">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生产废水应集中处理，排放应符合国家有关规定。</w:t>
                  </w:r>
                </w:p>
              </w:tc>
              <w:tc>
                <w:tcPr>
                  <w:tcW w:w="2149" w:type="pct"/>
                  <w:vAlign w:val="center"/>
                </w:tcPr>
                <w:p w14:paraId="0E887CCC">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本项目自建污水处理站，所有废水经处理达《肉类加工工业水污染物排放标准》（GB 13457-92）表3中畜类屠宰加工三级标准后由罐车运送至磨西镇城市生活污水处理厂处理。</w:t>
                  </w:r>
                </w:p>
              </w:tc>
              <w:tc>
                <w:tcPr>
                  <w:tcW w:w="624" w:type="pct"/>
                  <w:tcBorders>
                    <w:right w:val="nil"/>
                  </w:tcBorders>
                  <w:vAlign w:val="center"/>
                </w:tcPr>
                <w:p w14:paraId="2BAFD85A">
                  <w:pPr>
                    <w:jc w:val="center"/>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val="0"/>
                      <w:bCs w:val="0"/>
                      <w:color w:val="auto"/>
                      <w:sz w:val="21"/>
                      <w:szCs w:val="21"/>
                      <w:highlight w:val="none"/>
                      <w:vertAlign w:val="baseline"/>
                      <w:lang w:val="en-US" w:eastAsia="zh-CN"/>
                    </w:rPr>
                    <w:t>符合</w:t>
                  </w:r>
                </w:p>
              </w:tc>
            </w:tr>
          </w:tbl>
          <w:p w14:paraId="30E0FED5">
            <w:pPr>
              <w:pStyle w:val="73"/>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由上表可知，</w:t>
            </w:r>
            <w:r>
              <w:rPr>
                <w:rFonts w:hint="eastAsia" w:ascii="Times New Roman" w:hAnsi="Times New Roman" w:eastAsia="宋体" w:cs="Times New Roman"/>
                <w:color w:val="auto"/>
                <w:highlight w:val="none"/>
                <w:lang w:val="en-US" w:eastAsia="zh-CN"/>
              </w:rPr>
              <w:t>本</w:t>
            </w:r>
            <w:r>
              <w:rPr>
                <w:rFonts w:hint="default" w:ascii="Times New Roman" w:hAnsi="Times New Roman" w:eastAsia="宋体" w:cs="Times New Roman"/>
                <w:color w:val="auto"/>
                <w:highlight w:val="none"/>
              </w:rPr>
              <w:t>项目符合</w:t>
            </w:r>
            <w:r>
              <w:rPr>
                <w:rFonts w:hint="eastAsia" w:ascii="Times New Roman" w:hAnsi="Times New Roman" w:eastAsia="宋体" w:cs="Times New Roman"/>
                <w:color w:val="auto"/>
                <w:kern w:val="0"/>
                <w:highlight w:val="none"/>
                <w:lang w:val="en-US" w:eastAsia="zh-CN"/>
              </w:rPr>
              <w:t>《食品安全国家标准 畜禽屠宰加工卫生规范》（</w:t>
            </w:r>
            <w:r>
              <w:rPr>
                <w:rFonts w:hint="default" w:ascii="Times New Roman" w:hAnsi="Times New Roman" w:eastAsia="宋体" w:cs="Times New Roman"/>
                <w:color w:val="auto"/>
                <w:kern w:val="0"/>
                <w:highlight w:val="none"/>
                <w:lang w:val="en-US" w:eastAsia="zh-CN"/>
              </w:rPr>
              <w:t>GB 12694-2016</w:t>
            </w:r>
            <w:r>
              <w:rPr>
                <w:rFonts w:hint="eastAsia" w:ascii="Times New Roman" w:hAnsi="Times New Roman" w:eastAsia="宋体" w:cs="Times New Roman"/>
                <w:color w:val="auto"/>
                <w:kern w:val="0"/>
                <w:highlight w:val="none"/>
                <w:lang w:val="en-US" w:eastAsia="zh-CN"/>
              </w:rPr>
              <w:t>）</w:t>
            </w:r>
            <w:r>
              <w:rPr>
                <w:rFonts w:hint="eastAsia"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要求。</w:t>
            </w:r>
          </w:p>
          <w:p w14:paraId="3F7987AC">
            <w:pPr>
              <w:pStyle w:val="27"/>
              <w:widowControl w:val="0"/>
              <w:autoSpaceDE w:val="0"/>
              <w:spacing w:before="0" w:beforeAutospacing="0" w:after="0" w:afterAutospacing="0" w:line="360" w:lineRule="auto"/>
              <w:ind w:firstLine="482" w:firstLineChars="200"/>
              <w:rPr>
                <w:rFonts w:hint="default" w:ascii="Times New Roman" w:hAnsi="Times New Roman" w:eastAsia="宋体" w:cs="Times New Roman"/>
                <w:b/>
                <w:bCs/>
                <w:color w:val="auto"/>
                <w:szCs w:val="24"/>
                <w:highlight w:val="none"/>
                <w:lang w:val="en-US" w:eastAsia="zh-CN"/>
              </w:rPr>
            </w:pPr>
            <w:r>
              <w:rPr>
                <w:rFonts w:hint="eastAsia" w:ascii="Times New Roman" w:hAnsi="Times New Roman" w:eastAsia="宋体" w:cs="Times New Roman"/>
                <w:b/>
                <w:bCs/>
                <w:color w:val="auto"/>
                <w:szCs w:val="24"/>
                <w:highlight w:val="none"/>
                <w:lang w:val="en-US" w:eastAsia="zh-CN"/>
              </w:rPr>
              <w:t>5、</w:t>
            </w:r>
            <w:r>
              <w:rPr>
                <w:rFonts w:hint="default" w:ascii="Times New Roman" w:hAnsi="Times New Roman" w:eastAsia="宋体" w:cs="Times New Roman"/>
                <w:b/>
                <w:bCs/>
                <w:color w:val="auto"/>
                <w:szCs w:val="24"/>
                <w:highlight w:val="none"/>
                <w:lang w:val="en-US" w:eastAsia="zh-CN"/>
              </w:rPr>
              <w:t>与</w:t>
            </w:r>
            <w:r>
              <w:rPr>
                <w:rFonts w:hint="eastAsia" w:ascii="Times New Roman" w:hAnsi="Times New Roman" w:eastAsia="宋体" w:cs="Times New Roman"/>
                <w:b/>
                <w:bCs/>
                <w:color w:val="auto"/>
                <w:szCs w:val="24"/>
                <w:highlight w:val="none"/>
                <w:lang w:val="en-US" w:eastAsia="zh-CN"/>
              </w:rPr>
              <w:t>《猪屠宰与分割车间设计规范》</w:t>
            </w:r>
            <w:r>
              <w:rPr>
                <w:rFonts w:hint="default" w:ascii="Times New Roman" w:hAnsi="Times New Roman" w:eastAsia="宋体" w:cs="Times New Roman"/>
                <w:b/>
                <w:bCs/>
                <w:color w:val="auto"/>
                <w:szCs w:val="24"/>
                <w:highlight w:val="none"/>
                <w:lang w:val="en-US" w:eastAsia="zh-CN"/>
              </w:rPr>
              <w:t>（GB50317-2009）的符合性分析</w:t>
            </w:r>
          </w:p>
          <w:p w14:paraId="37AEED73">
            <w:pPr>
              <w:autoSpaceDE w:val="0"/>
              <w:autoSpaceDN w:val="0"/>
              <w:adjustRightInd w:val="0"/>
              <w:snapToGrid w:val="0"/>
              <w:spacing w:line="360" w:lineRule="auto"/>
              <w:ind w:firstLine="480" w:firstLineChars="200"/>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本项目与《猪屠宰与分割车间设计规范》</w:t>
            </w:r>
            <w:r>
              <w:rPr>
                <w:rFonts w:hint="default" w:ascii="Times New Roman" w:hAnsi="Times New Roman" w:eastAsia="宋体" w:cs="Times New Roman"/>
                <w:color w:val="auto"/>
                <w:kern w:val="0"/>
                <w:highlight w:val="none"/>
                <w:lang w:val="en-US" w:eastAsia="zh-CN"/>
              </w:rPr>
              <w:t>（</w:t>
            </w:r>
            <w:r>
              <w:rPr>
                <w:rFonts w:ascii="Times New Roman" w:hAnsi="Times New Roman" w:eastAsia="Times New Roman" w:cs="Times New Roman"/>
                <w:color w:val="auto"/>
                <w:sz w:val="24"/>
                <w:szCs w:val="24"/>
                <w:highlight w:val="none"/>
              </w:rPr>
              <w:t>GB503</w:t>
            </w:r>
            <w:r>
              <w:rPr>
                <w:rFonts w:ascii="Times New Roman" w:hAnsi="Times New Roman" w:eastAsia="Times New Roman" w:cs="Times New Roman"/>
                <w:color w:val="auto"/>
                <w:spacing w:val="-1"/>
                <w:sz w:val="24"/>
                <w:szCs w:val="24"/>
                <w:highlight w:val="none"/>
              </w:rPr>
              <w:t>17-2009</w:t>
            </w:r>
            <w:r>
              <w:rPr>
                <w:rFonts w:hint="default" w:ascii="Times New Roman" w:hAnsi="Times New Roman" w:eastAsia="宋体" w:cs="Times New Roman"/>
                <w:color w:val="auto"/>
                <w:kern w:val="0"/>
                <w:highlight w:val="none"/>
                <w:lang w:val="en-US" w:eastAsia="zh-CN"/>
              </w:rPr>
              <w:t>）</w:t>
            </w:r>
            <w:r>
              <w:rPr>
                <w:rFonts w:hint="eastAsia" w:ascii="Times New Roman" w:hAnsi="Times New Roman" w:eastAsia="宋体" w:cs="Times New Roman"/>
                <w:color w:val="auto"/>
                <w:kern w:val="0"/>
                <w:highlight w:val="none"/>
                <w:lang w:val="en-US" w:eastAsia="zh-CN"/>
              </w:rPr>
              <w:t>的符合性分析详见下表：</w:t>
            </w:r>
          </w:p>
          <w:p w14:paraId="1F912ED1">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color w:val="auto"/>
                <w:sz w:val="21"/>
                <w:highlight w:val="none"/>
              </w:rPr>
            </w:pPr>
            <w:r>
              <w:rPr>
                <w:rFonts w:hint="default" w:ascii="Times New Roman" w:hAnsi="Times New Roman" w:eastAsia="宋体" w:cs="Times New Roman"/>
                <w:b/>
                <w:bCs/>
                <w:color w:val="auto"/>
                <w:sz w:val="21"/>
                <w:szCs w:val="21"/>
                <w:highlight w:val="none"/>
              </w:rPr>
              <w:t>本项目与《猪屠宰与分割车间设计规范》（GB50317-2009）</w:t>
            </w:r>
            <w:r>
              <w:rPr>
                <w:rFonts w:hint="eastAsia" w:ascii="Times New Roman" w:hAnsi="Times New Roman" w:eastAsia="宋体" w:cs="Times New Roman"/>
                <w:b/>
                <w:bCs/>
                <w:color w:val="auto"/>
                <w:sz w:val="21"/>
                <w:szCs w:val="21"/>
                <w:highlight w:val="none"/>
                <w:lang w:val="en-US" w:eastAsia="zh-CN"/>
              </w:rPr>
              <w:t>的</w:t>
            </w:r>
            <w:r>
              <w:rPr>
                <w:rFonts w:hint="default" w:ascii="Times New Roman" w:hAnsi="Times New Roman" w:eastAsia="宋体" w:cs="Times New Roman"/>
                <w:b/>
                <w:bCs/>
                <w:color w:val="auto"/>
                <w:sz w:val="21"/>
                <w:szCs w:val="21"/>
                <w:highlight w:val="none"/>
              </w:rPr>
              <w:t>符合性分析</w:t>
            </w:r>
          </w:p>
          <w:tbl>
            <w:tblPr>
              <w:tblStyle w:val="32"/>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81"/>
              <w:gridCol w:w="2398"/>
              <w:gridCol w:w="797"/>
            </w:tblGrid>
            <w:tr w14:paraId="3192E4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42A19D53">
                  <w:pPr>
                    <w:jc w:val="center"/>
                    <w:rPr>
                      <w:rFonts w:hint="default" w:ascii="Times New Roman" w:hAnsi="Times New Roman" w:eastAsia="宋体" w:cs="Times New Roman"/>
                      <w:b/>
                      <w:bCs/>
                      <w:color w:val="auto"/>
                      <w:sz w:val="18"/>
                      <w:szCs w:val="18"/>
                      <w:highlight w:val="none"/>
                    </w:rPr>
                  </w:pPr>
                  <w:r>
                    <w:rPr>
                      <w:rFonts w:hint="eastAsia" w:ascii="Times New Roman" w:hAnsi="Times New Roman" w:eastAsia="宋体" w:cs="Times New Roman"/>
                      <w:b/>
                      <w:bCs/>
                      <w:color w:val="auto"/>
                      <w:sz w:val="18"/>
                      <w:szCs w:val="18"/>
                      <w:highlight w:val="none"/>
                      <w:vertAlign w:val="baseline"/>
                      <w:lang w:val="en-US" w:eastAsia="zh-CN"/>
                    </w:rPr>
                    <w:t>规范要求</w:t>
                  </w:r>
                </w:p>
              </w:tc>
              <w:tc>
                <w:tcPr>
                  <w:tcW w:w="1744" w:type="pct"/>
                  <w:vAlign w:val="center"/>
                </w:tcPr>
                <w:p w14:paraId="5E38DC76">
                  <w:pPr>
                    <w:jc w:val="center"/>
                    <w:rPr>
                      <w:rFonts w:hint="default" w:ascii="Times New Roman" w:hAnsi="Times New Roman" w:eastAsia="宋体" w:cs="Times New Roman"/>
                      <w:b/>
                      <w:bCs/>
                      <w:color w:val="auto"/>
                      <w:sz w:val="18"/>
                      <w:szCs w:val="18"/>
                      <w:highlight w:val="none"/>
                    </w:rPr>
                  </w:pPr>
                  <w:r>
                    <w:rPr>
                      <w:rFonts w:hint="eastAsia" w:ascii="Times New Roman" w:hAnsi="Times New Roman" w:eastAsia="宋体" w:cs="Times New Roman"/>
                      <w:b/>
                      <w:bCs/>
                      <w:color w:val="auto"/>
                      <w:sz w:val="18"/>
                      <w:szCs w:val="18"/>
                      <w:highlight w:val="none"/>
                      <w:vertAlign w:val="baseline"/>
                      <w:lang w:val="en-US" w:eastAsia="zh-CN"/>
                    </w:rPr>
                    <w:t>本项目建设情况</w:t>
                  </w:r>
                </w:p>
              </w:tc>
              <w:tc>
                <w:tcPr>
                  <w:tcW w:w="578" w:type="pct"/>
                  <w:vAlign w:val="center"/>
                </w:tcPr>
                <w:p w14:paraId="0DE8CB71">
                  <w:pPr>
                    <w:jc w:val="center"/>
                    <w:rPr>
                      <w:rFonts w:hint="default" w:ascii="Times New Roman" w:hAnsi="Times New Roman" w:eastAsia="宋体" w:cs="Times New Roman"/>
                      <w:b/>
                      <w:bCs/>
                      <w:color w:val="auto"/>
                      <w:sz w:val="18"/>
                      <w:szCs w:val="18"/>
                      <w:highlight w:val="none"/>
                    </w:rPr>
                  </w:pPr>
                  <w:r>
                    <w:rPr>
                      <w:rFonts w:hint="eastAsia" w:ascii="Times New Roman" w:hAnsi="Times New Roman" w:eastAsia="宋体" w:cs="Times New Roman"/>
                      <w:b/>
                      <w:bCs/>
                      <w:color w:val="auto"/>
                      <w:sz w:val="18"/>
                      <w:szCs w:val="18"/>
                      <w:highlight w:val="none"/>
                      <w:vertAlign w:val="baseline"/>
                      <w:lang w:val="en-US" w:eastAsia="zh-CN"/>
                    </w:rPr>
                    <w:t>符合性</w:t>
                  </w:r>
                </w:p>
              </w:tc>
            </w:tr>
            <w:tr w14:paraId="5C65E4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00" w:type="pct"/>
                  <w:gridSpan w:val="3"/>
                  <w:vAlign w:val="center"/>
                </w:tcPr>
                <w:p w14:paraId="615B7930">
                  <w:pPr>
                    <w:jc w:val="center"/>
                    <w:rPr>
                      <w:rFonts w:hint="default" w:ascii="Times New Roman" w:hAnsi="Times New Roman" w:eastAsia="宋体" w:cs="Times New Roman"/>
                      <w:b/>
                      <w:bCs/>
                      <w:color w:val="auto"/>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vertAlign w:val="baseline"/>
                      <w:lang w:val="en-US" w:eastAsia="zh-CN"/>
                    </w:rPr>
                    <w:t>厂址选择</w:t>
                  </w:r>
                </w:p>
              </w:tc>
            </w:tr>
            <w:tr w14:paraId="6AA22B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5DD7E94D">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猪屠宰与分割车间所在厂址应远离供水水源地和自来水取水口，其附近应有城市污水排放管网或允许排入的最终受纳水体。厂区应位于城市居住区夏季风向最大频率的下风侧，并应满足有关卫生防护距离要求。</w:t>
                  </w:r>
                </w:p>
              </w:tc>
              <w:tc>
                <w:tcPr>
                  <w:tcW w:w="1744" w:type="pct"/>
                  <w:vAlign w:val="center"/>
                </w:tcPr>
                <w:p w14:paraId="352467ED">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本项目不涉及饮用水源保护区，</w:t>
                  </w:r>
                  <w:r>
                    <w:rPr>
                      <w:rFonts w:hint="eastAsia" w:ascii="Times New Roman" w:hAnsi="Times New Roman" w:eastAsia="宋体" w:cs="Times New Roman"/>
                      <w:b w:val="0"/>
                      <w:bCs w:val="0"/>
                      <w:color w:val="auto"/>
                      <w:sz w:val="21"/>
                      <w:szCs w:val="21"/>
                      <w:highlight w:val="none"/>
                      <w:vertAlign w:val="baseline"/>
                      <w:lang w:val="en-US" w:eastAsia="zh-CN"/>
                    </w:rPr>
                    <w:t>废水经处理达《肉类加工工业水污染物排放标准》（GB 13457-92）表3中畜类屠宰加工三级标准后由罐车运送至海螺沟磨西镇城市生活污水处理厂处理</w:t>
                  </w:r>
                  <w:r>
                    <w:rPr>
                      <w:rFonts w:hint="default" w:ascii="Times New Roman" w:hAnsi="Times New Roman" w:eastAsia="宋体" w:cs="Times New Roman"/>
                      <w:b w:val="0"/>
                      <w:bCs w:val="0"/>
                      <w:color w:val="auto"/>
                      <w:sz w:val="21"/>
                      <w:szCs w:val="21"/>
                      <w:highlight w:val="none"/>
                      <w:vertAlign w:val="baseline"/>
                      <w:lang w:val="en-US" w:eastAsia="zh-CN"/>
                    </w:rPr>
                    <w:t>。项目位于农村地区，</w:t>
                  </w:r>
                  <w:r>
                    <w:rPr>
                      <w:rFonts w:hint="eastAsia" w:ascii="Times New Roman" w:hAnsi="Times New Roman" w:eastAsia="宋体" w:cs="Times New Roman"/>
                      <w:b w:val="0"/>
                      <w:bCs w:val="0"/>
                      <w:color w:val="auto"/>
                      <w:sz w:val="21"/>
                      <w:szCs w:val="21"/>
                      <w:highlight w:val="none"/>
                      <w:vertAlign w:val="baseline"/>
                      <w:lang w:val="en-US" w:eastAsia="zh-CN"/>
                    </w:rPr>
                    <w:t>本项目设置</w:t>
                  </w:r>
                  <w:r>
                    <w:rPr>
                      <w:rFonts w:hint="eastAsia" w:cs="Times New Roman"/>
                      <w:b w:val="0"/>
                      <w:bCs w:val="0"/>
                      <w:color w:val="auto"/>
                      <w:sz w:val="21"/>
                      <w:szCs w:val="21"/>
                      <w:highlight w:val="none"/>
                      <w:vertAlign w:val="baseline"/>
                      <w:lang w:val="en-US" w:eastAsia="zh-CN"/>
                    </w:rPr>
                    <w:t>100</w:t>
                  </w:r>
                  <w:r>
                    <w:rPr>
                      <w:rFonts w:hint="eastAsia" w:ascii="Times New Roman" w:hAnsi="Times New Roman" w:eastAsia="宋体" w:cs="Times New Roman"/>
                      <w:b w:val="0"/>
                      <w:bCs w:val="0"/>
                      <w:color w:val="auto"/>
                      <w:sz w:val="21"/>
                      <w:szCs w:val="21"/>
                      <w:highlight w:val="none"/>
                      <w:vertAlign w:val="baseline"/>
                      <w:lang w:val="en-US" w:eastAsia="zh-CN"/>
                    </w:rPr>
                    <w:t>m的卫生防护距离</w:t>
                  </w:r>
                  <w:r>
                    <w:rPr>
                      <w:rFonts w:hint="default" w:ascii="Times New Roman" w:hAnsi="Times New Roman" w:eastAsia="宋体" w:cs="Times New Roman"/>
                      <w:b w:val="0"/>
                      <w:bCs w:val="0"/>
                      <w:color w:val="auto"/>
                      <w:sz w:val="21"/>
                      <w:szCs w:val="21"/>
                      <w:highlight w:val="none"/>
                      <w:vertAlign w:val="baseline"/>
                      <w:lang w:val="en-US" w:eastAsia="zh-CN"/>
                    </w:rPr>
                    <w:t>，</w:t>
                  </w:r>
                  <w:r>
                    <w:rPr>
                      <w:rFonts w:hint="eastAsia" w:ascii="Times New Roman" w:hAnsi="Times New Roman" w:eastAsia="宋体" w:cs="Times New Roman"/>
                      <w:b w:val="0"/>
                      <w:bCs w:val="0"/>
                      <w:color w:val="auto"/>
                      <w:sz w:val="21"/>
                      <w:szCs w:val="21"/>
                      <w:highlight w:val="none"/>
                      <w:vertAlign w:val="baseline"/>
                      <w:lang w:val="en-US" w:eastAsia="zh-CN"/>
                    </w:rPr>
                    <w:t>该范围内仅有</w:t>
                  </w:r>
                  <w:r>
                    <w:rPr>
                      <w:rFonts w:hint="eastAsia" w:cs="Times New Roman"/>
                      <w:b w:val="0"/>
                      <w:bCs w:val="0"/>
                      <w:color w:val="auto"/>
                      <w:sz w:val="21"/>
                      <w:szCs w:val="21"/>
                      <w:highlight w:val="none"/>
                      <w:vertAlign w:val="baseline"/>
                      <w:lang w:val="en-US" w:eastAsia="zh-CN"/>
                    </w:rPr>
                    <w:t>3</w:t>
                  </w:r>
                  <w:r>
                    <w:rPr>
                      <w:rFonts w:hint="eastAsia" w:ascii="Times New Roman" w:hAnsi="Times New Roman" w:eastAsia="宋体" w:cs="Times New Roman"/>
                      <w:b w:val="0"/>
                      <w:bCs w:val="0"/>
                      <w:color w:val="auto"/>
                      <w:sz w:val="21"/>
                      <w:szCs w:val="21"/>
                      <w:highlight w:val="none"/>
                      <w:vertAlign w:val="baseline"/>
                      <w:lang w:val="en-US" w:eastAsia="zh-CN"/>
                    </w:rPr>
                    <w:t>处本项目的管理用房，</w:t>
                  </w:r>
                  <w:r>
                    <w:rPr>
                      <w:rFonts w:hint="default" w:ascii="Times New Roman" w:hAnsi="Times New Roman" w:eastAsia="宋体" w:cs="Times New Roman"/>
                      <w:b w:val="0"/>
                      <w:bCs w:val="0"/>
                      <w:color w:val="auto"/>
                      <w:sz w:val="21"/>
                      <w:szCs w:val="21"/>
                      <w:highlight w:val="none"/>
                      <w:vertAlign w:val="baseline"/>
                      <w:lang w:val="en-US" w:eastAsia="zh-CN"/>
                    </w:rPr>
                    <w:t>周围</w:t>
                  </w:r>
                  <w:r>
                    <w:rPr>
                      <w:rFonts w:hint="eastAsia" w:ascii="Times New Roman" w:hAnsi="Times New Roman" w:eastAsia="宋体" w:cs="Times New Roman"/>
                      <w:b w:val="0"/>
                      <w:bCs w:val="0"/>
                      <w:color w:val="auto"/>
                      <w:sz w:val="21"/>
                      <w:szCs w:val="21"/>
                      <w:highlight w:val="none"/>
                      <w:vertAlign w:val="baseline"/>
                      <w:lang w:val="en-US" w:eastAsia="zh-CN"/>
                    </w:rPr>
                    <w:t>其余</w:t>
                  </w:r>
                  <w:r>
                    <w:rPr>
                      <w:rFonts w:hint="default" w:ascii="Times New Roman" w:hAnsi="Times New Roman" w:eastAsia="宋体" w:cs="Times New Roman"/>
                      <w:b w:val="0"/>
                      <w:bCs w:val="0"/>
                      <w:color w:val="auto"/>
                      <w:sz w:val="21"/>
                      <w:szCs w:val="21"/>
                      <w:highlight w:val="none"/>
                      <w:vertAlign w:val="baseline"/>
                      <w:lang w:val="en-US" w:eastAsia="zh-CN"/>
                    </w:rPr>
                    <w:t>住户均满足卫生防护距离的要求。</w:t>
                  </w:r>
                </w:p>
              </w:tc>
              <w:tc>
                <w:tcPr>
                  <w:tcW w:w="578" w:type="pct"/>
                  <w:vAlign w:val="center"/>
                </w:tcPr>
                <w:p w14:paraId="4AAA946B">
                  <w:pPr>
                    <w:pStyle w:val="13"/>
                    <w:spacing w:after="0" w:line="240" w:lineRule="auto"/>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6097B2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top"/>
                </w:tcPr>
                <w:p w14:paraId="7BC6B0ED">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厂址周围应有良好的环境卫生条件。厂区应远离受污染的水体，并应避开产生有害气体、烟雾、粉尘等污染源的工业企业或其他产生污染源的地区或场所。</w:t>
                  </w:r>
                </w:p>
              </w:tc>
              <w:tc>
                <w:tcPr>
                  <w:tcW w:w="1744" w:type="pct"/>
                  <w:vAlign w:val="top"/>
                </w:tcPr>
                <w:p w14:paraId="4ADB10B0">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本项目地处农村地区，远离受污染水体。项目周边无生产性工业企业，对本项目基本无影响。</w:t>
                  </w:r>
                </w:p>
              </w:tc>
              <w:tc>
                <w:tcPr>
                  <w:tcW w:w="578" w:type="pct"/>
                  <w:vAlign w:val="center"/>
                </w:tcPr>
                <w:p w14:paraId="6E1F5FF3">
                  <w:pPr>
                    <w:pStyle w:val="13"/>
                    <w:spacing w:after="0" w:line="240" w:lineRule="auto"/>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符合</w:t>
                  </w:r>
                </w:p>
              </w:tc>
            </w:tr>
            <w:tr w14:paraId="507BA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847" w:hRule="atLeast"/>
              </w:trPr>
              <w:tc>
                <w:tcPr>
                  <w:tcW w:w="2677" w:type="pct"/>
                  <w:vAlign w:val="top"/>
                </w:tcPr>
                <w:p w14:paraId="2A8B748A">
                  <w:pPr>
                    <w:pStyle w:val="109"/>
                    <w:spacing w:before="54" w:line="281" w:lineRule="auto"/>
                    <w:ind w:left="121" w:right="114"/>
                    <w:jc w:val="both"/>
                    <w:rPr>
                      <w:rFonts w:hint="default" w:ascii="Times New Roman" w:hAnsi="Times New Roman" w:eastAsia="宋体" w:cs="Times New Roman"/>
                      <w:color w:val="auto"/>
                      <w:sz w:val="21"/>
                      <w:szCs w:val="21"/>
                      <w:highlight w:val="none"/>
                    </w:rPr>
                  </w:pPr>
                  <w:r>
                    <w:rPr>
                      <w:color w:val="auto"/>
                      <w:spacing w:val="9"/>
                      <w:sz w:val="21"/>
                      <w:szCs w:val="21"/>
                      <w:highlight w:val="none"/>
                    </w:rPr>
                    <w:t>屠宰与分割车间所在的厂址必须具备符合要求的水源和电源，其位置应选择在交通运输方便、货源流向合理的地方，根据节约用地和不占农田的原则，结合加工工艺要求因地</w:t>
                  </w:r>
                  <w:r>
                    <w:rPr>
                      <w:color w:val="auto"/>
                      <w:spacing w:val="8"/>
                      <w:sz w:val="21"/>
                      <w:szCs w:val="21"/>
                      <w:highlight w:val="none"/>
                    </w:rPr>
                    <w:t>制宜地确定，并应符合规划的要求。</w:t>
                  </w:r>
                </w:p>
              </w:tc>
              <w:tc>
                <w:tcPr>
                  <w:tcW w:w="1744" w:type="pct"/>
                  <w:vAlign w:val="top"/>
                </w:tcPr>
                <w:p w14:paraId="1F0631A2">
                  <w:pPr>
                    <w:pStyle w:val="109"/>
                    <w:spacing w:before="54" w:line="281" w:lineRule="auto"/>
                    <w:ind w:left="138" w:right="104" w:hanging="21"/>
                    <w:jc w:val="both"/>
                    <w:rPr>
                      <w:rFonts w:hint="default" w:ascii="Times New Roman" w:hAnsi="Times New Roman" w:eastAsia="宋体" w:cs="Times New Roman"/>
                      <w:color w:val="auto"/>
                      <w:sz w:val="21"/>
                      <w:szCs w:val="21"/>
                      <w:highlight w:val="none"/>
                    </w:rPr>
                  </w:pPr>
                  <w:r>
                    <w:rPr>
                      <w:color w:val="auto"/>
                      <w:spacing w:val="5"/>
                      <w:sz w:val="21"/>
                      <w:szCs w:val="21"/>
                      <w:highlight w:val="none"/>
                    </w:rPr>
                    <w:t>项目水电供应有保证，交通</w:t>
                  </w:r>
                  <w:r>
                    <w:rPr>
                      <w:color w:val="auto"/>
                      <w:spacing w:val="14"/>
                      <w:sz w:val="21"/>
                      <w:szCs w:val="21"/>
                      <w:highlight w:val="none"/>
                    </w:rPr>
                    <w:t>运输方便，不占用基本农</w:t>
                  </w:r>
                  <w:r>
                    <w:rPr>
                      <w:color w:val="auto"/>
                      <w:spacing w:val="3"/>
                      <w:sz w:val="21"/>
                      <w:szCs w:val="21"/>
                      <w:highlight w:val="none"/>
                    </w:rPr>
                    <w:t>田，对当地规划无影响，符</w:t>
                  </w:r>
                  <w:r>
                    <w:rPr>
                      <w:color w:val="auto"/>
                      <w:spacing w:val="14"/>
                      <w:sz w:val="21"/>
                      <w:szCs w:val="21"/>
                      <w:highlight w:val="none"/>
                    </w:rPr>
                    <w:t>合地区生猪定点屠宰场设</w:t>
                  </w:r>
                  <w:r>
                    <w:rPr>
                      <w:color w:val="auto"/>
                      <w:spacing w:val="5"/>
                      <w:sz w:val="21"/>
                      <w:szCs w:val="21"/>
                      <w:highlight w:val="none"/>
                    </w:rPr>
                    <w:t>置规划。</w:t>
                  </w:r>
                </w:p>
              </w:tc>
              <w:tc>
                <w:tcPr>
                  <w:tcW w:w="578" w:type="pct"/>
                  <w:vAlign w:val="center"/>
                </w:tcPr>
                <w:p w14:paraId="0EDB5AA0">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7C9C5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00" w:type="pct"/>
                  <w:gridSpan w:val="3"/>
                  <w:vAlign w:val="top"/>
                </w:tcPr>
                <w:p w14:paraId="0B422DB5">
                  <w:pPr>
                    <w:pStyle w:val="13"/>
                    <w:spacing w:after="0" w:line="240" w:lineRule="auto"/>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总平面布置</w:t>
                  </w:r>
                </w:p>
              </w:tc>
            </w:tr>
            <w:tr w14:paraId="35AD35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2ACEC7D3">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3.2.1 厂区应划分为生产区和非生产区。生产区必须单独设置生猪与废弃物的</w:t>
                  </w:r>
                  <w:r>
                    <w:rPr>
                      <w:rFonts w:hint="eastAsia" w:cs="Times New Roman"/>
                      <w:color w:val="auto"/>
                      <w:sz w:val="21"/>
                      <w:szCs w:val="21"/>
                      <w:highlight w:val="none"/>
                      <w:lang w:eastAsia="zh-CN"/>
                    </w:rPr>
                    <w:t>出入口</w:t>
                  </w:r>
                  <w:r>
                    <w:rPr>
                      <w:rFonts w:hint="default" w:ascii="Times New Roman" w:hAnsi="Times New Roman" w:eastAsia="宋体" w:cs="Times New Roman"/>
                      <w:color w:val="auto"/>
                      <w:sz w:val="21"/>
                      <w:szCs w:val="21"/>
                      <w:highlight w:val="none"/>
                    </w:rPr>
                    <w:t>，产品和人员</w:t>
                  </w:r>
                  <w:r>
                    <w:rPr>
                      <w:rFonts w:hint="eastAsia" w:cs="Times New Roman"/>
                      <w:color w:val="auto"/>
                      <w:sz w:val="21"/>
                      <w:szCs w:val="21"/>
                      <w:highlight w:val="none"/>
                      <w:lang w:eastAsia="zh-CN"/>
                    </w:rPr>
                    <w:t>出入口</w:t>
                  </w:r>
                  <w:r>
                    <w:rPr>
                      <w:rFonts w:hint="default" w:ascii="Times New Roman" w:hAnsi="Times New Roman" w:eastAsia="宋体" w:cs="Times New Roman"/>
                      <w:color w:val="auto"/>
                      <w:sz w:val="21"/>
                      <w:szCs w:val="21"/>
                      <w:highlight w:val="none"/>
                    </w:rPr>
                    <w:t>需另设，且产品与生猪、废弃物在厂内不得共用一个通道。</w:t>
                  </w:r>
                </w:p>
              </w:tc>
              <w:tc>
                <w:tcPr>
                  <w:tcW w:w="1744" w:type="pct"/>
                  <w:vAlign w:val="center"/>
                </w:tcPr>
                <w:p w14:paraId="3C771E72">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厂区按规范划分为生产区和非生产区。生产区单独设置</w:t>
                  </w:r>
                  <w:r>
                    <w:rPr>
                      <w:rFonts w:hint="default" w:ascii="Times New Roman" w:hAnsi="Times New Roman" w:eastAsia="宋体" w:cs="Times New Roman"/>
                      <w:color w:val="auto"/>
                      <w:sz w:val="21"/>
                      <w:szCs w:val="21"/>
                      <w:highlight w:val="none"/>
                    </w:rPr>
                    <w:t>生猪与废弃物的</w:t>
                  </w:r>
                  <w:r>
                    <w:rPr>
                      <w:rFonts w:hint="eastAsia" w:cs="Times New Roman"/>
                      <w:color w:val="auto"/>
                      <w:sz w:val="21"/>
                      <w:szCs w:val="21"/>
                      <w:highlight w:val="none"/>
                      <w:lang w:eastAsia="zh-CN"/>
                    </w:rPr>
                    <w:t>出入口</w:t>
                  </w:r>
                  <w:r>
                    <w:rPr>
                      <w:rFonts w:hint="default" w:ascii="Times New Roman" w:hAnsi="Times New Roman" w:eastAsia="宋体" w:cs="Times New Roman"/>
                      <w:color w:val="auto"/>
                      <w:sz w:val="21"/>
                      <w:szCs w:val="21"/>
                      <w:highlight w:val="none"/>
                    </w:rPr>
                    <w:t>，产品和人员</w:t>
                  </w:r>
                  <w:r>
                    <w:rPr>
                      <w:rFonts w:hint="eastAsia" w:cs="Times New Roman"/>
                      <w:color w:val="auto"/>
                      <w:sz w:val="21"/>
                      <w:szCs w:val="21"/>
                      <w:highlight w:val="none"/>
                      <w:lang w:eastAsia="zh-CN"/>
                    </w:rPr>
                    <w:t>出入口</w:t>
                  </w:r>
                  <w:r>
                    <w:rPr>
                      <w:rFonts w:hint="eastAsia" w:ascii="Times New Roman" w:hAnsi="Times New Roman" w:eastAsia="宋体" w:cs="Times New Roman"/>
                      <w:color w:val="auto"/>
                      <w:sz w:val="21"/>
                      <w:szCs w:val="21"/>
                      <w:highlight w:val="none"/>
                      <w:lang w:val="en-US" w:eastAsia="zh-CN"/>
                    </w:rPr>
                    <w:t>均单独设置</w:t>
                  </w:r>
                  <w:r>
                    <w:rPr>
                      <w:rFonts w:hint="default" w:ascii="Times New Roman" w:hAnsi="Times New Roman" w:eastAsia="宋体" w:cs="Times New Roman"/>
                      <w:color w:val="auto"/>
                      <w:sz w:val="21"/>
                      <w:szCs w:val="21"/>
                      <w:highlight w:val="none"/>
                    </w:rPr>
                    <w:t>，且产品与生猪、废弃物在厂内</w:t>
                  </w:r>
                  <w:r>
                    <w:rPr>
                      <w:rFonts w:hint="eastAsia" w:ascii="Times New Roman" w:hAnsi="Times New Roman" w:eastAsia="宋体" w:cs="Times New Roman"/>
                      <w:color w:val="auto"/>
                      <w:sz w:val="21"/>
                      <w:szCs w:val="21"/>
                      <w:highlight w:val="none"/>
                      <w:lang w:val="en-US" w:eastAsia="zh-CN"/>
                    </w:rPr>
                    <w:t>均分开使用独立通道</w:t>
                  </w:r>
                  <w:r>
                    <w:rPr>
                      <w:rFonts w:hint="default" w:ascii="Times New Roman" w:hAnsi="Times New Roman" w:eastAsia="宋体" w:cs="Times New Roman"/>
                      <w:color w:val="auto"/>
                      <w:sz w:val="21"/>
                      <w:szCs w:val="21"/>
                      <w:highlight w:val="none"/>
                    </w:rPr>
                    <w:t>。</w:t>
                  </w:r>
                </w:p>
              </w:tc>
              <w:tc>
                <w:tcPr>
                  <w:tcW w:w="578" w:type="pct"/>
                  <w:vAlign w:val="center"/>
                </w:tcPr>
                <w:p w14:paraId="270B9578">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3B47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463A0847">
                  <w:pPr>
                    <w:pStyle w:val="27"/>
                    <w:keepNext w:val="0"/>
                    <w:keepLines w:val="0"/>
                    <w:pageBreakBefore w:val="0"/>
                    <w:widowControl w:val="0"/>
                    <w:numPr>
                      <w:ilvl w:val="0"/>
                      <w:numId w:val="0"/>
                    </w:numPr>
                    <w:kinsoku/>
                    <w:wordWrap w:val="0"/>
                    <w:overflowPunct/>
                    <w:topLinePunct w:val="0"/>
                    <w:autoSpaceDE w:val="0"/>
                    <w:autoSpaceDN/>
                    <w:bidi w:val="0"/>
                    <w:adjustRightInd/>
                    <w:snapToGrid/>
                    <w:spacing w:before="0" w:beforeAutospacing="0" w:after="0" w:afterAutospacing="0"/>
                    <w:ind w:left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3.2.2 生产区各车间的布局与设施必须满足生产工艺流程和卫生要求。厂内清洁区与非清洁区应严格分开。</w:t>
                  </w:r>
                </w:p>
              </w:tc>
              <w:tc>
                <w:tcPr>
                  <w:tcW w:w="1744" w:type="pct"/>
                  <w:vAlign w:val="center"/>
                </w:tcPr>
                <w:p w14:paraId="234A8DC8">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生产区各车间的布局与设施满足生产工艺流程和卫生要求。厂内清洁区与非清洁区严格分开。</w:t>
                  </w:r>
                </w:p>
              </w:tc>
              <w:tc>
                <w:tcPr>
                  <w:tcW w:w="578" w:type="pct"/>
                  <w:vAlign w:val="center"/>
                </w:tcPr>
                <w:p w14:paraId="213EED89">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62D8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3C7D85F9">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3.2.3 屠宰清洁区与分割车间不应设置在无害化处理间、废弃物集存场所、污水处理站、锅炉房、煤场等建(构</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筑物及场所的主导风向的下风侧,其间距应符合环保、食品卫生以及建筑防火等方面的要求。</w:t>
                  </w:r>
                </w:p>
              </w:tc>
              <w:tc>
                <w:tcPr>
                  <w:tcW w:w="1744" w:type="pct"/>
                  <w:vAlign w:val="center"/>
                </w:tcPr>
                <w:p w14:paraId="315FD3F6">
                  <w:pPr>
                    <w:pStyle w:val="13"/>
                    <w:spacing w:after="0" w:line="240" w:lineRule="auto"/>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本项目</w:t>
                  </w:r>
                  <w:r>
                    <w:rPr>
                      <w:rFonts w:hint="eastAsia" w:cs="Times New Roman"/>
                      <w:color w:val="auto"/>
                      <w:sz w:val="21"/>
                      <w:szCs w:val="21"/>
                      <w:highlight w:val="none"/>
                      <w:lang w:val="en-US" w:eastAsia="zh-CN"/>
                    </w:rPr>
                    <w:t>不设置无害化处理设施，在病体间暂存后外委处置；病体间</w:t>
                  </w:r>
                  <w:r>
                    <w:rPr>
                      <w:rFonts w:hint="eastAsia" w:ascii="Times New Roman" w:hAnsi="Times New Roman" w:eastAsia="宋体" w:cs="Times New Roman"/>
                      <w:color w:val="auto"/>
                      <w:sz w:val="21"/>
                      <w:szCs w:val="21"/>
                      <w:highlight w:val="none"/>
                      <w:lang w:val="en-US" w:eastAsia="zh-CN"/>
                    </w:rPr>
                    <w:t>设置在东南侧，不在屠宰清洁区与分割车间内，废弃物收集场所、污水处理站均位于屠宰与分割车间外东南侧，且处于</w:t>
                  </w:r>
                  <w:r>
                    <w:rPr>
                      <w:rFonts w:hint="default" w:ascii="Times New Roman" w:hAnsi="Times New Roman" w:eastAsia="宋体" w:cs="Times New Roman"/>
                      <w:color w:val="auto"/>
                      <w:sz w:val="21"/>
                      <w:szCs w:val="21"/>
                      <w:highlight w:val="none"/>
                    </w:rPr>
                    <w:t>主导风向的</w:t>
                  </w:r>
                  <w:r>
                    <w:rPr>
                      <w:rFonts w:hint="eastAsia" w:ascii="Times New Roman" w:hAnsi="Times New Roman" w:eastAsia="宋体" w:cs="Times New Roman"/>
                      <w:color w:val="auto"/>
                      <w:sz w:val="21"/>
                      <w:szCs w:val="21"/>
                      <w:highlight w:val="none"/>
                      <w:lang w:val="en-US" w:eastAsia="zh-CN"/>
                    </w:rPr>
                    <w:t>侧风向，</w:t>
                  </w:r>
                  <w:r>
                    <w:rPr>
                      <w:rFonts w:hint="default" w:ascii="Times New Roman" w:hAnsi="Times New Roman" w:eastAsia="宋体" w:cs="Times New Roman"/>
                      <w:color w:val="auto"/>
                      <w:sz w:val="21"/>
                      <w:szCs w:val="21"/>
                      <w:highlight w:val="none"/>
                    </w:rPr>
                    <w:t>其间距符合环保、食品卫生以及建筑防火等方面的要求。</w:t>
                  </w:r>
                </w:p>
              </w:tc>
              <w:tc>
                <w:tcPr>
                  <w:tcW w:w="578" w:type="pct"/>
                  <w:vAlign w:val="center"/>
                </w:tcPr>
                <w:p w14:paraId="4468C328">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4227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00" w:type="pct"/>
                  <w:gridSpan w:val="3"/>
                  <w:vAlign w:val="center"/>
                </w:tcPr>
                <w:p w14:paraId="3EAA4DC5">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卫生环境</w:t>
                  </w:r>
                </w:p>
              </w:tc>
            </w:tr>
            <w:tr w14:paraId="7328D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14A1233E">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3.3.1 屠宰与分割车间所在厂区的路面、场地应平整、无积水。主要道路及场地宜采用混凝土或沥青铺设。</w:t>
                  </w:r>
                </w:p>
                <w:p w14:paraId="0EA35074">
                  <w:pPr>
                    <w:pStyle w:val="13"/>
                    <w:spacing w:after="0" w:line="240" w:lineRule="auto"/>
                    <w:jc w:val="center"/>
                    <w:rPr>
                      <w:rFonts w:hint="default" w:ascii="Times New Roman" w:hAnsi="Times New Roman" w:eastAsia="宋体" w:cs="Times New Roman"/>
                      <w:color w:val="auto"/>
                      <w:sz w:val="21"/>
                      <w:szCs w:val="21"/>
                      <w:highlight w:val="none"/>
                    </w:rPr>
                  </w:pPr>
                </w:p>
              </w:tc>
              <w:tc>
                <w:tcPr>
                  <w:tcW w:w="1744" w:type="pct"/>
                  <w:vAlign w:val="center"/>
                </w:tcPr>
                <w:p w14:paraId="3AA6867C">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本项目厂内道路均硬化</w:t>
                  </w:r>
                </w:p>
              </w:tc>
              <w:tc>
                <w:tcPr>
                  <w:tcW w:w="578" w:type="pct"/>
                  <w:vAlign w:val="center"/>
                </w:tcPr>
                <w:p w14:paraId="26D82703">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70AA7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013DAE5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3.3.2 厂区内建(构</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筑物周围、道路的两侧空地均宜绿化。</w:t>
                  </w:r>
                </w:p>
              </w:tc>
              <w:tc>
                <w:tcPr>
                  <w:tcW w:w="1744" w:type="pct"/>
                  <w:vAlign w:val="center"/>
                </w:tcPr>
                <w:p w14:paraId="2E9CFAB8">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厂内建筑物周边均进行绿化</w:t>
                  </w:r>
                </w:p>
              </w:tc>
              <w:tc>
                <w:tcPr>
                  <w:tcW w:w="578" w:type="pct"/>
                  <w:vAlign w:val="center"/>
                </w:tcPr>
                <w:p w14:paraId="0865E45F">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FF83D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2529509C">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3.3.3 污染物排放应符合国家有关标准的要求。</w:t>
                  </w:r>
                </w:p>
              </w:tc>
              <w:tc>
                <w:tcPr>
                  <w:tcW w:w="1744" w:type="pct"/>
                  <w:vAlign w:val="center"/>
                </w:tcPr>
                <w:p w14:paraId="399A8190">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本项目废气、废水、固废等污染物排放均符合国家有关标准要求</w:t>
                  </w:r>
                </w:p>
              </w:tc>
              <w:tc>
                <w:tcPr>
                  <w:tcW w:w="846" w:type="dxa"/>
                  <w:vAlign w:val="center"/>
                </w:tcPr>
                <w:p w14:paraId="574FB6AA">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67B73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6E62AA69">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3.3.4 厂内应在远离屠宰与分割车间的非清洁区内设有畜粪、废弃物等的暂时集存场所,其地面、围墙或池壁应便于冲洗消毒。运送废弃物的车辆应密闭,并应配备清洗消毒设施及存放场所。</w:t>
                  </w:r>
                </w:p>
              </w:tc>
              <w:tc>
                <w:tcPr>
                  <w:tcW w:w="1744" w:type="pct"/>
                  <w:vAlign w:val="center"/>
                </w:tcPr>
                <w:p w14:paraId="215EE5F0">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本项目在污水处理站旁设置猪粪、猪毛及肠内容物暂存间，地面进行重点防渗，采用密闭车辆进行运送，配备清洗消毒车辆冲洗区</w:t>
                  </w:r>
                </w:p>
              </w:tc>
              <w:tc>
                <w:tcPr>
                  <w:tcW w:w="846" w:type="dxa"/>
                  <w:vAlign w:val="center"/>
                </w:tcPr>
                <w:p w14:paraId="70A683C3">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BFB52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2677" w:type="pct"/>
                  <w:vAlign w:val="center"/>
                </w:tcPr>
                <w:p w14:paraId="1E0851A4">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3.3.5 原料接收区应设有车辆清洗、消毒设施。生猪进厂的</w:t>
                  </w:r>
                  <w:r>
                    <w:rPr>
                      <w:rFonts w:hint="eastAsia" w:cs="Times New Roman"/>
                      <w:color w:val="auto"/>
                      <w:sz w:val="21"/>
                      <w:szCs w:val="21"/>
                      <w:highlight w:val="none"/>
                      <w:lang w:eastAsia="zh-CN"/>
                    </w:rPr>
                    <w:t>入</w:t>
                  </w:r>
                  <w:r>
                    <w:rPr>
                      <w:rFonts w:hint="default" w:ascii="Times New Roman" w:hAnsi="Times New Roman" w:eastAsia="宋体" w:cs="Times New Roman"/>
                      <w:color w:val="auto"/>
                      <w:sz w:val="21"/>
                      <w:szCs w:val="21"/>
                      <w:highlight w:val="none"/>
                    </w:rPr>
                    <w:t>口处应设置与门同宽、长不小于 3.00m、深(0.10~0.15</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m,且能排放消毒液的车轮消毒池。</w:t>
                  </w:r>
                </w:p>
              </w:tc>
              <w:tc>
                <w:tcPr>
                  <w:tcW w:w="1744" w:type="pct"/>
                  <w:vAlign w:val="center"/>
                </w:tcPr>
                <w:p w14:paraId="61A35A3D">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厂区内设置车辆冲洗区，对生猪车运送车辆进行冲洗、消毒。生猪进场的入口设置有同门宽（5m）、长3m、深0.1m的车轮消毒池。</w:t>
                  </w:r>
                </w:p>
              </w:tc>
              <w:tc>
                <w:tcPr>
                  <w:tcW w:w="846" w:type="dxa"/>
                  <w:vAlign w:val="center"/>
                </w:tcPr>
                <w:p w14:paraId="566D7ADD">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70B1FF51">
            <w:pPr>
              <w:pStyle w:val="73"/>
              <w:ind w:firstLine="48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color w:val="auto"/>
                <w:highlight w:val="none"/>
              </w:rPr>
              <w:t>由上表可知，</w:t>
            </w:r>
            <w:r>
              <w:rPr>
                <w:rFonts w:hint="eastAsia" w:ascii="Times New Roman" w:hAnsi="Times New Roman" w:eastAsia="宋体" w:cs="Times New Roman"/>
                <w:color w:val="auto"/>
                <w:highlight w:val="none"/>
                <w:lang w:val="en-US" w:eastAsia="zh-CN"/>
              </w:rPr>
              <w:t>本</w:t>
            </w:r>
            <w:r>
              <w:rPr>
                <w:rFonts w:hint="default" w:ascii="Times New Roman" w:hAnsi="Times New Roman" w:eastAsia="宋体" w:cs="Times New Roman"/>
                <w:color w:val="auto"/>
                <w:highlight w:val="none"/>
              </w:rPr>
              <w:t>项目符合《猪屠宰与分割车间设计规范》（GB50317-2009）</w:t>
            </w:r>
            <w:r>
              <w:rPr>
                <w:rFonts w:hint="eastAsia" w:ascii="Times New Roman" w:hAnsi="Times New Roman" w:eastAsia="宋体" w:cs="Times New Roman"/>
                <w:color w:val="auto"/>
                <w:highlight w:val="none"/>
                <w:lang w:val="en-US" w:eastAsia="zh-CN"/>
              </w:rPr>
              <w:t>相关</w:t>
            </w:r>
            <w:r>
              <w:rPr>
                <w:rFonts w:hint="default" w:ascii="Times New Roman" w:hAnsi="Times New Roman" w:eastAsia="宋体" w:cs="Times New Roman"/>
                <w:color w:val="auto"/>
                <w:highlight w:val="none"/>
              </w:rPr>
              <w:t>要求。</w:t>
            </w:r>
          </w:p>
          <w:p w14:paraId="44059840">
            <w:pPr>
              <w:pStyle w:val="27"/>
              <w:widowControl w:val="0"/>
              <w:autoSpaceDE w:val="0"/>
              <w:spacing w:before="0" w:beforeAutospacing="0" w:after="0" w:afterAutospacing="0" w:line="360" w:lineRule="auto"/>
              <w:ind w:firstLine="482" w:firstLineChars="200"/>
              <w:rPr>
                <w:rFonts w:hint="default" w:ascii="Times New Roman" w:hAnsi="Times New Roman" w:eastAsia="宋体" w:cs="Times New Roman"/>
                <w:b/>
                <w:bCs/>
                <w:color w:val="auto"/>
                <w:szCs w:val="24"/>
                <w:highlight w:val="none"/>
              </w:rPr>
            </w:pPr>
            <w:bookmarkStart w:id="3" w:name="GB14881-2013选址要求"/>
            <w:bookmarkEnd w:id="3"/>
            <w:r>
              <w:rPr>
                <w:rFonts w:hint="eastAsia" w:ascii="Times New Roman" w:hAnsi="Times New Roman" w:eastAsia="宋体" w:cs="Times New Roman"/>
                <w:b/>
                <w:bCs/>
                <w:color w:val="auto"/>
                <w:szCs w:val="24"/>
                <w:highlight w:val="none"/>
                <w:lang w:val="en-US" w:eastAsia="zh-CN"/>
              </w:rPr>
              <w:t>6</w:t>
            </w:r>
            <w:r>
              <w:rPr>
                <w:rFonts w:hint="default" w:ascii="Times New Roman" w:hAnsi="Times New Roman" w:eastAsia="宋体" w:cs="Times New Roman"/>
                <w:b/>
                <w:bCs/>
                <w:color w:val="auto"/>
                <w:szCs w:val="24"/>
                <w:highlight w:val="none"/>
              </w:rPr>
              <w:t>、与《四川省、重庆市长江经济带发展负面清单实施细则</w:t>
            </w:r>
            <w:r>
              <w:rPr>
                <w:rFonts w:hint="eastAsia" w:ascii="Times New Roman" w:hAnsi="Times New Roman" w:eastAsia="宋体" w:cs="Times New Roman"/>
                <w:b/>
                <w:bCs/>
                <w:color w:val="auto"/>
                <w:szCs w:val="24"/>
                <w:highlight w:val="none"/>
                <w:lang w:eastAsia="zh-CN"/>
              </w:rPr>
              <w:t>（</w:t>
            </w:r>
            <w:r>
              <w:rPr>
                <w:rFonts w:hint="default" w:ascii="Times New Roman" w:hAnsi="Times New Roman" w:eastAsia="宋体" w:cs="Times New Roman"/>
                <w:b/>
                <w:bCs/>
                <w:color w:val="auto"/>
                <w:szCs w:val="24"/>
                <w:highlight w:val="none"/>
              </w:rPr>
              <w:t>试行，2022年版</w:t>
            </w:r>
            <w:r>
              <w:rPr>
                <w:rFonts w:hint="eastAsia" w:ascii="Times New Roman" w:hAnsi="Times New Roman" w:eastAsia="宋体" w:cs="Times New Roman"/>
                <w:b/>
                <w:bCs/>
                <w:color w:val="auto"/>
                <w:szCs w:val="24"/>
                <w:highlight w:val="none"/>
                <w:lang w:eastAsia="zh-CN"/>
              </w:rPr>
              <w:t>）</w:t>
            </w:r>
            <w:r>
              <w:rPr>
                <w:rFonts w:hint="default" w:ascii="Times New Roman" w:hAnsi="Times New Roman" w:eastAsia="宋体" w:cs="Times New Roman"/>
                <w:b/>
                <w:bCs/>
                <w:color w:val="auto"/>
                <w:szCs w:val="24"/>
                <w:highlight w:val="none"/>
              </w:rPr>
              <w:t>》的符合性分析</w:t>
            </w:r>
          </w:p>
          <w:p w14:paraId="5DF4F648">
            <w:pPr>
              <w:pStyle w:val="73"/>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本项目与《四川省、重庆市长江经济带发展负面清单实施细则</w:t>
            </w:r>
            <w:r>
              <w:rPr>
                <w:rFonts w:hint="eastAsia" w:ascii="Times New Roman" w:hAnsi="Times New Roman" w:eastAsia="宋体" w:cs="Times New Roman"/>
                <w:color w:val="auto"/>
                <w:highlight w:val="none"/>
                <w:lang w:eastAsia="zh-CN"/>
              </w:rPr>
              <w:t>（试行，2022年版）</w:t>
            </w:r>
            <w:r>
              <w:rPr>
                <w:rFonts w:hint="default" w:ascii="Times New Roman" w:hAnsi="Times New Roman" w:eastAsia="宋体" w:cs="Times New Roman"/>
                <w:color w:val="auto"/>
                <w:highlight w:val="none"/>
              </w:rPr>
              <w:t>》的符合性分析如下表。</w:t>
            </w:r>
          </w:p>
          <w:p w14:paraId="49B2D803">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本项目与负面清单实施细则符合性分析</w:t>
            </w:r>
          </w:p>
          <w:tbl>
            <w:tblPr>
              <w:tblStyle w:val="3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1"/>
              <w:gridCol w:w="3922"/>
              <w:gridCol w:w="1759"/>
              <w:gridCol w:w="735"/>
            </w:tblGrid>
            <w:tr w14:paraId="61E34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3D4521B5">
                  <w:pPr>
                    <w:pStyle w:val="13"/>
                    <w:spacing w:after="0" w:line="240" w:lineRule="auto"/>
                    <w:jc w:val="both"/>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850" w:type="pct"/>
                  <w:vAlign w:val="center"/>
                </w:tcPr>
                <w:p w14:paraId="01819E4D">
                  <w:pPr>
                    <w:pStyle w:val="13"/>
                    <w:spacing w:after="0" w:line="240" w:lineRule="auto"/>
                    <w:ind w:firstLine="422"/>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负面清单实施细则要求</w:t>
                  </w:r>
                </w:p>
              </w:tc>
              <w:tc>
                <w:tcPr>
                  <w:tcW w:w="1278" w:type="pct"/>
                  <w:vAlign w:val="center"/>
                </w:tcPr>
                <w:p w14:paraId="1BD0E87C">
                  <w:pPr>
                    <w:pStyle w:val="13"/>
                    <w:spacing w:after="0" w:line="240" w:lineRule="auto"/>
                    <w:ind w:firstLine="422"/>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534" w:type="pct"/>
                  <w:vAlign w:val="center"/>
                </w:tcPr>
                <w:p w14:paraId="61AEBFB2">
                  <w:pPr>
                    <w:pStyle w:val="13"/>
                    <w:spacing w:after="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符合情况</w:t>
                  </w:r>
                </w:p>
              </w:tc>
            </w:tr>
            <w:tr w14:paraId="43E77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2426981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850" w:type="pct"/>
                  <w:vAlign w:val="center"/>
                </w:tcPr>
                <w:p w14:paraId="49C26003">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禁止新建、改建和扩建不符合全国港口布局规划，以及《四川省内河水运发展规划》《泸州—宜宾—乐山港口群布局规划》《重庆港总体规划(2035年</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》等省级港口布局规划及市级港口总体规划的码头项目。</w:t>
                  </w:r>
                </w:p>
              </w:tc>
              <w:tc>
                <w:tcPr>
                  <w:tcW w:w="1278" w:type="pct"/>
                  <w:vAlign w:val="center"/>
                </w:tcPr>
                <w:p w14:paraId="235D68C8">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本项目不属于码头项目</w:t>
                  </w:r>
                </w:p>
              </w:tc>
              <w:tc>
                <w:tcPr>
                  <w:tcW w:w="534" w:type="pct"/>
                  <w:vAlign w:val="center"/>
                </w:tcPr>
                <w:p w14:paraId="6FB5C0BB">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C505F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2FD42C16">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850" w:type="pct"/>
                  <w:vAlign w:val="center"/>
                </w:tcPr>
                <w:p w14:paraId="7A2373FE">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禁止新建、改建和扩建不符合《长江干线过江通道布局规划(2020-2035年</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》的过江通道项目(含桥梁、隧道</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，国家发展改革委同意过长江通道线位调整的除外。</w:t>
                  </w:r>
                </w:p>
              </w:tc>
              <w:tc>
                <w:tcPr>
                  <w:tcW w:w="1278" w:type="pct"/>
                  <w:vAlign w:val="center"/>
                </w:tcPr>
                <w:p w14:paraId="183AC815">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本项目不属于过江通道项目</w:t>
                  </w:r>
                </w:p>
              </w:tc>
              <w:tc>
                <w:tcPr>
                  <w:tcW w:w="534" w:type="pct"/>
                  <w:vAlign w:val="center"/>
                </w:tcPr>
                <w:p w14:paraId="559AD0B9">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0D0ACE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33571D86">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850" w:type="pct"/>
                  <w:vAlign w:val="center"/>
                </w:tcPr>
                <w:p w14:paraId="7A469647">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自然保护区核心区、缓冲区的岸线和河段范围内投资建设旅游和生产经营项目。禁止违反风景名胜区规划，在风景名胜区内设立各类开发区。禁止在风景名胜区核心景区的岸线和河段范围内建设宾馆、招待所、培训中心、疗养院以及与风景名胜资源保护无关的项目。</w:t>
                  </w:r>
                </w:p>
              </w:tc>
              <w:tc>
                <w:tcPr>
                  <w:tcW w:w="1278" w:type="pct"/>
                  <w:vAlign w:val="center"/>
                </w:tcPr>
                <w:p w14:paraId="04510057">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val="en-US" w:eastAsia="zh-CN"/>
                    </w:rPr>
                    <w:t>不在</w:t>
                  </w:r>
                  <w:r>
                    <w:rPr>
                      <w:rFonts w:hint="default" w:ascii="Times New Roman" w:hAnsi="Times New Roman" w:eastAsia="宋体" w:cs="Times New Roman"/>
                      <w:color w:val="auto"/>
                      <w:sz w:val="21"/>
                      <w:szCs w:val="21"/>
                      <w:highlight w:val="none"/>
                    </w:rPr>
                    <w:t>自然保护区、风景名胜区</w:t>
                  </w:r>
                  <w:r>
                    <w:rPr>
                      <w:rFonts w:hint="eastAsia" w:ascii="Times New Roman" w:hAnsi="Times New Roman" w:eastAsia="宋体" w:cs="Times New Roman"/>
                      <w:color w:val="auto"/>
                      <w:sz w:val="21"/>
                      <w:szCs w:val="21"/>
                      <w:highlight w:val="none"/>
                      <w:lang w:val="en-US" w:eastAsia="zh-CN"/>
                    </w:rPr>
                    <w:t>内，本项目距离贡嘎山自然保护区和海螺沟国家冰川森林公园在3km以上，距离海螺沟国家地质公园边界在600m以上，距离海螺沟国家地质公园一、二、三级保护区在6km以上，距离贡嘎山风景名胜区</w:t>
                  </w:r>
                  <w:r>
                    <w:rPr>
                      <w:rFonts w:hint="eastAsia" w:cs="Times New Roman"/>
                      <w:color w:val="auto"/>
                      <w:sz w:val="21"/>
                      <w:szCs w:val="21"/>
                      <w:highlight w:val="none"/>
                      <w:lang w:val="en-US" w:eastAsia="zh-CN"/>
                    </w:rPr>
                    <w:t>一般控制区最近约155</w:t>
                  </w:r>
                  <w:r>
                    <w:rPr>
                      <w:rFonts w:hint="eastAsia" w:ascii="Times New Roman" w:hAnsi="Times New Roman" w:eastAsia="宋体" w:cs="Times New Roman"/>
                      <w:color w:val="auto"/>
                      <w:sz w:val="21"/>
                      <w:szCs w:val="21"/>
                      <w:highlight w:val="none"/>
                      <w:lang w:val="en-US" w:eastAsia="zh-CN"/>
                    </w:rPr>
                    <w:t>m</w:t>
                  </w:r>
                  <w:r>
                    <w:rPr>
                      <w:rFonts w:hint="eastAsia" w:cs="Times New Roman"/>
                      <w:color w:val="auto"/>
                      <w:sz w:val="21"/>
                      <w:szCs w:val="21"/>
                      <w:highlight w:val="none"/>
                      <w:lang w:val="en-US" w:eastAsia="zh-CN"/>
                    </w:rPr>
                    <w:t>、距其核心区最近约3km</w:t>
                  </w:r>
                </w:p>
              </w:tc>
              <w:tc>
                <w:tcPr>
                  <w:tcW w:w="534" w:type="pct"/>
                  <w:vAlign w:val="center"/>
                </w:tcPr>
                <w:p w14:paraId="6796318B">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7FBD4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52084D5E">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850" w:type="pct"/>
                  <w:vAlign w:val="center"/>
                </w:tcPr>
                <w:p w14:paraId="465C775C">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饮用水水源准保护区的岸线和河段范围内新建、扩建对水体污染严重的建设项目，禁止改建增加排污量的建设项目。饮用水水源一级保护区的岸线和河段范围内，除遵守二级保护区规定外，禁止新建、改建、扩建与供水设施和保护水源无关的项目，以及网箱养殖、畜禽养殖、旅游等可能污染饮用水水体的投资建设项目。</w:t>
                  </w:r>
                </w:p>
              </w:tc>
              <w:tc>
                <w:tcPr>
                  <w:tcW w:w="1278" w:type="pct"/>
                  <w:vAlign w:val="center"/>
                </w:tcPr>
                <w:p w14:paraId="3E2FE3A6">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本项目不涉及饮用水水源保护区</w:t>
                  </w:r>
                </w:p>
              </w:tc>
              <w:tc>
                <w:tcPr>
                  <w:tcW w:w="534" w:type="pct"/>
                  <w:vAlign w:val="center"/>
                </w:tcPr>
                <w:p w14:paraId="514DDEA7">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355B8A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3FC4CDC3">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850" w:type="pct"/>
                  <w:vAlign w:val="center"/>
                </w:tcPr>
                <w:p w14:paraId="5046C174">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禁止在水产种质资源保护区岸线和河段范围内新建围湖造田、围海造地或挖沙采石等投资建设项目。禁止在国家湿地公园的岸线和河段范围内开(围</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垦、填埋或者排干湿地，截断湿地水源，挖沙、采矿，倾倒有毒有害物质、废弃物、垃圾，从事房地产、度假村、高尔夫球场、风力发电、光伏发电等任何不符合主体功能定位的建设项目和开发活动，破坏野生动物栖息地和迁徙通道、鱼类洄游通道。</w:t>
                  </w:r>
                </w:p>
              </w:tc>
              <w:tc>
                <w:tcPr>
                  <w:tcW w:w="1278" w:type="pct"/>
                  <w:vAlign w:val="center"/>
                </w:tcPr>
                <w:p w14:paraId="3AC549FD">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本项目不涉及水产种质资源保护区、湿地公园等</w:t>
                  </w:r>
                </w:p>
              </w:tc>
              <w:tc>
                <w:tcPr>
                  <w:tcW w:w="534" w:type="pct"/>
                  <w:vAlign w:val="center"/>
                </w:tcPr>
                <w:p w14:paraId="142F3AC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11EACE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7F2BAA70">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2850" w:type="pct"/>
                  <w:vAlign w:val="center"/>
                </w:tcPr>
                <w:p w14:paraId="5F0DD325">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违法利用、占用长江流域河湖岸线。禁止在《长江岸线保护和开发利用总体规划》划定的岸线保护区内投资建设除事关公共安全及公众利益的防洪护岸、河道治理、供水、生态环境保护、航道整治、国家重要基础设施以外的项目。禁止在《全国重要江河湖泊水功能区划》划定的河段保护区、保留区内投资建设不利于水资源及自然生态保护的项目。禁止在长江流域江河、湖泊新设、改设或者扩大排污口，经有管辖权的生态环境主管部门或者长江流域生态环境监督管理机构同意的除外。</w:t>
                  </w:r>
                </w:p>
              </w:tc>
              <w:tc>
                <w:tcPr>
                  <w:tcW w:w="1278" w:type="pct"/>
                  <w:vAlign w:val="center"/>
                </w:tcPr>
                <w:p w14:paraId="47E8347E">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本项目不在《长江岸线保护和开发利用总体规划》划定的岸线保护区内，不在岸线保留区内，不在全国重要江河湖泊水功能区划》划定的河段保护区、保留区内，不涉及排污口</w:t>
                  </w:r>
                </w:p>
              </w:tc>
              <w:tc>
                <w:tcPr>
                  <w:tcW w:w="534" w:type="pct"/>
                  <w:vAlign w:val="center"/>
                </w:tcPr>
                <w:p w14:paraId="42621CE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5C072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698A94E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2850" w:type="pct"/>
                  <w:vAlign w:val="center"/>
                </w:tcPr>
                <w:p w14:paraId="6113229B">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禁止在长江干流、大渡河、岷江、赤水河、沱江、嘉陵江、乌江、汉江和51个(四川省45个、重庆市6个</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水生生物保护区开展生产性捕捞。</w:t>
                  </w:r>
                </w:p>
              </w:tc>
              <w:tc>
                <w:tcPr>
                  <w:tcW w:w="1278" w:type="pct"/>
                  <w:vAlign w:val="center"/>
                </w:tcPr>
                <w:p w14:paraId="7A348BBC">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本项目不涉及捕捞</w:t>
                  </w:r>
                </w:p>
              </w:tc>
              <w:tc>
                <w:tcPr>
                  <w:tcW w:w="534" w:type="pct"/>
                  <w:vAlign w:val="center"/>
                </w:tcPr>
                <w:p w14:paraId="6A9C7D8F">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A0CDA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1B1CB823">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2850" w:type="pct"/>
                  <w:vAlign w:val="center"/>
                </w:tcPr>
                <w:p w14:paraId="3A992527">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长江干流三公里范围内和重要支流岸线一公里范围内新建、改建、扩建尾矿库、冶炼渣库、磷石膏库，以提升安全、生态环境保护水平为目的的改建除外。禁止在生态保护红线区域、永久基本农田集中区域和其他需要特别保护的区域内选址建设尾矿库、冶炼渣库、磷石膏库。</w:t>
                  </w:r>
                </w:p>
              </w:tc>
              <w:tc>
                <w:tcPr>
                  <w:tcW w:w="1278" w:type="pct"/>
                  <w:vMerge w:val="restart"/>
                  <w:vAlign w:val="center"/>
                </w:tcPr>
                <w:p w14:paraId="7BDF3A6C">
                  <w:pPr>
                    <w:pStyle w:val="13"/>
                    <w:spacing w:after="0"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不属于化工项目，不涉及</w:t>
                  </w:r>
                  <w:r>
                    <w:rPr>
                      <w:rFonts w:hint="default" w:ascii="Times New Roman" w:hAnsi="Times New Roman" w:eastAsia="宋体" w:cs="Times New Roman"/>
                      <w:color w:val="auto"/>
                      <w:sz w:val="21"/>
                      <w:szCs w:val="21"/>
                      <w:highlight w:val="none"/>
                    </w:rPr>
                    <w:t>尾矿库、冶炼渣库、磷石膏库</w:t>
                  </w:r>
                  <w:r>
                    <w:rPr>
                      <w:rFonts w:hint="default" w:ascii="Times New Roman" w:hAnsi="Times New Roman" w:eastAsia="宋体" w:cs="Times New Roman"/>
                      <w:color w:val="auto"/>
                      <w:sz w:val="21"/>
                      <w:szCs w:val="21"/>
                      <w:highlight w:val="none"/>
                      <w:lang w:val="en-US" w:eastAsia="zh-CN"/>
                    </w:rPr>
                    <w:t>建设；建设在园区内且不属于</w:t>
                  </w:r>
                  <w:r>
                    <w:rPr>
                      <w:rFonts w:hint="default" w:ascii="Times New Roman" w:hAnsi="Times New Roman" w:eastAsia="宋体" w:cs="Times New Roman"/>
                      <w:color w:val="auto"/>
                      <w:sz w:val="21"/>
                      <w:szCs w:val="21"/>
                      <w:highlight w:val="none"/>
                    </w:rPr>
                    <w:t>钢铁、石化、化工、焦化、建材、有色、制浆造纸等</w:t>
                  </w:r>
                  <w:r>
                    <w:rPr>
                      <w:rFonts w:hint="default" w:ascii="Times New Roman" w:hAnsi="Times New Roman" w:eastAsia="宋体" w:cs="Times New Roman"/>
                      <w:color w:val="auto"/>
                      <w:sz w:val="21"/>
                      <w:szCs w:val="21"/>
                      <w:highlight w:val="none"/>
                      <w:lang w:val="en-US" w:eastAsia="zh-CN"/>
                    </w:rPr>
                    <w:t>高污染项目；不属于</w:t>
                  </w:r>
                  <w:r>
                    <w:rPr>
                      <w:rFonts w:hint="default" w:ascii="Times New Roman" w:hAnsi="Times New Roman" w:eastAsia="宋体" w:cs="Times New Roman"/>
                      <w:color w:val="auto"/>
                      <w:sz w:val="21"/>
                      <w:szCs w:val="21"/>
                      <w:highlight w:val="none"/>
                    </w:rPr>
                    <w:t>石化、现代煤化工等产业</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不属于高污染项目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不属于落后产能的项目</w:t>
                  </w:r>
                  <w:r>
                    <w:rPr>
                      <w:rFonts w:hint="default" w:ascii="Times New Roman" w:hAnsi="Times New Roman" w:eastAsia="宋体" w:cs="Times New Roman"/>
                      <w:color w:val="auto"/>
                      <w:sz w:val="21"/>
                      <w:szCs w:val="21"/>
                      <w:highlight w:val="none"/>
                      <w:lang w:eastAsia="zh-CN"/>
                    </w:rPr>
                    <w:t>。</w:t>
                  </w:r>
                </w:p>
              </w:tc>
              <w:tc>
                <w:tcPr>
                  <w:tcW w:w="534" w:type="pct"/>
                  <w:vAlign w:val="center"/>
                </w:tcPr>
                <w:p w14:paraId="4AB5FDCB">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6AFF89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438D9435">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2850" w:type="pct"/>
                  <w:vAlign w:val="center"/>
                </w:tcPr>
                <w:p w14:paraId="51CF539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禁止在合规园区外新建、扩建钢铁、石化、化工、焦化、建材、有色、制浆造纸等高污染项目。</w:t>
                  </w:r>
                </w:p>
              </w:tc>
              <w:tc>
                <w:tcPr>
                  <w:tcW w:w="1278" w:type="pct"/>
                  <w:vMerge w:val="continue"/>
                  <w:vAlign w:val="center"/>
                </w:tcPr>
                <w:p w14:paraId="15FA564F">
                  <w:pPr>
                    <w:pStyle w:val="13"/>
                    <w:spacing w:after="0" w:line="240" w:lineRule="auto"/>
                    <w:jc w:val="center"/>
                    <w:rPr>
                      <w:rFonts w:hint="default" w:ascii="Times New Roman" w:hAnsi="Times New Roman" w:eastAsia="宋体" w:cs="Times New Roman"/>
                      <w:color w:val="auto"/>
                      <w:sz w:val="21"/>
                      <w:szCs w:val="21"/>
                      <w:highlight w:val="none"/>
                    </w:rPr>
                  </w:pPr>
                </w:p>
              </w:tc>
              <w:tc>
                <w:tcPr>
                  <w:tcW w:w="534" w:type="pct"/>
                  <w:vAlign w:val="center"/>
                </w:tcPr>
                <w:p w14:paraId="180349DD">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4CA0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34D29EA2">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2850" w:type="pct"/>
                  <w:vAlign w:val="center"/>
                </w:tcPr>
                <w:p w14:paraId="33FF927E">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禁止新建、扩建不符合国家石化、现代煤化工等产业布局规划的项目。</w:t>
                  </w:r>
                </w:p>
              </w:tc>
              <w:tc>
                <w:tcPr>
                  <w:tcW w:w="1278" w:type="pct"/>
                  <w:vMerge w:val="continue"/>
                  <w:vAlign w:val="center"/>
                </w:tcPr>
                <w:p w14:paraId="345A8779">
                  <w:pPr>
                    <w:pStyle w:val="13"/>
                    <w:spacing w:after="0" w:line="240" w:lineRule="auto"/>
                    <w:jc w:val="center"/>
                    <w:rPr>
                      <w:rFonts w:hint="default" w:ascii="Times New Roman" w:hAnsi="Times New Roman" w:eastAsia="宋体" w:cs="Times New Roman"/>
                      <w:color w:val="auto"/>
                      <w:sz w:val="21"/>
                      <w:szCs w:val="21"/>
                      <w:highlight w:val="none"/>
                    </w:rPr>
                  </w:pPr>
                </w:p>
              </w:tc>
              <w:tc>
                <w:tcPr>
                  <w:tcW w:w="534" w:type="pct"/>
                  <w:vAlign w:val="center"/>
                </w:tcPr>
                <w:p w14:paraId="1F47EA65">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38B4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36" w:type="pct"/>
                  <w:vAlign w:val="center"/>
                </w:tcPr>
                <w:p w14:paraId="6C7474A9">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850" w:type="pct"/>
                  <w:vAlign w:val="center"/>
                </w:tcPr>
                <w:p w14:paraId="4E0FA201">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禁止新建、扩建法律法规和相关政策法令禁止的落后产能项目。</w:t>
                  </w:r>
                </w:p>
              </w:tc>
              <w:tc>
                <w:tcPr>
                  <w:tcW w:w="1278" w:type="pct"/>
                  <w:vMerge w:val="continue"/>
                  <w:vAlign w:val="center"/>
                </w:tcPr>
                <w:p w14:paraId="12E8011F">
                  <w:pPr>
                    <w:pStyle w:val="13"/>
                    <w:spacing w:after="0" w:line="240" w:lineRule="auto"/>
                    <w:jc w:val="center"/>
                    <w:rPr>
                      <w:rFonts w:hint="default" w:ascii="Times New Roman" w:hAnsi="Times New Roman" w:eastAsia="宋体" w:cs="Times New Roman"/>
                      <w:color w:val="auto"/>
                      <w:sz w:val="21"/>
                      <w:szCs w:val="21"/>
                      <w:highlight w:val="none"/>
                    </w:rPr>
                  </w:pPr>
                </w:p>
              </w:tc>
              <w:tc>
                <w:tcPr>
                  <w:tcW w:w="534" w:type="pct"/>
                  <w:vAlign w:val="center"/>
                </w:tcPr>
                <w:p w14:paraId="6177DE88">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79714C18">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因此本项目不在长江经济带发展负面清单指南内，本项目建设可行。</w:t>
            </w:r>
          </w:p>
          <w:p w14:paraId="72D41A30">
            <w:pPr>
              <w:pStyle w:val="27"/>
              <w:widowControl w:val="0"/>
              <w:autoSpaceDE w:val="0"/>
              <w:spacing w:before="0" w:beforeAutospacing="0" w:after="0" w:afterAutospacing="0" w:line="360" w:lineRule="auto"/>
              <w:ind w:firstLine="482" w:firstLineChars="200"/>
              <w:rPr>
                <w:rFonts w:hint="default" w:ascii="Times New Roman" w:hAnsi="Times New Roman" w:eastAsia="宋体" w:cs="Times New Roman"/>
                <w:b/>
                <w:bCs/>
                <w:color w:val="auto"/>
                <w:szCs w:val="24"/>
                <w:highlight w:val="none"/>
                <w:lang w:val="en-US" w:eastAsia="zh-CN"/>
              </w:rPr>
            </w:pPr>
            <w:r>
              <w:rPr>
                <w:rFonts w:hint="eastAsia" w:ascii="Times New Roman" w:hAnsi="Times New Roman" w:eastAsia="宋体" w:cs="Times New Roman"/>
                <w:b/>
                <w:bCs/>
                <w:color w:val="auto"/>
                <w:szCs w:val="24"/>
                <w:highlight w:val="none"/>
                <w:lang w:val="en-US" w:eastAsia="zh-CN"/>
              </w:rPr>
              <w:t>7、与《四川省国家重点生态功能区</w:t>
            </w:r>
            <w:r>
              <w:rPr>
                <w:rFonts w:hint="default" w:ascii="Times New Roman" w:hAnsi="Times New Roman" w:eastAsia="宋体" w:cs="Times New Roman"/>
                <w:b/>
                <w:bCs/>
                <w:color w:val="auto"/>
                <w:szCs w:val="24"/>
                <w:highlight w:val="none"/>
                <w:lang w:val="en-US" w:eastAsia="zh-CN"/>
              </w:rPr>
              <w:t>产业准入负面清单（第一批）（试行）</w:t>
            </w:r>
            <w:r>
              <w:rPr>
                <w:rFonts w:hint="eastAsia" w:ascii="Times New Roman" w:hAnsi="Times New Roman" w:eastAsia="宋体" w:cs="Times New Roman"/>
                <w:b/>
                <w:bCs/>
                <w:color w:val="auto"/>
                <w:szCs w:val="24"/>
                <w:highlight w:val="none"/>
                <w:lang w:val="en-US" w:eastAsia="zh-CN"/>
              </w:rPr>
              <w:t>》符合性分析</w:t>
            </w:r>
          </w:p>
          <w:p w14:paraId="1FB507B5">
            <w:pPr>
              <w:pStyle w:val="73"/>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本项目与《四川省国家重点生态功能区 产业准入负面清单（第一批）（试行）》的符合性分析如下表。</w:t>
            </w:r>
          </w:p>
          <w:p w14:paraId="20565B67">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本项目与泸定县产业准入负面清单符合性分析</w:t>
            </w:r>
          </w:p>
          <w:tbl>
            <w:tblPr>
              <w:tblStyle w:val="3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1095"/>
              <w:gridCol w:w="655"/>
              <w:gridCol w:w="1816"/>
              <w:gridCol w:w="2126"/>
              <w:gridCol w:w="740"/>
            </w:tblGrid>
            <w:tr w14:paraId="5F31D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24" w:type="pct"/>
                  <w:vAlign w:val="center"/>
                </w:tcPr>
                <w:p w14:paraId="7D88E8F2">
                  <w:pPr>
                    <w:pStyle w:val="13"/>
                    <w:spacing w:after="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796" w:type="pct"/>
                  <w:vAlign w:val="center"/>
                </w:tcPr>
                <w:p w14:paraId="17B50081">
                  <w:pPr>
                    <w:pStyle w:val="13"/>
                    <w:spacing w:after="0"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类别</w:t>
                  </w:r>
                </w:p>
              </w:tc>
              <w:tc>
                <w:tcPr>
                  <w:tcW w:w="476" w:type="pct"/>
                  <w:vAlign w:val="center"/>
                </w:tcPr>
                <w:p w14:paraId="05BF8F72">
                  <w:pPr>
                    <w:pStyle w:val="13"/>
                    <w:spacing w:after="0" w:line="240" w:lineRule="auto"/>
                    <w:jc w:val="center"/>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产业存在状况</w:t>
                  </w:r>
                </w:p>
              </w:tc>
              <w:tc>
                <w:tcPr>
                  <w:tcW w:w="1320" w:type="pct"/>
                  <w:vAlign w:val="center"/>
                </w:tcPr>
                <w:p w14:paraId="483403E1">
                  <w:pPr>
                    <w:pStyle w:val="13"/>
                    <w:spacing w:after="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泸定县产业准入负面清单要求</w:t>
                  </w:r>
                </w:p>
              </w:tc>
              <w:tc>
                <w:tcPr>
                  <w:tcW w:w="1546" w:type="pct"/>
                  <w:vAlign w:val="center"/>
                </w:tcPr>
                <w:p w14:paraId="37EF578F">
                  <w:pPr>
                    <w:pStyle w:val="13"/>
                    <w:spacing w:after="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535" w:type="pct"/>
                  <w:vAlign w:val="center"/>
                </w:tcPr>
                <w:p w14:paraId="39B941FE">
                  <w:pPr>
                    <w:pStyle w:val="13"/>
                    <w:spacing w:after="0"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符合情况</w:t>
                  </w:r>
                </w:p>
              </w:tc>
            </w:tr>
            <w:tr w14:paraId="702BDA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00" w:type="pct"/>
                  <w:gridSpan w:val="6"/>
                  <w:vAlign w:val="center"/>
                </w:tcPr>
                <w:p w14:paraId="55C2F147">
                  <w:pPr>
                    <w:pStyle w:val="13"/>
                    <w:spacing w:after="0" w:line="240" w:lineRule="auto"/>
                    <w:jc w:val="left"/>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限制类</w:t>
                  </w:r>
                </w:p>
              </w:tc>
            </w:tr>
            <w:tr w14:paraId="348FAF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324" w:type="pct"/>
                  <w:vAlign w:val="center"/>
                </w:tcPr>
                <w:p w14:paraId="28393246">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796" w:type="pct"/>
                  <w:vAlign w:val="center"/>
                </w:tcPr>
                <w:p w14:paraId="7353FEEA">
                  <w:pPr>
                    <w:pStyle w:val="13"/>
                    <w:spacing w:after="0" w:line="240" w:lineRule="auto"/>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135 屠宰及肉类加工</w:t>
                  </w:r>
                  <w:r>
                    <w:rPr>
                      <w:rFonts w:hint="eastAsia" w:cs="Times New Roman"/>
                      <w:color w:val="auto"/>
                      <w:sz w:val="21"/>
                      <w:szCs w:val="21"/>
                      <w:highlight w:val="none"/>
                      <w:lang w:val="en-US" w:eastAsia="zh-CN"/>
                    </w:rPr>
                    <w:t>-1351 牲畜屠宰</w:t>
                  </w:r>
                </w:p>
              </w:tc>
              <w:tc>
                <w:tcPr>
                  <w:tcW w:w="476" w:type="pct"/>
                  <w:vAlign w:val="center"/>
                </w:tcPr>
                <w:p w14:paraId="3A64AB61">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现有一般</w:t>
                  </w:r>
                </w:p>
                <w:p w14:paraId="50B18CF1">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产业</w:t>
                  </w:r>
                </w:p>
              </w:tc>
              <w:tc>
                <w:tcPr>
                  <w:tcW w:w="1320" w:type="pct"/>
                  <w:vAlign w:val="center"/>
                </w:tcPr>
                <w:p w14:paraId="67C3EB6B">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新建项目须配套污水处理设施和病死牲畜无害化处理设施，现有无上述设施的企业立即整改达标或关闭退出</w:t>
                  </w:r>
                </w:p>
              </w:tc>
              <w:tc>
                <w:tcPr>
                  <w:tcW w:w="1546" w:type="pct"/>
                  <w:vAlign w:val="center"/>
                </w:tcPr>
                <w:p w14:paraId="6CDB04B8">
                  <w:pPr>
                    <w:pStyle w:val="13"/>
                    <w:spacing w:after="0"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w:t>
                  </w:r>
                  <w:r>
                    <w:rPr>
                      <w:rFonts w:hint="eastAsia" w:cs="Times New Roman"/>
                      <w:color w:val="auto"/>
                      <w:sz w:val="21"/>
                      <w:szCs w:val="21"/>
                      <w:highlight w:val="none"/>
                      <w:lang w:val="en-US" w:eastAsia="zh-CN"/>
                    </w:rPr>
                    <w:t>属于新建项目，项目已配套建设污水处理设施，</w:t>
                  </w:r>
                  <w:r>
                    <w:rPr>
                      <w:rFonts w:hint="eastAsia" w:ascii="Times New Roman" w:hAnsi="Times New Roman" w:eastAsia="宋体" w:cs="Times New Roman"/>
                      <w:b w:val="0"/>
                      <w:bCs w:val="0"/>
                      <w:color w:val="auto"/>
                      <w:sz w:val="21"/>
                      <w:szCs w:val="21"/>
                      <w:highlight w:val="none"/>
                      <w:vertAlign w:val="baseline"/>
                      <w:lang w:val="en-US" w:eastAsia="zh-CN"/>
                    </w:rPr>
                    <w:t>本项目</w:t>
                  </w:r>
                  <w:r>
                    <w:rPr>
                      <w:rFonts w:hint="eastAsia" w:cs="Times New Roman"/>
                      <w:b w:val="0"/>
                      <w:bCs w:val="0"/>
                      <w:color w:val="auto"/>
                      <w:sz w:val="21"/>
                      <w:szCs w:val="21"/>
                      <w:highlight w:val="none"/>
                      <w:vertAlign w:val="baseline"/>
                      <w:lang w:val="en-US" w:eastAsia="zh-CN"/>
                    </w:rPr>
                    <w:t>病害生猪及生猪产品委托成都市科农动物无害化处置有限公司进行集中处置</w:t>
                  </w:r>
                  <w:r>
                    <w:rPr>
                      <w:rFonts w:hint="eastAsia" w:ascii="Times New Roman" w:hAnsi="Times New Roman" w:eastAsia="宋体" w:cs="Times New Roman"/>
                      <w:b w:val="0"/>
                      <w:bCs w:val="0"/>
                      <w:color w:val="auto"/>
                      <w:sz w:val="21"/>
                      <w:szCs w:val="21"/>
                      <w:highlight w:val="none"/>
                      <w:vertAlign w:val="baseline"/>
                      <w:lang w:val="en-US" w:eastAsia="zh-CN"/>
                    </w:rPr>
                    <w:t>。</w:t>
                  </w:r>
                </w:p>
              </w:tc>
              <w:tc>
                <w:tcPr>
                  <w:tcW w:w="535" w:type="pct"/>
                  <w:vAlign w:val="center"/>
                </w:tcPr>
                <w:p w14:paraId="5B314480">
                  <w:pPr>
                    <w:pStyle w:val="13"/>
                    <w:spacing w:after="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2067AC17">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因此本项目</w:t>
            </w:r>
            <w:r>
              <w:rPr>
                <w:rFonts w:hint="eastAsia" w:cs="Times New Roman"/>
                <w:color w:val="auto"/>
                <w:highlight w:val="none"/>
                <w:lang w:val="en-US" w:eastAsia="zh-CN"/>
              </w:rPr>
              <w:t>符合泸定县产业准入负面清单要求</w:t>
            </w:r>
            <w:r>
              <w:rPr>
                <w:rFonts w:hint="default" w:ascii="Times New Roman" w:hAnsi="Times New Roman" w:eastAsia="宋体" w:cs="Times New Roman"/>
                <w:color w:val="auto"/>
                <w:highlight w:val="none"/>
              </w:rPr>
              <w:t>，本项目建设可行。</w:t>
            </w:r>
          </w:p>
          <w:p w14:paraId="1E17919D">
            <w:pPr>
              <w:ind w:firstLine="482" w:firstLineChars="200"/>
              <w:rPr>
                <w:rFonts w:hint="default" w:ascii="Times New Roman" w:hAnsi="Times New Roman" w:eastAsia="宋体" w:cs="Times New Roman"/>
                <w:b/>
                <w:bCs/>
                <w:color w:val="auto"/>
                <w:highlight w:val="none"/>
              </w:rPr>
            </w:pPr>
            <w:r>
              <w:rPr>
                <w:rFonts w:hint="eastAsia" w:cs="Times New Roman"/>
                <w:b/>
                <w:bCs/>
                <w:color w:val="auto"/>
                <w:highlight w:val="none"/>
                <w:lang w:val="en-US" w:eastAsia="zh-CN"/>
              </w:rPr>
              <w:t>8</w:t>
            </w:r>
            <w:r>
              <w:rPr>
                <w:rFonts w:hint="default" w:ascii="Times New Roman" w:hAnsi="Times New Roman" w:eastAsia="宋体" w:cs="Times New Roman"/>
                <w:b/>
                <w:bCs/>
                <w:color w:val="auto"/>
                <w:highlight w:val="none"/>
              </w:rPr>
              <w:t>、大气污染防治政策符合性分析</w:t>
            </w:r>
          </w:p>
          <w:p w14:paraId="40B4DD74">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与大气污染防治等相关政策符合性</w:t>
            </w:r>
          </w:p>
          <w:tbl>
            <w:tblPr>
              <w:tblStyle w:val="3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5"/>
              <w:gridCol w:w="2902"/>
              <w:gridCol w:w="2019"/>
              <w:gridCol w:w="638"/>
            </w:tblGrid>
            <w:tr w14:paraId="5E6BD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6" w:type="pct"/>
                  <w:vAlign w:val="center"/>
                </w:tcPr>
                <w:p w14:paraId="3A59F303">
                  <w:pPr>
                    <w:autoSpaceDE w:val="0"/>
                    <w:autoSpaceDN w:val="0"/>
                    <w:adjustRightInd w:val="0"/>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大气污染防治相关文件</w:t>
                  </w:r>
                </w:p>
              </w:tc>
              <w:tc>
                <w:tcPr>
                  <w:tcW w:w="2110" w:type="pct"/>
                  <w:vAlign w:val="center"/>
                </w:tcPr>
                <w:p w14:paraId="03680FEA">
                  <w:pPr>
                    <w:autoSpaceDE w:val="0"/>
                    <w:autoSpaceDN w:val="0"/>
                    <w:adjustRightInd w:val="0"/>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政策要求</w:t>
                  </w:r>
                </w:p>
              </w:tc>
              <w:tc>
                <w:tcPr>
                  <w:tcW w:w="1468" w:type="pct"/>
                  <w:vAlign w:val="center"/>
                </w:tcPr>
                <w:p w14:paraId="282DA658">
                  <w:pPr>
                    <w:autoSpaceDE w:val="0"/>
                    <w:autoSpaceDN w:val="0"/>
                    <w:adjustRightInd w:val="0"/>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64" w:type="pct"/>
                  <w:vAlign w:val="center"/>
                </w:tcPr>
                <w:p w14:paraId="39259E2F">
                  <w:pPr>
                    <w:autoSpaceDE w:val="0"/>
                    <w:autoSpaceDN w:val="0"/>
                    <w:adjustRightInd w:val="0"/>
                    <w:snapToGrid w:val="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符合性</w:t>
                  </w:r>
                </w:p>
              </w:tc>
            </w:tr>
            <w:tr w14:paraId="0DF06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6" w:type="pct"/>
                  <w:vMerge w:val="restart"/>
                  <w:vAlign w:val="center"/>
                </w:tcPr>
                <w:p w14:paraId="74917501">
                  <w:pPr>
                    <w:widowControl/>
                    <w:jc w:val="left"/>
                    <w:rPr>
                      <w:rFonts w:hint="eastAsia" w:ascii="Times New Roman" w:hAnsi="Times New Roman" w:eastAsia="宋体" w:cs="Times New Roman"/>
                      <w:color w:val="auto"/>
                      <w:kern w:val="0"/>
                      <w:sz w:val="21"/>
                      <w:szCs w:val="20"/>
                      <w:highlight w:val="none"/>
                      <w:lang w:eastAsia="zh-CN"/>
                    </w:rPr>
                  </w:pPr>
                  <w:r>
                    <w:rPr>
                      <w:rFonts w:hint="default" w:ascii="Times New Roman" w:hAnsi="Times New Roman" w:eastAsia="宋体" w:cs="Times New Roman"/>
                      <w:color w:val="auto"/>
                      <w:kern w:val="0"/>
                      <w:sz w:val="21"/>
                      <w:szCs w:val="20"/>
                      <w:highlight w:val="none"/>
                    </w:rPr>
                    <w:t>《四川省空气质量持续改善行动计划实施方案》</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川府发〔2024〕15号</w:t>
                  </w:r>
                  <w:r>
                    <w:rPr>
                      <w:rFonts w:hint="eastAsia" w:cs="Times New Roman"/>
                      <w:color w:val="auto"/>
                      <w:kern w:val="0"/>
                      <w:sz w:val="21"/>
                      <w:szCs w:val="20"/>
                      <w:highlight w:val="none"/>
                      <w:lang w:eastAsia="zh-CN"/>
                    </w:rPr>
                    <w:t>）</w:t>
                  </w:r>
                </w:p>
              </w:tc>
              <w:tc>
                <w:tcPr>
                  <w:tcW w:w="2110" w:type="pct"/>
                  <w:shd w:val="clear" w:color="auto" w:fill="auto"/>
                  <w:vAlign w:val="center"/>
                </w:tcPr>
                <w:p w14:paraId="74447BC3">
                  <w:pPr>
                    <w:widowControl/>
                    <w:jc w:val="left"/>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rPr>
                    <w:t>(八</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积极推进锅炉淘汰重点区域原则上不再新建燃煤锅炉其余县级及以上城市建成区原则上不再新增</w:t>
                  </w:r>
                  <w:r>
                    <w:rPr>
                      <w:rFonts w:hint="eastAsia" w:ascii="Times New Roman" w:hAnsi="Times New Roman" w:eastAsia="宋体" w:cs="Times New Roman"/>
                      <w:color w:val="auto"/>
                      <w:kern w:val="0"/>
                      <w:sz w:val="21"/>
                      <w:szCs w:val="20"/>
                      <w:highlight w:val="none"/>
                      <w:lang w:val="en-US" w:eastAsia="zh-CN"/>
                    </w:rPr>
                    <w:t>35</w:t>
                  </w:r>
                  <w:r>
                    <w:rPr>
                      <w:rFonts w:hint="default" w:ascii="Times New Roman" w:hAnsi="Times New Roman" w:eastAsia="宋体" w:cs="Times New Roman"/>
                      <w:color w:val="auto"/>
                      <w:kern w:val="0"/>
                      <w:sz w:val="21"/>
                      <w:szCs w:val="20"/>
                      <w:highlight w:val="none"/>
                    </w:rPr>
                    <w:t>蒸吨/小时及以下燃煤锅炉淘汰</w:t>
                  </w:r>
                  <w:r>
                    <w:rPr>
                      <w:rFonts w:hint="eastAsia" w:ascii="Times New Roman" w:hAnsi="Times New Roman" w:eastAsia="宋体" w:cs="Times New Roman"/>
                      <w:color w:val="auto"/>
                      <w:kern w:val="0"/>
                      <w:sz w:val="21"/>
                      <w:szCs w:val="20"/>
                      <w:highlight w:val="none"/>
                      <w:lang w:val="en-US" w:eastAsia="zh-CN"/>
                    </w:rPr>
                    <w:t>10</w:t>
                  </w:r>
                  <w:r>
                    <w:rPr>
                      <w:rFonts w:hint="default" w:ascii="Times New Roman" w:hAnsi="Times New Roman" w:eastAsia="宋体" w:cs="Times New Roman"/>
                      <w:color w:val="auto"/>
                      <w:kern w:val="0"/>
                      <w:sz w:val="21"/>
                      <w:szCs w:val="20"/>
                      <w:highlight w:val="none"/>
                    </w:rPr>
                    <w:t>蒸吨/小时及以下燃煤锅炉和</w:t>
                  </w:r>
                  <w:r>
                    <w:rPr>
                      <w:rFonts w:hint="eastAsia" w:ascii="Times New Roman" w:hAnsi="Times New Roman" w:eastAsia="宋体" w:cs="Times New Roman"/>
                      <w:color w:val="auto"/>
                      <w:kern w:val="0"/>
                      <w:sz w:val="21"/>
                      <w:szCs w:val="20"/>
                      <w:highlight w:val="none"/>
                      <w:lang w:val="en-US" w:eastAsia="zh-CN"/>
                    </w:rPr>
                    <w:t>2</w:t>
                  </w:r>
                  <w:r>
                    <w:rPr>
                      <w:rFonts w:hint="default" w:ascii="Times New Roman" w:hAnsi="Times New Roman" w:eastAsia="宋体" w:cs="Times New Roman"/>
                      <w:color w:val="auto"/>
                      <w:kern w:val="0"/>
                      <w:sz w:val="21"/>
                      <w:szCs w:val="20"/>
                      <w:highlight w:val="none"/>
                    </w:rPr>
                    <w:t>蒸吨/小时及以下生物质锅炉加快推进</w:t>
                  </w:r>
                  <w:r>
                    <w:rPr>
                      <w:rFonts w:hint="eastAsia" w:ascii="Times New Roman" w:hAnsi="Times New Roman" w:eastAsia="宋体" w:cs="Times New Roman"/>
                      <w:color w:val="auto"/>
                      <w:kern w:val="0"/>
                      <w:sz w:val="21"/>
                      <w:szCs w:val="20"/>
                      <w:highlight w:val="none"/>
                      <w:lang w:val="en-US" w:eastAsia="zh-CN"/>
                    </w:rPr>
                    <w:t>35</w:t>
                  </w:r>
                  <w:r>
                    <w:rPr>
                      <w:rFonts w:hint="default" w:ascii="Times New Roman" w:hAnsi="Times New Roman" w:eastAsia="宋体" w:cs="Times New Roman"/>
                      <w:color w:val="auto"/>
                      <w:kern w:val="0"/>
                      <w:sz w:val="21"/>
                      <w:szCs w:val="20"/>
                      <w:highlight w:val="none"/>
                    </w:rPr>
                    <w:t>蒸吨/小时及以下的燃煤锅炉及茶水炉、经营性炉灶、储粮烘干设备、农产品加工等燃煤设施淘汰重点区域城市建成区到</w:t>
                  </w:r>
                  <w:r>
                    <w:rPr>
                      <w:rFonts w:hint="eastAsia" w:ascii="Times New Roman" w:hAnsi="Times New Roman" w:eastAsia="宋体" w:cs="Times New Roman"/>
                      <w:color w:val="auto"/>
                      <w:kern w:val="0"/>
                      <w:sz w:val="21"/>
                      <w:szCs w:val="20"/>
                      <w:highlight w:val="none"/>
                      <w:lang w:val="en-US" w:eastAsia="zh-CN"/>
                    </w:rPr>
                    <w:t>2025</w:t>
                  </w:r>
                  <w:r>
                    <w:rPr>
                      <w:rFonts w:hint="default" w:ascii="Times New Roman" w:hAnsi="Times New Roman" w:eastAsia="宋体" w:cs="Times New Roman"/>
                      <w:color w:val="auto"/>
                      <w:kern w:val="0"/>
                      <w:sz w:val="21"/>
                      <w:szCs w:val="20"/>
                      <w:highlight w:val="none"/>
                    </w:rPr>
                    <w:t>年基本完成加快热力管网建设推进</w:t>
                  </w:r>
                  <w:r>
                    <w:rPr>
                      <w:rFonts w:hint="eastAsia" w:ascii="Times New Roman" w:hAnsi="Times New Roman" w:eastAsia="宋体" w:cs="Times New Roman"/>
                      <w:color w:val="auto"/>
                      <w:kern w:val="0"/>
                      <w:sz w:val="21"/>
                      <w:szCs w:val="20"/>
                      <w:highlight w:val="none"/>
                      <w:lang w:val="en-US" w:eastAsia="zh-CN"/>
                    </w:rPr>
                    <w:t>30</w:t>
                  </w:r>
                  <w:r>
                    <w:rPr>
                      <w:rFonts w:hint="default" w:ascii="Times New Roman" w:hAnsi="Times New Roman" w:eastAsia="宋体" w:cs="Times New Roman"/>
                      <w:color w:val="auto"/>
                      <w:kern w:val="0"/>
                      <w:sz w:val="21"/>
                      <w:szCs w:val="20"/>
                      <w:highlight w:val="none"/>
                    </w:rPr>
                    <w:t>万千瓦及以上热电联产电厂供热半径</w:t>
                  </w:r>
                  <w:r>
                    <w:rPr>
                      <w:rFonts w:hint="eastAsia" w:ascii="Times New Roman" w:hAnsi="Times New Roman" w:eastAsia="宋体" w:cs="Times New Roman"/>
                      <w:color w:val="auto"/>
                      <w:kern w:val="0"/>
                      <w:sz w:val="21"/>
                      <w:szCs w:val="20"/>
                      <w:highlight w:val="none"/>
                      <w:lang w:val="en-US" w:eastAsia="zh-CN"/>
                    </w:rPr>
                    <w:t>30</w:t>
                  </w:r>
                  <w:r>
                    <w:rPr>
                      <w:rFonts w:hint="default" w:ascii="Times New Roman" w:hAnsi="Times New Roman" w:eastAsia="宋体" w:cs="Times New Roman"/>
                      <w:color w:val="auto"/>
                      <w:kern w:val="0"/>
                      <w:sz w:val="21"/>
                      <w:szCs w:val="20"/>
                      <w:highlight w:val="none"/>
                    </w:rPr>
                    <w:t>公里范围内的燃煤锅炉和落后燃煤小热电机组(含自备电厂</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关停或整合</w:t>
                  </w:r>
                </w:p>
              </w:tc>
              <w:tc>
                <w:tcPr>
                  <w:tcW w:w="1468" w:type="pct"/>
                  <w:shd w:val="clear" w:color="auto" w:fill="auto"/>
                  <w:vAlign w:val="center"/>
                </w:tcPr>
                <w:p w14:paraId="2FDBE48B">
                  <w:pPr>
                    <w:widowControl/>
                    <w:jc w:val="left"/>
                    <w:rPr>
                      <w:rFonts w:hint="default" w:ascii="Times New Roman" w:hAnsi="Times New Roman" w:eastAsia="宋体" w:cs="Times New Roman"/>
                      <w:color w:val="auto"/>
                      <w:kern w:val="0"/>
                      <w:sz w:val="21"/>
                      <w:szCs w:val="20"/>
                      <w:highlight w:val="none"/>
                      <w:lang w:val="en-US" w:eastAsia="zh-CN" w:bidi="ar-SA"/>
                    </w:rPr>
                  </w:pPr>
                  <w:r>
                    <w:rPr>
                      <w:rFonts w:hint="eastAsia" w:cs="Times New Roman"/>
                      <w:color w:val="auto"/>
                      <w:kern w:val="0"/>
                      <w:sz w:val="21"/>
                      <w:szCs w:val="20"/>
                      <w:highlight w:val="none"/>
                      <w:lang w:val="en-US" w:eastAsia="zh-CN"/>
                    </w:rPr>
                    <w:t>本项目不涉及锅炉使用，屠宰烫毛采用封闭式烫毛机。</w:t>
                  </w:r>
                </w:p>
              </w:tc>
              <w:tc>
                <w:tcPr>
                  <w:tcW w:w="464" w:type="pct"/>
                  <w:shd w:val="clear" w:color="auto" w:fill="auto"/>
                  <w:vAlign w:val="center"/>
                </w:tcPr>
                <w:p w14:paraId="619A2E5E">
                  <w:pPr>
                    <w:widowControl/>
                    <w:jc w:val="left"/>
                    <w:rPr>
                      <w:rFonts w:hint="eastAsia" w:ascii="Times New Roman" w:hAnsi="Times New Roman" w:eastAsia="宋体" w:cs="Times New Roman"/>
                      <w:color w:val="auto"/>
                      <w:kern w:val="0"/>
                      <w:sz w:val="21"/>
                      <w:szCs w:val="20"/>
                      <w:highlight w:val="none"/>
                      <w:lang w:val="en-US" w:eastAsia="zh-CN" w:bidi="ar-SA"/>
                    </w:rPr>
                  </w:pPr>
                  <w:r>
                    <w:rPr>
                      <w:rFonts w:hint="eastAsia" w:cs="Times New Roman"/>
                      <w:color w:val="auto"/>
                      <w:kern w:val="0"/>
                      <w:sz w:val="21"/>
                      <w:szCs w:val="20"/>
                      <w:highlight w:val="none"/>
                      <w:lang w:val="en-US" w:eastAsia="zh-CN"/>
                    </w:rPr>
                    <w:t>符合</w:t>
                  </w:r>
                </w:p>
              </w:tc>
            </w:tr>
            <w:tr w14:paraId="05F73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6" w:type="pct"/>
                  <w:vMerge w:val="continue"/>
                </w:tcPr>
                <w:p w14:paraId="087C45C2">
                  <w:pPr>
                    <w:widowControl/>
                    <w:jc w:val="left"/>
                    <w:rPr>
                      <w:rFonts w:hint="default" w:ascii="Times New Roman" w:hAnsi="Times New Roman" w:eastAsia="宋体" w:cs="Times New Roman"/>
                      <w:color w:val="auto"/>
                      <w:kern w:val="0"/>
                      <w:sz w:val="21"/>
                      <w:szCs w:val="20"/>
                      <w:highlight w:val="none"/>
                    </w:rPr>
                  </w:pPr>
                </w:p>
              </w:tc>
              <w:tc>
                <w:tcPr>
                  <w:tcW w:w="2110" w:type="pct"/>
                  <w:shd w:val="clear" w:color="auto" w:fill="auto"/>
                  <w:vAlign w:val="center"/>
                </w:tcPr>
                <w:p w14:paraId="096C4C8E">
                  <w:pPr>
                    <w:widowControl/>
                    <w:jc w:val="left"/>
                    <w:rPr>
                      <w:rFonts w:hint="default" w:ascii="Times New Roman" w:hAnsi="Times New Roman" w:eastAsia="宋体" w:cs="Times New Roman"/>
                      <w:color w:val="auto"/>
                      <w:kern w:val="0"/>
                      <w:sz w:val="21"/>
                      <w:szCs w:val="20"/>
                      <w:highlight w:val="none"/>
                      <w:lang w:val="en-US" w:eastAsia="zh-CN" w:bidi="ar-SA"/>
                    </w:rPr>
                  </w:pPr>
                  <w:r>
                    <w:rPr>
                      <w:rFonts w:hint="default" w:ascii="Times New Roman" w:hAnsi="Times New Roman" w:eastAsia="宋体" w:cs="Times New Roman"/>
                      <w:color w:val="auto"/>
                      <w:kern w:val="0"/>
                      <w:sz w:val="21"/>
                      <w:szCs w:val="20"/>
                      <w:highlight w:val="none"/>
                    </w:rPr>
                    <w:t>(二十</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 xml:space="preserve"> 持续推进大气氨污染防治</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鼓励重点区域开展大气氨排放控制试点</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建立完善大气氨源排放清单</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 xml:space="preserve"> 推广氮肥机械深施和低蛋白日粮技术</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研究畜禽养殖场氨气等臭气治理措施</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鼓励生猪、鸡等圈舍封闭管理</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支持粪污输送、存储及处理设施封闭</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加强废气收集和处理</w:t>
                  </w:r>
                  <w:r>
                    <w:rPr>
                      <w:rFonts w:hint="eastAsia" w:cs="Times New Roman"/>
                      <w:color w:val="auto"/>
                      <w:kern w:val="0"/>
                      <w:sz w:val="21"/>
                      <w:szCs w:val="20"/>
                      <w:highlight w:val="none"/>
                      <w:lang w:eastAsia="zh-CN"/>
                    </w:rPr>
                    <w:t>，</w:t>
                  </w:r>
                  <w:r>
                    <w:rPr>
                      <w:rFonts w:hint="default" w:ascii="Times New Roman" w:hAnsi="Times New Roman" w:eastAsia="宋体" w:cs="Times New Roman"/>
                      <w:color w:val="auto"/>
                      <w:kern w:val="0"/>
                      <w:sz w:val="21"/>
                      <w:szCs w:val="20"/>
                      <w:highlight w:val="none"/>
                    </w:rPr>
                    <w:t>加强氮肥、纯碱等行业大气氨排放治理及工业源烟气脱硫脱硝氨逃逸防控</w:t>
                  </w:r>
                  <w:r>
                    <w:rPr>
                      <w:rFonts w:hint="eastAsia" w:cs="Times New Roman"/>
                      <w:color w:val="auto"/>
                      <w:kern w:val="0"/>
                      <w:sz w:val="21"/>
                      <w:szCs w:val="20"/>
                      <w:highlight w:val="none"/>
                      <w:lang w:eastAsia="zh-CN"/>
                    </w:rPr>
                    <w:t>。</w:t>
                  </w:r>
                </w:p>
              </w:tc>
              <w:tc>
                <w:tcPr>
                  <w:tcW w:w="1468" w:type="pct"/>
                  <w:shd w:val="clear" w:color="auto" w:fill="auto"/>
                  <w:vAlign w:val="center"/>
                </w:tcPr>
                <w:p w14:paraId="1FD9DADF">
                  <w:pPr>
                    <w:widowControl/>
                    <w:jc w:val="left"/>
                    <w:rPr>
                      <w:rFonts w:hint="default" w:ascii="Times New Roman" w:hAnsi="Times New Roman" w:eastAsia="宋体" w:cs="Times New Roman"/>
                      <w:color w:val="auto"/>
                      <w:kern w:val="0"/>
                      <w:sz w:val="21"/>
                      <w:szCs w:val="20"/>
                      <w:highlight w:val="none"/>
                      <w:lang w:val="en-US" w:eastAsia="zh-CN" w:bidi="ar-SA"/>
                    </w:rPr>
                  </w:pPr>
                  <w:r>
                    <w:rPr>
                      <w:rFonts w:hint="eastAsia" w:cs="Times New Roman"/>
                      <w:color w:val="auto"/>
                      <w:kern w:val="0"/>
                      <w:sz w:val="21"/>
                      <w:szCs w:val="20"/>
                      <w:highlight w:val="none"/>
                      <w:lang w:val="en-US" w:eastAsia="zh-CN"/>
                    </w:rPr>
                    <w:t>本项目属于畜禽养殖业，属于生猪屠宰，项目产生的臭气通过废气治理措施处理后由15m高排气筒排放。</w:t>
                  </w:r>
                </w:p>
              </w:tc>
              <w:tc>
                <w:tcPr>
                  <w:tcW w:w="464" w:type="pct"/>
                  <w:shd w:val="clear" w:color="auto" w:fill="auto"/>
                  <w:vAlign w:val="center"/>
                </w:tcPr>
                <w:p w14:paraId="1C315055">
                  <w:pPr>
                    <w:widowControl/>
                    <w:jc w:val="left"/>
                    <w:rPr>
                      <w:rFonts w:hint="eastAsia" w:ascii="Times New Roman" w:hAnsi="Times New Roman" w:eastAsia="宋体" w:cs="Times New Roman"/>
                      <w:color w:val="auto"/>
                      <w:kern w:val="0"/>
                      <w:sz w:val="21"/>
                      <w:szCs w:val="20"/>
                      <w:highlight w:val="none"/>
                      <w:lang w:val="en-US" w:eastAsia="zh-CN" w:bidi="ar-SA"/>
                    </w:rPr>
                  </w:pPr>
                  <w:r>
                    <w:rPr>
                      <w:rFonts w:hint="eastAsia" w:cs="Times New Roman"/>
                      <w:color w:val="auto"/>
                      <w:kern w:val="0"/>
                      <w:sz w:val="21"/>
                      <w:szCs w:val="20"/>
                      <w:highlight w:val="none"/>
                      <w:lang w:val="en-US" w:eastAsia="zh-CN"/>
                    </w:rPr>
                    <w:t>符合</w:t>
                  </w:r>
                </w:p>
              </w:tc>
            </w:tr>
            <w:tr w14:paraId="4BA3E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6" w:type="pct"/>
                </w:tcPr>
                <w:p w14:paraId="5E2FDDA7">
                  <w:pPr>
                    <w:widowControl/>
                    <w:jc w:val="left"/>
                    <w:rPr>
                      <w:rFonts w:hint="default" w:ascii="Times New Roman" w:hAnsi="Times New Roman" w:eastAsia="宋体" w:cs="Times New Roman"/>
                      <w:color w:val="auto"/>
                      <w:kern w:val="0"/>
                      <w:sz w:val="21"/>
                      <w:szCs w:val="20"/>
                      <w:highlight w:val="none"/>
                    </w:rPr>
                  </w:pPr>
                  <w:r>
                    <w:rPr>
                      <w:rFonts w:hint="default" w:ascii="Times New Roman" w:hAnsi="Times New Roman" w:eastAsia="宋体" w:cs="Times New Roman"/>
                      <w:color w:val="auto"/>
                      <w:kern w:val="0"/>
                      <w:sz w:val="21"/>
                      <w:szCs w:val="20"/>
                      <w:highlight w:val="none"/>
                    </w:rPr>
                    <w:t>《甘孜州2023-2025年大气污染防治整治行动综合实施方案》</w:t>
                  </w:r>
                  <w:r>
                    <w:rPr>
                      <w:rFonts w:hint="eastAsia" w:cs="Times New Roman"/>
                      <w:color w:val="auto"/>
                      <w:kern w:val="0"/>
                      <w:sz w:val="21"/>
                      <w:szCs w:val="20"/>
                      <w:highlight w:val="none"/>
                      <w:lang w:eastAsia="zh-CN"/>
                    </w:rPr>
                    <w:t>（</w:t>
                  </w:r>
                  <w:r>
                    <w:rPr>
                      <w:rFonts w:hint="eastAsia" w:cs="Times New Roman"/>
                      <w:color w:val="auto"/>
                      <w:kern w:val="0"/>
                      <w:sz w:val="21"/>
                      <w:szCs w:val="20"/>
                      <w:highlight w:val="none"/>
                      <w:lang w:val="en-US" w:eastAsia="zh-CN"/>
                    </w:rPr>
                    <w:t>甘污防攻坚办</w:t>
                  </w:r>
                  <w:r>
                    <w:rPr>
                      <w:rFonts w:hint="default" w:ascii="Times New Roman" w:hAnsi="Times New Roman" w:eastAsia="宋体" w:cs="Times New Roman"/>
                      <w:color w:val="auto"/>
                      <w:kern w:val="0"/>
                      <w:sz w:val="21"/>
                      <w:szCs w:val="20"/>
                      <w:highlight w:val="none"/>
                    </w:rPr>
                    <w:t>〔202</w:t>
                  </w:r>
                  <w:r>
                    <w:rPr>
                      <w:rFonts w:hint="eastAsia" w:cs="Times New Roman"/>
                      <w:color w:val="auto"/>
                      <w:kern w:val="0"/>
                      <w:sz w:val="21"/>
                      <w:szCs w:val="20"/>
                      <w:highlight w:val="none"/>
                      <w:lang w:val="en-US" w:eastAsia="zh-CN"/>
                    </w:rPr>
                    <w:t>3</w:t>
                  </w:r>
                  <w:r>
                    <w:rPr>
                      <w:rFonts w:hint="default" w:ascii="Times New Roman" w:hAnsi="Times New Roman" w:eastAsia="宋体" w:cs="Times New Roman"/>
                      <w:color w:val="auto"/>
                      <w:kern w:val="0"/>
                      <w:sz w:val="21"/>
                      <w:szCs w:val="20"/>
                      <w:highlight w:val="none"/>
                    </w:rPr>
                    <w:t>〕</w:t>
                  </w:r>
                  <w:r>
                    <w:rPr>
                      <w:rFonts w:hint="eastAsia" w:cs="Times New Roman"/>
                      <w:color w:val="auto"/>
                      <w:kern w:val="0"/>
                      <w:sz w:val="21"/>
                      <w:szCs w:val="20"/>
                      <w:highlight w:val="none"/>
                      <w:lang w:val="en-US" w:eastAsia="zh-CN"/>
                    </w:rPr>
                    <w:t>48</w:t>
                  </w:r>
                  <w:r>
                    <w:rPr>
                      <w:rFonts w:hint="default" w:ascii="Times New Roman" w:hAnsi="Times New Roman" w:eastAsia="宋体" w:cs="Times New Roman"/>
                      <w:color w:val="auto"/>
                      <w:kern w:val="0"/>
                      <w:sz w:val="21"/>
                      <w:szCs w:val="20"/>
                      <w:highlight w:val="none"/>
                    </w:rPr>
                    <w:t>号</w:t>
                  </w:r>
                  <w:r>
                    <w:rPr>
                      <w:rFonts w:hint="eastAsia" w:cs="Times New Roman"/>
                      <w:color w:val="auto"/>
                      <w:kern w:val="0"/>
                      <w:sz w:val="21"/>
                      <w:szCs w:val="20"/>
                      <w:highlight w:val="none"/>
                      <w:lang w:eastAsia="zh-CN"/>
                    </w:rPr>
                    <w:t>）</w:t>
                  </w:r>
                </w:p>
              </w:tc>
              <w:tc>
                <w:tcPr>
                  <w:tcW w:w="2110" w:type="pct"/>
                  <w:shd w:val="clear" w:color="auto" w:fill="auto"/>
                  <w:vAlign w:val="center"/>
                </w:tcPr>
                <w:p w14:paraId="32AB6073">
                  <w:pPr>
                    <w:widowControl/>
                    <w:jc w:val="left"/>
                    <w:rPr>
                      <w:rFonts w:hint="default" w:ascii="Times New Roman" w:hAnsi="Times New Roman" w:eastAsia="宋体" w:cs="Times New Roman"/>
                      <w:color w:val="auto"/>
                      <w:kern w:val="0"/>
                      <w:sz w:val="21"/>
                      <w:szCs w:val="20"/>
                      <w:highlight w:val="none"/>
                    </w:rPr>
                  </w:pPr>
                  <w:r>
                    <w:rPr>
                      <w:rFonts w:hint="default" w:ascii="Times New Roman" w:hAnsi="Times New Roman" w:eastAsia="宋体" w:cs="Times New Roman"/>
                      <w:color w:val="auto"/>
                      <w:kern w:val="0"/>
                      <w:sz w:val="21"/>
                      <w:szCs w:val="20"/>
                      <w:highlight w:val="none"/>
                    </w:rPr>
                    <w:t>4.工业污染整治行动</w:t>
                  </w:r>
                </w:p>
                <w:p w14:paraId="31300819">
                  <w:pPr>
                    <w:widowControl/>
                    <w:jc w:val="left"/>
                    <w:rPr>
                      <w:rFonts w:hint="default" w:ascii="Times New Roman" w:hAnsi="Times New Roman" w:eastAsia="宋体" w:cs="Times New Roman"/>
                      <w:color w:val="auto"/>
                      <w:kern w:val="0"/>
                      <w:sz w:val="21"/>
                      <w:szCs w:val="20"/>
                      <w:highlight w:val="none"/>
                    </w:rPr>
                  </w:pPr>
                  <w:r>
                    <w:rPr>
                      <w:rFonts w:hint="default" w:ascii="Times New Roman" w:hAnsi="Times New Roman" w:eastAsia="宋体" w:cs="Times New Roman"/>
                      <w:color w:val="auto"/>
                      <w:kern w:val="0"/>
                      <w:sz w:val="21"/>
                      <w:szCs w:val="20"/>
                      <w:highlight w:val="none"/>
                    </w:rPr>
                    <w:t>全面加强工业粉尘污染及其他大气污染控制。落实“按证排污”，杜绝超标和超总量排放大气污染物行为。加强对垃圾焚烧厂的监管，杜绝含</w:t>
                  </w:r>
                  <w:r>
                    <w:rPr>
                      <w:rFonts w:hint="eastAsia" w:cs="Times New Roman"/>
                      <w:color w:val="auto"/>
                      <w:kern w:val="0"/>
                      <w:sz w:val="21"/>
                      <w:szCs w:val="20"/>
                      <w:highlight w:val="none"/>
                      <w:lang w:eastAsia="zh-CN"/>
                    </w:rPr>
                    <w:t>二噁英</w:t>
                  </w:r>
                  <w:r>
                    <w:rPr>
                      <w:rFonts w:hint="default" w:ascii="Times New Roman" w:hAnsi="Times New Roman" w:eastAsia="宋体" w:cs="Times New Roman"/>
                      <w:color w:val="auto"/>
                      <w:kern w:val="0"/>
                      <w:sz w:val="21"/>
                      <w:szCs w:val="20"/>
                      <w:highlight w:val="none"/>
                    </w:rPr>
                    <w:t>烟粉尘超标排放。有序完成废气无组织排放整治工作，大力推进水泥、砖瓦等工业炉密实施超低排放改造或深度治理。着力控制汽修粉尘和喷漆废气污染，督导汽修企业落实污染防治措施，控制汽修过程扬尘污染，严禁焚烧废油及其他可燃物。对喷漆过程中，采用单一低温等离子、光氧化、光催化以及非水溶性VOCs废气喷淋吸收等治理技术且无法稳定达标的，加快推进升级改造。(责任单位:州住房城乡建设局州经济和信息化局、州交通运输局</w:t>
                  </w:r>
                  <w:r>
                    <w:rPr>
                      <w:rFonts w:hint="eastAsia" w:cs="Times New Roman"/>
                      <w:color w:val="auto"/>
                      <w:kern w:val="0"/>
                      <w:sz w:val="21"/>
                      <w:szCs w:val="20"/>
                      <w:highlight w:val="none"/>
                      <w:lang w:eastAsia="zh-CN"/>
                    </w:rPr>
                    <w:t>）</w:t>
                  </w:r>
                </w:p>
              </w:tc>
              <w:tc>
                <w:tcPr>
                  <w:tcW w:w="1468" w:type="pct"/>
                  <w:shd w:val="clear" w:color="auto" w:fill="auto"/>
                  <w:vAlign w:val="center"/>
                </w:tcPr>
                <w:p w14:paraId="43750C4E">
                  <w:pPr>
                    <w:widowControl/>
                    <w:jc w:val="left"/>
                    <w:rPr>
                      <w:rFonts w:hint="default" w:cs="Times New Roman"/>
                      <w:color w:val="auto"/>
                      <w:kern w:val="0"/>
                      <w:sz w:val="21"/>
                      <w:szCs w:val="20"/>
                      <w:highlight w:val="none"/>
                      <w:lang w:val="en-US" w:eastAsia="zh-CN"/>
                    </w:rPr>
                  </w:pPr>
                  <w:r>
                    <w:rPr>
                      <w:rFonts w:hint="eastAsia" w:cs="Times New Roman"/>
                      <w:color w:val="auto"/>
                      <w:kern w:val="0"/>
                      <w:sz w:val="21"/>
                      <w:szCs w:val="20"/>
                      <w:highlight w:val="none"/>
                      <w:lang w:val="en-US" w:eastAsia="zh-CN"/>
                    </w:rPr>
                    <w:t>本项目排放的废气为恶臭，恶臭通过密闭收集+碱液喷淋+活性炭吸附装置+15m高排气筒（DA001）排放。</w:t>
                  </w:r>
                </w:p>
              </w:tc>
              <w:tc>
                <w:tcPr>
                  <w:tcW w:w="464" w:type="pct"/>
                  <w:shd w:val="clear" w:color="auto" w:fill="auto"/>
                  <w:vAlign w:val="center"/>
                </w:tcPr>
                <w:p w14:paraId="4F16B873">
                  <w:pPr>
                    <w:widowControl/>
                    <w:jc w:val="left"/>
                    <w:rPr>
                      <w:rFonts w:hint="eastAsia" w:cs="Times New Roman"/>
                      <w:color w:val="auto"/>
                      <w:kern w:val="0"/>
                      <w:sz w:val="21"/>
                      <w:szCs w:val="20"/>
                      <w:highlight w:val="none"/>
                      <w:lang w:val="en-US" w:eastAsia="zh-CN"/>
                    </w:rPr>
                  </w:pPr>
                </w:p>
              </w:tc>
            </w:tr>
          </w:tbl>
          <w:p w14:paraId="2DA78A0E">
            <w:pPr>
              <w:pStyle w:val="85"/>
              <w:spacing w:before="120" w:beforeLines="50"/>
              <w:ind w:firstLine="480" w:firstLineChars="200"/>
              <w:jc w:val="left"/>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因此，本项目大气污染防治政策要求。</w:t>
            </w:r>
          </w:p>
          <w:p w14:paraId="00B44EA4">
            <w:pPr>
              <w:spacing w:line="360" w:lineRule="auto"/>
              <w:ind w:firstLine="482" w:firstLineChars="200"/>
              <w:rPr>
                <w:rFonts w:hint="default" w:ascii="Times New Roman" w:hAnsi="Times New Roman" w:eastAsia="宋体" w:cs="Times New Roman"/>
                <w:b/>
                <w:color w:val="auto"/>
                <w:highlight w:val="none"/>
              </w:rPr>
            </w:pPr>
            <w:r>
              <w:rPr>
                <w:rFonts w:hint="eastAsia" w:cs="Times New Roman"/>
                <w:b/>
                <w:color w:val="auto"/>
                <w:highlight w:val="none"/>
                <w:lang w:val="en-US" w:eastAsia="zh-CN"/>
              </w:rPr>
              <w:t>9</w:t>
            </w:r>
            <w:r>
              <w:rPr>
                <w:rFonts w:hint="default" w:ascii="Times New Roman" w:hAnsi="Times New Roman" w:eastAsia="宋体" w:cs="Times New Roman"/>
                <w:b/>
                <w:color w:val="auto"/>
                <w:highlight w:val="none"/>
              </w:rPr>
              <w:t>、与水污染防治相关法律法规政策的符合性分析</w:t>
            </w:r>
          </w:p>
          <w:p w14:paraId="5323EE50">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本项目与水污染防治相关法律法规政策的符合性分析见下表。</w:t>
            </w:r>
          </w:p>
          <w:p w14:paraId="7203827A">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本项目与水污染防治相关政策及规划的符合性分析</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1476"/>
              <w:gridCol w:w="3085"/>
              <w:gridCol w:w="1194"/>
              <w:gridCol w:w="535"/>
            </w:tblGrid>
            <w:tr w14:paraId="1DC18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tcBorders>
                    <w:tl2br w:val="nil"/>
                    <w:tr2bl w:val="nil"/>
                  </w:tcBorders>
                  <w:vAlign w:val="center"/>
                </w:tcPr>
                <w:p w14:paraId="772E6C13">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序号</w:t>
                  </w:r>
                </w:p>
              </w:tc>
              <w:tc>
                <w:tcPr>
                  <w:tcW w:w="937" w:type="pct"/>
                  <w:tcBorders>
                    <w:tl2br w:val="nil"/>
                    <w:tr2bl w:val="nil"/>
                  </w:tcBorders>
                  <w:vAlign w:val="center"/>
                </w:tcPr>
                <w:p w14:paraId="302176E3">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名称</w:t>
                  </w:r>
                </w:p>
              </w:tc>
              <w:tc>
                <w:tcPr>
                  <w:tcW w:w="2278" w:type="pct"/>
                  <w:tcBorders>
                    <w:tl2br w:val="nil"/>
                    <w:tr2bl w:val="nil"/>
                  </w:tcBorders>
                  <w:vAlign w:val="center"/>
                </w:tcPr>
                <w:p w14:paraId="7054131E">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要求</w:t>
                  </w:r>
                </w:p>
              </w:tc>
              <w:tc>
                <w:tcPr>
                  <w:tcW w:w="903" w:type="pct"/>
                  <w:tcBorders>
                    <w:tl2br w:val="nil"/>
                    <w:tr2bl w:val="nil"/>
                  </w:tcBorders>
                  <w:vAlign w:val="center"/>
                </w:tcPr>
                <w:p w14:paraId="6862B514">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本项目情况</w:t>
                  </w:r>
                </w:p>
              </w:tc>
              <w:tc>
                <w:tcPr>
                  <w:tcW w:w="423" w:type="pct"/>
                  <w:tcBorders>
                    <w:tl2br w:val="nil"/>
                    <w:tr2bl w:val="nil"/>
                  </w:tcBorders>
                  <w:vAlign w:val="center"/>
                </w:tcPr>
                <w:p w14:paraId="0155477F">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符合性</w:t>
                  </w:r>
                </w:p>
              </w:tc>
            </w:tr>
            <w:tr w14:paraId="6B267E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tcBorders>
                    <w:tl2br w:val="nil"/>
                    <w:tr2bl w:val="nil"/>
                  </w:tcBorders>
                  <w:vAlign w:val="center"/>
                </w:tcPr>
                <w:p w14:paraId="5D738C7C">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937" w:type="pct"/>
                  <w:tcBorders>
                    <w:tl2br w:val="nil"/>
                    <w:tr2bl w:val="nil"/>
                  </w:tcBorders>
                  <w:vAlign w:val="center"/>
                </w:tcPr>
                <w:p w14:paraId="7FAFDDD4">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《中华人民共和国水污染防治法》(2017年修正</w:t>
                  </w:r>
                  <w:r>
                    <w:rPr>
                      <w:rFonts w:hint="eastAsia" w:cs="Times New Roman"/>
                      <w:color w:val="auto"/>
                      <w:highlight w:val="none"/>
                      <w:lang w:eastAsia="zh-CN"/>
                    </w:rPr>
                    <w:t>）</w:t>
                  </w:r>
                </w:p>
              </w:tc>
              <w:tc>
                <w:tcPr>
                  <w:tcW w:w="2278" w:type="pct"/>
                  <w:tcBorders>
                    <w:tl2br w:val="nil"/>
                    <w:tr2bl w:val="nil"/>
                  </w:tcBorders>
                  <w:vAlign w:val="center"/>
                </w:tcPr>
                <w:p w14:paraId="64E11416">
                  <w:pPr>
                    <w:pStyle w:val="132"/>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工业废水的企业应当采取有效措施，收集和处理产生的全部废水，防止污染环境。含有毒有害水污染物的工业废水应当分类收集和处理，不得稀释排放。向污水集中处理设施排放工业废水的，应当按照国家有关规定进行预处理，达到集中处理设施处理工艺要求后方可排放</w:t>
                  </w:r>
                </w:p>
              </w:tc>
              <w:tc>
                <w:tcPr>
                  <w:tcW w:w="903" w:type="pct"/>
                  <w:tcBorders>
                    <w:tl2br w:val="nil"/>
                    <w:tr2bl w:val="nil"/>
                  </w:tcBorders>
                  <w:vAlign w:val="center"/>
                </w:tcPr>
                <w:p w14:paraId="24CB638A">
                  <w:pPr>
                    <w:keepNext w:val="0"/>
                    <w:keepLines w:val="0"/>
                    <w:pageBreakBefore w:val="0"/>
                    <w:widowControl w:val="0"/>
                    <w:kinsoku/>
                    <w:wordWrap w:val="0"/>
                    <w:overflowPunct/>
                    <w:topLinePunct w:val="0"/>
                    <w:autoSpaceDE/>
                    <w:autoSpaceDN/>
                    <w:bidi w:val="0"/>
                    <w:adjustRightInd w:val="0"/>
                    <w:snapToGrid w:val="0"/>
                    <w:jc w:val="both"/>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本项目生产废水和生活污水收集后，由自建的污水处理站（处理能力15m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/d）处理满足标准后，由罐车运送到泸定县海螺沟磨西镇城市生活污水处理厂进一步处理，达标后排入燕子沟。</w:t>
                  </w:r>
                </w:p>
              </w:tc>
              <w:tc>
                <w:tcPr>
                  <w:tcW w:w="423" w:type="pct"/>
                  <w:tcBorders>
                    <w:tl2br w:val="nil"/>
                    <w:tr2bl w:val="nil"/>
                  </w:tcBorders>
                  <w:vAlign w:val="center"/>
                </w:tcPr>
                <w:p w14:paraId="6C99871C">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符合</w:t>
                  </w:r>
                </w:p>
              </w:tc>
            </w:tr>
            <w:tr w14:paraId="0088E0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tcBorders>
                    <w:tl2br w:val="nil"/>
                    <w:tr2bl w:val="nil"/>
                  </w:tcBorders>
                  <w:vAlign w:val="center"/>
                </w:tcPr>
                <w:p w14:paraId="5E41D344">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937" w:type="pct"/>
                  <w:tcBorders>
                    <w:tl2br w:val="nil"/>
                    <w:tr2bl w:val="nil"/>
                  </w:tcBorders>
                  <w:vAlign w:val="center"/>
                </w:tcPr>
                <w:p w14:paraId="7F98F55E">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《国务院关于印发水污染防治行动计划的通知》(国发﹝2015﹞17号</w:t>
                  </w:r>
                  <w:r>
                    <w:rPr>
                      <w:rFonts w:hint="eastAsia" w:cs="Times New Roman"/>
                      <w:color w:val="auto"/>
                      <w:highlight w:val="none"/>
                      <w:lang w:eastAsia="zh-CN"/>
                    </w:rPr>
                    <w:t>）</w:t>
                  </w:r>
                </w:p>
              </w:tc>
              <w:tc>
                <w:tcPr>
                  <w:tcW w:w="2278" w:type="pct"/>
                  <w:tcBorders>
                    <w:tl2br w:val="nil"/>
                    <w:tr2bl w:val="nil"/>
                  </w:tcBorders>
                  <w:vAlign w:val="center"/>
                </w:tcPr>
                <w:p w14:paraId="2A8DBE0B">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w:t>
                  </w:r>
                  <w:r>
                    <w:rPr>
                      <w:rFonts w:hint="eastAsia" w:cs="Times New Roman"/>
                      <w:color w:val="auto"/>
                      <w:highlight w:val="none"/>
                      <w:lang w:eastAsia="zh-CN"/>
                    </w:rPr>
                    <w:t>）</w:t>
                  </w:r>
                  <w:r>
                    <w:rPr>
                      <w:rFonts w:hint="default" w:ascii="Times New Roman" w:hAnsi="Times New Roman" w:eastAsia="宋体" w:cs="Times New Roman"/>
                      <w:color w:val="auto"/>
                      <w:highlight w:val="none"/>
                    </w:rPr>
                    <w:t>狠抓工业污染防治专项整治十大重点行业。制定造纸、焦化、氮肥、有色金属、印染、农副食品加工、原料药制造、制革、农药、电镀等行业专项治理方案，实施清洁化改造。新建、改建、扩建上述行业建设项目实行主要污染物排放等量或减量置换。</w:t>
                  </w:r>
                </w:p>
                <w:p w14:paraId="2624B2AC">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(五</w:t>
                  </w:r>
                  <w:r>
                    <w:rPr>
                      <w:rFonts w:hint="eastAsia" w:cs="Times New Roman"/>
                      <w:color w:val="auto"/>
                      <w:highlight w:val="none"/>
                      <w:lang w:eastAsia="zh-CN"/>
                    </w:rPr>
                    <w:t>）</w:t>
                  </w:r>
                  <w:r>
                    <w:rPr>
                      <w:rFonts w:hint="default" w:ascii="Times New Roman" w:hAnsi="Times New Roman" w:eastAsia="宋体" w:cs="Times New Roman"/>
                      <w:color w:val="auto"/>
                      <w:highlight w:val="none"/>
                    </w:rPr>
                    <w:t>调整产业结构严格环境准入。根据流域水质目标和主体功能区规划要求，明确区域环境准入条件，细化功能分区，实施差别化环境准入政策。建立水资源、水环境承载能力监测评价体系，实行承载能力监测预警，已超过承载能力的地区要实施水污染物削减方案，加快调整发展规划和产业结构</w:t>
                  </w:r>
                </w:p>
              </w:tc>
              <w:tc>
                <w:tcPr>
                  <w:tcW w:w="903" w:type="pct"/>
                  <w:vMerge w:val="restart"/>
                  <w:tcBorders>
                    <w:tl2br w:val="nil"/>
                    <w:tr2bl w:val="nil"/>
                  </w:tcBorders>
                  <w:vAlign w:val="center"/>
                </w:tcPr>
                <w:p w14:paraId="4A5F5B72">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本项目不属于造纸、焦化、氮肥、有色金属、印染、农副食品加工、原料药制造、制革、农药、电镀和磷化工等行业。</w:t>
                  </w:r>
                </w:p>
              </w:tc>
              <w:tc>
                <w:tcPr>
                  <w:tcW w:w="423" w:type="pct"/>
                  <w:vMerge w:val="restart"/>
                  <w:tcBorders>
                    <w:tl2br w:val="nil"/>
                    <w:tr2bl w:val="nil"/>
                  </w:tcBorders>
                  <w:vAlign w:val="center"/>
                </w:tcPr>
                <w:p w14:paraId="6704929A">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符合</w:t>
                  </w:r>
                </w:p>
              </w:tc>
            </w:tr>
            <w:tr w14:paraId="363729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tcBorders>
                    <w:tl2br w:val="nil"/>
                    <w:tr2bl w:val="nil"/>
                  </w:tcBorders>
                  <w:vAlign w:val="center"/>
                </w:tcPr>
                <w:p w14:paraId="2BE00028">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p>
              </w:tc>
              <w:tc>
                <w:tcPr>
                  <w:tcW w:w="937" w:type="pct"/>
                  <w:tcBorders>
                    <w:tl2br w:val="nil"/>
                    <w:tr2bl w:val="nil"/>
                  </w:tcBorders>
                  <w:vAlign w:val="center"/>
                </w:tcPr>
                <w:p w14:paraId="0525521B">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《＜水污染防治行动计划＞四川省工作方案》(川府发﹝2015﹞59号</w:t>
                  </w:r>
                  <w:r>
                    <w:rPr>
                      <w:rFonts w:hint="eastAsia" w:cs="Times New Roman"/>
                      <w:color w:val="auto"/>
                      <w:highlight w:val="none"/>
                      <w:lang w:eastAsia="zh-CN"/>
                    </w:rPr>
                    <w:t>）</w:t>
                  </w:r>
                </w:p>
              </w:tc>
              <w:tc>
                <w:tcPr>
                  <w:tcW w:w="2278" w:type="pct"/>
                  <w:tcBorders>
                    <w:tl2br w:val="nil"/>
                    <w:tr2bl w:val="nil"/>
                  </w:tcBorders>
                  <w:vAlign w:val="center"/>
                </w:tcPr>
                <w:p w14:paraId="4D2FB56B">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w:t>
                  </w:r>
                  <w:r>
                    <w:rPr>
                      <w:rFonts w:hint="eastAsia" w:cs="Times New Roman"/>
                      <w:color w:val="auto"/>
                      <w:highlight w:val="none"/>
                      <w:lang w:eastAsia="zh-CN"/>
                    </w:rPr>
                    <w:t>）</w:t>
                  </w:r>
                  <w:r>
                    <w:rPr>
                      <w:rFonts w:hint="default" w:ascii="Times New Roman" w:hAnsi="Times New Roman" w:eastAsia="宋体" w:cs="Times New Roman"/>
                      <w:color w:val="auto"/>
                      <w:highlight w:val="none"/>
                    </w:rPr>
                    <w:t>狠抓工业污染防治</w:t>
                  </w:r>
                </w:p>
                <w:p w14:paraId="17F2BE5E">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2专项整治“10+1”重点行业。环境保护、经济和信息化部门联合制定造纸、焦化、氮肥、有色 金属、印染、农副食品加工、原料药制造、制革、农药、电镀和磷化工等行业专项治理方案并组织实施；新建、改建、扩建上述行业的建设项目执行氨氮、化学需氧量等量或减量置换。</w:t>
                  </w:r>
                </w:p>
                <w:p w14:paraId="4974FE49">
                  <w:pPr>
                    <w:pStyle w:val="132"/>
                    <w:jc w:val="both"/>
                    <w:rPr>
                      <w:rFonts w:hint="default" w:ascii="Times New Roman" w:hAnsi="Times New Roman" w:eastAsia="宋体" w:cs="Times New Roman"/>
                      <w:color w:val="auto"/>
                      <w:highlight w:val="none"/>
                    </w:rPr>
                  </w:pPr>
                  <w:r>
                    <w:rPr>
                      <w:rFonts w:hint="eastAsia" w:cs="Times New Roman"/>
                      <w:color w:val="auto"/>
                      <w:highlight w:val="none"/>
                      <w:lang w:eastAsia="zh-CN"/>
                    </w:rPr>
                    <w:t>（</w:t>
                  </w:r>
                  <w:r>
                    <w:rPr>
                      <w:rFonts w:hint="default" w:ascii="Times New Roman" w:hAnsi="Times New Roman" w:eastAsia="宋体" w:cs="Times New Roman"/>
                      <w:color w:val="auto"/>
                      <w:highlight w:val="none"/>
                    </w:rPr>
                    <w:t>五</w:t>
                  </w:r>
                  <w:r>
                    <w:rPr>
                      <w:rFonts w:hint="eastAsia" w:cs="Times New Roman"/>
                      <w:color w:val="auto"/>
                      <w:highlight w:val="none"/>
                      <w:lang w:eastAsia="zh-CN"/>
                    </w:rPr>
                    <w:t>）</w:t>
                  </w:r>
                  <w:r>
                    <w:rPr>
                      <w:rFonts w:hint="default" w:ascii="Times New Roman" w:hAnsi="Times New Roman" w:eastAsia="宋体" w:cs="Times New Roman"/>
                      <w:color w:val="auto"/>
                      <w:highlight w:val="none"/>
                    </w:rPr>
                    <w:t>调整产业结构</w:t>
                  </w:r>
                </w:p>
                <w:p w14:paraId="749967EB">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17.严格环境准入。环境保护部门按照流域水质目标、区域功能划分、容量总量核定的“三位一体”环境准入要求，进一步细化准入条件，严格准入标准，强化分类指导；执行规划环境影响评价要求。</w:t>
                  </w:r>
                </w:p>
              </w:tc>
              <w:tc>
                <w:tcPr>
                  <w:tcW w:w="903" w:type="pct"/>
                  <w:vMerge w:val="continue"/>
                  <w:tcBorders>
                    <w:tl2br w:val="nil"/>
                    <w:tr2bl w:val="nil"/>
                  </w:tcBorders>
                  <w:vAlign w:val="center"/>
                </w:tcPr>
                <w:p w14:paraId="323766D8">
                  <w:pPr>
                    <w:pStyle w:val="132"/>
                    <w:jc w:val="both"/>
                    <w:rPr>
                      <w:rFonts w:hint="default" w:ascii="Times New Roman" w:hAnsi="Times New Roman" w:eastAsia="宋体" w:cs="Times New Roman"/>
                      <w:color w:val="auto"/>
                      <w:highlight w:val="none"/>
                    </w:rPr>
                  </w:pPr>
                </w:p>
              </w:tc>
              <w:tc>
                <w:tcPr>
                  <w:tcW w:w="423" w:type="pct"/>
                  <w:vMerge w:val="continue"/>
                  <w:tcBorders>
                    <w:tl2br w:val="nil"/>
                    <w:tr2bl w:val="nil"/>
                  </w:tcBorders>
                  <w:vAlign w:val="center"/>
                </w:tcPr>
                <w:p w14:paraId="20598DDC">
                  <w:pPr>
                    <w:pStyle w:val="132"/>
                    <w:jc w:val="both"/>
                    <w:rPr>
                      <w:rFonts w:hint="default" w:ascii="Times New Roman" w:hAnsi="Times New Roman" w:eastAsia="宋体" w:cs="Times New Roman"/>
                      <w:color w:val="auto"/>
                      <w:highlight w:val="none"/>
                    </w:rPr>
                  </w:pPr>
                </w:p>
              </w:tc>
            </w:tr>
          </w:tbl>
          <w:p w14:paraId="4FB04350">
            <w:pPr>
              <w:spacing w:line="360" w:lineRule="auto"/>
              <w:ind w:firstLine="482"/>
              <w:rPr>
                <w:rFonts w:hint="default" w:ascii="Times New Roman" w:hAnsi="Times New Roman" w:eastAsia="宋体" w:cs="Times New Roman"/>
                <w:b/>
                <w:color w:val="auto"/>
                <w:highlight w:val="none"/>
              </w:rPr>
            </w:pPr>
            <w:r>
              <w:rPr>
                <w:rFonts w:hint="eastAsia" w:cs="Times New Roman"/>
                <w:b/>
                <w:color w:val="auto"/>
                <w:highlight w:val="none"/>
                <w:lang w:val="en-US" w:eastAsia="zh-CN"/>
              </w:rPr>
              <w:t>10</w:t>
            </w:r>
            <w:r>
              <w:rPr>
                <w:rFonts w:hint="default" w:ascii="Times New Roman" w:hAnsi="Times New Roman" w:eastAsia="宋体" w:cs="Times New Roman"/>
                <w:b/>
                <w:color w:val="auto"/>
                <w:highlight w:val="none"/>
              </w:rPr>
              <w:t>、与固体废物污染防治相关法律法规政策的符合性分析</w:t>
            </w:r>
          </w:p>
          <w:p w14:paraId="3FFE75E9">
            <w:pPr>
              <w:spacing w:line="360" w:lineRule="auto"/>
              <w:ind w:firstLine="48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本项目与固体废物污染防治相关法律法规政策的符合性分析见下表。</w:t>
            </w:r>
          </w:p>
          <w:p w14:paraId="489CC3A6">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 xml:space="preserve"> 本项目与固体废物污染防治相关政策及规划的符合性分析</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708"/>
              <w:gridCol w:w="4033"/>
              <w:gridCol w:w="1213"/>
              <w:gridCol w:w="472"/>
            </w:tblGrid>
            <w:tr w14:paraId="34C48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6" w:type="pct"/>
                  <w:tcBorders>
                    <w:tl2br w:val="nil"/>
                    <w:tr2bl w:val="nil"/>
                  </w:tcBorders>
                  <w:vAlign w:val="center"/>
                </w:tcPr>
                <w:p w14:paraId="5FEBEA00">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序号</w:t>
                  </w:r>
                </w:p>
              </w:tc>
              <w:tc>
                <w:tcPr>
                  <w:tcW w:w="515" w:type="pct"/>
                  <w:tcBorders>
                    <w:tl2br w:val="nil"/>
                    <w:tr2bl w:val="nil"/>
                  </w:tcBorders>
                  <w:vAlign w:val="center"/>
                </w:tcPr>
                <w:p w14:paraId="0CC75E11">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名称</w:t>
                  </w:r>
                </w:p>
              </w:tc>
              <w:tc>
                <w:tcPr>
                  <w:tcW w:w="2933" w:type="pct"/>
                  <w:tcBorders>
                    <w:tl2br w:val="nil"/>
                    <w:tr2bl w:val="nil"/>
                  </w:tcBorders>
                  <w:vAlign w:val="center"/>
                </w:tcPr>
                <w:p w14:paraId="4B7D96FD">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要求</w:t>
                  </w:r>
                </w:p>
              </w:tc>
              <w:tc>
                <w:tcPr>
                  <w:tcW w:w="882" w:type="pct"/>
                  <w:tcBorders>
                    <w:tl2br w:val="nil"/>
                    <w:tr2bl w:val="nil"/>
                  </w:tcBorders>
                  <w:vAlign w:val="center"/>
                </w:tcPr>
                <w:p w14:paraId="1C0484A1">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本项目情况</w:t>
                  </w:r>
                </w:p>
              </w:tc>
              <w:tc>
                <w:tcPr>
                  <w:tcW w:w="343" w:type="pct"/>
                  <w:tcBorders>
                    <w:tl2br w:val="nil"/>
                    <w:tr2bl w:val="nil"/>
                  </w:tcBorders>
                  <w:vAlign w:val="center"/>
                </w:tcPr>
                <w:p w14:paraId="4E77E304">
                  <w:pPr>
                    <w:pStyle w:val="99"/>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符合性</w:t>
                  </w:r>
                </w:p>
              </w:tc>
            </w:tr>
            <w:tr w14:paraId="434C6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6" w:type="pct"/>
                  <w:tcBorders>
                    <w:tl2br w:val="nil"/>
                    <w:tr2bl w:val="nil"/>
                  </w:tcBorders>
                  <w:vAlign w:val="center"/>
                </w:tcPr>
                <w:p w14:paraId="20FF3C16">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515" w:type="pct"/>
                  <w:tcBorders>
                    <w:tl2br w:val="nil"/>
                    <w:tr2bl w:val="nil"/>
                  </w:tcBorders>
                  <w:vAlign w:val="center"/>
                </w:tcPr>
                <w:p w14:paraId="739963CA">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《中华人民共和国固体废物污染环境防治法》(2020年4月29日第二次修订</w:t>
                  </w:r>
                  <w:r>
                    <w:rPr>
                      <w:rFonts w:hint="eastAsia" w:cs="Times New Roman"/>
                      <w:color w:val="auto"/>
                      <w:highlight w:val="none"/>
                      <w:lang w:eastAsia="zh-CN"/>
                    </w:rPr>
                    <w:t>）</w:t>
                  </w:r>
                </w:p>
              </w:tc>
              <w:tc>
                <w:tcPr>
                  <w:tcW w:w="2933" w:type="pct"/>
                  <w:tcBorders>
                    <w:tl2br w:val="nil"/>
                    <w:tr2bl w:val="nil"/>
                  </w:tcBorders>
                  <w:vAlign w:val="center"/>
                </w:tcPr>
                <w:p w14:paraId="1F5520CC">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第三十六条 产生工业固体废物的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禁止向生活垃圾收集设施中投放工业固体废物。</w:t>
                  </w:r>
                </w:p>
                <w:p w14:paraId="793421B6">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第三十七条 产生工业固体废物的单位委托他人运输、利用、处置工业固体废物的，应当对受托方的主体资格和技术能力进行核实，依法签订书面合同，在合同中约定污染防治要求。</w:t>
                  </w:r>
                </w:p>
                <w:p w14:paraId="53DEA970">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第四十条 产生工业固体废物的单位应当根据经济、技术条件对工业固体废物加以利用；对暂时不利用或者不能利用的，应当按照国务院生态环境等主管部门的规定建设贮存设施、场所，安全分类存放，或者采取无害化处置措施。贮存工业固体废物应当采取符合国家环境保护标准的防护措施。建设工业固体废物贮存、处置的设施、场所，应当符合国家环境保护标准。</w:t>
                  </w:r>
                </w:p>
                <w:p w14:paraId="693FC424">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第七十八条 产生危险废物的单位，应当按照国家有关规定制定危险废物管理计划；建立危险废物管理台账，如实记录有关信息，并通过国家危险废物信息管理系统向所在地生态环境主管部门申报危险废物的种类、产生量、流向、贮存、处置等有关资料。</w:t>
                  </w:r>
                </w:p>
                <w:p w14:paraId="21EA834B">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第七十九条 产生危险废物的单位，应当按照国家有关规定和环境保护标准要求贮存、利用、处置危险废物，不得擅自倾倒、堆放。禁止将危险废物提供或者委托给无许可证的单位或者其他生产经营者从事收集、贮存、利用、处置活动。</w:t>
                  </w:r>
                </w:p>
              </w:tc>
              <w:tc>
                <w:tcPr>
                  <w:tcW w:w="882" w:type="pct"/>
                  <w:tcBorders>
                    <w:tl2br w:val="nil"/>
                    <w:tr2bl w:val="nil"/>
                  </w:tcBorders>
                  <w:vAlign w:val="center"/>
                </w:tcPr>
                <w:p w14:paraId="7FC6BB3E">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建成后，将设置专人负责项目的环境保护工作，包括：建立工业固体废物管理台账、签订固废处置协议等；项目建设的工业固废暂存场所，采取有符合国家环境保护标准的防护措施；项目产生的危险废物分类收集暂存于危险废物暂存间后，委托有资质单位处理，并建立危险废物管理台账。</w:t>
                  </w:r>
                </w:p>
              </w:tc>
              <w:tc>
                <w:tcPr>
                  <w:tcW w:w="343" w:type="pct"/>
                  <w:tcBorders>
                    <w:tl2br w:val="nil"/>
                    <w:tr2bl w:val="nil"/>
                  </w:tcBorders>
                  <w:vAlign w:val="center"/>
                </w:tcPr>
                <w:p w14:paraId="7D5899E9">
                  <w:pPr>
                    <w:pStyle w:val="132"/>
                    <w:jc w:val="both"/>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符合</w:t>
                  </w:r>
                </w:p>
              </w:tc>
            </w:tr>
          </w:tbl>
          <w:p w14:paraId="04AD3FC4">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综上，本项目符合水、固体废物污染防治相关法律法规政策的要求。</w:t>
            </w:r>
          </w:p>
          <w:p w14:paraId="27ACB2B5">
            <w:pPr>
              <w:spacing w:line="360" w:lineRule="auto"/>
              <w:ind w:firstLine="482" w:firstLineChars="200"/>
              <w:rPr>
                <w:rFonts w:hint="default" w:ascii="Times New Roman" w:hAnsi="Times New Roman" w:eastAsia="宋体" w:cs="Times New Roman"/>
                <w:b/>
                <w:bCs/>
                <w:color w:val="auto"/>
                <w:highlight w:val="none"/>
              </w:rPr>
            </w:pPr>
            <w:r>
              <w:rPr>
                <w:rFonts w:hint="eastAsia" w:cs="Times New Roman"/>
                <w:b/>
                <w:bCs/>
                <w:color w:val="auto"/>
                <w:highlight w:val="none"/>
                <w:lang w:val="en-US" w:eastAsia="zh-CN"/>
              </w:rPr>
              <w:t>11</w:t>
            </w:r>
            <w:r>
              <w:rPr>
                <w:rFonts w:hint="default" w:ascii="Times New Roman" w:hAnsi="Times New Roman" w:eastAsia="宋体" w:cs="Times New Roman"/>
                <w:b/>
                <w:bCs/>
                <w:color w:val="auto"/>
                <w:highlight w:val="none"/>
                <w:lang w:val="en-US" w:eastAsia="zh-CN"/>
              </w:rPr>
              <w:t>、</w:t>
            </w:r>
            <w:r>
              <w:rPr>
                <w:rFonts w:hint="default" w:ascii="Times New Roman" w:hAnsi="Times New Roman" w:eastAsia="宋体" w:cs="Times New Roman"/>
                <w:b/>
                <w:bCs/>
                <w:color w:val="auto"/>
                <w:highlight w:val="none"/>
              </w:rPr>
              <w:t>与土壤污染防治行动计划的符合性分析</w:t>
            </w:r>
          </w:p>
          <w:p w14:paraId="5E66D0F4">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sz w:val="21"/>
                <w:szCs w:val="21"/>
                <w:highlight w:val="none"/>
              </w:rPr>
              <w:t>土壤污染防治行动计划的符合性分析</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3463"/>
              <w:gridCol w:w="1384"/>
              <w:gridCol w:w="630"/>
            </w:tblGrid>
            <w:tr w14:paraId="45790A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tcBorders>
                    <w:tl2br w:val="nil"/>
                    <w:tr2bl w:val="nil"/>
                  </w:tcBorders>
                  <w:vAlign w:val="center"/>
                </w:tcPr>
                <w:p w14:paraId="3092F5FB">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土壤污染防治文件</w:t>
                  </w:r>
                </w:p>
              </w:tc>
              <w:tc>
                <w:tcPr>
                  <w:tcW w:w="2518" w:type="pct"/>
                  <w:tcBorders>
                    <w:tl2br w:val="nil"/>
                    <w:tr2bl w:val="nil"/>
                  </w:tcBorders>
                  <w:vAlign w:val="center"/>
                </w:tcPr>
                <w:p w14:paraId="0D0881DF">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要求</w:t>
                  </w:r>
                </w:p>
              </w:tc>
              <w:tc>
                <w:tcPr>
                  <w:tcW w:w="1006" w:type="pct"/>
                  <w:tcBorders>
                    <w:tl2br w:val="nil"/>
                    <w:tr2bl w:val="nil"/>
                  </w:tcBorders>
                  <w:vAlign w:val="center"/>
                </w:tcPr>
                <w:p w14:paraId="491D0617">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458" w:type="pct"/>
                  <w:tcBorders>
                    <w:tl2br w:val="nil"/>
                    <w:tr2bl w:val="nil"/>
                  </w:tcBorders>
                  <w:vAlign w:val="center"/>
                </w:tcPr>
                <w:p w14:paraId="23685C60">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符合性</w:t>
                  </w:r>
                </w:p>
              </w:tc>
            </w:tr>
            <w:tr w14:paraId="27732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tcBorders>
                    <w:tl2br w:val="nil"/>
                    <w:tr2bl w:val="nil"/>
                  </w:tcBorders>
                  <w:vAlign w:val="center"/>
                </w:tcPr>
                <w:p w14:paraId="030E9ECD">
                  <w:pPr>
                    <w:pStyle w:val="132"/>
                    <w:jc w:val="center"/>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《国务院关于印发土壤污染防治行动计划的通知》（国发〔2016〕31号）</w:t>
                  </w:r>
                </w:p>
              </w:tc>
              <w:tc>
                <w:tcPr>
                  <w:tcW w:w="2518" w:type="pct"/>
                  <w:tcBorders>
                    <w:tl2br w:val="nil"/>
                    <w:tr2bl w:val="nil"/>
                  </w:tcBorders>
                  <w:vAlign w:val="center"/>
                </w:tcPr>
                <w:p w14:paraId="0B0B7E5E">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全面强化监管执法，明确监管重点”：重点监测土壤中镉、汞、砷、铅、铬等重金属和多环芳烃、石油烃等有机污染物……。切实加大保护力度，防控企业污染”：严格控制在优先保护类耕地集中区域新建有色金属冶炼、石油加工、化工、焦化、电镀、制革等行业企业，现有相关行业企业要采用新技术、新工艺，加快提标升级改造步伐</w:t>
                  </w:r>
                </w:p>
              </w:tc>
              <w:tc>
                <w:tcPr>
                  <w:tcW w:w="1006" w:type="pct"/>
                  <w:tcBorders>
                    <w:tl2br w:val="nil"/>
                    <w:tr2bl w:val="nil"/>
                  </w:tcBorders>
                  <w:vAlign w:val="center"/>
                </w:tcPr>
                <w:p w14:paraId="3FD7D90E">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本项目行业类别属于</w:t>
                  </w:r>
                  <w:r>
                    <w:rPr>
                      <w:rFonts w:hint="default" w:ascii="Times New Roman" w:hAnsi="Times New Roman" w:eastAsia="宋体" w:cs="Times New Roman"/>
                      <w:color w:val="auto"/>
                      <w:highlight w:val="none"/>
                      <w:lang w:val="en-US" w:eastAsia="zh-CN"/>
                    </w:rPr>
                    <w:t>C1351 牲畜屠宰</w:t>
                  </w:r>
                  <w:r>
                    <w:rPr>
                      <w:rFonts w:hint="default" w:ascii="Times New Roman" w:hAnsi="Times New Roman" w:eastAsia="宋体" w:cs="Times New Roman"/>
                      <w:color w:val="auto"/>
                      <w:highlight w:val="none"/>
                    </w:rPr>
                    <w:t>，不涉及</w:t>
                  </w:r>
                  <w:r>
                    <w:rPr>
                      <w:rFonts w:hint="default" w:ascii="Times New Roman" w:hAnsi="Times New Roman" w:eastAsia="宋体" w:cs="Times New Roman"/>
                      <w:color w:val="auto"/>
                      <w:highlight w:val="none"/>
                      <w:lang w:eastAsia="zh-CN"/>
                    </w:rPr>
                    <w:t>左述</w:t>
                  </w:r>
                  <w:r>
                    <w:rPr>
                      <w:rFonts w:hint="default" w:ascii="Times New Roman" w:hAnsi="Times New Roman" w:eastAsia="宋体" w:cs="Times New Roman"/>
                      <w:color w:val="auto"/>
                      <w:highlight w:val="none"/>
                    </w:rPr>
                    <w:t>行业和相关污染物。</w:t>
                  </w:r>
                </w:p>
              </w:tc>
              <w:tc>
                <w:tcPr>
                  <w:tcW w:w="458" w:type="pct"/>
                  <w:tcBorders>
                    <w:tl2br w:val="nil"/>
                    <w:tr2bl w:val="nil"/>
                  </w:tcBorders>
                  <w:vAlign w:val="center"/>
                </w:tcPr>
                <w:p w14:paraId="462CA297">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符合</w:t>
                  </w:r>
                </w:p>
              </w:tc>
            </w:tr>
            <w:tr w14:paraId="3D28F4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restart"/>
                  <w:tcBorders>
                    <w:tl2br w:val="nil"/>
                    <w:tr2bl w:val="nil"/>
                  </w:tcBorders>
                  <w:vAlign w:val="center"/>
                </w:tcPr>
                <w:p w14:paraId="1AE296AB">
                  <w:pPr>
                    <w:pStyle w:val="132"/>
                    <w:jc w:val="center"/>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土壤污染防治行动计划四川省工作方案的通知》（川府发</w:t>
                  </w:r>
                  <w:r>
                    <w:rPr>
                      <w:rFonts w:hint="eastAsia" w:cs="Times New Roman"/>
                      <w:color w:val="auto"/>
                      <w:highlight w:val="none"/>
                      <w:lang w:eastAsia="zh-CN"/>
                    </w:rPr>
                    <w:t>〔2016〕63号</w:t>
                  </w:r>
                  <w:r>
                    <w:rPr>
                      <w:rFonts w:hint="default" w:ascii="Times New Roman" w:hAnsi="Times New Roman" w:eastAsia="宋体" w:cs="Times New Roman"/>
                      <w:color w:val="auto"/>
                      <w:highlight w:val="none"/>
                    </w:rPr>
                    <w:t>）</w:t>
                  </w:r>
                </w:p>
              </w:tc>
              <w:tc>
                <w:tcPr>
                  <w:tcW w:w="2518" w:type="pct"/>
                  <w:tcBorders>
                    <w:tl2br w:val="nil"/>
                    <w:tr2bl w:val="nil"/>
                  </w:tcBorders>
                  <w:vAlign w:val="center"/>
                </w:tcPr>
                <w:p w14:paraId="4081D726">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明确监管重点，重点监测镉、汞、砷、铅、铬、锰等重金属和多环芳烃、石油烃等有机污染物，重点监管有色金属矿采选、有色金 属冶炼、化工、医药、铅酸蓄电池、石油加工、焦化、电镀、制革、汽车制造、危险废物处置、天然（页岩）气开采等重点行业，以及粮油蔬菜主产区、地级以上城市建成区等区域</w:t>
                  </w:r>
                </w:p>
              </w:tc>
              <w:tc>
                <w:tcPr>
                  <w:tcW w:w="1006" w:type="pct"/>
                  <w:vMerge w:val="restart"/>
                  <w:tcBorders>
                    <w:tl2br w:val="nil"/>
                    <w:tr2bl w:val="nil"/>
                  </w:tcBorders>
                  <w:vAlign w:val="center"/>
                </w:tcPr>
                <w:p w14:paraId="584EF02F">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本项目为</w:t>
                  </w:r>
                  <w:r>
                    <w:rPr>
                      <w:rFonts w:hint="default" w:ascii="Times New Roman" w:hAnsi="Times New Roman" w:eastAsia="宋体" w:cs="Times New Roman"/>
                      <w:color w:val="auto"/>
                      <w:highlight w:val="none"/>
                      <w:lang w:val="en-US" w:eastAsia="zh-CN"/>
                    </w:rPr>
                    <w:t>C1351 牲畜屠宰</w:t>
                  </w:r>
                  <w:r>
                    <w:rPr>
                      <w:rFonts w:hint="default" w:ascii="Times New Roman" w:hAnsi="Times New Roman" w:eastAsia="宋体" w:cs="Times New Roman"/>
                      <w:color w:val="auto"/>
                      <w:highlight w:val="none"/>
                    </w:rPr>
                    <w:t>，不涉及</w:t>
                  </w:r>
                  <w:r>
                    <w:rPr>
                      <w:rFonts w:hint="default" w:ascii="Times New Roman" w:hAnsi="Times New Roman" w:eastAsia="宋体" w:cs="Times New Roman"/>
                      <w:color w:val="auto"/>
                      <w:highlight w:val="none"/>
                      <w:lang w:eastAsia="zh-CN"/>
                    </w:rPr>
                    <w:t>上述</w:t>
                  </w:r>
                  <w:r>
                    <w:rPr>
                      <w:rFonts w:hint="default" w:ascii="Times New Roman" w:hAnsi="Times New Roman" w:eastAsia="宋体" w:cs="Times New Roman"/>
                      <w:color w:val="auto"/>
                      <w:highlight w:val="none"/>
                    </w:rPr>
                    <w:t>行业和相关污染物。</w:t>
                  </w:r>
                </w:p>
              </w:tc>
              <w:tc>
                <w:tcPr>
                  <w:tcW w:w="458" w:type="pct"/>
                  <w:tcBorders>
                    <w:tl2br w:val="nil"/>
                    <w:tr2bl w:val="nil"/>
                  </w:tcBorders>
                  <w:vAlign w:val="center"/>
                </w:tcPr>
                <w:p w14:paraId="59947253">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符合</w:t>
                  </w:r>
                </w:p>
              </w:tc>
            </w:tr>
            <w:tr w14:paraId="3801A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16" w:type="pct"/>
                  <w:vMerge w:val="continue"/>
                  <w:tcBorders>
                    <w:tl2br w:val="nil"/>
                    <w:tr2bl w:val="nil"/>
                  </w:tcBorders>
                  <w:vAlign w:val="center"/>
                </w:tcPr>
                <w:p w14:paraId="7FCD1A3D">
                  <w:pPr>
                    <w:pStyle w:val="132"/>
                    <w:jc w:val="center"/>
                    <w:rPr>
                      <w:rFonts w:hint="default" w:ascii="Times New Roman" w:hAnsi="Times New Roman" w:eastAsia="宋体" w:cs="Times New Roman"/>
                      <w:color w:val="auto"/>
                      <w:highlight w:val="none"/>
                    </w:rPr>
                  </w:pPr>
                </w:p>
              </w:tc>
              <w:tc>
                <w:tcPr>
                  <w:tcW w:w="2518" w:type="pct"/>
                  <w:tcBorders>
                    <w:tl2br w:val="nil"/>
                    <w:tr2bl w:val="nil"/>
                  </w:tcBorders>
                  <w:vAlign w:val="center"/>
                </w:tcPr>
                <w:p w14:paraId="6DB9056E">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继续淘汰涉重金属重点行业落后产能，执行重金属相关行业准入条件，禁止新建落后产能或产能严重过剩行业的建设项目。认真执行国家涉重金属重点行业清洁生产技术推行方案，鼓励企业采用先进的生产工艺和技术</w:t>
                  </w:r>
                </w:p>
              </w:tc>
              <w:tc>
                <w:tcPr>
                  <w:tcW w:w="1006" w:type="pct"/>
                  <w:vMerge w:val="continue"/>
                  <w:tcBorders>
                    <w:tl2br w:val="nil"/>
                    <w:tr2bl w:val="nil"/>
                  </w:tcBorders>
                  <w:vAlign w:val="center"/>
                </w:tcPr>
                <w:p w14:paraId="5FA9B70B">
                  <w:pPr>
                    <w:pStyle w:val="132"/>
                    <w:jc w:val="center"/>
                    <w:rPr>
                      <w:rFonts w:hint="default" w:ascii="Times New Roman" w:hAnsi="Times New Roman" w:eastAsia="宋体" w:cs="Times New Roman"/>
                      <w:color w:val="auto"/>
                      <w:highlight w:val="none"/>
                    </w:rPr>
                  </w:pPr>
                </w:p>
              </w:tc>
              <w:tc>
                <w:tcPr>
                  <w:tcW w:w="458" w:type="pct"/>
                  <w:tcBorders>
                    <w:tl2br w:val="nil"/>
                    <w:tr2bl w:val="nil"/>
                  </w:tcBorders>
                  <w:vAlign w:val="center"/>
                </w:tcPr>
                <w:p w14:paraId="7D226D76">
                  <w:pPr>
                    <w:pStyle w:val="13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符合</w:t>
                  </w:r>
                </w:p>
              </w:tc>
            </w:tr>
          </w:tbl>
          <w:p w14:paraId="52E07CE2">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综上，本项目符合</w:t>
            </w:r>
            <w:r>
              <w:rPr>
                <w:rFonts w:hint="eastAsia" w:ascii="Times New Roman" w:hAnsi="Times New Roman" w:eastAsia="宋体" w:cs="Times New Roman"/>
                <w:bCs/>
                <w:color w:val="auto"/>
                <w:highlight w:val="none"/>
                <w:lang w:val="en-US" w:eastAsia="zh-CN"/>
              </w:rPr>
              <w:t>土壤</w:t>
            </w:r>
            <w:r>
              <w:rPr>
                <w:rFonts w:hint="default" w:ascii="Times New Roman" w:hAnsi="Times New Roman" w:eastAsia="宋体" w:cs="Times New Roman"/>
                <w:bCs/>
                <w:color w:val="auto"/>
                <w:highlight w:val="none"/>
              </w:rPr>
              <w:t>污染防治相关法律法规政策的要求。</w:t>
            </w:r>
          </w:p>
          <w:p w14:paraId="39ECDE0E">
            <w:pPr>
              <w:pStyle w:val="27"/>
              <w:widowControl w:val="0"/>
              <w:autoSpaceDE w:val="0"/>
              <w:spacing w:before="0" w:beforeAutospacing="0" w:after="0" w:afterAutospacing="0" w:line="360" w:lineRule="auto"/>
              <w:ind w:firstLine="482" w:firstLineChars="200"/>
              <w:rPr>
                <w:rFonts w:hint="default" w:ascii="Times New Roman" w:hAnsi="Times New Roman" w:eastAsia="宋体" w:cs="Times New Roman"/>
                <w:b/>
                <w:bCs/>
                <w:color w:val="auto"/>
                <w:szCs w:val="24"/>
                <w:highlight w:val="none"/>
              </w:rPr>
            </w:pPr>
            <w:r>
              <w:rPr>
                <w:rFonts w:hint="eastAsia" w:ascii="Times New Roman" w:hAnsi="Times New Roman" w:eastAsia="宋体" w:cs="Times New Roman"/>
                <w:b/>
                <w:bCs/>
                <w:color w:val="auto"/>
                <w:szCs w:val="24"/>
                <w:highlight w:val="none"/>
                <w:lang w:val="en-US" w:eastAsia="zh-CN"/>
              </w:rPr>
              <w:t>1</w:t>
            </w:r>
            <w:r>
              <w:rPr>
                <w:rFonts w:hint="eastAsia" w:ascii="Times New Roman" w:hAnsi="Times New Roman" w:cs="Times New Roman"/>
                <w:b/>
                <w:bCs/>
                <w:color w:val="auto"/>
                <w:szCs w:val="24"/>
                <w:highlight w:val="none"/>
                <w:lang w:val="en-US" w:eastAsia="zh-CN"/>
              </w:rPr>
              <w:t>2</w:t>
            </w:r>
            <w:r>
              <w:rPr>
                <w:rFonts w:hint="default" w:ascii="Times New Roman" w:hAnsi="Times New Roman" w:eastAsia="宋体" w:cs="Times New Roman"/>
                <w:b/>
                <w:bCs/>
                <w:color w:val="auto"/>
                <w:szCs w:val="24"/>
                <w:highlight w:val="none"/>
              </w:rPr>
              <w:t>、与四川省生态环境分区管控的符合性分析</w:t>
            </w:r>
          </w:p>
          <w:p w14:paraId="51C2565B">
            <w:pPr>
              <w:spacing w:line="360" w:lineRule="auto"/>
              <w:ind w:firstLine="482" w:firstLineChars="200"/>
              <w:rPr>
                <w:rFonts w:hint="default" w:ascii="Times New Roman" w:hAnsi="Times New Roman" w:eastAsia="宋体" w:cs="Times New Roman"/>
                <w:b/>
                <w:bCs/>
                <w:color w:val="auto"/>
                <w:highlight w:val="none"/>
              </w:rPr>
            </w:pPr>
            <w:r>
              <w:rPr>
                <w:rFonts w:hint="eastAsia" w:cs="Times New Roman"/>
                <w:b/>
                <w:bCs/>
                <w:color w:val="auto"/>
                <w:highlight w:val="none"/>
                <w:lang w:eastAsia="zh-CN"/>
              </w:rPr>
              <w:t>（</w:t>
            </w:r>
            <w:r>
              <w:rPr>
                <w:rFonts w:hint="default" w:ascii="Times New Roman" w:hAnsi="Times New Roman" w:eastAsia="宋体" w:cs="Times New Roman"/>
                <w:b/>
                <w:bCs/>
                <w:color w:val="auto"/>
                <w:highlight w:val="none"/>
              </w:rPr>
              <w:t>1</w:t>
            </w:r>
            <w:r>
              <w:rPr>
                <w:rFonts w:hint="eastAsia" w:cs="Times New Roman"/>
                <w:b/>
                <w:bCs/>
                <w:color w:val="auto"/>
                <w:highlight w:val="none"/>
                <w:lang w:eastAsia="zh-CN"/>
              </w:rPr>
              <w:t>）</w:t>
            </w:r>
            <w:r>
              <w:rPr>
                <w:rFonts w:hint="default" w:ascii="Times New Roman" w:hAnsi="Times New Roman" w:eastAsia="宋体" w:cs="Times New Roman"/>
                <w:b/>
                <w:bCs/>
                <w:color w:val="auto"/>
                <w:highlight w:val="none"/>
              </w:rPr>
              <w:t>生态环境分区管控单元</w:t>
            </w:r>
          </w:p>
          <w:p w14:paraId="494D21ED">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本项目位于甘孜藏族自治州泸定县</w:t>
            </w:r>
            <w:r>
              <w:rPr>
                <w:rFonts w:hint="default" w:ascii="Times New Roman" w:hAnsi="Times New Roman" w:eastAsia="宋体" w:cs="Times New Roman"/>
                <w:color w:val="auto"/>
                <w:highlight w:val="none"/>
                <w:lang w:eastAsia="zh-CN"/>
              </w:rPr>
              <w:t>磨岗岭村</w:t>
            </w:r>
            <w:r>
              <w:rPr>
                <w:rFonts w:hint="default" w:ascii="Times New Roman" w:hAnsi="Times New Roman" w:eastAsia="宋体" w:cs="Times New Roman"/>
                <w:color w:val="auto"/>
                <w:highlight w:val="none"/>
              </w:rPr>
              <w:t>，项目中心点经纬度为：东经10</w:t>
            </w:r>
            <w:r>
              <w:rPr>
                <w:rFonts w:hint="eastAsia" w:cs="Times New Roman"/>
                <w:color w:val="auto"/>
                <w:highlight w:val="none"/>
                <w:lang w:val="en-US" w:eastAsia="zh-CN"/>
              </w:rPr>
              <w:t>2</w:t>
            </w:r>
            <w:r>
              <w:rPr>
                <w:rFonts w:hint="default" w:ascii="Times New Roman" w:hAnsi="Times New Roman" w:eastAsia="宋体" w:cs="Times New Roman"/>
                <w:color w:val="auto"/>
                <w:highlight w:val="none"/>
              </w:rPr>
              <w:t>度</w:t>
            </w:r>
            <w:r>
              <w:rPr>
                <w:rFonts w:hint="eastAsia" w:cs="Times New Roman"/>
                <w:color w:val="auto"/>
                <w:highlight w:val="none"/>
                <w:lang w:val="en-US" w:eastAsia="zh-CN"/>
              </w:rPr>
              <w:t>7</w:t>
            </w:r>
            <w:r>
              <w:rPr>
                <w:rFonts w:hint="default" w:ascii="Times New Roman" w:hAnsi="Times New Roman" w:eastAsia="宋体" w:cs="Times New Roman"/>
                <w:color w:val="auto"/>
                <w:highlight w:val="none"/>
              </w:rPr>
              <w:t>分5</w:t>
            </w:r>
            <w:r>
              <w:rPr>
                <w:rFonts w:hint="eastAsia" w:cs="Times New Roman"/>
                <w:color w:val="auto"/>
                <w:highlight w:val="none"/>
                <w:lang w:val="en-US" w:eastAsia="zh-CN"/>
              </w:rPr>
              <w:t>0.219</w:t>
            </w:r>
            <w:r>
              <w:rPr>
                <w:rFonts w:hint="default" w:ascii="Times New Roman" w:hAnsi="Times New Roman" w:eastAsia="宋体" w:cs="Times New Roman"/>
                <w:color w:val="auto"/>
                <w:highlight w:val="none"/>
              </w:rPr>
              <w:t>秒，北纬</w:t>
            </w:r>
            <w:r>
              <w:rPr>
                <w:rFonts w:hint="eastAsia" w:cs="Times New Roman"/>
                <w:color w:val="auto"/>
                <w:highlight w:val="none"/>
                <w:lang w:val="en-US" w:eastAsia="zh-CN"/>
              </w:rPr>
              <w:t>29</w:t>
            </w:r>
            <w:r>
              <w:rPr>
                <w:rFonts w:hint="default" w:ascii="Times New Roman" w:hAnsi="Times New Roman" w:eastAsia="宋体" w:cs="Times New Roman"/>
                <w:color w:val="auto"/>
                <w:highlight w:val="none"/>
              </w:rPr>
              <w:t>度</w:t>
            </w:r>
            <w:r>
              <w:rPr>
                <w:rFonts w:hint="eastAsia" w:cs="Times New Roman"/>
                <w:color w:val="auto"/>
                <w:highlight w:val="none"/>
                <w:lang w:val="en-US" w:eastAsia="zh-CN"/>
              </w:rPr>
              <w:t>8</w:t>
            </w:r>
            <w:r>
              <w:rPr>
                <w:rFonts w:hint="default" w:ascii="Times New Roman" w:hAnsi="Times New Roman" w:eastAsia="宋体" w:cs="Times New Roman"/>
                <w:color w:val="auto"/>
                <w:highlight w:val="none"/>
              </w:rPr>
              <w:t>分</w:t>
            </w:r>
            <w:r>
              <w:rPr>
                <w:rFonts w:hint="eastAsia" w:cs="Times New Roman"/>
                <w:color w:val="auto"/>
                <w:highlight w:val="none"/>
                <w:lang w:val="en-US" w:eastAsia="zh-CN"/>
              </w:rPr>
              <w:t>42.015</w:t>
            </w:r>
            <w:r>
              <w:rPr>
                <w:rFonts w:hint="default" w:ascii="Times New Roman" w:hAnsi="Times New Roman" w:eastAsia="宋体" w:cs="Times New Roman"/>
                <w:color w:val="auto"/>
                <w:highlight w:val="none"/>
              </w:rPr>
              <w:t>秒。经查询四川省政务服务网“四川生态环境分区管控数据分析系统”在线系统，项目共涉及</w:t>
            </w:r>
            <w:r>
              <w:rPr>
                <w:rFonts w:hint="eastAsia" w:cs="Times New Roman"/>
                <w:color w:val="auto"/>
                <w:highlight w:val="none"/>
                <w:lang w:val="en-US" w:eastAsia="zh-CN"/>
              </w:rPr>
              <w:t>3</w:t>
            </w:r>
            <w:r>
              <w:rPr>
                <w:rFonts w:hint="default" w:ascii="Times New Roman" w:hAnsi="Times New Roman" w:eastAsia="宋体" w:cs="Times New Roman"/>
                <w:color w:val="auto"/>
                <w:highlight w:val="none"/>
              </w:rPr>
              <w:t>个管控单元，见表1-</w:t>
            </w:r>
            <w:r>
              <w:rPr>
                <w:rFonts w:hint="eastAsia" w:cs="Times New Roman"/>
                <w:color w:val="auto"/>
                <w:highlight w:val="none"/>
                <w:lang w:val="en-US" w:eastAsia="zh-CN"/>
              </w:rPr>
              <w:t>10.</w:t>
            </w:r>
          </w:p>
          <w:p w14:paraId="307A27C3">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本项目涉及的管控单元一览表</w:t>
            </w:r>
          </w:p>
          <w:tbl>
            <w:tblPr>
              <w:tblStyle w:val="32"/>
              <w:tblW w:w="498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0"/>
              <w:gridCol w:w="1068"/>
              <w:gridCol w:w="849"/>
              <w:gridCol w:w="745"/>
              <w:gridCol w:w="1013"/>
              <w:gridCol w:w="1335"/>
            </w:tblGrid>
            <w:tr w14:paraId="7B723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jc w:val="center"/>
              </w:trPr>
              <w:tc>
                <w:tcPr>
                  <w:tcW w:w="1268" w:type="pct"/>
                  <w:tcBorders>
                    <w:tl2br w:val="nil"/>
                    <w:tr2bl w:val="nil"/>
                  </w:tcBorders>
                  <w:noWrap w:val="0"/>
                  <w:vAlign w:val="center"/>
                </w:tcPr>
                <w:p w14:paraId="0BBF30C5">
                  <w:pPr>
                    <w:pStyle w:val="86"/>
                    <w:widowControl/>
                    <w:spacing w:line="240" w:lineRule="auto"/>
                    <w:ind w:firstLine="0" w:firstLineChars="0"/>
                    <w:jc w:val="center"/>
                    <w:rPr>
                      <w:rStyle w:val="34"/>
                      <w:rFonts w:hint="default" w:ascii="Times New Roman" w:hAnsi="Times New Roman" w:eastAsia="宋体" w:cs="Times New Roman"/>
                      <w:b/>
                      <w:bCs/>
                      <w:color w:val="auto"/>
                      <w:kern w:val="2"/>
                      <w:sz w:val="21"/>
                      <w:szCs w:val="21"/>
                      <w:highlight w:val="none"/>
                      <w:lang w:val="en-US" w:eastAsia="zh-CN" w:bidi="ar-SA"/>
                    </w:rPr>
                  </w:pPr>
                  <w:r>
                    <w:rPr>
                      <w:rStyle w:val="34"/>
                      <w:rFonts w:hint="default" w:ascii="Times New Roman" w:hAnsi="Times New Roman" w:eastAsia="宋体" w:cs="Times New Roman"/>
                      <w:b/>
                      <w:bCs/>
                      <w:color w:val="auto"/>
                      <w:kern w:val="2"/>
                      <w:sz w:val="21"/>
                      <w:szCs w:val="21"/>
                      <w:highlight w:val="none"/>
                      <w:lang w:val="en-US" w:eastAsia="zh-CN" w:bidi="ar-SA"/>
                    </w:rPr>
                    <w:t>环境管控单元编码</w:t>
                  </w:r>
                </w:p>
              </w:tc>
              <w:tc>
                <w:tcPr>
                  <w:tcW w:w="807" w:type="pct"/>
                  <w:tcBorders>
                    <w:tl2br w:val="nil"/>
                    <w:tr2bl w:val="nil"/>
                  </w:tcBorders>
                  <w:noWrap w:val="0"/>
                  <w:vAlign w:val="center"/>
                </w:tcPr>
                <w:p w14:paraId="7FC59EDB">
                  <w:pPr>
                    <w:pStyle w:val="86"/>
                    <w:widowControl/>
                    <w:spacing w:line="240" w:lineRule="auto"/>
                    <w:ind w:firstLine="0" w:firstLineChars="0"/>
                    <w:jc w:val="center"/>
                    <w:rPr>
                      <w:rStyle w:val="34"/>
                      <w:rFonts w:hint="default" w:ascii="Times New Roman" w:hAnsi="Times New Roman" w:eastAsia="宋体" w:cs="Times New Roman"/>
                      <w:b/>
                      <w:bCs/>
                      <w:color w:val="auto"/>
                      <w:kern w:val="2"/>
                      <w:sz w:val="21"/>
                      <w:szCs w:val="21"/>
                      <w:highlight w:val="none"/>
                      <w:lang w:val="en-US" w:eastAsia="zh-CN" w:bidi="ar-SA"/>
                    </w:rPr>
                  </w:pPr>
                  <w:r>
                    <w:rPr>
                      <w:rStyle w:val="34"/>
                      <w:rFonts w:hint="default" w:ascii="Times New Roman" w:hAnsi="Times New Roman" w:eastAsia="宋体" w:cs="Times New Roman"/>
                      <w:b/>
                      <w:bCs/>
                      <w:color w:val="auto"/>
                      <w:kern w:val="2"/>
                      <w:sz w:val="21"/>
                      <w:szCs w:val="21"/>
                      <w:highlight w:val="none"/>
                      <w:lang w:val="en-US" w:eastAsia="zh-CN" w:bidi="ar-SA"/>
                    </w:rPr>
                    <w:t>环境管控单元名称</w:t>
                  </w:r>
                </w:p>
              </w:tc>
              <w:tc>
                <w:tcPr>
                  <w:tcW w:w="582" w:type="pct"/>
                  <w:tcBorders>
                    <w:tl2br w:val="nil"/>
                    <w:tr2bl w:val="nil"/>
                  </w:tcBorders>
                  <w:noWrap w:val="0"/>
                  <w:vAlign w:val="center"/>
                </w:tcPr>
                <w:p w14:paraId="3F55DF6E">
                  <w:pPr>
                    <w:pStyle w:val="86"/>
                    <w:widowControl/>
                    <w:spacing w:line="240" w:lineRule="auto"/>
                    <w:ind w:firstLine="0" w:firstLineChars="0"/>
                    <w:jc w:val="center"/>
                    <w:rPr>
                      <w:rStyle w:val="34"/>
                      <w:rFonts w:hint="default" w:ascii="Times New Roman" w:hAnsi="Times New Roman" w:eastAsia="宋体" w:cs="Times New Roman"/>
                      <w:b/>
                      <w:bCs/>
                      <w:color w:val="auto"/>
                      <w:kern w:val="2"/>
                      <w:sz w:val="21"/>
                      <w:szCs w:val="21"/>
                      <w:highlight w:val="none"/>
                      <w:lang w:val="en-US" w:eastAsia="zh-CN" w:bidi="ar-SA"/>
                    </w:rPr>
                  </w:pPr>
                  <w:r>
                    <w:rPr>
                      <w:rStyle w:val="34"/>
                      <w:rFonts w:hint="default" w:ascii="Times New Roman" w:hAnsi="Times New Roman" w:eastAsia="宋体" w:cs="Times New Roman"/>
                      <w:b/>
                      <w:bCs/>
                      <w:color w:val="auto"/>
                      <w:kern w:val="2"/>
                      <w:sz w:val="21"/>
                      <w:szCs w:val="21"/>
                      <w:highlight w:val="none"/>
                      <w:lang w:val="en-US" w:eastAsia="zh-CN" w:bidi="ar-SA"/>
                    </w:rPr>
                    <w:t>所属市（州）</w:t>
                  </w:r>
                </w:p>
              </w:tc>
              <w:tc>
                <w:tcPr>
                  <w:tcW w:w="572" w:type="pct"/>
                  <w:tcBorders>
                    <w:tl2br w:val="nil"/>
                    <w:tr2bl w:val="nil"/>
                  </w:tcBorders>
                  <w:noWrap w:val="0"/>
                  <w:vAlign w:val="center"/>
                </w:tcPr>
                <w:p w14:paraId="37AB5E71">
                  <w:pPr>
                    <w:pStyle w:val="86"/>
                    <w:widowControl/>
                    <w:spacing w:line="240" w:lineRule="auto"/>
                    <w:ind w:firstLine="0" w:firstLineChars="0"/>
                    <w:jc w:val="center"/>
                    <w:rPr>
                      <w:rStyle w:val="34"/>
                      <w:rFonts w:hint="default" w:ascii="Times New Roman" w:hAnsi="Times New Roman" w:eastAsia="宋体" w:cs="Times New Roman"/>
                      <w:b/>
                      <w:bCs/>
                      <w:color w:val="auto"/>
                      <w:kern w:val="2"/>
                      <w:sz w:val="21"/>
                      <w:szCs w:val="21"/>
                      <w:highlight w:val="none"/>
                      <w:lang w:val="en-US" w:eastAsia="zh-CN" w:bidi="ar-SA"/>
                    </w:rPr>
                  </w:pPr>
                  <w:r>
                    <w:rPr>
                      <w:rStyle w:val="34"/>
                      <w:rFonts w:hint="default" w:ascii="Times New Roman" w:hAnsi="Times New Roman" w:eastAsia="宋体" w:cs="Times New Roman"/>
                      <w:b/>
                      <w:bCs/>
                      <w:color w:val="auto"/>
                      <w:kern w:val="2"/>
                      <w:sz w:val="21"/>
                      <w:szCs w:val="21"/>
                      <w:highlight w:val="none"/>
                      <w:lang w:val="en-US" w:eastAsia="zh-CN" w:bidi="ar-SA"/>
                    </w:rPr>
                    <w:t>所属区县</w:t>
                  </w:r>
                </w:p>
              </w:tc>
              <w:tc>
                <w:tcPr>
                  <w:tcW w:w="767" w:type="pct"/>
                  <w:tcBorders>
                    <w:tl2br w:val="nil"/>
                    <w:tr2bl w:val="nil"/>
                  </w:tcBorders>
                  <w:noWrap w:val="0"/>
                  <w:vAlign w:val="center"/>
                </w:tcPr>
                <w:p w14:paraId="62877136">
                  <w:pPr>
                    <w:pStyle w:val="86"/>
                    <w:widowControl/>
                    <w:spacing w:line="240" w:lineRule="auto"/>
                    <w:ind w:firstLine="0" w:firstLineChars="0"/>
                    <w:jc w:val="center"/>
                    <w:rPr>
                      <w:rStyle w:val="34"/>
                      <w:rFonts w:hint="default" w:ascii="Times New Roman" w:hAnsi="Times New Roman" w:eastAsia="宋体" w:cs="Times New Roman"/>
                      <w:b/>
                      <w:bCs/>
                      <w:color w:val="auto"/>
                      <w:kern w:val="2"/>
                      <w:sz w:val="21"/>
                      <w:szCs w:val="21"/>
                      <w:highlight w:val="none"/>
                      <w:lang w:val="en-US" w:eastAsia="zh-CN" w:bidi="ar-SA"/>
                    </w:rPr>
                  </w:pPr>
                  <w:r>
                    <w:rPr>
                      <w:rStyle w:val="34"/>
                      <w:rFonts w:hint="default" w:ascii="Times New Roman" w:hAnsi="Times New Roman" w:eastAsia="宋体" w:cs="Times New Roman"/>
                      <w:b/>
                      <w:bCs/>
                      <w:color w:val="auto"/>
                      <w:kern w:val="2"/>
                      <w:sz w:val="21"/>
                      <w:szCs w:val="21"/>
                      <w:highlight w:val="none"/>
                      <w:lang w:val="en-US" w:eastAsia="zh-CN" w:bidi="ar-SA"/>
                    </w:rPr>
                    <w:t>准入清单类型</w:t>
                  </w:r>
                </w:p>
              </w:tc>
              <w:tc>
                <w:tcPr>
                  <w:tcW w:w="1001" w:type="pct"/>
                  <w:tcBorders>
                    <w:tl2br w:val="nil"/>
                    <w:tr2bl w:val="nil"/>
                  </w:tcBorders>
                  <w:noWrap w:val="0"/>
                  <w:vAlign w:val="center"/>
                </w:tcPr>
                <w:p w14:paraId="4FE81418">
                  <w:pPr>
                    <w:pStyle w:val="86"/>
                    <w:widowControl/>
                    <w:spacing w:line="240" w:lineRule="auto"/>
                    <w:ind w:firstLine="0" w:firstLineChars="0"/>
                    <w:jc w:val="center"/>
                    <w:rPr>
                      <w:rStyle w:val="34"/>
                      <w:rFonts w:hint="default" w:ascii="Times New Roman" w:hAnsi="Times New Roman" w:eastAsia="宋体" w:cs="Times New Roman"/>
                      <w:b/>
                      <w:bCs/>
                      <w:color w:val="auto"/>
                      <w:kern w:val="2"/>
                      <w:sz w:val="21"/>
                      <w:szCs w:val="21"/>
                      <w:highlight w:val="none"/>
                      <w:lang w:val="en-US" w:eastAsia="zh-CN" w:bidi="ar-SA"/>
                    </w:rPr>
                  </w:pPr>
                  <w:r>
                    <w:rPr>
                      <w:rStyle w:val="34"/>
                      <w:rFonts w:hint="default" w:ascii="Times New Roman" w:hAnsi="Times New Roman" w:eastAsia="宋体" w:cs="Times New Roman"/>
                      <w:b/>
                      <w:bCs/>
                      <w:color w:val="auto"/>
                      <w:kern w:val="2"/>
                      <w:sz w:val="21"/>
                      <w:szCs w:val="21"/>
                      <w:highlight w:val="none"/>
                      <w:lang w:val="en-US" w:eastAsia="zh-CN" w:bidi="ar-SA"/>
                    </w:rPr>
                    <w:t>管控类型</w:t>
                  </w:r>
                </w:p>
              </w:tc>
            </w:tr>
            <w:tr w14:paraId="31E688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jc w:val="center"/>
              </w:trPr>
              <w:tc>
                <w:tcPr>
                  <w:tcW w:w="1268" w:type="pct"/>
                  <w:tcBorders>
                    <w:tl2br w:val="nil"/>
                    <w:tr2bl w:val="nil"/>
                  </w:tcBorders>
                  <w:noWrap w:val="0"/>
                  <w:vAlign w:val="center"/>
                </w:tcPr>
                <w:p w14:paraId="63D76AD3">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YS5133223210001</w:t>
                  </w:r>
                </w:p>
              </w:tc>
              <w:tc>
                <w:tcPr>
                  <w:tcW w:w="807" w:type="pct"/>
                  <w:tcBorders>
                    <w:tl2br w:val="nil"/>
                    <w:tr2bl w:val="nil"/>
                  </w:tcBorders>
                  <w:noWrap w:val="0"/>
                  <w:vAlign w:val="center"/>
                </w:tcPr>
                <w:p w14:paraId="03D26572">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大渡河-泸定县-大岗山-控制单元</w:t>
                  </w:r>
                </w:p>
              </w:tc>
              <w:tc>
                <w:tcPr>
                  <w:tcW w:w="582" w:type="pct"/>
                  <w:tcBorders>
                    <w:tl2br w:val="nil"/>
                    <w:tr2bl w:val="nil"/>
                  </w:tcBorders>
                  <w:noWrap w:val="0"/>
                  <w:vAlign w:val="center"/>
                </w:tcPr>
                <w:p w14:paraId="6B11628B">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甘孜藏族自治州</w:t>
                  </w:r>
                </w:p>
              </w:tc>
              <w:tc>
                <w:tcPr>
                  <w:tcW w:w="572" w:type="pct"/>
                  <w:tcBorders>
                    <w:tl2br w:val="nil"/>
                    <w:tr2bl w:val="nil"/>
                  </w:tcBorders>
                  <w:noWrap w:val="0"/>
                  <w:vAlign w:val="center"/>
                </w:tcPr>
                <w:p w14:paraId="5869B635">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泸定县</w:t>
                  </w:r>
                </w:p>
              </w:tc>
              <w:tc>
                <w:tcPr>
                  <w:tcW w:w="767" w:type="pct"/>
                  <w:tcBorders>
                    <w:tl2br w:val="nil"/>
                    <w:tr2bl w:val="nil"/>
                  </w:tcBorders>
                  <w:noWrap w:val="0"/>
                  <w:vAlign w:val="center"/>
                </w:tcPr>
                <w:p w14:paraId="6AB8A0EF">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水环境管控分区</w:t>
                  </w:r>
                </w:p>
              </w:tc>
              <w:tc>
                <w:tcPr>
                  <w:tcW w:w="1001" w:type="pct"/>
                  <w:tcBorders>
                    <w:tl2br w:val="nil"/>
                    <w:tr2bl w:val="nil"/>
                  </w:tcBorders>
                  <w:noWrap w:val="0"/>
                  <w:vAlign w:val="center"/>
                </w:tcPr>
                <w:p w14:paraId="5DF7E714">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水环境一般管控区</w:t>
                  </w:r>
                </w:p>
              </w:tc>
            </w:tr>
            <w:tr w14:paraId="6EEA3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jc w:val="center"/>
              </w:trPr>
              <w:tc>
                <w:tcPr>
                  <w:tcW w:w="1268" w:type="pct"/>
                  <w:tcBorders>
                    <w:tl2br w:val="nil"/>
                    <w:tr2bl w:val="nil"/>
                  </w:tcBorders>
                  <w:noWrap w:val="0"/>
                  <w:vAlign w:val="center"/>
                </w:tcPr>
                <w:p w14:paraId="6DBE9529">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YS5133223310001</w:t>
                  </w:r>
                </w:p>
              </w:tc>
              <w:tc>
                <w:tcPr>
                  <w:tcW w:w="807" w:type="pct"/>
                  <w:tcBorders>
                    <w:tl2br w:val="nil"/>
                    <w:tr2bl w:val="nil"/>
                  </w:tcBorders>
                  <w:noWrap w:val="0"/>
                  <w:vAlign w:val="center"/>
                </w:tcPr>
                <w:p w14:paraId="1646ED2D">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泸定县大气环境一般管控区</w:t>
                  </w:r>
                </w:p>
              </w:tc>
              <w:tc>
                <w:tcPr>
                  <w:tcW w:w="582" w:type="pct"/>
                  <w:tcBorders>
                    <w:tl2br w:val="nil"/>
                    <w:tr2bl w:val="nil"/>
                  </w:tcBorders>
                  <w:noWrap w:val="0"/>
                  <w:vAlign w:val="center"/>
                </w:tcPr>
                <w:p w14:paraId="5673E174">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甘孜藏族自治州</w:t>
                  </w:r>
                </w:p>
              </w:tc>
              <w:tc>
                <w:tcPr>
                  <w:tcW w:w="572" w:type="pct"/>
                  <w:tcBorders>
                    <w:tl2br w:val="nil"/>
                    <w:tr2bl w:val="nil"/>
                  </w:tcBorders>
                  <w:noWrap w:val="0"/>
                  <w:vAlign w:val="center"/>
                </w:tcPr>
                <w:p w14:paraId="194F5836">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泸定县</w:t>
                  </w:r>
                </w:p>
              </w:tc>
              <w:tc>
                <w:tcPr>
                  <w:tcW w:w="767" w:type="pct"/>
                  <w:tcBorders>
                    <w:tl2br w:val="nil"/>
                    <w:tr2bl w:val="nil"/>
                  </w:tcBorders>
                  <w:noWrap w:val="0"/>
                  <w:vAlign w:val="center"/>
                </w:tcPr>
                <w:p w14:paraId="3AD914FC">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大气环境管控分区</w:t>
                  </w:r>
                </w:p>
              </w:tc>
              <w:tc>
                <w:tcPr>
                  <w:tcW w:w="1001" w:type="pct"/>
                  <w:tcBorders>
                    <w:tl2br w:val="nil"/>
                    <w:tr2bl w:val="nil"/>
                  </w:tcBorders>
                  <w:noWrap w:val="0"/>
                  <w:vAlign w:val="center"/>
                </w:tcPr>
                <w:p w14:paraId="6094E2E8">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大气环境一般管控区</w:t>
                  </w:r>
                </w:p>
              </w:tc>
            </w:tr>
            <w:tr w14:paraId="200D7E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tblHeader/>
                <w:jc w:val="center"/>
              </w:trPr>
              <w:tc>
                <w:tcPr>
                  <w:tcW w:w="1268" w:type="pct"/>
                  <w:tcBorders>
                    <w:tl2br w:val="nil"/>
                    <w:tr2bl w:val="nil"/>
                  </w:tcBorders>
                  <w:noWrap w:val="0"/>
                  <w:vAlign w:val="center"/>
                </w:tcPr>
                <w:p w14:paraId="608BC45B">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ZH51332230001</w:t>
                  </w:r>
                </w:p>
              </w:tc>
              <w:tc>
                <w:tcPr>
                  <w:tcW w:w="807" w:type="pct"/>
                  <w:tcBorders>
                    <w:tl2br w:val="nil"/>
                    <w:tr2bl w:val="nil"/>
                  </w:tcBorders>
                  <w:noWrap w:val="0"/>
                  <w:vAlign w:val="center"/>
                </w:tcPr>
                <w:p w14:paraId="7D4625C1">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泸定县一般管控单元</w:t>
                  </w:r>
                </w:p>
              </w:tc>
              <w:tc>
                <w:tcPr>
                  <w:tcW w:w="582" w:type="pct"/>
                  <w:tcBorders>
                    <w:tl2br w:val="nil"/>
                    <w:tr2bl w:val="nil"/>
                  </w:tcBorders>
                  <w:noWrap w:val="0"/>
                  <w:vAlign w:val="center"/>
                </w:tcPr>
                <w:p w14:paraId="7164DF3A">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甘孜藏族自治州</w:t>
                  </w:r>
                </w:p>
              </w:tc>
              <w:tc>
                <w:tcPr>
                  <w:tcW w:w="572" w:type="pct"/>
                  <w:tcBorders>
                    <w:tl2br w:val="nil"/>
                    <w:tr2bl w:val="nil"/>
                  </w:tcBorders>
                  <w:noWrap w:val="0"/>
                  <w:vAlign w:val="center"/>
                </w:tcPr>
                <w:p w14:paraId="07A3D8B2">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泸定县</w:t>
                  </w:r>
                </w:p>
              </w:tc>
              <w:tc>
                <w:tcPr>
                  <w:tcW w:w="767" w:type="pct"/>
                  <w:tcBorders>
                    <w:tl2br w:val="nil"/>
                    <w:tr2bl w:val="nil"/>
                  </w:tcBorders>
                  <w:noWrap w:val="0"/>
                  <w:vAlign w:val="center"/>
                </w:tcPr>
                <w:p w14:paraId="3EEC1B04">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环境综合管控单元</w:t>
                  </w:r>
                </w:p>
              </w:tc>
              <w:tc>
                <w:tcPr>
                  <w:tcW w:w="1001" w:type="pct"/>
                  <w:tcBorders>
                    <w:tl2br w:val="nil"/>
                    <w:tr2bl w:val="nil"/>
                  </w:tcBorders>
                  <w:noWrap w:val="0"/>
                  <w:vAlign w:val="center"/>
                </w:tcPr>
                <w:p w14:paraId="386C0A50">
                  <w:pPr>
                    <w:pStyle w:val="86"/>
                    <w:widowControl/>
                    <w:spacing w:line="240" w:lineRule="auto"/>
                    <w:ind w:firstLine="0" w:firstLineChars="0"/>
                    <w:jc w:val="center"/>
                    <w:rPr>
                      <w:rStyle w:val="34"/>
                      <w:rFonts w:hint="default" w:ascii="Times New Roman" w:hAnsi="Times New Roman" w:eastAsia="宋体" w:cs="Times New Roman"/>
                      <w:color w:val="auto"/>
                      <w:kern w:val="2"/>
                      <w:sz w:val="21"/>
                      <w:szCs w:val="21"/>
                      <w:highlight w:val="none"/>
                      <w:lang w:val="en-US" w:eastAsia="zh-CN" w:bidi="ar-SA"/>
                    </w:rPr>
                  </w:pPr>
                  <w:r>
                    <w:rPr>
                      <w:rStyle w:val="34"/>
                      <w:rFonts w:hint="eastAsia" w:ascii="Times New Roman" w:hAnsi="Times New Roman" w:eastAsia="宋体" w:cs="Times New Roman"/>
                      <w:color w:val="auto"/>
                      <w:kern w:val="2"/>
                      <w:sz w:val="21"/>
                      <w:szCs w:val="21"/>
                      <w:highlight w:val="none"/>
                      <w:lang w:val="en-US" w:eastAsia="zh-CN" w:bidi="ar-SA"/>
                    </w:rPr>
                    <w:t>环境综合管控单元一般管控单元</w:t>
                  </w:r>
                </w:p>
              </w:tc>
            </w:tr>
          </w:tbl>
          <w:p w14:paraId="2AAD5F4F">
            <w:pPr>
              <w:spacing w:line="360" w:lineRule="auto"/>
              <w:ind w:firstLine="480" w:firstLineChars="200"/>
              <w:rPr>
                <w:rFonts w:hint="default" w:ascii="Times New Roman" w:hAnsi="Times New Roman" w:cs="Times New Roman" w:eastAsiaTheme="minorEastAsia"/>
                <w:b w:val="0"/>
                <w:bCs w:val="0"/>
                <w:color w:val="auto"/>
                <w:highlight w:val="none"/>
                <w:lang w:val="en-US" w:eastAsia="zh-CN"/>
              </w:rPr>
            </w:pPr>
            <w:r>
              <w:rPr>
                <w:rFonts w:hint="default" w:ascii="Times New Roman" w:hAnsi="Times New Roman" w:cs="Times New Roman" w:eastAsiaTheme="minorEastAsia"/>
                <w:b w:val="0"/>
                <w:bCs w:val="0"/>
                <w:color w:val="auto"/>
                <w:highlight w:val="none"/>
                <w:lang w:val="en-US" w:eastAsia="zh-CN"/>
              </w:rPr>
              <w:t>本项目在四川省“生态环境分区管控符合性分析系统”数据分析系统查询结果详见下图。</w:t>
            </w:r>
          </w:p>
          <w:p w14:paraId="57FB9642">
            <w:pPr>
              <w:widowControl/>
              <w:spacing w:line="360" w:lineRule="auto"/>
              <w:jc w:val="center"/>
              <w:rPr>
                <w:rFonts w:hint="default" w:ascii="Times New Roman" w:hAnsi="Times New Roman" w:eastAsia="宋体" w:cs="Times New Roman"/>
                <w:color w:val="auto"/>
                <w:highlight w:val="none"/>
              </w:rPr>
            </w:pPr>
            <w:r>
              <w:rPr>
                <w:color w:val="auto"/>
                <w:highlight w:val="none"/>
              </w:rPr>
              <w:drawing>
                <wp:inline distT="0" distB="0" distL="114300" distR="114300">
                  <wp:extent cx="4070350" cy="3282950"/>
                  <wp:effectExtent l="0" t="0" r="6350" b="12700"/>
                  <wp:docPr id="3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0"/>
                          <pic:cNvPicPr>
                            <a:picLocks noChangeAspect="1"/>
                          </pic:cNvPicPr>
                        </pic:nvPicPr>
                        <pic:blipFill>
                          <a:blip r:embed="rId10"/>
                          <a:stretch>
                            <a:fillRect/>
                          </a:stretch>
                        </pic:blipFill>
                        <pic:spPr>
                          <a:xfrm>
                            <a:off x="0" y="0"/>
                            <a:ext cx="4070350" cy="3282950"/>
                          </a:xfrm>
                          <a:prstGeom prst="rect">
                            <a:avLst/>
                          </a:prstGeom>
                          <a:noFill/>
                          <a:ln>
                            <a:noFill/>
                          </a:ln>
                        </pic:spPr>
                      </pic:pic>
                    </a:graphicData>
                  </a:graphic>
                </wp:inline>
              </w:drawing>
            </w:r>
          </w:p>
          <w:p w14:paraId="08743C07">
            <w:pPr>
              <w:pStyle w:val="99"/>
              <w:numPr>
                <w:ilvl w:val="0"/>
                <w:numId w:val="5"/>
              </w:numPr>
              <w:ind w:left="425" w:leftChars="0" w:hanging="425"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本项目所在环境管控单元和要素管控分区查询结果</w:t>
            </w:r>
          </w:p>
          <w:p w14:paraId="67052CAA">
            <w:pPr>
              <w:spacing w:line="360" w:lineRule="auto"/>
              <w:ind w:firstLine="480" w:firstLineChars="200"/>
              <w:rPr>
                <w:rFonts w:hint="default" w:ascii="Times New Roman" w:hAnsi="Times New Roman" w:cs="Times New Roman" w:eastAsiaTheme="minorEastAsia"/>
                <w:b w:val="0"/>
                <w:bCs w:val="0"/>
                <w:color w:val="auto"/>
                <w:highlight w:val="none"/>
                <w:lang w:val="en-US" w:eastAsia="zh-CN"/>
              </w:rPr>
            </w:pPr>
            <w:r>
              <w:rPr>
                <w:rFonts w:hint="default" w:ascii="Times New Roman" w:hAnsi="Times New Roman" w:cs="Times New Roman" w:eastAsiaTheme="minorEastAsia"/>
                <w:b w:val="0"/>
                <w:bCs w:val="0"/>
                <w:color w:val="auto"/>
                <w:highlight w:val="none"/>
                <w:lang w:val="en-US" w:eastAsia="zh-CN"/>
              </w:rPr>
              <w:t>本项目与管控单元相对位置如下图所示：</w:t>
            </w:r>
          </w:p>
          <w:p w14:paraId="16EE1D5E">
            <w:pPr>
              <w:spacing w:line="360" w:lineRule="auto"/>
              <w:ind w:firstLine="480" w:firstLineChars="200"/>
              <w:rPr>
                <w:rFonts w:hint="default" w:ascii="Times New Roman" w:hAnsi="Times New Roman" w:cs="Times New Roman" w:eastAsiaTheme="minorEastAsia"/>
                <w:b w:val="0"/>
                <w:bCs w:val="0"/>
                <w:color w:val="auto"/>
                <w:highlight w:val="none"/>
                <w:lang w:val="en-US" w:eastAsia="zh-CN"/>
              </w:rPr>
            </w:pPr>
            <w:r>
              <w:rPr>
                <w:rFonts w:hint="default" w:ascii="Times New Roman" w:hAnsi="Times New Roman" w:cs="Times New Roman" w:eastAsiaTheme="minorEastAsia"/>
                <w:b w:val="0"/>
                <w:bCs w:val="0"/>
                <w:color w:val="auto"/>
                <w:highlight w:val="none"/>
                <w:lang w:val="en-US" w:eastAsia="zh-CN"/>
              </w:rPr>
              <w:t>项目位于甘孜藏族自治州泸定县环境综合管控单元一般管控单元（管控单元名称：泸定县一般管控单元，管控单元编号：ZH51332230001）</w:t>
            </w:r>
          </w:p>
          <w:p w14:paraId="47D5A0E7">
            <w:pPr>
              <w:spacing w:line="360" w:lineRule="auto"/>
              <w:ind w:firstLine="480" w:firstLineChars="200"/>
              <w:rPr>
                <w:rFonts w:hint="default" w:ascii="Times New Roman" w:hAnsi="Times New Roman" w:cs="Times New Roman" w:eastAsiaTheme="minorEastAsia"/>
                <w:b w:val="0"/>
                <w:bCs w:val="0"/>
                <w:color w:val="auto"/>
                <w:highlight w:val="none"/>
                <w:lang w:val="en-US" w:eastAsia="zh-CN"/>
              </w:rPr>
            </w:pPr>
            <w:r>
              <w:rPr>
                <w:rFonts w:hint="default" w:ascii="Times New Roman" w:hAnsi="Times New Roman" w:cs="Times New Roman" w:eastAsiaTheme="minorEastAsia"/>
                <w:b w:val="0"/>
                <w:bCs w:val="0"/>
                <w:color w:val="auto"/>
                <w:highlight w:val="none"/>
                <w:lang w:val="en-US" w:eastAsia="zh-CN"/>
              </w:rPr>
              <w:t>项目与管控单元相对位置如下图所示：（图中▼表示项目位置）</w:t>
            </w:r>
          </w:p>
          <w:p w14:paraId="0F514948">
            <w:pPr>
              <w:pStyle w:val="20"/>
              <w:widowControl/>
              <w:spacing w:after="0" w:line="360" w:lineRule="auto"/>
              <w:ind w:left="0" w:leftChars="0" w:firstLine="0" w:firstLineChars="0"/>
              <w:jc w:val="both"/>
              <w:rPr>
                <w:rFonts w:hint="default" w:ascii="Times New Roman" w:hAnsi="Times New Roman" w:eastAsia="宋体" w:cs="Times New Roman"/>
                <w:color w:val="auto"/>
                <w:sz w:val="28"/>
                <w:highlight w:val="none"/>
              </w:rPr>
            </w:pPr>
            <w:r>
              <w:rPr>
                <w:rFonts w:hint="default" w:ascii="Helvetica" w:hAnsi="Helvetica" w:eastAsia="Helvetica"/>
                <w:color w:val="auto"/>
                <w:sz w:val="28"/>
                <w:szCs w:val="24"/>
                <w:highlight w:val="none"/>
              </w:rPr>
              <w:drawing>
                <wp:inline distT="0" distB="0" distL="114300" distR="114300">
                  <wp:extent cx="4219575" cy="2983865"/>
                  <wp:effectExtent l="0" t="0" r="9525" b="6985"/>
                  <wp:docPr id="3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1"/>
                          <pic:cNvPicPr>
                            <a:picLocks noChangeAspect="1"/>
                          </pic:cNvPicPr>
                        </pic:nvPicPr>
                        <pic:blipFill>
                          <a:blip r:embed="rId11"/>
                          <a:stretch>
                            <a:fillRect/>
                          </a:stretch>
                        </pic:blipFill>
                        <pic:spPr>
                          <a:xfrm>
                            <a:off x="0" y="0"/>
                            <a:ext cx="4219575" cy="2983865"/>
                          </a:xfrm>
                          <a:prstGeom prst="rect">
                            <a:avLst/>
                          </a:prstGeom>
                          <a:noFill/>
                          <a:ln>
                            <a:noFill/>
                          </a:ln>
                        </pic:spPr>
                      </pic:pic>
                    </a:graphicData>
                  </a:graphic>
                </wp:inline>
              </w:drawing>
            </w:r>
          </w:p>
          <w:p w14:paraId="5AD6AE78">
            <w:pPr>
              <w:pStyle w:val="99"/>
              <w:numPr>
                <w:ilvl w:val="0"/>
                <w:numId w:val="5"/>
              </w:numPr>
              <w:ind w:left="425" w:leftChars="0" w:hanging="425"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环境综合管控单元图（图中▼表示项目位置）</w:t>
            </w:r>
          </w:p>
          <w:p w14:paraId="44A8DF8F">
            <w:pPr>
              <w:spacing w:line="360" w:lineRule="auto"/>
              <w:jc w:val="both"/>
              <w:rPr>
                <w:rFonts w:hint="eastAsia" w:cs="Times New Roman"/>
                <w:color w:val="auto"/>
                <w:highlight w:val="none"/>
                <w:lang w:eastAsia="zh-CN"/>
              </w:rPr>
            </w:pPr>
          </w:p>
          <w:p w14:paraId="3647E5C8">
            <w:pPr>
              <w:spacing w:line="360" w:lineRule="auto"/>
              <w:ind w:firstLine="480" w:firstLineChars="200"/>
              <w:rPr>
                <w:rFonts w:hint="default" w:ascii="Times New Roman" w:hAnsi="Times New Roman" w:eastAsia="宋体" w:cs="Times New Roman"/>
                <w:color w:val="auto"/>
                <w:highlight w:val="none"/>
              </w:rPr>
            </w:pPr>
            <w:r>
              <w:rPr>
                <w:rFonts w:hint="eastAsia" w:cs="Times New Roman"/>
                <w:color w:val="auto"/>
                <w:highlight w:val="none"/>
                <w:lang w:eastAsia="zh-CN"/>
              </w:rPr>
              <w:t>（</w:t>
            </w:r>
            <w:r>
              <w:rPr>
                <w:rFonts w:hint="default" w:ascii="Times New Roman" w:hAnsi="Times New Roman" w:eastAsia="宋体" w:cs="Times New Roman"/>
                <w:color w:val="auto"/>
                <w:highlight w:val="none"/>
              </w:rPr>
              <w:t>2</w:t>
            </w:r>
            <w:r>
              <w:rPr>
                <w:rFonts w:hint="eastAsia" w:cs="Times New Roman"/>
                <w:color w:val="auto"/>
                <w:highlight w:val="none"/>
                <w:lang w:eastAsia="zh-CN"/>
              </w:rPr>
              <w:t>）</w:t>
            </w:r>
            <w:r>
              <w:rPr>
                <w:rFonts w:hint="default" w:ascii="Times New Roman" w:hAnsi="Times New Roman" w:eastAsia="宋体" w:cs="Times New Roman"/>
                <w:color w:val="auto"/>
                <w:highlight w:val="none"/>
              </w:rPr>
              <w:t>与环境管控单元及生态环境准入清单的符合性分析</w:t>
            </w:r>
          </w:p>
          <w:p w14:paraId="7C2725E3">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根据四川省“生态环境分区管控符合性分析系统”查询结果，本项目与</w:t>
            </w:r>
            <w:r>
              <w:rPr>
                <w:rFonts w:hint="default" w:ascii="Times New Roman" w:hAnsi="Times New Roman" w:cs="Times New Roman" w:eastAsiaTheme="minorEastAsia"/>
                <w:b w:val="0"/>
                <w:bCs w:val="0"/>
                <w:color w:val="auto"/>
                <w:highlight w:val="none"/>
                <w:lang w:val="en-US" w:eastAsia="zh-CN"/>
              </w:rPr>
              <w:t>泸定县一般管控单元</w:t>
            </w:r>
            <w:r>
              <w:rPr>
                <w:rFonts w:hint="eastAsia" w:ascii="Times New Roman" w:hAnsi="Times New Roman" w:cs="Times New Roman" w:eastAsiaTheme="minorEastAsia"/>
                <w:b w:val="0"/>
                <w:bCs w:val="0"/>
                <w:color w:val="auto"/>
                <w:highlight w:val="none"/>
                <w:lang w:val="en-US" w:eastAsia="zh-CN"/>
              </w:rPr>
              <w:t>（</w:t>
            </w:r>
            <w:r>
              <w:rPr>
                <w:rFonts w:hint="default" w:ascii="Times New Roman" w:hAnsi="Times New Roman" w:cs="Times New Roman" w:eastAsiaTheme="minorEastAsia"/>
                <w:b w:val="0"/>
                <w:bCs w:val="0"/>
                <w:color w:val="auto"/>
                <w:highlight w:val="none"/>
                <w:lang w:val="en-US" w:eastAsia="zh-CN"/>
              </w:rPr>
              <w:t>管控单元编号：ZH51332230001</w:t>
            </w:r>
            <w:r>
              <w:rPr>
                <w:rFonts w:hint="eastAsia" w:ascii="Times New Roman" w:hAnsi="Times New Roman" w:cs="Times New Roman" w:eastAsiaTheme="minorEastAsia"/>
                <w:b w:val="0"/>
                <w:bCs w:val="0"/>
                <w:color w:val="auto"/>
                <w:highlight w:val="none"/>
                <w:lang w:val="en-US" w:eastAsia="zh-CN"/>
              </w:rPr>
              <w:t>）</w:t>
            </w:r>
            <w:r>
              <w:rPr>
                <w:rFonts w:hint="default" w:ascii="Times New Roman" w:hAnsi="Times New Roman" w:eastAsia="宋体" w:cs="Times New Roman"/>
                <w:color w:val="auto"/>
                <w:highlight w:val="none"/>
              </w:rPr>
              <w:t>符合性分析如下：</w:t>
            </w:r>
          </w:p>
          <w:p w14:paraId="4B2C1105">
            <w:pPr>
              <w:pStyle w:val="7"/>
              <w:jc w:val="left"/>
              <w:rPr>
                <w:rFonts w:hint="default"/>
                <w:color w:val="auto"/>
                <w:highlight w:val="none"/>
              </w:rPr>
            </w:pPr>
          </w:p>
          <w:p w14:paraId="41372BE9">
            <w:pPr>
              <w:pStyle w:val="8"/>
              <w:rPr>
                <w:rFonts w:hint="default"/>
                <w:color w:val="auto"/>
                <w:highlight w:val="none"/>
              </w:rPr>
            </w:pPr>
          </w:p>
          <w:p w14:paraId="306D685F">
            <w:pPr>
              <w:pStyle w:val="8"/>
              <w:rPr>
                <w:rFonts w:hint="default"/>
                <w:color w:val="auto"/>
                <w:highlight w:val="none"/>
              </w:rPr>
            </w:pPr>
          </w:p>
          <w:p w14:paraId="3C7A0100">
            <w:pPr>
              <w:pStyle w:val="8"/>
              <w:rPr>
                <w:rFonts w:hint="default"/>
                <w:color w:val="auto"/>
                <w:highlight w:val="none"/>
              </w:rPr>
            </w:pPr>
          </w:p>
          <w:p w14:paraId="51E7EA1D">
            <w:pPr>
              <w:pStyle w:val="8"/>
              <w:rPr>
                <w:rFonts w:hint="default"/>
                <w:color w:val="auto"/>
                <w:highlight w:val="none"/>
              </w:rPr>
            </w:pPr>
          </w:p>
          <w:p w14:paraId="7B8903CF">
            <w:pPr>
              <w:pStyle w:val="8"/>
              <w:rPr>
                <w:rFonts w:hint="default"/>
                <w:color w:val="auto"/>
                <w:highlight w:val="none"/>
              </w:rPr>
            </w:pPr>
          </w:p>
          <w:p w14:paraId="0ED37FDF">
            <w:pPr>
              <w:pStyle w:val="8"/>
              <w:rPr>
                <w:rFonts w:hint="default"/>
                <w:color w:val="auto"/>
                <w:highlight w:val="none"/>
              </w:rPr>
            </w:pPr>
          </w:p>
          <w:p w14:paraId="066A1195">
            <w:pPr>
              <w:pStyle w:val="8"/>
              <w:rPr>
                <w:rFonts w:hint="default"/>
                <w:color w:val="auto"/>
                <w:highlight w:val="none"/>
              </w:rPr>
            </w:pPr>
          </w:p>
          <w:p w14:paraId="62615868">
            <w:pPr>
              <w:pStyle w:val="8"/>
              <w:rPr>
                <w:rFonts w:hint="default"/>
                <w:color w:val="auto"/>
                <w:highlight w:val="none"/>
              </w:rPr>
            </w:pPr>
          </w:p>
          <w:p w14:paraId="0CFFA033">
            <w:pPr>
              <w:rPr>
                <w:rFonts w:hint="default"/>
                <w:color w:val="auto"/>
                <w:highlight w:val="none"/>
              </w:rPr>
            </w:pPr>
          </w:p>
        </w:tc>
      </w:tr>
    </w:tbl>
    <w:p w14:paraId="0352E758">
      <w:pPr>
        <w:rPr>
          <w:rFonts w:hint="default" w:ascii="Times New Roman" w:hAnsi="Times New Roman" w:eastAsia="宋体" w:cs="Times New Roman"/>
          <w:color w:val="auto"/>
          <w:highlight w:val="none"/>
        </w:rPr>
        <w:sectPr>
          <w:footerReference r:id="rId6" w:type="default"/>
          <w:pgSz w:w="11906" w:h="16838"/>
          <w:pgMar w:top="1440" w:right="1800" w:bottom="1440" w:left="1800"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32"/>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fixed"/>
        <w:tblCellMar>
          <w:top w:w="0" w:type="dxa"/>
          <w:left w:w="108" w:type="dxa"/>
          <w:bottom w:w="0" w:type="dxa"/>
          <w:right w:w="108" w:type="dxa"/>
        </w:tblCellMar>
      </w:tblPr>
      <w:tblGrid>
        <w:gridCol w:w="472"/>
        <w:gridCol w:w="13194"/>
      </w:tblGrid>
      <w:tr w14:paraId="581B1F27">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trHeight w:val="6526" w:hRule="atLeast"/>
        </w:trPr>
        <w:tc>
          <w:tcPr>
            <w:tcW w:w="472" w:type="dxa"/>
          </w:tcPr>
          <w:p w14:paraId="05C7E923">
            <w:pPr>
              <w:pStyle w:val="20"/>
              <w:ind w:left="480"/>
              <w:rPr>
                <w:rFonts w:hint="default" w:ascii="Times New Roman" w:hAnsi="Times New Roman" w:eastAsia="宋体" w:cs="Times New Roman"/>
                <w:color w:val="auto"/>
                <w:highlight w:val="none"/>
              </w:rPr>
            </w:pPr>
          </w:p>
        </w:tc>
        <w:tc>
          <w:tcPr>
            <w:tcW w:w="13194" w:type="dxa"/>
          </w:tcPr>
          <w:p w14:paraId="020DE5EE">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项目与管控要求符合性分析</w:t>
            </w:r>
          </w:p>
          <w:tbl>
            <w:tblPr>
              <w:tblStyle w:val="9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7"/>
              <w:gridCol w:w="698"/>
              <w:gridCol w:w="6584"/>
              <w:gridCol w:w="2253"/>
              <w:gridCol w:w="1707"/>
              <w:gridCol w:w="495"/>
            </w:tblGrid>
            <w:tr w14:paraId="03259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887" w:type="dxa"/>
                  <w:tcBorders>
                    <w:tl2br w:val="nil"/>
                    <w:tr2bl w:val="nil"/>
                  </w:tcBorders>
                  <w:noWrap w:val="0"/>
                  <w:vAlign w:val="center"/>
                </w:tcPr>
                <w:p w14:paraId="389AA019">
                  <w:pPr>
                    <w:pStyle w:val="132"/>
                    <w:spacing w:line="240" w:lineRule="auto"/>
                    <w:ind w:firstLine="0" w:firstLineChars="0"/>
                    <w:jc w:val="center"/>
                    <w:rPr>
                      <w:rFonts w:hint="default" w:ascii="Times New Roman" w:hAnsi="Times New Roman" w:eastAsia="宋体"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环境管控单元编码</w:t>
                  </w:r>
                </w:p>
              </w:tc>
              <w:tc>
                <w:tcPr>
                  <w:tcW w:w="698" w:type="dxa"/>
                  <w:tcBorders>
                    <w:tl2br w:val="nil"/>
                    <w:tr2bl w:val="nil"/>
                  </w:tcBorders>
                  <w:noWrap w:val="0"/>
                  <w:vAlign w:val="center"/>
                </w:tcPr>
                <w:p w14:paraId="0E3F2447">
                  <w:pPr>
                    <w:pStyle w:val="132"/>
                    <w:spacing w:line="240" w:lineRule="auto"/>
                    <w:ind w:firstLine="0" w:firstLineChars="0"/>
                    <w:jc w:val="center"/>
                    <w:rPr>
                      <w:rFonts w:hint="default" w:ascii="Times New Roman" w:hAnsi="Times New Roman" w:eastAsia="宋体"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环境管控单元名称</w:t>
                  </w:r>
                </w:p>
              </w:tc>
              <w:tc>
                <w:tcPr>
                  <w:tcW w:w="6584" w:type="dxa"/>
                  <w:tcBorders>
                    <w:tl2br w:val="nil"/>
                    <w:tr2bl w:val="nil"/>
                  </w:tcBorders>
                  <w:noWrap w:val="0"/>
                  <w:vAlign w:val="center"/>
                </w:tcPr>
                <w:p w14:paraId="7078C47D">
                  <w:pPr>
                    <w:pStyle w:val="132"/>
                    <w:spacing w:line="240" w:lineRule="auto"/>
                    <w:ind w:firstLine="0" w:firstLineChars="0"/>
                    <w:jc w:val="center"/>
                    <w:rPr>
                      <w:rFonts w:hint="default" w:ascii="Times New Roman" w:hAnsi="Times New Roman" w:eastAsia="宋体"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甘孜州普适性清单</w:t>
                  </w:r>
                </w:p>
              </w:tc>
              <w:tc>
                <w:tcPr>
                  <w:tcW w:w="2253" w:type="dxa"/>
                  <w:tcBorders>
                    <w:tl2br w:val="nil"/>
                    <w:tr2bl w:val="nil"/>
                  </w:tcBorders>
                  <w:noWrap w:val="0"/>
                  <w:vAlign w:val="center"/>
                </w:tcPr>
                <w:p w14:paraId="3995B812">
                  <w:pPr>
                    <w:pStyle w:val="132"/>
                    <w:spacing w:line="240" w:lineRule="auto"/>
                    <w:ind w:firstLine="0" w:firstLineChars="0"/>
                    <w:jc w:val="center"/>
                    <w:rPr>
                      <w:rFonts w:hint="default" w:ascii="Times New Roman" w:hAnsi="Times New Roman" w:eastAsia="宋体"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单元特性管控要求</w:t>
                  </w:r>
                </w:p>
              </w:tc>
              <w:tc>
                <w:tcPr>
                  <w:tcW w:w="1707" w:type="dxa"/>
                  <w:tcBorders>
                    <w:tl2br w:val="nil"/>
                    <w:tr2bl w:val="nil"/>
                  </w:tcBorders>
                  <w:noWrap w:val="0"/>
                  <w:vAlign w:val="center"/>
                </w:tcPr>
                <w:p w14:paraId="528941D6">
                  <w:pPr>
                    <w:pStyle w:val="132"/>
                    <w:spacing w:line="240" w:lineRule="auto"/>
                    <w:ind w:firstLine="0" w:firstLineChars="0"/>
                    <w:jc w:val="center"/>
                    <w:rPr>
                      <w:rFonts w:hint="default" w:ascii="Times New Roman" w:hAnsi="Times New Roman" w:eastAsia="宋体"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本项目</w:t>
                  </w:r>
                </w:p>
              </w:tc>
              <w:tc>
                <w:tcPr>
                  <w:tcW w:w="495" w:type="dxa"/>
                  <w:tcBorders>
                    <w:tl2br w:val="nil"/>
                    <w:tr2bl w:val="nil"/>
                  </w:tcBorders>
                  <w:noWrap w:val="0"/>
                  <w:vAlign w:val="center"/>
                </w:tcPr>
                <w:p w14:paraId="7A553A01">
                  <w:pPr>
                    <w:pStyle w:val="132"/>
                    <w:spacing w:line="240" w:lineRule="auto"/>
                    <w:ind w:firstLine="0" w:firstLineChars="0"/>
                    <w:jc w:val="center"/>
                    <w:rPr>
                      <w:rFonts w:hint="default" w:ascii="Times New Roman" w:hAnsi="Times New Roman" w:eastAsia="宋体"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符合性</w:t>
                  </w:r>
                </w:p>
              </w:tc>
            </w:tr>
            <w:tr w14:paraId="1E2E3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restart"/>
                  <w:tcBorders>
                    <w:tl2br w:val="nil"/>
                    <w:tr2bl w:val="nil"/>
                  </w:tcBorders>
                  <w:noWrap w:val="0"/>
                  <w:vAlign w:val="center"/>
                </w:tcPr>
                <w:p w14:paraId="20D74F17">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YS5133243210002</w:t>
                  </w:r>
                </w:p>
              </w:tc>
              <w:tc>
                <w:tcPr>
                  <w:tcW w:w="698" w:type="dxa"/>
                  <w:vMerge w:val="restart"/>
                  <w:tcBorders>
                    <w:tl2br w:val="nil"/>
                    <w:tr2bl w:val="nil"/>
                  </w:tcBorders>
                  <w:noWrap w:val="0"/>
                  <w:vAlign w:val="center"/>
                </w:tcPr>
                <w:p w14:paraId="4697BAD6">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r>
                    <w:rPr>
                      <w:rStyle w:val="34"/>
                      <w:rFonts w:hint="eastAsia" w:ascii="Times New Roman" w:hAnsi="Times New Roman" w:eastAsia="宋体" w:cs="Times New Roman"/>
                      <w:color w:val="auto"/>
                      <w:kern w:val="2"/>
                      <w:sz w:val="18"/>
                      <w:szCs w:val="18"/>
                      <w:highlight w:val="none"/>
                      <w:lang w:val="en-US" w:eastAsia="zh-CN" w:bidi="ar-SA"/>
                    </w:rPr>
                    <w:t>泸定县一般管控单元</w:t>
                  </w:r>
                </w:p>
                <w:p w14:paraId="459871B4">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6584" w:type="dxa"/>
                  <w:vMerge w:val="restart"/>
                  <w:tcBorders>
                    <w:tl2br w:val="nil"/>
                    <w:tr2bl w:val="nil"/>
                  </w:tcBorders>
                  <w:noWrap w:val="0"/>
                  <w:vAlign w:val="top"/>
                </w:tcPr>
                <w:p w14:paraId="1A72F72E">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b/>
                      <w:bCs/>
                      <w:color w:val="auto"/>
                      <w:sz w:val="18"/>
                      <w:szCs w:val="18"/>
                      <w:highlight w:val="none"/>
                      <w:lang w:val="en-US" w:eastAsia="zh-CN" w:bidi="ar-SA"/>
                    </w:rPr>
                    <w:t>空间布局约束</w:t>
                  </w:r>
                  <w:r>
                    <w:rPr>
                      <w:rFonts w:hint="eastAsia" w:ascii="Times New Roman" w:hAnsi="Times New Roman" w:eastAsia="宋体" w:cs="Times New Roman"/>
                      <w:color w:val="auto"/>
                      <w:sz w:val="18"/>
                      <w:szCs w:val="18"/>
                      <w:highlight w:val="none"/>
                      <w:lang w:val="en-US" w:eastAsia="zh-CN" w:bidi="ar-SA"/>
                    </w:rPr>
                    <w:t>：</w:t>
                  </w:r>
                </w:p>
                <w:p w14:paraId="049A8D67">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禁止开发建设活动的要求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4D12AF4E">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限制开发建设活动的要求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4ADEE6B8">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不符合空间布局要求活动的退出要求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00772CDA">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其他空间布局约束要求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5F0C227B">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b/>
                      <w:bCs/>
                      <w:color w:val="auto"/>
                      <w:sz w:val="18"/>
                      <w:szCs w:val="18"/>
                      <w:highlight w:val="none"/>
                      <w:lang w:val="en-US" w:eastAsia="zh-CN" w:bidi="ar-SA"/>
                    </w:rPr>
                    <w:t>污染物排放管控</w:t>
                  </w:r>
                  <w:r>
                    <w:rPr>
                      <w:rFonts w:hint="eastAsia" w:ascii="Times New Roman" w:hAnsi="Times New Roman" w:eastAsia="宋体" w:cs="Times New Roman"/>
                      <w:color w:val="auto"/>
                      <w:sz w:val="18"/>
                      <w:szCs w:val="18"/>
                      <w:highlight w:val="none"/>
                      <w:lang w:val="en-US" w:eastAsia="zh-CN" w:bidi="ar-SA"/>
                    </w:rPr>
                    <w:t>：</w:t>
                  </w:r>
                </w:p>
                <w:p w14:paraId="02A81FDC">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允许排放量要求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017C0577">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现有源提标升级改造</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6CDBB6CE">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其他污染物排放管控要求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239591F7">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b/>
                      <w:bCs/>
                      <w:color w:val="auto"/>
                      <w:sz w:val="18"/>
                      <w:szCs w:val="18"/>
                      <w:highlight w:val="none"/>
                      <w:lang w:val="en-US" w:eastAsia="zh-CN" w:bidi="ar-SA"/>
                    </w:rPr>
                    <w:t>环境风险防控</w:t>
                  </w:r>
                  <w:r>
                    <w:rPr>
                      <w:rFonts w:hint="eastAsia" w:ascii="Times New Roman" w:hAnsi="Times New Roman" w:eastAsia="宋体" w:cs="Times New Roman"/>
                      <w:color w:val="auto"/>
                      <w:sz w:val="18"/>
                      <w:szCs w:val="18"/>
                      <w:highlight w:val="none"/>
                      <w:lang w:val="en-US" w:eastAsia="zh-CN" w:bidi="ar-SA"/>
                    </w:rPr>
                    <w:t>：</w:t>
                  </w:r>
                </w:p>
                <w:p w14:paraId="2379DA82">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联防联控要求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7AF8489E">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其他环境风险防控要求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221AB27D">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资源开发利用效率要求：</w:t>
                  </w:r>
                </w:p>
                <w:p w14:paraId="0F9FB8C1">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水资源利用总量要求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6550B74E">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地下水开采要求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574E2CC9">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能源利用总量及效率要求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1298D06A">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b/>
                      <w:bCs/>
                      <w:color w:val="auto"/>
                      <w:sz w:val="18"/>
                      <w:szCs w:val="18"/>
                      <w:highlight w:val="none"/>
                      <w:lang w:val="en-US" w:eastAsia="zh-CN" w:bidi="ar-SA"/>
                    </w:rPr>
                    <w:t>禁燃区要求</w:t>
                  </w:r>
                  <w:r>
                    <w:rPr>
                      <w:rFonts w:hint="eastAsia" w:cs="Times New Roman"/>
                      <w:b/>
                      <w:bCs/>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6023172F">
                  <w:pPr>
                    <w:pStyle w:val="132"/>
                    <w:spacing w:line="240" w:lineRule="auto"/>
                    <w:ind w:firstLine="0" w:firstLineChars="0"/>
                    <w:jc w:val="both"/>
                    <w:rPr>
                      <w:rFonts w:hint="eastAsia" w:ascii="Times New Roman" w:hAnsi="Times New Roman" w:eastAsia="宋体" w:cs="Times New Roman"/>
                      <w:color w:val="auto"/>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bidi="ar-SA"/>
                    </w:rPr>
                    <w:t>其他资源利用效率要求</w:t>
                  </w:r>
                  <w:r>
                    <w:rPr>
                      <w:rFonts w:hint="eastAsia" w:cs="Times New Roman"/>
                      <w:color w:val="auto"/>
                      <w:sz w:val="18"/>
                      <w:szCs w:val="18"/>
                      <w:highlight w:val="none"/>
                      <w:lang w:val="en-US" w:eastAsia="zh-CN" w:bidi="ar-SA"/>
                    </w:rPr>
                    <w:t>：</w:t>
                  </w:r>
                  <w:r>
                    <w:rPr>
                      <w:rFonts w:hint="eastAsia" w:ascii="Times New Roman" w:hAnsi="Times New Roman" w:eastAsia="宋体" w:cs="Times New Roman"/>
                      <w:color w:val="auto"/>
                      <w:sz w:val="18"/>
                      <w:szCs w:val="18"/>
                      <w:highlight w:val="none"/>
                      <w:lang w:val="en-US" w:eastAsia="zh-CN" w:bidi="ar-SA"/>
                    </w:rPr>
                    <w:t>暂无</w:t>
                  </w:r>
                </w:p>
                <w:p w14:paraId="305B5FBB">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7738BE67">
                  <w:pPr>
                    <w:pStyle w:val="132"/>
                    <w:spacing w:line="240" w:lineRule="auto"/>
                    <w:ind w:firstLine="0" w:firstLineChars="0"/>
                    <w:jc w:val="both"/>
                    <w:rPr>
                      <w:rFonts w:hint="eastAsia" w:cs="Times New Roman"/>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空间布局约束</w:t>
                  </w:r>
                  <w:r>
                    <w:rPr>
                      <w:rFonts w:hint="eastAsia" w:cs="Times New Roman"/>
                      <w:color w:val="auto"/>
                      <w:sz w:val="18"/>
                      <w:szCs w:val="18"/>
                      <w:highlight w:val="none"/>
                      <w:lang w:val="en-US" w:eastAsia="zh-CN" w:bidi="ar-SA"/>
                    </w:rPr>
                    <w:t>：</w:t>
                  </w:r>
                </w:p>
                <w:p w14:paraId="0CD8A1BC">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b/>
                      <w:bCs/>
                      <w:color w:val="auto"/>
                      <w:sz w:val="18"/>
                      <w:szCs w:val="18"/>
                      <w:highlight w:val="none"/>
                      <w:lang w:val="en-US" w:eastAsia="zh-CN" w:bidi="ar-SA"/>
                    </w:rPr>
                    <w:t>禁止开发建设活动的要求</w:t>
                  </w:r>
                  <w:r>
                    <w:rPr>
                      <w:rFonts w:hint="eastAsia" w:cs="Times New Roman"/>
                      <w:color w:val="auto"/>
                      <w:sz w:val="18"/>
                      <w:szCs w:val="18"/>
                      <w:highlight w:val="none"/>
                      <w:lang w:val="en-US" w:eastAsia="zh-CN" w:bidi="ar-SA"/>
                    </w:rPr>
                    <w:t>：</w:t>
                  </w:r>
                  <w:r>
                    <w:rPr>
                      <w:rFonts w:hint="default" w:cs="Times New Roman"/>
                      <w:color w:val="auto"/>
                      <w:sz w:val="18"/>
                      <w:szCs w:val="18"/>
                      <w:highlight w:val="none"/>
                      <w:lang w:val="en-US" w:eastAsia="zh-CN" w:bidi="ar-SA"/>
                    </w:rPr>
                    <w:t>不再新建、改扩建开采规模在50万吨/年以下的磷矿，不再新建露天磷矿</w:t>
                  </w:r>
                </w:p>
              </w:tc>
              <w:tc>
                <w:tcPr>
                  <w:tcW w:w="1707" w:type="dxa"/>
                  <w:tcBorders>
                    <w:tl2br w:val="nil"/>
                    <w:tr2bl w:val="nil"/>
                  </w:tcBorders>
                  <w:noWrap w:val="0"/>
                  <w:vAlign w:val="center"/>
                </w:tcPr>
                <w:p w14:paraId="0344C266">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r>
                    <w:rPr>
                      <w:rFonts w:hint="default" w:ascii="Times New Roman" w:hAnsi="Times New Roman" w:eastAsia="宋体" w:cs="Times New Roman"/>
                      <w:color w:val="auto"/>
                      <w:sz w:val="18"/>
                      <w:szCs w:val="18"/>
                      <w:highlight w:val="none"/>
                      <w:lang w:val="en-US" w:eastAsia="zh-CN" w:bidi="ar-SA"/>
                    </w:rPr>
                    <w:t>；</w:t>
                  </w:r>
                  <w:r>
                    <w:rPr>
                      <w:rFonts w:hint="eastAsia" w:cs="Times New Roman"/>
                      <w:color w:val="auto"/>
                      <w:sz w:val="18"/>
                      <w:szCs w:val="18"/>
                      <w:highlight w:val="none"/>
                      <w:lang w:val="en-US" w:eastAsia="zh-CN" w:bidi="ar-SA"/>
                    </w:rPr>
                    <w:t>不属于采矿项目。</w:t>
                  </w:r>
                </w:p>
              </w:tc>
              <w:tc>
                <w:tcPr>
                  <w:tcW w:w="495" w:type="dxa"/>
                  <w:tcBorders>
                    <w:tl2br w:val="nil"/>
                    <w:tr2bl w:val="nil"/>
                  </w:tcBorders>
                  <w:noWrap w:val="0"/>
                  <w:vAlign w:val="center"/>
                </w:tcPr>
                <w:p w14:paraId="16EA8774">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符合</w:t>
                  </w:r>
                </w:p>
              </w:tc>
            </w:tr>
            <w:tr w14:paraId="7577E5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continue"/>
                  <w:tcBorders>
                    <w:tl2br w:val="nil"/>
                    <w:tr2bl w:val="nil"/>
                  </w:tcBorders>
                  <w:noWrap w:val="0"/>
                  <w:vAlign w:val="center"/>
                </w:tcPr>
                <w:p w14:paraId="134A0853">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5D45E7E9">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77A479C1">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5FF6C79F">
                  <w:pPr>
                    <w:pStyle w:val="132"/>
                    <w:spacing w:line="240" w:lineRule="auto"/>
                    <w:ind w:firstLine="0" w:firstLineChars="0"/>
                    <w:jc w:val="both"/>
                    <w:rPr>
                      <w:rFonts w:hint="eastAsia" w:cs="Times New Roman"/>
                      <w:color w:val="auto"/>
                      <w:sz w:val="18"/>
                      <w:szCs w:val="18"/>
                      <w:highlight w:val="none"/>
                      <w:lang w:val="en-US" w:eastAsia="zh-CN" w:bidi="ar-SA"/>
                    </w:rPr>
                  </w:pPr>
                  <w:r>
                    <w:rPr>
                      <w:rFonts w:hint="default" w:cs="Times New Roman"/>
                      <w:b/>
                      <w:bCs/>
                      <w:color w:val="auto"/>
                      <w:sz w:val="18"/>
                      <w:szCs w:val="18"/>
                      <w:highlight w:val="none"/>
                      <w:lang w:val="en-US" w:eastAsia="zh-CN" w:bidi="ar-SA"/>
                    </w:rPr>
                    <w:t>污染物排放管控</w:t>
                  </w:r>
                  <w:r>
                    <w:rPr>
                      <w:rFonts w:hint="eastAsia" w:cs="Times New Roman"/>
                      <w:color w:val="auto"/>
                      <w:sz w:val="18"/>
                      <w:szCs w:val="18"/>
                      <w:highlight w:val="none"/>
                      <w:lang w:val="en-US" w:eastAsia="zh-CN" w:bidi="ar-SA"/>
                    </w:rPr>
                    <w:t>：</w:t>
                  </w:r>
                </w:p>
                <w:p w14:paraId="0EFFE408">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b/>
                      <w:bCs/>
                      <w:color w:val="auto"/>
                      <w:sz w:val="18"/>
                      <w:szCs w:val="18"/>
                      <w:highlight w:val="none"/>
                      <w:lang w:val="en-US" w:eastAsia="zh-CN" w:bidi="ar-SA"/>
                    </w:rPr>
                    <w:t>城镇污水污染控制措施要求</w:t>
                  </w:r>
                  <w:r>
                    <w:rPr>
                      <w:rFonts w:hint="eastAsia" w:cs="Times New Roman"/>
                      <w:color w:val="auto"/>
                      <w:sz w:val="18"/>
                      <w:szCs w:val="18"/>
                      <w:highlight w:val="none"/>
                      <w:lang w:val="en-US" w:eastAsia="zh-CN" w:bidi="ar-SA"/>
                    </w:rPr>
                    <w:t>：</w:t>
                  </w:r>
                </w:p>
                <w:p w14:paraId="2BDD0424">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color w:val="auto"/>
                      <w:sz w:val="18"/>
                      <w:szCs w:val="18"/>
                      <w:highlight w:val="none"/>
                      <w:lang w:val="en-US" w:eastAsia="zh-CN" w:bidi="ar-SA"/>
                    </w:rPr>
                    <w:t>1、持续推进环保基础设施补短板，完善污水收集处理系统。2、保障乡镇污水收集处理设施顺畅运行。3、推进污水直排口排查与整治，落实“一口一策”整改措施。</w:t>
                  </w:r>
                </w:p>
                <w:p w14:paraId="37846912">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b/>
                      <w:bCs/>
                      <w:color w:val="auto"/>
                      <w:sz w:val="18"/>
                      <w:szCs w:val="18"/>
                      <w:highlight w:val="none"/>
                      <w:lang w:val="en-US" w:eastAsia="zh-CN" w:bidi="ar-SA"/>
                    </w:rPr>
                    <w:t>工业废水污染控制措施要求</w:t>
                  </w:r>
                  <w:r>
                    <w:rPr>
                      <w:rFonts w:hint="eastAsia" w:cs="Times New Roman"/>
                      <w:color w:val="auto"/>
                      <w:sz w:val="18"/>
                      <w:szCs w:val="18"/>
                      <w:highlight w:val="none"/>
                      <w:lang w:val="en-US" w:eastAsia="zh-CN" w:bidi="ar-SA"/>
                    </w:rPr>
                    <w:t>：</w:t>
                  </w:r>
                </w:p>
                <w:p w14:paraId="29B1F7B7">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color w:val="auto"/>
                      <w:sz w:val="18"/>
                      <w:szCs w:val="18"/>
                      <w:highlight w:val="none"/>
                      <w:lang w:val="en-US" w:eastAsia="zh-CN" w:bidi="ar-SA"/>
                    </w:rPr>
                    <w:t>1、落实主要污染物排放总量指标控制要求，加强入河排污口登记、审批和监督管理。2、强化流域内工业点源、规模化畜禽养殖场运行监管，避免偷排、漏排。</w:t>
                  </w:r>
                </w:p>
                <w:p w14:paraId="371E726A">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b/>
                      <w:bCs/>
                      <w:color w:val="auto"/>
                      <w:sz w:val="18"/>
                      <w:szCs w:val="18"/>
                      <w:highlight w:val="none"/>
                      <w:lang w:val="en-US" w:eastAsia="zh-CN" w:bidi="ar-SA"/>
                    </w:rPr>
                    <w:t>农业面源水污染控制措施要求</w:t>
                  </w:r>
                  <w:r>
                    <w:rPr>
                      <w:rFonts w:hint="eastAsia" w:cs="Times New Roman"/>
                      <w:color w:val="auto"/>
                      <w:sz w:val="18"/>
                      <w:szCs w:val="18"/>
                      <w:highlight w:val="none"/>
                      <w:lang w:val="en-US" w:eastAsia="zh-CN" w:bidi="ar-SA"/>
                    </w:rPr>
                    <w:t>：</w:t>
                  </w:r>
                </w:p>
                <w:p w14:paraId="3E76705C">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color w:val="auto"/>
                      <w:sz w:val="18"/>
                      <w:szCs w:val="18"/>
                      <w:highlight w:val="none"/>
                      <w:lang w:val="en-US" w:eastAsia="zh-CN" w:bidi="ar-SA"/>
                    </w:rPr>
                    <w:t>1、推进农村污染治理，稳步农村污水处理设施建设，适当预留发展空间，宜集中则集中，宜分散则分散。大力推进农村生活垃圾就地分类减量 和资源化利用，因地制宜选择农村生活垃圾治理模式。严格做好“农家乐”、种植采摘园等范围内的生活及农产品产生污水及垃圾治理。2、以环境承载能力为约束，合理规划水产养殖空间及规模；推进水产生态健康养殖，加强渔业生产过程中抗菌药物使用管控。推进水产养殖治理，水产养殖废水应处理达到《四川省水产养殖业水污染物排放标准》后排放；实施池塘标准化改造，完善循环水和进排水处理设施；推进养殖尾水节水减排。3、以环境承载能力为约束，合理规划畜禽养殖空间及规模；推进畜禽粪污分类处置，根据排放去向或利用方式的不同执行相应的标准规范。不断提高畜禽养殖粪污资源化利用率及利用水平；设有污水排放口的规模化畜禽养殖场应当依法申领排污许可证。4、推进化肥、农药使用量“零增长”，逐步推进农田径流拦截及治理。</w:t>
                  </w:r>
                </w:p>
                <w:p w14:paraId="6A43F197">
                  <w:pPr>
                    <w:pStyle w:val="132"/>
                    <w:spacing w:line="240" w:lineRule="auto"/>
                    <w:ind w:firstLine="0" w:firstLineChars="0"/>
                    <w:jc w:val="both"/>
                    <w:rPr>
                      <w:rFonts w:hint="default" w:cs="Times New Roman"/>
                      <w:color w:val="auto"/>
                      <w:sz w:val="18"/>
                      <w:szCs w:val="18"/>
                      <w:highlight w:val="none"/>
                      <w:lang w:val="en-US" w:eastAsia="zh-CN" w:bidi="ar-SA"/>
                    </w:rPr>
                  </w:pPr>
                  <w:r>
                    <w:rPr>
                      <w:rFonts w:hint="default" w:cs="Times New Roman"/>
                      <w:color w:val="auto"/>
                      <w:sz w:val="18"/>
                      <w:szCs w:val="18"/>
                      <w:highlight w:val="none"/>
                      <w:lang w:val="en-US" w:eastAsia="zh-CN" w:bidi="ar-SA"/>
                    </w:rPr>
                    <w:t>船舶港口水污染控制措施要求</w:t>
                  </w:r>
                </w:p>
                <w:p w14:paraId="392CECCB">
                  <w:pPr>
                    <w:pStyle w:val="132"/>
                    <w:spacing w:line="240" w:lineRule="auto"/>
                    <w:ind w:firstLine="0" w:firstLineChars="0"/>
                    <w:jc w:val="both"/>
                    <w:rPr>
                      <w:rFonts w:hint="default" w:cs="Times New Roman"/>
                      <w:color w:val="auto"/>
                      <w:sz w:val="18"/>
                      <w:szCs w:val="18"/>
                      <w:highlight w:val="none"/>
                      <w:lang w:val="en-US" w:eastAsia="zh-CN" w:bidi="ar-SA"/>
                    </w:rPr>
                  </w:pPr>
                </w:p>
                <w:p w14:paraId="57FBA42A">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cs="Times New Roman"/>
                      <w:color w:val="auto"/>
                      <w:sz w:val="18"/>
                      <w:szCs w:val="18"/>
                      <w:highlight w:val="none"/>
                      <w:lang w:val="en-US" w:eastAsia="zh-CN" w:bidi="ar-SA"/>
                    </w:rPr>
                    <w:t>饮用水水源和其它特殊水体保护要求</w:t>
                  </w:r>
                </w:p>
              </w:tc>
              <w:tc>
                <w:tcPr>
                  <w:tcW w:w="1707" w:type="dxa"/>
                  <w:tcBorders>
                    <w:tl2br w:val="nil"/>
                    <w:tr2bl w:val="nil"/>
                  </w:tcBorders>
                  <w:noWrap w:val="0"/>
                  <w:vAlign w:val="center"/>
                </w:tcPr>
                <w:p w14:paraId="4A930044">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r>
                    <w:rPr>
                      <w:rFonts w:hint="default" w:ascii="Times New Roman" w:hAnsi="Times New Roman" w:eastAsia="宋体" w:cs="Times New Roman"/>
                      <w:color w:val="auto"/>
                      <w:sz w:val="18"/>
                      <w:szCs w:val="18"/>
                      <w:highlight w:val="none"/>
                      <w:lang w:val="en-US" w:eastAsia="zh-CN" w:bidi="ar-SA"/>
                    </w:rPr>
                    <w:t>；</w:t>
                  </w:r>
                  <w:r>
                    <w:rPr>
                      <w:rFonts w:hint="eastAsia" w:cs="Times New Roman"/>
                      <w:color w:val="auto"/>
                      <w:sz w:val="18"/>
                      <w:szCs w:val="18"/>
                      <w:highlight w:val="none"/>
                      <w:lang w:val="en-US" w:eastAsia="zh-CN" w:bidi="ar-SA"/>
                    </w:rPr>
                    <w:t>少量粪污送周边农户作为农家肥使用；废水经厂内预处理后由罐车运输至泸定县磨西镇生活污水处理设施处理，达标外排。</w:t>
                  </w:r>
                </w:p>
              </w:tc>
              <w:tc>
                <w:tcPr>
                  <w:tcW w:w="495" w:type="dxa"/>
                  <w:tcBorders>
                    <w:tl2br w:val="nil"/>
                    <w:tr2bl w:val="nil"/>
                  </w:tcBorders>
                  <w:noWrap w:val="0"/>
                  <w:vAlign w:val="center"/>
                </w:tcPr>
                <w:p w14:paraId="7A29CAD8">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符合</w:t>
                  </w:r>
                </w:p>
              </w:tc>
            </w:tr>
            <w:tr w14:paraId="6506E2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887" w:type="dxa"/>
                  <w:vMerge w:val="continue"/>
                  <w:tcBorders>
                    <w:tl2br w:val="nil"/>
                    <w:tr2bl w:val="nil"/>
                  </w:tcBorders>
                  <w:noWrap w:val="0"/>
                  <w:vAlign w:val="center"/>
                </w:tcPr>
                <w:p w14:paraId="09944061">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0F3AE26A">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3EF3C204">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582547D3">
                  <w:pPr>
                    <w:pStyle w:val="132"/>
                    <w:spacing w:line="240" w:lineRule="auto"/>
                    <w:ind w:firstLine="0" w:firstLineChars="0"/>
                    <w:jc w:val="both"/>
                    <w:rPr>
                      <w:rFonts w:hint="eastAsia" w:cs="Times New Roman"/>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环境风险防控</w:t>
                  </w:r>
                  <w:r>
                    <w:rPr>
                      <w:rFonts w:hint="eastAsia" w:cs="Times New Roman"/>
                      <w:color w:val="auto"/>
                      <w:sz w:val="18"/>
                      <w:szCs w:val="18"/>
                      <w:highlight w:val="none"/>
                      <w:lang w:val="en-US" w:eastAsia="zh-CN" w:bidi="ar-SA"/>
                    </w:rPr>
                    <w:t>：</w:t>
                  </w:r>
                </w:p>
                <w:p w14:paraId="28FF674A">
                  <w:pPr>
                    <w:pStyle w:val="132"/>
                    <w:spacing w:line="240" w:lineRule="auto"/>
                    <w:ind w:firstLine="0" w:firstLineChars="0"/>
                    <w:jc w:val="both"/>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进一步完善工业企业和矿山环境风险防范和管理体系建设，开展企业风险隐患排查与风险评估，增强企业的环境风险意识，守住环境安全底线。落实“一河一策一图”风险管理和应急响应方案，提升风险应急管理水平。</w:t>
                  </w:r>
                </w:p>
              </w:tc>
              <w:tc>
                <w:tcPr>
                  <w:tcW w:w="1707" w:type="dxa"/>
                  <w:tcBorders>
                    <w:tl2br w:val="nil"/>
                    <w:tr2bl w:val="nil"/>
                  </w:tcBorders>
                  <w:noWrap w:val="0"/>
                  <w:vAlign w:val="center"/>
                </w:tcPr>
                <w:p w14:paraId="2D6E4F20">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r>
                    <w:rPr>
                      <w:rFonts w:hint="default" w:ascii="Times New Roman" w:hAnsi="Times New Roman" w:eastAsia="宋体" w:cs="Times New Roman"/>
                      <w:color w:val="auto"/>
                      <w:sz w:val="18"/>
                      <w:szCs w:val="18"/>
                      <w:highlight w:val="none"/>
                      <w:lang w:val="en-US" w:eastAsia="zh-CN" w:bidi="ar-SA"/>
                    </w:rPr>
                    <w:t>；</w:t>
                  </w:r>
                  <w:r>
                    <w:rPr>
                      <w:rFonts w:hint="eastAsia" w:cs="Times New Roman"/>
                      <w:color w:val="auto"/>
                      <w:sz w:val="18"/>
                      <w:szCs w:val="18"/>
                      <w:highlight w:val="none"/>
                      <w:lang w:val="en-US" w:eastAsia="zh-CN" w:bidi="ar-SA"/>
                    </w:rPr>
                    <w:t>未临河建设，与河流尚有较大高差；设有事故应急池。</w:t>
                  </w:r>
                </w:p>
              </w:tc>
              <w:tc>
                <w:tcPr>
                  <w:tcW w:w="495" w:type="dxa"/>
                  <w:tcBorders>
                    <w:tl2br w:val="nil"/>
                    <w:tr2bl w:val="nil"/>
                  </w:tcBorders>
                  <w:noWrap w:val="0"/>
                  <w:vAlign w:val="center"/>
                </w:tcPr>
                <w:p w14:paraId="353C9C1B">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r>
            <w:tr w14:paraId="199FD4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continue"/>
                  <w:tcBorders>
                    <w:tl2br w:val="nil"/>
                    <w:tr2bl w:val="nil"/>
                  </w:tcBorders>
                  <w:noWrap w:val="0"/>
                  <w:vAlign w:val="center"/>
                </w:tcPr>
                <w:p w14:paraId="25F80166">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0873ABD8">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4FDE63EA">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6AF9A46B">
                  <w:pPr>
                    <w:pStyle w:val="132"/>
                    <w:spacing w:line="240" w:lineRule="auto"/>
                    <w:ind w:firstLine="0" w:firstLineChars="0"/>
                    <w:jc w:val="both"/>
                    <w:rPr>
                      <w:rFonts w:hint="eastAsia" w:cs="Times New Roman"/>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资源开发效率要求</w:t>
                  </w:r>
                  <w:r>
                    <w:rPr>
                      <w:rFonts w:hint="eastAsia" w:cs="Times New Roman"/>
                      <w:color w:val="auto"/>
                      <w:sz w:val="18"/>
                      <w:szCs w:val="18"/>
                      <w:highlight w:val="none"/>
                      <w:lang w:val="en-US" w:eastAsia="zh-CN" w:bidi="ar-SA"/>
                    </w:rPr>
                    <w:t>：</w:t>
                  </w:r>
                </w:p>
                <w:p w14:paraId="18A5098C">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强化种植业节水；推进农村污水分质资源化利用。</w:t>
                  </w:r>
                </w:p>
              </w:tc>
              <w:tc>
                <w:tcPr>
                  <w:tcW w:w="1707" w:type="dxa"/>
                  <w:tcBorders>
                    <w:tl2br w:val="nil"/>
                    <w:tr2bl w:val="nil"/>
                  </w:tcBorders>
                  <w:noWrap w:val="0"/>
                  <w:vAlign w:val="center"/>
                </w:tcPr>
                <w:p w14:paraId="21468506">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p>
              </w:tc>
              <w:tc>
                <w:tcPr>
                  <w:tcW w:w="495" w:type="dxa"/>
                  <w:tcBorders>
                    <w:tl2br w:val="nil"/>
                    <w:tr2bl w:val="nil"/>
                  </w:tcBorders>
                  <w:noWrap w:val="0"/>
                  <w:vAlign w:val="center"/>
                </w:tcPr>
                <w:p w14:paraId="07D0BDBA">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符合</w:t>
                  </w:r>
                </w:p>
              </w:tc>
            </w:tr>
            <w:tr w14:paraId="23908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restart"/>
                  <w:tcBorders>
                    <w:tl2br w:val="nil"/>
                    <w:tr2bl w:val="nil"/>
                  </w:tcBorders>
                  <w:noWrap w:val="0"/>
                  <w:vAlign w:val="center"/>
                </w:tcPr>
                <w:p w14:paraId="2BF7414F">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r>
                    <w:rPr>
                      <w:rStyle w:val="34"/>
                      <w:rFonts w:hint="eastAsia" w:ascii="Times New Roman" w:hAnsi="Times New Roman" w:eastAsia="宋体" w:cs="Times New Roman"/>
                      <w:color w:val="auto"/>
                      <w:kern w:val="2"/>
                      <w:sz w:val="18"/>
                      <w:szCs w:val="18"/>
                      <w:highlight w:val="none"/>
                      <w:lang w:val="en-US" w:eastAsia="zh-CN" w:bidi="ar-SA"/>
                    </w:rPr>
                    <w:t>YS5133243310001</w:t>
                  </w:r>
                </w:p>
              </w:tc>
              <w:tc>
                <w:tcPr>
                  <w:tcW w:w="698" w:type="dxa"/>
                  <w:vMerge w:val="restart"/>
                  <w:tcBorders>
                    <w:tl2br w:val="nil"/>
                    <w:tr2bl w:val="nil"/>
                  </w:tcBorders>
                  <w:noWrap w:val="0"/>
                  <w:vAlign w:val="center"/>
                </w:tcPr>
                <w:p w14:paraId="7278328C">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r>
                    <w:rPr>
                      <w:rStyle w:val="34"/>
                      <w:rFonts w:hint="eastAsia" w:ascii="Times New Roman" w:hAnsi="Times New Roman" w:eastAsia="宋体" w:cs="Times New Roman"/>
                      <w:color w:val="auto"/>
                      <w:kern w:val="2"/>
                      <w:sz w:val="18"/>
                      <w:szCs w:val="18"/>
                      <w:highlight w:val="none"/>
                      <w:lang w:val="en-US" w:eastAsia="zh-CN" w:bidi="ar-SA"/>
                    </w:rPr>
                    <w:t>九龙县大气环境一般管控区</w:t>
                  </w:r>
                </w:p>
              </w:tc>
              <w:tc>
                <w:tcPr>
                  <w:tcW w:w="6584" w:type="dxa"/>
                  <w:vMerge w:val="restart"/>
                  <w:tcBorders>
                    <w:tl2br w:val="nil"/>
                    <w:tr2bl w:val="nil"/>
                  </w:tcBorders>
                  <w:noWrap w:val="0"/>
                  <w:vAlign w:val="top"/>
                </w:tcPr>
                <w:p w14:paraId="4A1D3B25">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c>
                <w:tcPr>
                  <w:tcW w:w="2253" w:type="dxa"/>
                  <w:tcBorders>
                    <w:tl2br w:val="nil"/>
                    <w:tr2bl w:val="nil"/>
                  </w:tcBorders>
                  <w:noWrap w:val="0"/>
                  <w:vAlign w:val="center"/>
                </w:tcPr>
                <w:p w14:paraId="45264B82">
                  <w:pPr>
                    <w:pStyle w:val="132"/>
                    <w:spacing w:line="240" w:lineRule="auto"/>
                    <w:ind w:firstLine="0" w:firstLineChars="0"/>
                    <w:jc w:val="both"/>
                    <w:rPr>
                      <w:rStyle w:val="34"/>
                      <w:rFonts w:hint="default"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空间布局约束</w:t>
                  </w:r>
                  <w:r>
                    <w:rPr>
                      <w:rStyle w:val="34"/>
                      <w:rFonts w:hint="eastAsia" w:ascii="宋体" w:hAnsi="宋体" w:eastAsia="宋体" w:cs="Times New Roman"/>
                      <w:color w:val="auto"/>
                      <w:kern w:val="2"/>
                      <w:sz w:val="18"/>
                      <w:szCs w:val="18"/>
                      <w:highlight w:val="none"/>
                      <w:lang w:val="en-US" w:eastAsia="zh-CN" w:bidi="ar-SA"/>
                    </w:rPr>
                    <w:t>:无</w:t>
                  </w:r>
                </w:p>
              </w:tc>
              <w:tc>
                <w:tcPr>
                  <w:tcW w:w="1707" w:type="dxa"/>
                  <w:tcBorders>
                    <w:tl2br w:val="nil"/>
                    <w:tr2bl w:val="nil"/>
                  </w:tcBorders>
                  <w:noWrap w:val="0"/>
                  <w:vAlign w:val="center"/>
                </w:tcPr>
                <w:p w14:paraId="18265EBC">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c>
                <w:tcPr>
                  <w:tcW w:w="495" w:type="dxa"/>
                  <w:tcBorders>
                    <w:tl2br w:val="nil"/>
                    <w:tr2bl w:val="nil"/>
                  </w:tcBorders>
                  <w:noWrap w:val="0"/>
                  <w:vAlign w:val="center"/>
                </w:tcPr>
                <w:p w14:paraId="65636B30">
                  <w:pPr>
                    <w:pStyle w:val="132"/>
                    <w:spacing w:line="240" w:lineRule="auto"/>
                    <w:ind w:firstLine="0" w:firstLineChars="0"/>
                    <w:jc w:val="both"/>
                    <w:rPr>
                      <w:rFonts w:hint="eastAsia"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r>
            <w:tr w14:paraId="734700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continue"/>
                  <w:tcBorders>
                    <w:tl2br w:val="nil"/>
                    <w:tr2bl w:val="nil"/>
                  </w:tcBorders>
                  <w:noWrap w:val="0"/>
                  <w:vAlign w:val="center"/>
                </w:tcPr>
                <w:p w14:paraId="1EACE357">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289C9363">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138BAD1D">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6E0BA2F8">
                  <w:pPr>
                    <w:pStyle w:val="91"/>
                    <w:widowControl/>
                    <w:shd w:val="clear" w:color="auto" w:fill="FFFFFF"/>
                    <w:spacing w:line="240" w:lineRule="auto"/>
                    <w:ind w:firstLine="0" w:firstLineChars="0"/>
                    <w:jc w:val="left"/>
                    <w:rPr>
                      <w:rStyle w:val="34"/>
                      <w:rFonts w:ascii="宋体" w:hAnsi="宋体" w:eastAsia="宋体" w:cs="Times New Roman"/>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污染物排放管控</w:t>
                  </w:r>
                  <w:r>
                    <w:rPr>
                      <w:rFonts w:hint="eastAsia" w:cs="Times New Roman"/>
                      <w:color w:val="auto"/>
                      <w:sz w:val="18"/>
                      <w:szCs w:val="18"/>
                      <w:highlight w:val="none"/>
                      <w:lang w:val="en-US" w:eastAsia="zh-CN" w:bidi="ar-SA"/>
                    </w:rPr>
                    <w:t>：</w:t>
                  </w:r>
                  <w:r>
                    <w:rPr>
                      <w:rFonts w:hint="eastAsia" w:cs="Times New Roman"/>
                      <w:color w:val="auto"/>
                      <w:sz w:val="18"/>
                      <w:szCs w:val="18"/>
                      <w:highlight w:val="none"/>
                      <w:lang w:val="en-US" w:eastAsia="zh-CN" w:bidi="ar-SA"/>
                    </w:rPr>
                    <w:br w:type="textWrapping"/>
                  </w:r>
                  <w:r>
                    <w:rPr>
                      <w:rStyle w:val="34"/>
                      <w:rFonts w:hint="eastAsia" w:ascii="宋体" w:hAnsi="宋体" w:eastAsia="宋体" w:cs="Times New Roman"/>
                      <w:b/>
                      <w:bCs/>
                      <w:color w:val="auto"/>
                      <w:kern w:val="2"/>
                      <w:sz w:val="18"/>
                      <w:szCs w:val="18"/>
                      <w:highlight w:val="none"/>
                      <w:lang w:val="en-US" w:eastAsia="zh-CN" w:bidi="ar-SA"/>
                    </w:rPr>
                    <w:t>大气环境质量执行标准</w:t>
                  </w:r>
                  <w:r>
                    <w:rPr>
                      <w:rStyle w:val="34"/>
                      <w:rFonts w:hint="eastAsia" w:ascii="宋体" w:hAnsi="宋体" w:eastAsia="宋体" w:cs="Times New Roman"/>
                      <w:color w:val="auto"/>
                      <w:kern w:val="2"/>
                      <w:sz w:val="18"/>
                      <w:szCs w:val="18"/>
                      <w:highlight w:val="none"/>
                      <w:lang w:val="en-US" w:eastAsia="zh-CN" w:bidi="ar-SA"/>
                    </w:rPr>
                    <w:t>：</w:t>
                  </w:r>
                </w:p>
                <w:p w14:paraId="25ADCBE7">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《环境空气质量标准》（GB3095-2012）：二级</w:t>
                  </w:r>
                </w:p>
                <w:p w14:paraId="3D5FE861">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其他大气污染物排放管控要求</w:t>
                  </w:r>
                  <w:r>
                    <w:rPr>
                      <w:rStyle w:val="34"/>
                      <w:rFonts w:hint="eastAsia" w:ascii="宋体" w:hAnsi="宋体" w:eastAsia="宋体" w:cs="Times New Roman"/>
                      <w:color w:val="auto"/>
                      <w:kern w:val="2"/>
                      <w:sz w:val="18"/>
                      <w:szCs w:val="18"/>
                      <w:highlight w:val="none"/>
                      <w:lang w:val="en-US" w:eastAsia="zh-CN" w:bidi="ar-SA"/>
                    </w:rPr>
                    <w:t>：</w:t>
                  </w:r>
                </w:p>
                <w:p w14:paraId="3322E93A">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减少工业化、城镇化对大气环境的影响，严格执行国家、省、市下达的相关大气污染防治要求。</w:t>
                  </w:r>
                </w:p>
              </w:tc>
              <w:tc>
                <w:tcPr>
                  <w:tcW w:w="1707" w:type="dxa"/>
                  <w:tcBorders>
                    <w:tl2br w:val="nil"/>
                    <w:tr2bl w:val="nil"/>
                  </w:tcBorders>
                  <w:noWrap w:val="0"/>
                  <w:vAlign w:val="center"/>
                </w:tcPr>
                <w:p w14:paraId="2B16B268">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r>
                    <w:rPr>
                      <w:rFonts w:hint="eastAsia" w:ascii="Times New Roman" w:hAnsi="Times New Roman" w:cs="Times New Roman"/>
                      <w:color w:val="auto"/>
                      <w:sz w:val="18"/>
                      <w:szCs w:val="18"/>
                      <w:highlight w:val="none"/>
                      <w:lang w:val="en-US" w:eastAsia="zh-CN"/>
                    </w:rPr>
                    <w:t>；产生废气主要为恶臭，收集后经“碱液喷淋+活性炭吸附”处理后排放。</w:t>
                  </w:r>
                </w:p>
              </w:tc>
              <w:tc>
                <w:tcPr>
                  <w:tcW w:w="495" w:type="dxa"/>
                  <w:tcBorders>
                    <w:tl2br w:val="nil"/>
                    <w:tr2bl w:val="nil"/>
                  </w:tcBorders>
                  <w:noWrap w:val="0"/>
                  <w:vAlign w:val="center"/>
                </w:tcPr>
                <w:p w14:paraId="6B577423">
                  <w:pPr>
                    <w:pStyle w:val="132"/>
                    <w:spacing w:line="240" w:lineRule="auto"/>
                    <w:ind w:firstLine="0" w:firstLineChars="0"/>
                    <w:jc w:val="both"/>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符合</w:t>
                  </w:r>
                </w:p>
              </w:tc>
            </w:tr>
            <w:tr w14:paraId="39B3C8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continue"/>
                  <w:tcBorders>
                    <w:tl2br w:val="nil"/>
                    <w:tr2bl w:val="nil"/>
                  </w:tcBorders>
                  <w:noWrap w:val="0"/>
                  <w:vAlign w:val="center"/>
                </w:tcPr>
                <w:p w14:paraId="36780ECA">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49EB5B2C">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08AAA1AC">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24BF6A4B">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环境风险防控</w:t>
                  </w:r>
                  <w:r>
                    <w:rPr>
                      <w:rFonts w:hint="eastAsia" w:cs="Times New Roman"/>
                      <w:color w:val="auto"/>
                      <w:sz w:val="18"/>
                      <w:szCs w:val="18"/>
                      <w:highlight w:val="none"/>
                      <w:lang w:val="en-US" w:eastAsia="zh-CN" w:bidi="ar-SA"/>
                    </w:rPr>
                    <w:t>：无</w:t>
                  </w:r>
                </w:p>
              </w:tc>
              <w:tc>
                <w:tcPr>
                  <w:tcW w:w="1707" w:type="dxa"/>
                  <w:tcBorders>
                    <w:tl2br w:val="nil"/>
                    <w:tr2bl w:val="nil"/>
                  </w:tcBorders>
                  <w:noWrap w:val="0"/>
                  <w:vAlign w:val="center"/>
                </w:tcPr>
                <w:p w14:paraId="16C1965B">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c>
                <w:tcPr>
                  <w:tcW w:w="495" w:type="dxa"/>
                  <w:tcBorders>
                    <w:tl2br w:val="nil"/>
                    <w:tr2bl w:val="nil"/>
                  </w:tcBorders>
                  <w:noWrap w:val="0"/>
                  <w:vAlign w:val="center"/>
                </w:tcPr>
                <w:p w14:paraId="6E79FFDA">
                  <w:pPr>
                    <w:pStyle w:val="132"/>
                    <w:spacing w:line="240" w:lineRule="auto"/>
                    <w:ind w:firstLine="0" w:firstLineChars="0"/>
                    <w:jc w:val="both"/>
                    <w:rPr>
                      <w:rFonts w:hint="eastAsia"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r>
            <w:tr w14:paraId="0737F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887" w:type="dxa"/>
                  <w:vMerge w:val="continue"/>
                  <w:tcBorders>
                    <w:tl2br w:val="nil"/>
                    <w:tr2bl w:val="nil"/>
                  </w:tcBorders>
                  <w:noWrap w:val="0"/>
                  <w:vAlign w:val="center"/>
                </w:tcPr>
                <w:p w14:paraId="54A280B2">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7655AE77">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7D9FCFF9">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385AFCD0">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资源开发效率要求</w:t>
                  </w:r>
                  <w:r>
                    <w:rPr>
                      <w:rFonts w:hint="eastAsia" w:cs="Times New Roman"/>
                      <w:color w:val="auto"/>
                      <w:sz w:val="18"/>
                      <w:szCs w:val="18"/>
                      <w:highlight w:val="none"/>
                      <w:lang w:val="en-US" w:eastAsia="zh-CN" w:bidi="ar-SA"/>
                    </w:rPr>
                    <w:t>：无</w:t>
                  </w:r>
                </w:p>
              </w:tc>
              <w:tc>
                <w:tcPr>
                  <w:tcW w:w="1707" w:type="dxa"/>
                  <w:tcBorders>
                    <w:tl2br w:val="nil"/>
                    <w:tr2bl w:val="nil"/>
                  </w:tcBorders>
                  <w:noWrap w:val="0"/>
                  <w:vAlign w:val="center"/>
                </w:tcPr>
                <w:p w14:paraId="4BF390CF">
                  <w:pPr>
                    <w:pStyle w:val="132"/>
                    <w:spacing w:line="240" w:lineRule="auto"/>
                    <w:ind w:firstLine="0" w:firstLineChars="0"/>
                    <w:jc w:val="left"/>
                    <w:rPr>
                      <w:rFonts w:hint="default" w:ascii="Times New Roman" w:hAnsi="Times New Roman" w:eastAsia="宋体"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c>
                <w:tcPr>
                  <w:tcW w:w="495" w:type="dxa"/>
                  <w:tcBorders>
                    <w:tl2br w:val="nil"/>
                    <w:tr2bl w:val="nil"/>
                  </w:tcBorders>
                  <w:noWrap w:val="0"/>
                  <w:vAlign w:val="center"/>
                </w:tcPr>
                <w:p w14:paraId="3E506106">
                  <w:pPr>
                    <w:pStyle w:val="132"/>
                    <w:spacing w:line="240" w:lineRule="auto"/>
                    <w:ind w:firstLine="0" w:firstLineChars="0"/>
                    <w:jc w:val="both"/>
                    <w:rPr>
                      <w:rFonts w:hint="eastAsia"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r>
            <w:tr w14:paraId="50211C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87" w:type="dxa"/>
                  <w:vMerge w:val="restart"/>
                  <w:tcBorders>
                    <w:tl2br w:val="nil"/>
                    <w:tr2bl w:val="nil"/>
                  </w:tcBorders>
                  <w:noWrap w:val="0"/>
                  <w:vAlign w:val="center"/>
                </w:tcPr>
                <w:p w14:paraId="6B1C42DD">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r>
                    <w:rPr>
                      <w:rStyle w:val="34"/>
                      <w:rFonts w:hint="eastAsia" w:ascii="Times New Roman" w:hAnsi="Times New Roman" w:eastAsia="宋体" w:cs="Times New Roman"/>
                      <w:color w:val="auto"/>
                      <w:kern w:val="2"/>
                      <w:sz w:val="18"/>
                      <w:szCs w:val="18"/>
                      <w:highlight w:val="none"/>
                      <w:lang w:val="en-US" w:eastAsia="zh-CN" w:bidi="ar-SA"/>
                    </w:rPr>
                    <w:t>ZH51332430001</w:t>
                  </w:r>
                </w:p>
              </w:tc>
              <w:tc>
                <w:tcPr>
                  <w:tcW w:w="698" w:type="dxa"/>
                  <w:vMerge w:val="restart"/>
                  <w:tcBorders>
                    <w:tl2br w:val="nil"/>
                    <w:tr2bl w:val="nil"/>
                  </w:tcBorders>
                  <w:noWrap w:val="0"/>
                  <w:vAlign w:val="center"/>
                </w:tcPr>
                <w:p w14:paraId="4CBA887C">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r>
                    <w:rPr>
                      <w:rStyle w:val="34"/>
                      <w:rFonts w:hint="eastAsia" w:ascii="Times New Roman" w:hAnsi="Times New Roman" w:eastAsia="宋体" w:cs="Times New Roman"/>
                      <w:color w:val="auto"/>
                      <w:kern w:val="2"/>
                      <w:sz w:val="18"/>
                      <w:szCs w:val="18"/>
                      <w:highlight w:val="none"/>
                      <w:lang w:val="en-US" w:eastAsia="zh-CN" w:bidi="ar-SA"/>
                    </w:rPr>
                    <w:t>九龙县一般管控单元</w:t>
                  </w:r>
                </w:p>
              </w:tc>
              <w:tc>
                <w:tcPr>
                  <w:tcW w:w="6584" w:type="dxa"/>
                  <w:vMerge w:val="restart"/>
                  <w:tcBorders>
                    <w:tl2br w:val="nil"/>
                    <w:tr2bl w:val="nil"/>
                  </w:tcBorders>
                  <w:noWrap w:val="0"/>
                  <w:vAlign w:val="top"/>
                </w:tcPr>
                <w:p w14:paraId="569FC8DD">
                  <w:pPr>
                    <w:pStyle w:val="91"/>
                    <w:widowControl w:val="0"/>
                    <w:spacing w:line="360" w:lineRule="auto"/>
                    <w:ind w:firstLine="0" w:firstLineChars="0"/>
                    <w:jc w:val="both"/>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空间布局约束</w:t>
                  </w:r>
                  <w:r>
                    <w:rPr>
                      <w:rStyle w:val="34"/>
                      <w:rFonts w:hint="eastAsia" w:ascii="宋体" w:hAnsi="宋体" w:eastAsia="宋体" w:cs="宋体"/>
                      <w:color w:val="auto"/>
                      <w:kern w:val="0"/>
                      <w:sz w:val="18"/>
                      <w:szCs w:val="18"/>
                      <w:highlight w:val="none"/>
                      <w:lang w:val="en-US" w:eastAsia="zh-CN" w:bidi="ar-SA"/>
                    </w:rPr>
                    <w:t>：</w:t>
                  </w:r>
                </w:p>
                <w:p w14:paraId="6A8DBA87">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b/>
                      <w:bCs/>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禁止开发建设活动的要求：</w:t>
                  </w:r>
                </w:p>
                <w:p w14:paraId="5F128B59">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（1）禁止在长江干支流雅砻江、金沙江、大渡河岸线一公里范围内新建、扩建化工园区和化工项目。</w:t>
                  </w:r>
                </w:p>
                <w:p w14:paraId="5A4AEB4A">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（2）禁止在法律法规规定的禁采区内开采矿产；禁止非法采、选、冶严重污染环境的矿产资源。</w:t>
                  </w:r>
                </w:p>
                <w:p w14:paraId="71DBFD53">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 xml:space="preserve">（3）禁止在长江流域河湖管理范围内倾倒、填埋、堆放、弃置、处理固体废物。                         </w:t>
                  </w:r>
                </w:p>
                <w:p w14:paraId="41154951">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4）重点行业禁止开发建设活动的要求——矿产开发：①禁止在法律法规明确规定的禁采区内开采矿产；禁止非法采、选、冶严重污染环境的矿产资源。②禁止在长江干流岸线三公里范围内和雅砻江、金沙江、大渡河岸线一公里范围内新建尾矿库。禁止在长江干流岸线三公里范围内和重要支流岸线一公里范围内新建、改建、扩建尾矿库、冶炼渣库、磷石膏库，以提升安全、生态环境保护水平为目的的改建除外。</w:t>
                  </w:r>
                </w:p>
                <w:p w14:paraId="40AEA8DC">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清洁能源①风电项目风机基础、施工和检修道路、升压站、集电线路等，禁止占用天然乔木林地、一级国家级公益林地和二级国家级公益林中的有林地。②光伏电站的电池组件阵列禁止使用有林地、疏林地、未成林造林地、采伐迹地、火烧迹地，以及覆盖度高于50%的灌木林地。——农牧业①除国家重点工程建设项目外，任何单位、组织或个人不得擅自改变基本草原用途。②禁止向草原排放有毒、有害的废水、废气、废渣等。</w:t>
                  </w:r>
                </w:p>
                <w:p w14:paraId="1977272D">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（5）禁止在永久基本农田集中区域和其他需要特别保护的区域选址建设尾矿库、冶炼渣库、磷石膏库。</w:t>
                  </w:r>
                </w:p>
                <w:p w14:paraId="1C238C36">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（6）新建、扩建光伏发电项目，一律不得占用永久基本农田、基本草原。光伏电站、风力发电等项目不得在河道、湖泊、水库内建设。</w:t>
                  </w:r>
                </w:p>
                <w:p w14:paraId="31D77150">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（7）结合甘孜州主体功能区定位，严格按照《中华人民共和国青藏高原生态保护法》《中华人民共和国长江保护法》中禁止条款执行。</w:t>
                  </w:r>
                </w:p>
                <w:p w14:paraId="1B3E62C1">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（8）城镇开发边界外不得进行城镇集中建设，不得规划建设各类开发区和产业园区，不得规划城镇居住用地。</w:t>
                  </w:r>
                </w:p>
                <w:p w14:paraId="228372AB">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b/>
                      <w:bCs/>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限制开发建设活动的要求：</w:t>
                  </w:r>
                </w:p>
                <w:p w14:paraId="551CD5BC">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1.严控新增建设用地规模和非农建设占用耕地；坚持最严格的耕地保护制度，对全部耕地按限制开发的要求进行管理，对全部基本农田按禁止开发的要求进行管理。</w:t>
                  </w:r>
                </w:p>
                <w:p w14:paraId="1E50753E">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2.严格限制农用地转为建设用地，控制建设用地总量，对耕地实行特殊保护。</w:t>
                  </w:r>
                </w:p>
                <w:p w14:paraId="0F0E18B1">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3.一般管控单元中涉及的自然保护区、风景名胜区、森林公园、地质公园等法定保护地，严格按照国家及地方法律法规、管理办法等相关要求管控。配套旅游、基础设施等建设项目，在符合规划和相关保护要求的前提下，应实施生态避让、减缓影响及生态恢复措施。</w:t>
                  </w:r>
                </w:p>
                <w:p w14:paraId="55D87AD9">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4.重点行业限制开发建设活动的要求——矿产开发：①矿区必须满足国家、四川省和甘孜州矿产资源规划中开采区相应准入条件，开采规模和服务年限须符合各级矿产资源规划规定。②矿区企业严控新增建设用地规模和非农建设占用耕地。③大中型矿山须达到绿色矿山建设标准，引导小型矿山按照绿色矿山标准规范发展。④开展尾矿库土壤监测和定期评估；严把新（改、扩）建尾矿库立项、用地、环保、安全准入关；每年进行一次尾矿库安全风险评估；尽量降低尾矿库内水位，确保主要运行参数及排洪系统始终满足设计要求；严格落实“一库一策”安全风险管控要求。——旅游：①各类景区严格执行相应的风景名胜区规划开展建设和环保管理，主要旅游接待服务设施污水达标排放率达100%；生活垃圾无害化处理率达100%；风景区水体不得新建排污口；餐饮服务气体排放须采取油烟净化处理，满足《饮食业油烟排放标准》（GB18483-2001）相关要求，以贡嘎山国家级风景名胜区为例，在旅游峰值每年7-8月份，次峰值5-6、9-10月份时景区污水排放不得高于2025年4200床位标准。②甘孜新区位于泸定县燕子沟镇，是康泸新一体化三大核心之一，以文化旅游为主要发展方向。区域污水排放不得高于2025年城乡常住人口2万人、旅游总人数（含海螺沟）500万人次/年标准；2025年城镇生活垃圾无害化处理率80%，城镇污水集中处理率50%。——重大交通：①川藏铁路弃土（渣）场须符合水保、环保要求，不得影响建筑物安全。②涉及河道，应符合治导规划及防洪行洪的规定，不得在河道、湖泊管理范围内设置弃土（渣）场；不宜布设在流量较大的沟道，否则应进行防洪论证。③各类临时用地严格控制在用地范围内，禁止随意占压和破坏地貌、植被，完工后及时进行迹地清理、整治和植被恢复。④修建动物防护栅栏。⑤进行全封闭声屏障施工。——农牧业：①在不改变草原所有权性质、用途的基础上，草原承包经营权可以按照自愿、有偿原则依法流转。②草原植被盖度50%以下严重退化、海拔4500米以上生态脆弱的天然草原实行禁牧，最短时限2年。③草原植被盖度50%-70%中度退化、植被盖度70%-80%轻度退化的草场实行休牧，最短时限1年。④每亩年产草量干物质超过60公斤和植被盖度达到80%的草原实行划区轮牧。⑤在草原上从事矿藏开采、工程建设、经营性活动等占用草原的，须交纳草原植被恢复费。⑥征用或占用草原2年以上的，应对草原承包经营者给予补偿，人工草地按征占用前3年平均产值的4-10倍，天然草原按征占用前3年平均产值的8-15倍，围栏割草地按征占用前3年平均产值的10-15倍补偿。⑦临时占用草原补偿标准：修建工程便道、挖砂石、取泥土的，按所占用草原前3年平均产值的5-10倍补偿；开展经营性活动的，按所占用草原前3年平均产值的3-5倍补偿。</w:t>
                  </w:r>
                </w:p>
                <w:p w14:paraId="0410241E">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5.大气环境布局敏感重点管控区：（1）坚决遏制高耗能、高排放、低水平项目盲目发展，严格落实国家和四川省产业规划、产业政策、规划环评，以及产能置换、煤炭消费减量替代、区域污染物削减等要求，坚决叫停不符合要求的高耗能、高排放、低水平项目。（2）提升高耗能项目能耗准入标准，能耗、物耗要达到清洁生产先进水平。严禁新增钢铁、焦化、炼油、电解铝、水泥、平板玻璃（不含光伏玻璃）等产能。</w:t>
                  </w:r>
                </w:p>
                <w:p w14:paraId="72F3DFBA">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6.大气弱扩散重点管控区：强化落后产能退出机制，对能耗、环保、安全、技术达不到标准，生产不合格或淘汰类产品的企业和产能，依法予以关闭淘汰，推动重污染企业搬迁入园或依法关闭。对长江及重要支流沿线存在重大环境安全隐患的生产企业，加快推进就地改造异地迁建、关闭退出。开展差别化环境管理，对能耗、物耗、污染物排放等指标提出最严格管控要求，倒逼竞争乏力的产能退出。支持现有钢铁、水泥、焦化等废气排放量大的产业向有刚性需求、具有资源优势、环境容量允许的地区转移布局。</w:t>
                  </w:r>
                </w:p>
                <w:p w14:paraId="63F83577">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7.水环境农业污染重点管控区：（1）稳步推进建制镇污水处理设施建设，适当预留发展空间，宜集中则集中，宜分散则分散。农村生活污水处理设施排水执行《农村生活污水处理设施水污染物排放标准》（DB 51 2626-2019）要求。（2）深入推进化肥减量增效。鼓励以循环利用与生态净化相结合的方式控制种植业污染，农企合作推进测土配方施肥。</w:t>
                  </w:r>
                </w:p>
                <w:p w14:paraId="143F502A">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8.（1）光伏项目建设严格按照自然资源部办公厅 国家林业和草原局办公室 国家能源局综合司关于《支持光伏发电产业发展规范用地管理有关工作的通知》（自然资办发〔2023〕12号）执行。（2）在湖泊周边、水库库汊建设光伏、风电项目的，要科学论证，严格管控，不得布设在具有防洪、供水功能和水生态、水环境保护需求的区域。</w:t>
                  </w:r>
                </w:p>
                <w:p w14:paraId="077A7211">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b/>
                      <w:bCs/>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不符合空间布局要求活动的退出要求：</w:t>
                  </w:r>
                </w:p>
                <w:p w14:paraId="2B179BB8">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（1）一般生态空间中涉及自然保护区、风景名胜区、森林公园、地质公园等法定保护地，现有不符合相关保护区法律法规和规划的项目，应限期整改或关闭。</w:t>
                  </w:r>
                </w:p>
                <w:p w14:paraId="508CD656">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（2）全面取缔禁养区内规模化畜禽养殖场。</w:t>
                  </w:r>
                </w:p>
                <w:p w14:paraId="5781714B">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（3）按照相关规划和要求，清理整顿非法采砂、非法码头，全面清除不合规码头。</w:t>
                  </w:r>
                </w:p>
                <w:p w14:paraId="57B565C2">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b/>
                      <w:bCs/>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其他空间布局约束要求：</w:t>
                  </w:r>
                </w:p>
                <w:p w14:paraId="23DF407A">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园区外企业：位于一般管控单元内的园区外工业企业，须坚持“政府主导、企业主体、并联审查”原则，由对应各县（市）政府实施监督并确定需要整改的企业名单，上了名单的企业应提出整改承诺和方案，整改完成后由县（市）政府销号并纳入日常环境监管。对经整改治理后仍不能符合现行环保要求的，县（市）政府应责令关停或确定退出时限。</w:t>
                  </w:r>
                </w:p>
                <w:p w14:paraId="0A7931B2">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（2）加快小水电清理整顿，加强流域生态修复。</w:t>
                  </w:r>
                </w:p>
                <w:p w14:paraId="208459CD">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（3）按照省、州现行矿产资源总体规划执行。</w:t>
                  </w:r>
                </w:p>
                <w:p w14:paraId="68C7AA3D">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现有源提标升级改造</w:t>
                  </w:r>
                  <w:r>
                    <w:rPr>
                      <w:rStyle w:val="34"/>
                      <w:rFonts w:hint="eastAsia" w:ascii="宋体" w:hAnsi="宋体" w:eastAsia="宋体" w:cs="宋体"/>
                      <w:color w:val="auto"/>
                      <w:kern w:val="0"/>
                      <w:sz w:val="18"/>
                      <w:szCs w:val="18"/>
                      <w:highlight w:val="none"/>
                      <w:lang w:val="en-US" w:eastAsia="zh-CN" w:bidi="ar-SA"/>
                    </w:rPr>
                    <w:t>：</w:t>
                  </w:r>
                </w:p>
                <w:p w14:paraId="70CF2B7A">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（1）在矿产资源开发活动集中区域，废水执行重金属污染物排放特别限值。</w:t>
                  </w:r>
                </w:p>
                <w:p w14:paraId="2448874C">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（2）因地制宜、注重实效、突出重点，梯次推进农村生活污水治理。农村生活污水处理执行《四川省农村生活污水处理设施水污染物排放标准》（DB 51/ 2626-2019）。</w:t>
                  </w:r>
                </w:p>
                <w:p w14:paraId="1973E0E3">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（3）新建、改建、扩建规模化畜禽养殖场（养殖小区）要实施雨污分流、粪便污水资源化利用。</w:t>
                  </w:r>
                </w:p>
                <w:p w14:paraId="75EF3464">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（4）砖瓦行业实施脱硫、除尘升级改造，污染物排放达到《砖瓦工业大气污染物排放标准》相关要求。</w:t>
                  </w:r>
                </w:p>
                <w:p w14:paraId="0FE2E26D">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（5）水泥行业按相关要求推进大气污染物超低排放和深度治理。</w:t>
                  </w:r>
                </w:p>
                <w:p w14:paraId="71B55217">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其他污染物排放管控要求</w:t>
                  </w:r>
                  <w:r>
                    <w:rPr>
                      <w:rStyle w:val="34"/>
                      <w:rFonts w:hint="eastAsia" w:ascii="宋体" w:hAnsi="宋体" w:eastAsia="宋体" w:cs="宋体"/>
                      <w:color w:val="auto"/>
                      <w:kern w:val="0"/>
                      <w:sz w:val="18"/>
                      <w:szCs w:val="18"/>
                      <w:highlight w:val="none"/>
                      <w:lang w:val="en-US" w:eastAsia="zh-CN" w:bidi="ar-SA"/>
                    </w:rPr>
                    <w:t>：</w:t>
                  </w:r>
                </w:p>
                <w:p w14:paraId="2D88AA50">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矿业：①加强矿山采选废水的处理和综合利用工作，选矿废水全部综合利用，不外排，采矿废水应尽量回用。②在矿产资源开发活动集中区域，废水执行重金属污染物排放特别限值。③严控引入有色金属冶炼产业（不使用矿石的产业链下游精加工产品制造除外），相关企业须满足污染物排放管控和治理要求。</w:t>
                  </w:r>
                </w:p>
                <w:p w14:paraId="3C62FF16">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（2）建筑业：①砖瓦行业实施脱硫、除尘升级改造，污染物排放达到《砖瓦工业大气污染物排放标准》相关要求。②水泥行业按相关要求推进大气污染物超低排放和深度治理。</w:t>
                  </w:r>
                </w:p>
                <w:p w14:paraId="3E66DFDE">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3）农牧业：①合理化畜禽养殖布局，推进畜禽粪污无害化、资源化综合处置利用。规模化畜禽养殖场（小区）粪污处理设施装备配套率达到95%以上，粪污综合利用率达到75%以上，大型规模养殖场粪污处理设施装备配套率达到100%。②新、改扩建规模化畜禽养殖场（小区）要实施雨污分流、粪便污水资源化利用。③散养密集区要实行畜禽粪便污水分户收集、集中处理利用。                    （4）污水及垃圾：①基本实现乡镇污水处理设施全覆盖，配套建设污水收集管网，乡镇污水处理率达到50%。②因地制宜、注重实效、突出重点，梯次推进农村生活污水治理，农村生活污水处理执行《四川省农村生活污水处理设施水污染物排放标准》（DB 51/ 2626-2019）。③到2023年底，县城生活垃圾无害化处理率达95%以上；乡镇及行政村生活垃圾收转运处置体系基本实现全覆盖，其中行政村生活垃圾收转运体系覆盖率2021年底达90%，2022年底全覆盖；2022年底再生资源回收网点覆盖60%以上行政村。</w:t>
                  </w:r>
                </w:p>
                <w:p w14:paraId="25862625">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（5）屠宰项目必须配套污水处理设施或进入城市污水管网。</w:t>
                  </w:r>
                </w:p>
                <w:p w14:paraId="412A46CE">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（6）新建、改建、扩建尾矿库的，应当根据国家有关规定和尾矿库实际情况，配套建设防渗、渗滤液收集、废水处理、环境监测、环境应急等污染防治设施。</w:t>
                  </w:r>
                </w:p>
                <w:p w14:paraId="3B8684B7">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7）尾矿库配套的渗滤液收集池、回水池、环境应急事故池等设施的防渗要求应当不低于该尾矿库的防渗要求，并设置防漫流设施。尾矿库上游、下游和可能出现污染扩散的尾矿库周边区域，应当设置地下水水质监测井。</w:t>
                  </w:r>
                </w:p>
                <w:p w14:paraId="34FFB18B">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（8）尾矿水应当优先返回选矿工艺使用；向环境排放的，应当符合国家和地方污染物排放标准，不得与尾矿库外的雨水混合排放，并按照有关规定设置污染物排放口，设立标志，依法安装流量计和视频监控；</w:t>
                  </w:r>
                </w:p>
                <w:p w14:paraId="4F1453DF">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（9）非金属矿、有色金属、黄金等行业采矿严格按照现行有效的绿色矿山建设要求执行。</w:t>
                  </w:r>
                </w:p>
                <w:p w14:paraId="4F76FA48">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其他环境风险防控要求</w:t>
                  </w:r>
                  <w:r>
                    <w:rPr>
                      <w:rStyle w:val="34"/>
                      <w:rFonts w:hint="eastAsia" w:ascii="宋体" w:hAnsi="宋体" w:eastAsia="宋体" w:cs="宋体"/>
                      <w:color w:val="auto"/>
                      <w:kern w:val="0"/>
                      <w:sz w:val="18"/>
                      <w:szCs w:val="18"/>
                      <w:highlight w:val="none"/>
                      <w:lang w:val="en-US" w:eastAsia="zh-CN" w:bidi="ar-SA"/>
                    </w:rPr>
                    <w:t>：</w:t>
                  </w:r>
                </w:p>
                <w:p w14:paraId="3132BBCA">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（1）工业企业退出用地，应按相关要求进行评估、修复，满足相应用地功能后，方可改变用途。</w:t>
                  </w:r>
                </w:p>
                <w:p w14:paraId="07DE0E34">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（2）加强“散乱污”企业环境风险防控。</w:t>
                  </w:r>
                </w:p>
                <w:p w14:paraId="66CD738F">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（3）严禁将城镇生活垃圾、污泥、工业废物直接用作肥料，禁止处理不达标的污泥进入耕地；禁止在农用地排放、倾倒、使用污泥、清淤底泥、尾矿（渣）等可能对土壤造成污染的固体废物。</w:t>
                  </w:r>
                </w:p>
                <w:p w14:paraId="55F32097">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（4）严格控制农药使用量，禁止使用高毒、高残留农药。</w:t>
                  </w:r>
                </w:p>
                <w:p w14:paraId="01DA2FBD">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（5）定期对单元内尾矿库进行风险巡查，建立监测系统和环境风险应急预案，完善各尾矿库渗滤液收集、处理、回用系统，杜绝事故排放；尾矿库闭矿后因地制宜进行植被恢复和综合利用。</w:t>
                  </w:r>
                </w:p>
                <w:p w14:paraId="5C4F3579">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（6）禁止向农田灌溉渠道排放工业废水或者医疗污水；向农田灌溉渠道排放城镇污水以及未综合利用的畜禽养殖废水、农产品加工废水的，应当保证其下游最近的灌溉取水点的水质符合农田灌溉水质标准。</w:t>
                  </w:r>
                </w:p>
                <w:p w14:paraId="25B2B929">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（7）矿业环境风险防控要求：①在矿产资源开发活动集中区域，废水执行重金属污染物排放特别限值。②严格执行闭矿后环保措施，进行矿区废弃土地复垦和矿山地质环境破坏区域恢复治理。</w:t>
                  </w:r>
                </w:p>
                <w:p w14:paraId="5DE487A5">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资源开发利用效率要求</w:t>
                  </w:r>
                  <w:r>
                    <w:rPr>
                      <w:rStyle w:val="34"/>
                      <w:rFonts w:hint="eastAsia" w:ascii="宋体" w:hAnsi="宋体" w:eastAsia="宋体" w:cs="宋体"/>
                      <w:color w:val="auto"/>
                      <w:kern w:val="0"/>
                      <w:sz w:val="18"/>
                      <w:szCs w:val="18"/>
                      <w:highlight w:val="none"/>
                      <w:lang w:val="en-US" w:eastAsia="zh-CN" w:bidi="ar-SA"/>
                    </w:rPr>
                    <w:t>：</w:t>
                  </w:r>
                </w:p>
                <w:p w14:paraId="0E7A5D2D">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b/>
                      <w:bCs/>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水资源利用总量要求：</w:t>
                  </w:r>
                </w:p>
                <w:p w14:paraId="5412CE45">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color w:val="auto"/>
                      <w:kern w:val="0"/>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严格实行用水总量和强度控制。加强农业节水增效，大力推进节水灌溉、优化调整作物种植结构、推广畜牧渔业节水方式、加快推进农村生活节水；实施城镇节水降损，全面推进城市节水、大幅降低供水管网漏损、强化公共用水管理、严控高耗水服务用水。</w:t>
                  </w:r>
                </w:p>
                <w:p w14:paraId="3C4C5A8F">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Style w:val="34"/>
                      <w:rFonts w:hint="eastAsia" w:ascii="宋体" w:hAnsi="宋体" w:eastAsia="宋体" w:cs="宋体"/>
                      <w:b/>
                      <w:bCs/>
                      <w:color w:val="auto"/>
                      <w:kern w:val="0"/>
                      <w:sz w:val="18"/>
                      <w:szCs w:val="18"/>
                      <w:highlight w:val="none"/>
                      <w:lang w:val="en-US" w:eastAsia="zh-CN" w:bidi="ar-SA"/>
                    </w:rPr>
                  </w:pPr>
                  <w:r>
                    <w:rPr>
                      <w:rStyle w:val="34"/>
                      <w:rFonts w:hint="eastAsia" w:ascii="宋体" w:hAnsi="宋体" w:eastAsia="宋体" w:cs="宋体"/>
                      <w:b/>
                      <w:bCs/>
                      <w:color w:val="auto"/>
                      <w:kern w:val="0"/>
                      <w:sz w:val="18"/>
                      <w:szCs w:val="18"/>
                      <w:highlight w:val="none"/>
                      <w:lang w:val="en-US" w:eastAsia="zh-CN" w:bidi="ar-SA"/>
                    </w:rPr>
                    <w:t>能源利用总量及效率要求：</w:t>
                  </w:r>
                </w:p>
                <w:p w14:paraId="16EDD57F">
                  <w:pPr>
                    <w:pStyle w:val="91"/>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default" w:ascii="Times New Roman" w:hAnsi="Times New Roman" w:eastAsia="宋体" w:cs="Times New Roman"/>
                      <w:color w:val="auto"/>
                      <w:sz w:val="18"/>
                      <w:szCs w:val="18"/>
                      <w:highlight w:val="none"/>
                      <w:lang w:val="en-US" w:eastAsia="zh-CN" w:bidi="ar-SA"/>
                    </w:rPr>
                  </w:pPr>
                  <w:r>
                    <w:rPr>
                      <w:rStyle w:val="34"/>
                      <w:rFonts w:hint="eastAsia" w:ascii="宋体" w:hAnsi="宋体" w:eastAsia="宋体" w:cs="宋体"/>
                      <w:color w:val="auto"/>
                      <w:kern w:val="0"/>
                      <w:sz w:val="18"/>
                      <w:szCs w:val="18"/>
                      <w:highlight w:val="none"/>
                      <w:lang w:val="en-US" w:eastAsia="zh-CN" w:bidi="ar-SA"/>
                    </w:rPr>
                    <w:t>（1）推进清洁能源的推广使用，全面推进散煤清洁化整治；禁止新建每小时10蒸吨以下的燃煤锅炉及其他燃煤设施。                （2）矿业能源利用效率要求：①矿区大气污染物和废水排放率、工业固体废弃物综合利用率、一般工业固废和危险废物处置率等指标严格执行《有色金属行业绿色矿山建设规范》（DZ/T 0320-2018）等各级产业政策和生态保护要求。②矿区矿产资源总回收率、共伴生矿产综合利用率等指标严格执行《有色金属行业绿色矿山建设规范》（DZ/T 0320-2018）等各级产业政策和生态保护要求。</w:t>
                  </w:r>
                </w:p>
              </w:tc>
              <w:tc>
                <w:tcPr>
                  <w:tcW w:w="2253" w:type="dxa"/>
                  <w:tcBorders>
                    <w:tl2br w:val="nil"/>
                    <w:tr2bl w:val="nil"/>
                  </w:tcBorders>
                  <w:noWrap w:val="0"/>
                  <w:vAlign w:val="center"/>
                </w:tcPr>
                <w:p w14:paraId="6CDD4E5A">
                  <w:pPr>
                    <w:pStyle w:val="132"/>
                    <w:spacing w:line="240" w:lineRule="auto"/>
                    <w:ind w:firstLine="0" w:firstLineChars="0"/>
                    <w:jc w:val="both"/>
                    <w:rPr>
                      <w:rFonts w:hint="eastAsia" w:ascii="Times New Roman" w:hAnsi="Times New Roman"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空间布局约束</w:t>
                  </w:r>
                  <w:r>
                    <w:rPr>
                      <w:rFonts w:hint="eastAsia" w:ascii="Times New Roman" w:hAnsi="Times New Roman" w:cs="Times New Roman"/>
                      <w:b/>
                      <w:bCs/>
                      <w:color w:val="auto"/>
                      <w:sz w:val="18"/>
                      <w:szCs w:val="18"/>
                      <w:highlight w:val="none"/>
                      <w:lang w:val="en-US" w:eastAsia="zh-CN" w:bidi="ar-SA"/>
                    </w:rPr>
                    <w:t>：</w:t>
                  </w:r>
                </w:p>
                <w:p w14:paraId="15DA7116">
                  <w:pPr>
                    <w:pStyle w:val="91"/>
                    <w:widowControl/>
                    <w:shd w:val="clear" w:color="auto" w:fill="FFFFFF"/>
                    <w:spacing w:line="240" w:lineRule="auto"/>
                    <w:ind w:firstLine="0" w:firstLineChars="0"/>
                    <w:jc w:val="left"/>
                    <w:rPr>
                      <w:rStyle w:val="34"/>
                      <w:rFonts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禁止开发建设活动的要求</w:t>
                  </w:r>
                  <w:r>
                    <w:rPr>
                      <w:rStyle w:val="34"/>
                      <w:rFonts w:hint="eastAsia" w:ascii="宋体" w:hAnsi="宋体" w:eastAsia="宋体" w:cs="Times New Roman"/>
                      <w:color w:val="auto"/>
                      <w:kern w:val="2"/>
                      <w:sz w:val="18"/>
                      <w:szCs w:val="18"/>
                      <w:highlight w:val="none"/>
                      <w:lang w:val="en-US" w:eastAsia="zh-CN" w:bidi="ar-SA"/>
                    </w:rPr>
                    <w:t>：</w:t>
                  </w:r>
                </w:p>
                <w:p w14:paraId="0420F8BE">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（1）禁止铜矿、锌矿等资源无序开发、过度开采</w:t>
                  </w:r>
                </w:p>
                <w:p w14:paraId="55BC5DA0">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（2）其他执行甘孜州一般管控单元总体准入要求</w:t>
                  </w:r>
                </w:p>
                <w:p w14:paraId="3A26A8D9">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限制开发建设活动的要求</w:t>
                  </w:r>
                  <w:r>
                    <w:rPr>
                      <w:rStyle w:val="34"/>
                      <w:rFonts w:hint="eastAsia" w:ascii="宋体" w:hAnsi="宋体" w:eastAsia="宋体" w:cs="Times New Roman"/>
                      <w:color w:val="auto"/>
                      <w:kern w:val="2"/>
                      <w:sz w:val="18"/>
                      <w:szCs w:val="18"/>
                      <w:highlight w:val="none"/>
                      <w:lang w:val="en-US" w:eastAsia="zh-CN" w:bidi="ar-SA"/>
                    </w:rPr>
                    <w:t>：</w:t>
                  </w:r>
                </w:p>
                <w:p w14:paraId="7783C660">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（1）矿区企业严控新增建设用地规模</w:t>
                  </w:r>
                </w:p>
                <w:p w14:paraId="34D71EBA">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2）开展尾矿库土壤监测和定期评估；严把新（改、扩）建尾矿库立项、用地、环保、安全准入关；每年进行一次安全风险评估；尽量降低库内水位，确保主要运行参数及排洪系统始终满足设计要求；严格落实“一库一策”安全风险管控要求</w:t>
                  </w:r>
                </w:p>
                <w:p w14:paraId="2EC80691">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（3）其他执行甘孜州一般管控单元总体准入要求</w:t>
                  </w:r>
                </w:p>
                <w:p w14:paraId="0CF265A2">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允许开发建设活动的要求</w:t>
                  </w:r>
                  <w:r>
                    <w:rPr>
                      <w:rStyle w:val="34"/>
                      <w:rFonts w:hint="eastAsia" w:ascii="宋体" w:hAnsi="宋体" w:eastAsia="宋体" w:cs="Times New Roman"/>
                      <w:color w:val="auto"/>
                      <w:kern w:val="2"/>
                      <w:sz w:val="18"/>
                      <w:szCs w:val="18"/>
                      <w:highlight w:val="none"/>
                      <w:lang w:val="en-US" w:eastAsia="zh-CN" w:bidi="ar-SA"/>
                    </w:rPr>
                    <w:t>：</w:t>
                  </w:r>
                </w:p>
                <w:p w14:paraId="338AB1BE">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1.对地震灾区灾后重建需要新设砂石土类矿产开采规划区块的，经市（州） 自然资源主管部门充分论证，在合理布局、确保安全距离、满足环保要求的前提下，可直接纳入“十四五” 矿产资源规划，允许灾区重建所需砂石土设置储量规模为小型、最低生产规模为20万吨/年的采矿权，服务期限与灾后重建专项规划期衔接一致，到期后及时开展矿山生态修复，并按程序注销采矿权</w:t>
                  </w:r>
                </w:p>
                <w:p w14:paraId="625281A2">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2、其他执行甘孜州一般管控单元总体准入要求</w:t>
                  </w:r>
                </w:p>
                <w:p w14:paraId="4F739103">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不符合空间布局要求活动的退出要求</w:t>
                  </w:r>
                  <w:r>
                    <w:rPr>
                      <w:rStyle w:val="34"/>
                      <w:rFonts w:hint="eastAsia" w:ascii="宋体" w:hAnsi="宋体" w:eastAsia="宋体" w:cs="Times New Roman"/>
                      <w:color w:val="auto"/>
                      <w:kern w:val="2"/>
                      <w:sz w:val="18"/>
                      <w:szCs w:val="18"/>
                      <w:highlight w:val="none"/>
                      <w:lang w:val="en-US" w:eastAsia="zh-CN" w:bidi="ar-SA"/>
                    </w:rPr>
                    <w:t>：</w:t>
                  </w:r>
                </w:p>
                <w:p w14:paraId="7C044308">
                  <w:pPr>
                    <w:pStyle w:val="91"/>
                    <w:widowControl/>
                    <w:shd w:val="clear" w:color="auto" w:fill="FFFFFF"/>
                    <w:spacing w:line="240" w:lineRule="auto"/>
                    <w:ind w:firstLine="0" w:firstLineChars="0"/>
                    <w:jc w:val="left"/>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（1）矿区建设须满足国家、四川省和甘孜州矿产资源规划中开采区相应准入条件，开采规模和服务年限须符合各级矿产资源规划规定</w:t>
                  </w:r>
                </w:p>
                <w:p w14:paraId="788A4A57">
                  <w:pPr>
                    <w:pStyle w:val="91"/>
                    <w:widowControl/>
                    <w:shd w:val="clear" w:color="auto" w:fill="FFFFFF"/>
                    <w:spacing w:line="240" w:lineRule="auto"/>
                    <w:ind w:firstLine="0" w:firstLineChars="0"/>
                    <w:jc w:val="left"/>
                    <w:rPr>
                      <w:rFonts w:hint="default" w:ascii="Times New Roman" w:hAnsi="Times New Roman" w:cs="Times New Roman"/>
                      <w:b/>
                      <w:bCs/>
                      <w:color w:val="auto"/>
                      <w:sz w:val="18"/>
                      <w:szCs w:val="18"/>
                      <w:highlight w:val="none"/>
                      <w:lang w:val="en-US" w:eastAsia="zh-CN" w:bidi="ar-SA"/>
                    </w:rPr>
                  </w:pPr>
                  <w:r>
                    <w:rPr>
                      <w:rStyle w:val="34"/>
                      <w:rFonts w:hint="eastAsia" w:ascii="宋体" w:hAnsi="宋体" w:eastAsia="宋体" w:cs="Times New Roman"/>
                      <w:color w:val="auto"/>
                      <w:kern w:val="2"/>
                      <w:sz w:val="18"/>
                      <w:szCs w:val="18"/>
                      <w:highlight w:val="none"/>
                      <w:lang w:val="en-US" w:eastAsia="zh-CN" w:bidi="ar-SA"/>
                    </w:rPr>
                    <w:t>（2）其他执行甘孜州一般管控单元总体准入要求</w:t>
                  </w:r>
                </w:p>
              </w:tc>
              <w:tc>
                <w:tcPr>
                  <w:tcW w:w="1707" w:type="dxa"/>
                  <w:tcBorders>
                    <w:tl2br w:val="nil"/>
                    <w:tr2bl w:val="nil"/>
                  </w:tcBorders>
                  <w:noWrap w:val="0"/>
                  <w:vAlign w:val="center"/>
                </w:tcPr>
                <w:p w14:paraId="5584744F">
                  <w:pPr>
                    <w:pStyle w:val="132"/>
                    <w:spacing w:line="240" w:lineRule="auto"/>
                    <w:ind w:firstLine="0" w:firstLineChars="0"/>
                    <w:jc w:val="left"/>
                    <w:rPr>
                      <w:rFonts w:hint="eastAsia" w:cs="Times New Roman"/>
                      <w:color w:val="auto"/>
                      <w:sz w:val="18"/>
                      <w:szCs w:val="18"/>
                      <w:highlight w:val="none"/>
                      <w:lang w:val="en-US" w:eastAsia="zh-CN" w:bidi="ar-SA"/>
                    </w:rPr>
                  </w:pPr>
                </w:p>
                <w:p w14:paraId="5E2C9030">
                  <w:pPr>
                    <w:pStyle w:val="132"/>
                    <w:spacing w:line="240" w:lineRule="auto"/>
                    <w:ind w:firstLine="0" w:firstLineChars="0"/>
                    <w:jc w:val="left"/>
                    <w:rPr>
                      <w:rFonts w:hint="eastAsia" w:cs="Times New Roman"/>
                      <w:color w:val="auto"/>
                      <w:sz w:val="18"/>
                      <w:szCs w:val="18"/>
                      <w:highlight w:val="none"/>
                      <w:lang w:val="en-US" w:eastAsia="zh-CN" w:bidi="ar-SA"/>
                    </w:rPr>
                  </w:pPr>
                </w:p>
                <w:p w14:paraId="18554443">
                  <w:pPr>
                    <w:pStyle w:val="132"/>
                    <w:spacing w:line="240" w:lineRule="auto"/>
                    <w:ind w:firstLine="0" w:firstLineChars="0"/>
                    <w:jc w:val="left"/>
                    <w:rPr>
                      <w:rFonts w:hint="eastAsia"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r>
                    <w:rPr>
                      <w:rFonts w:hint="eastAsia" w:ascii="Times New Roman" w:hAnsi="Times New Roman" w:cs="Times New Roman"/>
                      <w:color w:val="auto"/>
                      <w:sz w:val="18"/>
                      <w:szCs w:val="18"/>
                      <w:highlight w:val="none"/>
                      <w:lang w:val="en-US" w:eastAsia="zh-CN"/>
                    </w:rPr>
                    <w:t>；不属于采矿项目。</w:t>
                  </w:r>
                </w:p>
                <w:p w14:paraId="4568A464">
                  <w:pPr>
                    <w:pStyle w:val="132"/>
                    <w:spacing w:line="240" w:lineRule="auto"/>
                    <w:ind w:firstLine="0" w:firstLineChars="0"/>
                    <w:jc w:val="left"/>
                    <w:rPr>
                      <w:rFonts w:hint="eastAsia" w:ascii="Times New Roman" w:hAnsi="Times New Roman" w:cs="Times New Roman"/>
                      <w:color w:val="auto"/>
                      <w:sz w:val="15"/>
                      <w:szCs w:val="15"/>
                      <w:highlight w:val="none"/>
                      <w:lang w:val="en-US" w:eastAsia="zh-CN"/>
                    </w:rPr>
                  </w:pPr>
                  <w:r>
                    <w:rPr>
                      <w:rFonts w:hint="eastAsia" w:ascii="Times New Roman" w:hAnsi="Times New Roman" w:cs="Times New Roman"/>
                      <w:color w:val="auto"/>
                      <w:sz w:val="18"/>
                      <w:szCs w:val="18"/>
                      <w:highlight w:val="none"/>
                      <w:lang w:val="en-US" w:eastAsia="zh-CN"/>
                    </w:rPr>
                    <w:t>项目占地为林地，已取得规划许可证，占地不涉及一级公益林，正在办理林业主管部门的手续。</w:t>
                  </w:r>
                </w:p>
                <w:p w14:paraId="1573E7D7">
                  <w:pPr>
                    <w:pStyle w:val="132"/>
                    <w:spacing w:line="240" w:lineRule="auto"/>
                    <w:ind w:firstLine="0" w:firstLineChars="0"/>
                    <w:jc w:val="left"/>
                    <w:rPr>
                      <w:rFonts w:hint="eastAsia" w:ascii="Times New Roman" w:hAnsi="Times New Roman" w:cs="Times New Roman"/>
                      <w:color w:val="auto"/>
                      <w:sz w:val="15"/>
                      <w:szCs w:val="15"/>
                      <w:highlight w:val="none"/>
                      <w:lang w:val="en-US" w:eastAsia="zh-CN"/>
                    </w:rPr>
                  </w:pPr>
                  <w:r>
                    <w:rPr>
                      <w:rFonts w:hint="eastAsia" w:ascii="Times New Roman" w:hAnsi="Times New Roman" w:cs="Times New Roman"/>
                      <w:color w:val="auto"/>
                      <w:sz w:val="15"/>
                      <w:szCs w:val="15"/>
                      <w:highlight w:val="none"/>
                      <w:lang w:val="en-US" w:eastAsia="zh-CN"/>
                    </w:rPr>
                    <w:t>项目不涉及风景名胜区、自然保护区、地质公园、饮用水源保护区等敏感区。</w:t>
                  </w:r>
                </w:p>
                <w:p w14:paraId="3FCC7546">
                  <w:pPr>
                    <w:pStyle w:val="132"/>
                    <w:spacing w:line="240" w:lineRule="auto"/>
                    <w:ind w:firstLine="0" w:firstLineChars="0"/>
                    <w:jc w:val="left"/>
                    <w:rPr>
                      <w:rFonts w:hint="default" w:ascii="Times New Roman" w:hAnsi="Times New Roman" w:cs="Times New Roman"/>
                      <w:color w:val="auto"/>
                      <w:sz w:val="18"/>
                      <w:szCs w:val="18"/>
                      <w:highlight w:val="none"/>
                      <w:lang w:val="en-US" w:eastAsia="zh-CN"/>
                    </w:rPr>
                  </w:pPr>
                </w:p>
              </w:tc>
              <w:tc>
                <w:tcPr>
                  <w:tcW w:w="495" w:type="dxa"/>
                  <w:tcBorders>
                    <w:tl2br w:val="nil"/>
                    <w:tr2bl w:val="nil"/>
                  </w:tcBorders>
                  <w:noWrap w:val="0"/>
                  <w:vAlign w:val="center"/>
                </w:tcPr>
                <w:p w14:paraId="53D20F07">
                  <w:pPr>
                    <w:pStyle w:val="132"/>
                    <w:spacing w:line="240" w:lineRule="auto"/>
                    <w:ind w:firstLine="0" w:firstLineChars="0"/>
                    <w:jc w:val="both"/>
                    <w:rPr>
                      <w:rFonts w:hint="eastAsia" w:cs="Times New Roman"/>
                      <w:color w:val="auto"/>
                      <w:sz w:val="18"/>
                      <w:szCs w:val="18"/>
                      <w:highlight w:val="none"/>
                      <w:lang w:val="en-US" w:eastAsia="zh-CN" w:bidi="ar-SA"/>
                    </w:rPr>
                  </w:pPr>
                </w:p>
                <w:p w14:paraId="30122164">
                  <w:pPr>
                    <w:pStyle w:val="132"/>
                    <w:spacing w:line="240" w:lineRule="auto"/>
                    <w:ind w:firstLine="0" w:firstLineChars="0"/>
                    <w:jc w:val="both"/>
                    <w:rPr>
                      <w:rFonts w:hint="eastAsia" w:cs="Times New Roman"/>
                      <w:color w:val="auto"/>
                      <w:sz w:val="18"/>
                      <w:szCs w:val="18"/>
                      <w:highlight w:val="none"/>
                      <w:lang w:val="en-US" w:eastAsia="zh-CN" w:bidi="ar-SA"/>
                    </w:rPr>
                  </w:pPr>
                </w:p>
                <w:p w14:paraId="5D05E8B1">
                  <w:pPr>
                    <w:pStyle w:val="132"/>
                    <w:spacing w:line="240" w:lineRule="auto"/>
                    <w:ind w:firstLine="0" w:firstLineChars="0"/>
                    <w:jc w:val="both"/>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符合</w:t>
                  </w:r>
                </w:p>
              </w:tc>
            </w:tr>
            <w:tr w14:paraId="595F02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887" w:type="dxa"/>
                  <w:vMerge w:val="continue"/>
                  <w:tcBorders>
                    <w:tl2br w:val="nil"/>
                    <w:tr2bl w:val="nil"/>
                  </w:tcBorders>
                  <w:noWrap w:val="0"/>
                  <w:vAlign w:val="center"/>
                </w:tcPr>
                <w:p w14:paraId="7AA7F458">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00510E35">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02E3343B">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3459D73F">
                  <w:pPr>
                    <w:pStyle w:val="132"/>
                    <w:spacing w:line="240" w:lineRule="auto"/>
                    <w:ind w:firstLine="0" w:firstLineChars="0"/>
                    <w:jc w:val="both"/>
                    <w:rPr>
                      <w:rFonts w:hint="eastAsia" w:ascii="Times New Roman" w:hAnsi="Times New Roman"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污染物排放管控</w:t>
                  </w:r>
                  <w:r>
                    <w:rPr>
                      <w:rFonts w:hint="eastAsia" w:ascii="Times New Roman" w:hAnsi="Times New Roman" w:cs="Times New Roman"/>
                      <w:b/>
                      <w:bCs/>
                      <w:color w:val="auto"/>
                      <w:sz w:val="18"/>
                      <w:szCs w:val="18"/>
                      <w:highlight w:val="none"/>
                      <w:lang w:val="en-US" w:eastAsia="zh-CN" w:bidi="ar-SA"/>
                    </w:rPr>
                    <w:t>：</w:t>
                  </w:r>
                </w:p>
                <w:p w14:paraId="365BBB7A">
                  <w:pPr>
                    <w:pStyle w:val="132"/>
                    <w:spacing w:line="240" w:lineRule="auto"/>
                    <w:ind w:firstLine="0" w:firstLineChars="0"/>
                    <w:jc w:val="both"/>
                    <w:rPr>
                      <w:rFonts w:hint="default" w:ascii="Times New Roman" w:hAnsi="Times New Roman" w:cs="Times New Roman"/>
                      <w:b/>
                      <w:bCs/>
                      <w:color w:val="auto"/>
                      <w:sz w:val="18"/>
                      <w:szCs w:val="18"/>
                      <w:highlight w:val="none"/>
                      <w:lang w:val="en-US" w:eastAsia="zh-CN" w:bidi="ar-SA"/>
                    </w:rPr>
                  </w:pPr>
                  <w:r>
                    <w:rPr>
                      <w:rFonts w:hint="default" w:ascii="Times New Roman" w:hAnsi="Times New Roman" w:cs="Times New Roman"/>
                      <w:b/>
                      <w:bCs/>
                      <w:color w:val="auto"/>
                      <w:sz w:val="18"/>
                      <w:szCs w:val="18"/>
                      <w:highlight w:val="none"/>
                      <w:lang w:val="en-US" w:eastAsia="zh-CN" w:bidi="ar-SA"/>
                    </w:rPr>
                    <w:t>现有源提标升级改造</w:t>
                  </w:r>
                  <w:r>
                    <w:rPr>
                      <w:rFonts w:hint="eastAsia" w:ascii="Times New Roman" w:hAnsi="Times New Roman" w:cs="Times New Roman"/>
                      <w:b/>
                      <w:bCs/>
                      <w:color w:val="auto"/>
                      <w:sz w:val="18"/>
                      <w:szCs w:val="18"/>
                      <w:highlight w:val="none"/>
                      <w:lang w:val="en-US" w:eastAsia="zh-CN" w:bidi="ar-SA"/>
                    </w:rPr>
                    <w:t>：</w:t>
                  </w:r>
                </w:p>
                <w:p w14:paraId="2B234C67">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（1）大中型矿山须达到绿色矿山建设标准，引导小型矿山按照绿色矿山标准规范发展。</w:t>
                  </w:r>
                </w:p>
                <w:p w14:paraId="7308731E">
                  <w:pPr>
                    <w:pStyle w:val="132"/>
                    <w:spacing w:line="240" w:lineRule="auto"/>
                    <w:ind w:firstLine="0" w:firstLineChars="0"/>
                    <w:jc w:val="both"/>
                    <w:rPr>
                      <w:rFonts w:hint="default" w:ascii="Times New Roman" w:hAnsi="Times New Roman" w:cs="Times New Roman"/>
                      <w:b/>
                      <w:bCs/>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（2）其他执行甘孜州一般管控单元总体准入要求。</w:t>
                  </w:r>
                </w:p>
                <w:p w14:paraId="2D19AD0D">
                  <w:pPr>
                    <w:pStyle w:val="132"/>
                    <w:spacing w:line="240" w:lineRule="auto"/>
                    <w:ind w:firstLine="0" w:firstLineChars="0"/>
                    <w:jc w:val="both"/>
                    <w:rPr>
                      <w:rFonts w:hint="default" w:ascii="Times New Roman" w:hAnsi="Times New Roman" w:cs="Times New Roman"/>
                      <w:b/>
                      <w:bCs/>
                      <w:color w:val="auto"/>
                      <w:sz w:val="18"/>
                      <w:szCs w:val="18"/>
                      <w:highlight w:val="none"/>
                      <w:lang w:val="en-US" w:eastAsia="zh-CN" w:bidi="ar-SA"/>
                    </w:rPr>
                  </w:pPr>
                  <w:r>
                    <w:rPr>
                      <w:rFonts w:hint="default" w:ascii="Times New Roman" w:hAnsi="Times New Roman" w:cs="Times New Roman"/>
                      <w:b/>
                      <w:bCs/>
                      <w:color w:val="auto"/>
                      <w:sz w:val="18"/>
                      <w:szCs w:val="18"/>
                      <w:highlight w:val="none"/>
                      <w:lang w:val="en-US" w:eastAsia="zh-CN" w:bidi="ar-SA"/>
                    </w:rPr>
                    <w:t>污染物排放绩效水平准入要求</w:t>
                  </w:r>
                  <w:r>
                    <w:rPr>
                      <w:rFonts w:hint="eastAsia" w:ascii="Times New Roman" w:hAnsi="Times New Roman" w:cs="Times New Roman"/>
                      <w:b/>
                      <w:bCs/>
                      <w:color w:val="auto"/>
                      <w:sz w:val="18"/>
                      <w:szCs w:val="18"/>
                      <w:highlight w:val="none"/>
                      <w:lang w:val="en-US" w:eastAsia="zh-CN" w:bidi="ar-SA"/>
                    </w:rPr>
                    <w:t>：</w:t>
                  </w:r>
                </w:p>
                <w:p w14:paraId="39BDEA46">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（1）九龙县属半农半牧区，行政村生活垃圾收转运体系覆盖率2021年底达90%，2022年底全覆盖；2022年底再生资源回收网点覆盖60%以上行政村。</w:t>
                  </w:r>
                </w:p>
                <w:p w14:paraId="4C19352E">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（2）散养密集区须实行畜禽粪便污水分户收集、集中处理利用。</w:t>
                  </w:r>
                </w:p>
                <w:p w14:paraId="471B960A">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3）九龙县涉及贡嘎山国家级风景名胜区西南部景观片区，主要旅游接待服务设施污水达标排放率达100%；生活垃圾无害化处理率达100%；风景区水体不得新建排污口；餐饮服务气体排放须采取油烟净化处理，满足《饮食业油烟排放标准》（GB18483-2001）相关要求；生态旅游配套项目不得采用非清洁燃料。</w:t>
                  </w:r>
                </w:p>
                <w:p w14:paraId="3ABA7464">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（4）矿区大气污染物和废水排放率、工业固体废弃物综合利用率、一般工业固废和危险废物处置率等指标严格执行《有色金属行业绿色矿山建设规范》（DZ/T 0320-2018）等各级产业政策和生态保护要求。</w:t>
                  </w:r>
                </w:p>
                <w:p w14:paraId="429B0B01">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（5）加强矿山采选废水升级处理和综合利用，选矿的废水全部综合利用，不外排；采矿废水应尽量回用。</w:t>
                  </w:r>
                </w:p>
                <w:p w14:paraId="314B22C6">
                  <w:pPr>
                    <w:pStyle w:val="132"/>
                    <w:spacing w:line="240" w:lineRule="auto"/>
                    <w:ind w:firstLine="0" w:firstLineChars="0"/>
                    <w:jc w:val="both"/>
                    <w:rPr>
                      <w:rFonts w:hint="default" w:ascii="Times New Roman" w:hAnsi="Times New Roman" w:cs="Times New Roman"/>
                      <w:b w:val="0"/>
                      <w:bCs w:val="0"/>
                      <w:color w:val="auto"/>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bidi="ar-SA"/>
                    </w:rPr>
                    <w:t>（6）其他执行甘孜州一般管控单元总体准入要求。</w:t>
                  </w:r>
                </w:p>
                <w:p w14:paraId="7FE14D36">
                  <w:pPr>
                    <w:pStyle w:val="132"/>
                    <w:spacing w:line="240" w:lineRule="auto"/>
                    <w:ind w:firstLine="0" w:firstLineChars="0"/>
                    <w:jc w:val="both"/>
                    <w:rPr>
                      <w:rFonts w:hint="default" w:ascii="Times New Roman" w:hAnsi="Times New Roman" w:cs="Times New Roman"/>
                      <w:b/>
                      <w:bCs/>
                      <w:color w:val="auto"/>
                      <w:sz w:val="18"/>
                      <w:szCs w:val="18"/>
                      <w:highlight w:val="none"/>
                      <w:lang w:val="en-US" w:eastAsia="zh-CN" w:bidi="ar-SA"/>
                    </w:rPr>
                  </w:pPr>
                </w:p>
              </w:tc>
              <w:tc>
                <w:tcPr>
                  <w:tcW w:w="1707" w:type="dxa"/>
                  <w:tcBorders>
                    <w:tl2br w:val="nil"/>
                    <w:tr2bl w:val="nil"/>
                  </w:tcBorders>
                  <w:noWrap w:val="0"/>
                  <w:vAlign w:val="center"/>
                </w:tcPr>
                <w:p w14:paraId="130A8F19">
                  <w:pPr>
                    <w:pStyle w:val="132"/>
                    <w:spacing w:line="240" w:lineRule="auto"/>
                    <w:ind w:firstLine="0" w:firstLineChars="0"/>
                    <w:jc w:val="left"/>
                    <w:rPr>
                      <w:rFonts w:hint="eastAsia" w:ascii="Times New Roman" w:hAnsi="Times New Roman"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bidi="ar-SA"/>
                    </w:rPr>
                    <w:t>项目为</w:t>
                  </w:r>
                  <w:r>
                    <w:rPr>
                      <w:rFonts w:hint="default" w:ascii="Times New Roman" w:hAnsi="Times New Roman" w:eastAsia="宋体" w:cs="Times New Roman"/>
                      <w:color w:val="auto"/>
                      <w:sz w:val="18"/>
                      <w:szCs w:val="18"/>
                      <w:highlight w:val="none"/>
                      <w:lang w:val="en-US" w:eastAsia="zh-CN"/>
                    </w:rPr>
                    <w:t>C1351 牲畜屠宰</w:t>
                  </w:r>
                  <w:r>
                    <w:rPr>
                      <w:rFonts w:hint="eastAsia" w:ascii="Times New Roman" w:hAnsi="Times New Roman" w:cs="Times New Roman"/>
                      <w:color w:val="auto"/>
                      <w:sz w:val="18"/>
                      <w:szCs w:val="18"/>
                      <w:highlight w:val="none"/>
                      <w:lang w:val="en-US" w:eastAsia="zh-CN"/>
                    </w:rPr>
                    <w:t>；不属于采矿项目。</w:t>
                  </w:r>
                </w:p>
                <w:p w14:paraId="19436A00">
                  <w:pPr>
                    <w:pStyle w:val="132"/>
                    <w:spacing w:line="240" w:lineRule="auto"/>
                    <w:ind w:firstLine="0" w:firstLineChars="0"/>
                    <w:jc w:val="left"/>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项目占地为林地，已取得规划许可证，占地不涉及一级公益林，正在办理林业主管部门的手续。</w:t>
                  </w:r>
                </w:p>
                <w:p w14:paraId="59A48A41">
                  <w:pPr>
                    <w:pStyle w:val="132"/>
                    <w:spacing w:line="240" w:lineRule="auto"/>
                    <w:ind w:firstLine="0" w:firstLineChars="0"/>
                    <w:jc w:val="left"/>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项目不涉及风景名胜区、自然保护区、地质公园、饮用水源保护区等敏感区。</w:t>
                  </w:r>
                </w:p>
                <w:p w14:paraId="4EDADBDB">
                  <w:pPr>
                    <w:pStyle w:val="132"/>
                    <w:spacing w:line="240" w:lineRule="auto"/>
                    <w:ind w:firstLine="0" w:firstLineChars="0"/>
                    <w:jc w:val="left"/>
                    <w:rPr>
                      <w:rFonts w:hint="eastAsia"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废水经预处理后由罐车输送至泸定县磨西镇生活污水厂处理。</w:t>
                  </w:r>
                </w:p>
                <w:p w14:paraId="5CEBFF6C">
                  <w:pPr>
                    <w:pStyle w:val="132"/>
                    <w:spacing w:line="240" w:lineRule="auto"/>
                    <w:ind w:firstLine="0" w:firstLineChars="0"/>
                    <w:jc w:val="left"/>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废气主要为恶臭，收集后经“碱液喷淋+活性炭吸附”处理后排放。</w:t>
                  </w:r>
                </w:p>
              </w:tc>
              <w:tc>
                <w:tcPr>
                  <w:tcW w:w="495" w:type="dxa"/>
                  <w:tcBorders>
                    <w:tl2br w:val="nil"/>
                    <w:tr2bl w:val="nil"/>
                  </w:tcBorders>
                  <w:noWrap w:val="0"/>
                  <w:vAlign w:val="center"/>
                </w:tcPr>
                <w:p w14:paraId="0116EA9A">
                  <w:pPr>
                    <w:pStyle w:val="132"/>
                    <w:spacing w:line="240" w:lineRule="auto"/>
                    <w:ind w:firstLine="0" w:firstLineChars="0"/>
                    <w:jc w:val="both"/>
                    <w:rPr>
                      <w:rFonts w:hint="eastAsia"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符合</w:t>
                  </w:r>
                </w:p>
              </w:tc>
            </w:tr>
            <w:tr w14:paraId="1E342D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887" w:type="dxa"/>
                  <w:vMerge w:val="continue"/>
                  <w:tcBorders>
                    <w:tl2br w:val="nil"/>
                    <w:tr2bl w:val="nil"/>
                  </w:tcBorders>
                  <w:noWrap w:val="0"/>
                  <w:vAlign w:val="center"/>
                </w:tcPr>
                <w:p w14:paraId="41AC6566">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55AF61CD">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4BADF65E">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51DD2A6A">
                  <w:pPr>
                    <w:pStyle w:val="132"/>
                    <w:spacing w:line="240" w:lineRule="auto"/>
                    <w:ind w:firstLine="0" w:firstLineChars="0"/>
                    <w:jc w:val="both"/>
                    <w:rPr>
                      <w:rStyle w:val="34"/>
                      <w:rFonts w:hint="eastAsia" w:ascii="宋体" w:hAnsi="宋体" w:eastAsia="宋体" w:cs="Times New Roman"/>
                      <w:color w:val="auto"/>
                      <w:kern w:val="2"/>
                      <w:sz w:val="21"/>
                      <w:szCs w:val="21"/>
                      <w:highlight w:val="none"/>
                      <w:lang w:val="en-US" w:eastAsia="zh-CN" w:bidi="ar-SA"/>
                    </w:rPr>
                  </w:pPr>
                </w:p>
                <w:p w14:paraId="5FC937A5">
                  <w:pPr>
                    <w:pStyle w:val="132"/>
                    <w:spacing w:line="240" w:lineRule="auto"/>
                    <w:ind w:firstLine="0" w:firstLineChars="0"/>
                    <w:jc w:val="both"/>
                    <w:rPr>
                      <w:rStyle w:val="34"/>
                      <w:rFonts w:hint="eastAsia" w:ascii="宋体" w:hAnsi="宋体" w:eastAsia="宋体" w:cs="Times New Roman"/>
                      <w:color w:val="auto"/>
                      <w:kern w:val="2"/>
                      <w:sz w:val="18"/>
                      <w:szCs w:val="18"/>
                      <w:highlight w:val="none"/>
                      <w:lang w:val="en-US" w:eastAsia="zh-CN" w:bidi="ar-SA"/>
                    </w:rPr>
                  </w:pPr>
                  <w:r>
                    <w:rPr>
                      <w:rStyle w:val="34"/>
                      <w:rFonts w:hint="eastAsia" w:ascii="宋体" w:hAnsi="宋体" w:eastAsia="宋体" w:cs="Times New Roman"/>
                      <w:b/>
                      <w:bCs/>
                      <w:color w:val="auto"/>
                      <w:kern w:val="2"/>
                      <w:sz w:val="18"/>
                      <w:szCs w:val="18"/>
                      <w:highlight w:val="none"/>
                      <w:lang w:val="en-US" w:eastAsia="zh-CN" w:bidi="ar-SA"/>
                    </w:rPr>
                    <w:t>环境风险防控</w:t>
                  </w:r>
                  <w:r>
                    <w:rPr>
                      <w:rStyle w:val="34"/>
                      <w:rFonts w:hint="eastAsia" w:ascii="宋体" w:hAnsi="宋体" w:eastAsia="宋体" w:cs="Times New Roman"/>
                      <w:color w:val="auto"/>
                      <w:kern w:val="2"/>
                      <w:sz w:val="18"/>
                      <w:szCs w:val="18"/>
                      <w:highlight w:val="none"/>
                      <w:lang w:val="en-US" w:eastAsia="zh-CN" w:bidi="ar-SA"/>
                    </w:rPr>
                    <w:t>：</w:t>
                  </w:r>
                </w:p>
                <w:p w14:paraId="17AEC63A">
                  <w:pPr>
                    <w:pStyle w:val="132"/>
                    <w:spacing w:line="240" w:lineRule="auto"/>
                    <w:ind w:firstLine="0" w:firstLineChars="0"/>
                    <w:jc w:val="both"/>
                    <w:rPr>
                      <w:rStyle w:val="34"/>
                      <w:rFonts w:hint="default" w:ascii="宋体" w:hAnsi="宋体" w:eastAsia="宋体" w:cs="Times New Roman"/>
                      <w:color w:val="auto"/>
                      <w:kern w:val="2"/>
                      <w:sz w:val="18"/>
                      <w:szCs w:val="18"/>
                      <w:highlight w:val="none"/>
                      <w:lang w:val="en-US" w:eastAsia="zh-CN" w:bidi="ar-SA"/>
                    </w:rPr>
                  </w:pPr>
                  <w:r>
                    <w:rPr>
                      <w:rStyle w:val="34"/>
                      <w:rFonts w:hint="default" w:ascii="宋体" w:hAnsi="宋体" w:eastAsia="宋体" w:cs="Times New Roman"/>
                      <w:b/>
                      <w:bCs/>
                      <w:color w:val="auto"/>
                      <w:kern w:val="2"/>
                      <w:sz w:val="18"/>
                      <w:szCs w:val="18"/>
                      <w:highlight w:val="none"/>
                      <w:lang w:val="en-US" w:eastAsia="zh-CN" w:bidi="ar-SA"/>
                    </w:rPr>
                    <w:t>企业环境风险防控要求</w:t>
                  </w:r>
                  <w:r>
                    <w:rPr>
                      <w:rStyle w:val="34"/>
                      <w:rFonts w:hint="eastAsia" w:ascii="宋体" w:hAnsi="宋体" w:eastAsia="宋体" w:cs="Times New Roman"/>
                      <w:color w:val="auto"/>
                      <w:kern w:val="2"/>
                      <w:sz w:val="18"/>
                      <w:szCs w:val="18"/>
                      <w:highlight w:val="none"/>
                      <w:lang w:val="en-US" w:eastAsia="zh-CN" w:bidi="ar-SA"/>
                    </w:rPr>
                    <w:t>：</w:t>
                  </w:r>
                </w:p>
                <w:p w14:paraId="47FDE5A7">
                  <w:pPr>
                    <w:pStyle w:val="132"/>
                    <w:spacing w:line="240" w:lineRule="auto"/>
                    <w:ind w:firstLine="0" w:firstLineChars="0"/>
                    <w:jc w:val="both"/>
                    <w:rPr>
                      <w:rStyle w:val="34"/>
                      <w:rFonts w:hint="default" w:ascii="宋体" w:hAnsi="宋体" w:eastAsia="宋体" w:cs="Times New Roman"/>
                      <w:color w:val="auto"/>
                      <w:kern w:val="2"/>
                      <w:sz w:val="18"/>
                      <w:szCs w:val="18"/>
                      <w:highlight w:val="none"/>
                      <w:lang w:val="en-US" w:eastAsia="zh-CN" w:bidi="ar-SA"/>
                    </w:rPr>
                  </w:pPr>
                  <w:r>
                    <w:rPr>
                      <w:rStyle w:val="34"/>
                      <w:rFonts w:hint="default" w:ascii="宋体" w:hAnsi="宋体" w:eastAsia="宋体" w:cs="Times New Roman"/>
                      <w:color w:val="auto"/>
                      <w:kern w:val="2"/>
                      <w:sz w:val="18"/>
                      <w:szCs w:val="18"/>
                      <w:highlight w:val="none"/>
                      <w:lang w:val="en-US" w:eastAsia="zh-CN" w:bidi="ar-SA"/>
                    </w:rPr>
                    <w:t>严控涉危、涉化企业新建，严防环境风险</w:t>
                  </w:r>
                </w:p>
                <w:p w14:paraId="2F9E50AD">
                  <w:pPr>
                    <w:pStyle w:val="132"/>
                    <w:spacing w:line="240" w:lineRule="auto"/>
                    <w:ind w:firstLine="0" w:firstLineChars="0"/>
                    <w:jc w:val="both"/>
                    <w:rPr>
                      <w:rStyle w:val="34"/>
                      <w:rFonts w:hint="default" w:ascii="宋体" w:hAnsi="宋体" w:eastAsia="宋体" w:cs="Times New Roman"/>
                      <w:color w:val="auto"/>
                      <w:kern w:val="2"/>
                      <w:sz w:val="18"/>
                      <w:szCs w:val="18"/>
                      <w:highlight w:val="none"/>
                      <w:lang w:val="en-US" w:eastAsia="zh-CN" w:bidi="ar-SA"/>
                    </w:rPr>
                  </w:pPr>
                  <w:r>
                    <w:rPr>
                      <w:rStyle w:val="34"/>
                      <w:rFonts w:hint="default" w:ascii="宋体" w:hAnsi="宋体" w:eastAsia="宋体" w:cs="Times New Roman"/>
                      <w:b/>
                      <w:bCs/>
                      <w:color w:val="auto"/>
                      <w:kern w:val="2"/>
                      <w:sz w:val="18"/>
                      <w:szCs w:val="18"/>
                      <w:highlight w:val="none"/>
                      <w:lang w:val="en-US" w:eastAsia="zh-CN" w:bidi="ar-SA"/>
                    </w:rPr>
                    <w:t>其他环境风险防控要求</w:t>
                  </w:r>
                  <w:r>
                    <w:rPr>
                      <w:rStyle w:val="34"/>
                      <w:rFonts w:hint="eastAsia" w:ascii="宋体" w:hAnsi="宋体" w:eastAsia="宋体" w:cs="Times New Roman"/>
                      <w:color w:val="auto"/>
                      <w:kern w:val="2"/>
                      <w:sz w:val="18"/>
                      <w:szCs w:val="18"/>
                      <w:highlight w:val="none"/>
                      <w:lang w:val="en-US" w:eastAsia="zh-CN" w:bidi="ar-SA"/>
                    </w:rPr>
                    <w:t>：</w:t>
                  </w:r>
                </w:p>
                <w:p w14:paraId="61E92739">
                  <w:pPr>
                    <w:pStyle w:val="132"/>
                    <w:spacing w:line="240" w:lineRule="auto"/>
                    <w:ind w:firstLine="0" w:firstLineChars="0"/>
                    <w:jc w:val="both"/>
                    <w:rPr>
                      <w:rStyle w:val="34"/>
                      <w:rFonts w:hint="default" w:ascii="宋体" w:hAnsi="宋体" w:eastAsia="宋体" w:cs="Times New Roman"/>
                      <w:color w:val="auto"/>
                      <w:kern w:val="2"/>
                      <w:sz w:val="18"/>
                      <w:szCs w:val="18"/>
                      <w:highlight w:val="none"/>
                      <w:lang w:val="en-US" w:eastAsia="zh-CN" w:bidi="ar-SA"/>
                    </w:rPr>
                  </w:pPr>
                  <w:r>
                    <w:rPr>
                      <w:rStyle w:val="34"/>
                      <w:rFonts w:hint="default" w:ascii="宋体" w:hAnsi="宋体" w:eastAsia="宋体" w:cs="Times New Roman"/>
                      <w:color w:val="auto"/>
                      <w:kern w:val="2"/>
                      <w:sz w:val="18"/>
                      <w:szCs w:val="18"/>
                      <w:highlight w:val="none"/>
                      <w:lang w:val="en-US" w:eastAsia="zh-CN" w:bidi="ar-SA"/>
                    </w:rPr>
                    <w:t>（1）严格执行闭矿后环保措施，进行矿区废弃土地复垦和矿山地质环境破坏区域恢复治理。</w:t>
                  </w:r>
                </w:p>
                <w:p w14:paraId="46824406">
                  <w:pPr>
                    <w:pStyle w:val="132"/>
                    <w:spacing w:line="240" w:lineRule="auto"/>
                    <w:ind w:firstLine="0" w:firstLineChars="0"/>
                    <w:jc w:val="both"/>
                    <w:rPr>
                      <w:rStyle w:val="34"/>
                      <w:rFonts w:hint="default" w:ascii="宋体" w:hAnsi="宋体" w:eastAsia="宋体" w:cs="Times New Roman"/>
                      <w:color w:val="auto"/>
                      <w:kern w:val="2"/>
                      <w:sz w:val="18"/>
                      <w:szCs w:val="18"/>
                      <w:highlight w:val="none"/>
                      <w:lang w:val="en-US" w:eastAsia="zh-CN" w:bidi="ar-SA"/>
                    </w:rPr>
                  </w:pPr>
                  <w:r>
                    <w:rPr>
                      <w:rStyle w:val="34"/>
                      <w:rFonts w:hint="default" w:ascii="宋体" w:hAnsi="宋体" w:eastAsia="宋体" w:cs="Times New Roman"/>
                      <w:color w:val="auto"/>
                      <w:kern w:val="2"/>
                      <w:sz w:val="18"/>
                      <w:szCs w:val="18"/>
                      <w:highlight w:val="none"/>
                      <w:lang w:val="en-US" w:eastAsia="zh-CN" w:bidi="ar-SA"/>
                    </w:rPr>
                    <w:t>（2）其他执行甘孜州一般管控单元总体准入要求。</w:t>
                  </w:r>
                </w:p>
              </w:tc>
              <w:tc>
                <w:tcPr>
                  <w:tcW w:w="1707" w:type="dxa"/>
                  <w:tcBorders>
                    <w:tl2br w:val="nil"/>
                    <w:tr2bl w:val="nil"/>
                  </w:tcBorders>
                  <w:noWrap w:val="0"/>
                  <w:vAlign w:val="center"/>
                </w:tcPr>
                <w:p w14:paraId="5DD4FCB7">
                  <w:pPr>
                    <w:pStyle w:val="132"/>
                    <w:spacing w:line="240" w:lineRule="auto"/>
                    <w:ind w:firstLine="0" w:firstLineChars="0"/>
                    <w:jc w:val="left"/>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项目不属于化工项目，厂内化学品的风险值Pi远低于1，设置有事故应急池。</w:t>
                  </w:r>
                </w:p>
              </w:tc>
              <w:tc>
                <w:tcPr>
                  <w:tcW w:w="495" w:type="dxa"/>
                  <w:tcBorders>
                    <w:tl2br w:val="nil"/>
                    <w:tr2bl w:val="nil"/>
                  </w:tcBorders>
                  <w:noWrap w:val="0"/>
                  <w:vAlign w:val="center"/>
                </w:tcPr>
                <w:p w14:paraId="70E08E29">
                  <w:pPr>
                    <w:pStyle w:val="132"/>
                    <w:spacing w:line="240" w:lineRule="auto"/>
                    <w:ind w:firstLine="0" w:firstLineChars="0"/>
                    <w:jc w:val="both"/>
                    <w:rPr>
                      <w:rFonts w:hint="eastAsia" w:cs="Times New Roman"/>
                      <w:color w:val="auto"/>
                      <w:sz w:val="18"/>
                      <w:szCs w:val="18"/>
                      <w:highlight w:val="none"/>
                      <w:lang w:val="en-US" w:eastAsia="zh-CN" w:bidi="ar-SA"/>
                    </w:rPr>
                  </w:pPr>
                </w:p>
                <w:p w14:paraId="724E342E">
                  <w:pPr>
                    <w:pStyle w:val="132"/>
                    <w:spacing w:line="240" w:lineRule="auto"/>
                    <w:ind w:firstLine="0" w:firstLineChars="0"/>
                    <w:jc w:val="both"/>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符合</w:t>
                  </w:r>
                </w:p>
              </w:tc>
            </w:tr>
            <w:tr w14:paraId="47E37D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7" w:type="dxa"/>
                  <w:vMerge w:val="continue"/>
                  <w:tcBorders>
                    <w:tl2br w:val="nil"/>
                    <w:tr2bl w:val="nil"/>
                  </w:tcBorders>
                  <w:noWrap w:val="0"/>
                  <w:vAlign w:val="center"/>
                </w:tcPr>
                <w:p w14:paraId="57525375">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98" w:type="dxa"/>
                  <w:vMerge w:val="continue"/>
                  <w:tcBorders>
                    <w:tl2br w:val="nil"/>
                    <w:tr2bl w:val="nil"/>
                  </w:tcBorders>
                  <w:noWrap w:val="0"/>
                  <w:vAlign w:val="center"/>
                </w:tcPr>
                <w:p w14:paraId="4B5800B9">
                  <w:pPr>
                    <w:pStyle w:val="86"/>
                    <w:widowControl/>
                    <w:spacing w:line="240" w:lineRule="auto"/>
                    <w:ind w:firstLine="0" w:firstLineChars="0"/>
                    <w:jc w:val="center"/>
                    <w:rPr>
                      <w:rStyle w:val="34"/>
                      <w:rFonts w:hint="eastAsia" w:ascii="Times New Roman" w:hAnsi="Times New Roman" w:eastAsia="宋体" w:cs="Times New Roman"/>
                      <w:color w:val="auto"/>
                      <w:kern w:val="2"/>
                      <w:sz w:val="18"/>
                      <w:szCs w:val="18"/>
                      <w:highlight w:val="none"/>
                      <w:lang w:val="en-US" w:eastAsia="zh-CN" w:bidi="ar-SA"/>
                    </w:rPr>
                  </w:pPr>
                </w:p>
              </w:tc>
              <w:tc>
                <w:tcPr>
                  <w:tcW w:w="6584" w:type="dxa"/>
                  <w:vMerge w:val="continue"/>
                  <w:tcBorders>
                    <w:tl2br w:val="nil"/>
                    <w:tr2bl w:val="nil"/>
                  </w:tcBorders>
                  <w:noWrap w:val="0"/>
                  <w:vAlign w:val="top"/>
                </w:tcPr>
                <w:p w14:paraId="4F8BF2F2">
                  <w:pPr>
                    <w:pStyle w:val="132"/>
                    <w:spacing w:line="240" w:lineRule="auto"/>
                    <w:ind w:firstLine="0" w:firstLineChars="0"/>
                    <w:jc w:val="both"/>
                    <w:rPr>
                      <w:rFonts w:hint="default" w:ascii="Times New Roman" w:hAnsi="Times New Roman" w:eastAsia="宋体" w:cs="Times New Roman"/>
                      <w:color w:val="auto"/>
                      <w:sz w:val="18"/>
                      <w:szCs w:val="18"/>
                      <w:highlight w:val="none"/>
                      <w:lang w:val="en-US" w:eastAsia="zh-CN" w:bidi="ar-SA"/>
                    </w:rPr>
                  </w:pPr>
                </w:p>
              </w:tc>
              <w:tc>
                <w:tcPr>
                  <w:tcW w:w="2253" w:type="dxa"/>
                  <w:tcBorders>
                    <w:tl2br w:val="nil"/>
                    <w:tr2bl w:val="nil"/>
                  </w:tcBorders>
                  <w:noWrap w:val="0"/>
                  <w:vAlign w:val="center"/>
                </w:tcPr>
                <w:p w14:paraId="5E13DC96">
                  <w:pPr>
                    <w:pStyle w:val="132"/>
                    <w:spacing w:line="240" w:lineRule="auto"/>
                    <w:ind w:firstLine="0" w:firstLineChars="0"/>
                    <w:jc w:val="both"/>
                    <w:rPr>
                      <w:rFonts w:hint="eastAsia" w:ascii="Times New Roman" w:hAnsi="Times New Roman" w:cs="Times New Roman"/>
                      <w:b/>
                      <w:bCs/>
                      <w:color w:val="auto"/>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bidi="ar-SA"/>
                    </w:rPr>
                    <w:t>资源开发效率要求</w:t>
                  </w:r>
                  <w:r>
                    <w:rPr>
                      <w:rFonts w:hint="eastAsia" w:ascii="Times New Roman" w:hAnsi="Times New Roman" w:cs="Times New Roman"/>
                      <w:b/>
                      <w:bCs/>
                      <w:color w:val="auto"/>
                      <w:sz w:val="18"/>
                      <w:szCs w:val="18"/>
                      <w:highlight w:val="none"/>
                      <w:lang w:val="en-US" w:eastAsia="zh-CN" w:bidi="ar-SA"/>
                    </w:rPr>
                    <w:t>：</w:t>
                  </w:r>
                </w:p>
                <w:p w14:paraId="50684E82">
                  <w:pPr>
                    <w:pStyle w:val="132"/>
                    <w:spacing w:line="240" w:lineRule="auto"/>
                    <w:ind w:firstLine="0" w:firstLineChars="0"/>
                    <w:jc w:val="both"/>
                    <w:rPr>
                      <w:rFonts w:hint="default" w:ascii="Times New Roman" w:hAnsi="Times New Roman" w:cs="Times New Roman"/>
                      <w:b/>
                      <w:bCs/>
                      <w:color w:val="auto"/>
                      <w:sz w:val="18"/>
                      <w:szCs w:val="18"/>
                      <w:highlight w:val="none"/>
                      <w:lang w:val="en-US" w:eastAsia="zh-CN" w:bidi="ar-SA"/>
                    </w:rPr>
                  </w:pPr>
                  <w:r>
                    <w:rPr>
                      <w:rFonts w:hint="eastAsia" w:ascii="Times New Roman" w:hAnsi="Times New Roman" w:cs="Times New Roman"/>
                      <w:b/>
                      <w:bCs/>
                      <w:color w:val="auto"/>
                      <w:sz w:val="18"/>
                      <w:szCs w:val="18"/>
                      <w:highlight w:val="none"/>
                      <w:lang w:val="en-US" w:eastAsia="zh-CN" w:bidi="ar-SA"/>
                    </w:rPr>
                    <w:t>无</w:t>
                  </w:r>
                </w:p>
              </w:tc>
              <w:tc>
                <w:tcPr>
                  <w:tcW w:w="1707" w:type="dxa"/>
                  <w:tcBorders>
                    <w:tl2br w:val="nil"/>
                    <w:tr2bl w:val="nil"/>
                  </w:tcBorders>
                  <w:noWrap w:val="0"/>
                  <w:vAlign w:val="center"/>
                </w:tcPr>
                <w:p w14:paraId="77E5C7E7">
                  <w:pPr>
                    <w:pStyle w:val="132"/>
                    <w:spacing w:line="240" w:lineRule="auto"/>
                    <w:ind w:firstLine="0" w:firstLineChars="0"/>
                    <w:jc w:val="left"/>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c>
                <w:tcPr>
                  <w:tcW w:w="495" w:type="dxa"/>
                  <w:tcBorders>
                    <w:tl2br w:val="nil"/>
                    <w:tr2bl w:val="nil"/>
                  </w:tcBorders>
                  <w:noWrap w:val="0"/>
                  <w:vAlign w:val="center"/>
                </w:tcPr>
                <w:p w14:paraId="63E8FEDC">
                  <w:pPr>
                    <w:pStyle w:val="132"/>
                    <w:spacing w:line="240" w:lineRule="auto"/>
                    <w:ind w:firstLine="0" w:firstLineChars="0"/>
                    <w:jc w:val="both"/>
                    <w:rPr>
                      <w:rFonts w:hint="default"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w:t>
                  </w:r>
                </w:p>
              </w:tc>
            </w:tr>
          </w:tbl>
          <w:p w14:paraId="04D1A435">
            <w:pPr>
              <w:adjustRightInd w:val="0"/>
              <w:snapToGrid w:val="0"/>
              <w:spacing w:line="360" w:lineRule="auto"/>
              <w:ind w:firstLine="480" w:firstLineChars="200"/>
              <w:rPr>
                <w:rFonts w:hint="eastAsia" w:cs="Times New Roman"/>
                <w:color w:val="auto"/>
                <w:highlight w:val="none"/>
                <w:lang w:val="en-US" w:eastAsia="zh-CN"/>
              </w:rPr>
            </w:pPr>
          </w:p>
          <w:p w14:paraId="0FD45497">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综上，本项目满足分区管控要求。</w:t>
            </w:r>
          </w:p>
        </w:tc>
      </w:tr>
    </w:tbl>
    <w:p w14:paraId="3EDF795B">
      <w:pPr>
        <w:pStyle w:val="12"/>
        <w:ind w:firstLine="360"/>
        <w:rPr>
          <w:rFonts w:hint="default" w:ascii="Times New Roman" w:hAnsi="Times New Roman" w:eastAsia="宋体" w:cs="Times New Roman"/>
          <w:color w:val="auto"/>
          <w:highlight w:val="none"/>
        </w:rPr>
        <w:sectPr>
          <w:pgSz w:w="16838" w:h="11906" w:orient="landscape"/>
          <w:pgMar w:top="1803" w:right="1440" w:bottom="1803" w:left="1440" w:header="851" w:footer="1077" w:gutter="0"/>
          <w:pgBorders>
            <w:top w:val="none" w:sz="0" w:space="0"/>
            <w:left w:val="none" w:sz="0" w:space="0"/>
            <w:bottom w:val="none" w:sz="0" w:space="0"/>
            <w:right w:val="none" w:sz="0" w:space="0"/>
          </w:pgBorders>
          <w:pgNumType w:fmt="decimal"/>
          <w:cols w:space="720" w:num="1"/>
          <w:docGrid w:linePitch="312" w:charSpace="0"/>
        </w:sectPr>
      </w:pPr>
    </w:p>
    <w:tbl>
      <w:tblPr>
        <w:tblStyle w:val="32"/>
        <w:tblW w:w="907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8038"/>
      </w:tblGrid>
      <w:tr w14:paraId="36A74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39" w:hRule="atLeast"/>
          <w:jc w:val="center"/>
        </w:trPr>
        <w:tc>
          <w:tcPr>
            <w:tcW w:w="1186" w:type="dxa"/>
            <w:vAlign w:val="center"/>
          </w:tcPr>
          <w:p w14:paraId="08CA1048">
            <w:pPr>
              <w:autoSpaceDE w:val="0"/>
              <w:autoSpaceDN w:val="0"/>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其他符合性分析</w:t>
            </w:r>
          </w:p>
        </w:tc>
        <w:tc>
          <w:tcPr>
            <w:tcW w:w="7888" w:type="dxa"/>
            <w:vAlign w:val="center"/>
          </w:tcPr>
          <w:p w14:paraId="3D8D799A">
            <w:pPr>
              <w:pStyle w:val="27"/>
              <w:widowControl w:val="0"/>
              <w:numPr>
                <w:ilvl w:val="0"/>
                <w:numId w:val="0"/>
              </w:numPr>
              <w:autoSpaceDE w:val="0"/>
              <w:spacing w:before="0" w:beforeAutospacing="0" w:after="0" w:afterAutospacing="0" w:line="360" w:lineRule="auto"/>
              <w:ind w:firstLine="0" w:firstLineChars="0"/>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b/>
                <w:bCs/>
                <w:color w:val="auto"/>
                <w:kern w:val="0"/>
                <w:sz w:val="24"/>
                <w:szCs w:val="24"/>
                <w:lang w:val="en-US" w:eastAsia="zh-CN" w:bidi="ar-SA"/>
              </w:rPr>
              <w:t>1</w:t>
            </w:r>
            <w:r>
              <w:rPr>
                <w:rFonts w:hint="eastAsia" w:ascii="Times New Roman" w:hAnsi="Times New Roman" w:cs="Times New Roman"/>
                <w:b/>
                <w:bCs/>
                <w:color w:val="auto"/>
                <w:kern w:val="0"/>
                <w:sz w:val="24"/>
                <w:szCs w:val="24"/>
                <w:lang w:val="en-US" w:eastAsia="zh-CN" w:bidi="ar-SA"/>
              </w:rPr>
              <w:t>3</w:t>
            </w:r>
            <w:r>
              <w:rPr>
                <w:rFonts w:hint="default" w:ascii="Times New Roman" w:hAnsi="Times New Roman" w:eastAsia="宋体" w:cs="Times New Roman"/>
                <w:b/>
                <w:bCs/>
                <w:color w:val="auto"/>
                <w:kern w:val="0"/>
                <w:sz w:val="24"/>
                <w:szCs w:val="24"/>
                <w:lang w:val="en-US" w:eastAsia="zh-CN" w:bidi="ar-SA"/>
              </w:rPr>
              <w:t>、</w:t>
            </w:r>
            <w:r>
              <w:rPr>
                <w:rFonts w:hint="default" w:ascii="Times New Roman" w:hAnsi="Times New Roman" w:eastAsia="宋体" w:cs="Times New Roman"/>
                <w:b/>
                <w:bCs/>
                <w:color w:val="auto"/>
                <w:szCs w:val="24"/>
                <w:highlight w:val="none"/>
              </w:rPr>
              <w:t>与</w:t>
            </w:r>
            <w:r>
              <w:rPr>
                <w:rFonts w:hint="eastAsia" w:ascii="Times New Roman" w:hAnsi="Times New Roman" w:cs="Times New Roman"/>
                <w:b/>
                <w:bCs/>
                <w:color w:val="auto"/>
                <w:szCs w:val="24"/>
                <w:highlight w:val="none"/>
                <w:lang w:eastAsia="zh-CN"/>
              </w:rPr>
              <w:t>《</w:t>
            </w:r>
            <w:r>
              <w:rPr>
                <w:rFonts w:hint="eastAsia" w:ascii="Times New Roman" w:hAnsi="Times New Roman" w:cs="Times New Roman"/>
                <w:b/>
                <w:bCs/>
                <w:color w:val="auto"/>
                <w:szCs w:val="24"/>
                <w:highlight w:val="none"/>
                <w:lang w:val="en-US" w:eastAsia="zh-CN"/>
              </w:rPr>
              <w:t>贡嘎山风景名胜区总体规划（2021-2035年）</w:t>
            </w:r>
            <w:r>
              <w:rPr>
                <w:rFonts w:hint="eastAsia" w:ascii="Times New Roman" w:hAnsi="Times New Roman" w:cs="Times New Roman"/>
                <w:b/>
                <w:bCs/>
                <w:color w:val="auto"/>
                <w:szCs w:val="24"/>
                <w:highlight w:val="none"/>
                <w:lang w:eastAsia="zh-CN"/>
              </w:rPr>
              <w:t>》</w:t>
            </w:r>
            <w:r>
              <w:rPr>
                <w:rFonts w:hint="default" w:ascii="Times New Roman" w:hAnsi="Times New Roman" w:eastAsia="宋体" w:cs="Times New Roman"/>
                <w:b/>
                <w:bCs/>
                <w:color w:val="auto"/>
                <w:szCs w:val="24"/>
                <w:highlight w:val="none"/>
              </w:rPr>
              <w:t>的符合性分析</w:t>
            </w:r>
          </w:p>
          <w:p w14:paraId="70200112">
            <w:pPr>
              <w:pStyle w:val="27"/>
              <w:widowControl w:val="0"/>
              <w:numPr>
                <w:ilvl w:val="-1"/>
                <w:numId w:val="0"/>
              </w:numPr>
              <w:autoSpaceDE/>
              <w:spacing w:before="0" w:beforeAutospacing="0" w:after="0" w:afterAutospacing="0" w:line="360" w:lineRule="auto"/>
              <w:ind w:firstLine="480" w:firstLineChars="200"/>
              <w:rPr>
                <w:rFonts w:hint="default" w:ascii="Times New Roman" w:hAnsi="Times New Roman" w:cs="Times New Roman"/>
                <w:b w:val="0"/>
                <w:bCs w:val="0"/>
                <w:color w:val="auto"/>
                <w:szCs w:val="24"/>
                <w:highlight w:val="none"/>
                <w:lang w:val="en-US" w:eastAsia="zh-CN"/>
              </w:rPr>
            </w:pPr>
            <w:r>
              <w:rPr>
                <w:rFonts w:hint="eastAsia" w:ascii="Times New Roman" w:hAnsi="Times New Roman" w:cs="Times New Roman"/>
                <w:b w:val="0"/>
                <w:bCs w:val="0"/>
                <w:color w:val="auto"/>
                <w:szCs w:val="24"/>
                <w:highlight w:val="none"/>
                <w:lang w:val="en-US" w:eastAsia="zh-CN"/>
              </w:rPr>
              <w:t>本项目占地不涉及贡嘎山风景名胜区，但厂界距离东侧贡嘎山风景名胜区一般控制区最近距离约155m，距离西侧风景名胜区一般控制区最近距离约700m，距离西侧风景名胜区核心区最近距离约3km。因此，项目500m评价范围内涉及风景名胜区一般控制区（即三级保护区）。本环评将分析项目与《贡嘎山风景名胜区总体规划（2021-2035年）》三级保护区相关管控要求的符合性，见下表。分析可知，项目与《贡嘎山风景名胜区总体规划（2021-2035年）》中三级保护区相关管控要求相符合。</w:t>
            </w:r>
          </w:p>
          <w:p w14:paraId="7AD448DA">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项目与《贡嘎山风景名胜区总体规划（2021-2035年）》的相符性分析</w:t>
            </w:r>
          </w:p>
          <w:tbl>
            <w:tblPr>
              <w:tblStyle w:val="33"/>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87"/>
              <w:gridCol w:w="2657"/>
              <w:gridCol w:w="1074"/>
            </w:tblGrid>
            <w:tr w14:paraId="4A163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7" w:type="dxa"/>
                  <w:vAlign w:val="center"/>
                </w:tcPr>
                <w:p w14:paraId="2A5F7571">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贡嘎山风景名胜区总体规划中三级保护区相关管控要求</w:t>
                  </w:r>
                </w:p>
              </w:tc>
              <w:tc>
                <w:tcPr>
                  <w:tcW w:w="2657" w:type="dxa"/>
                  <w:vAlign w:val="center"/>
                </w:tcPr>
                <w:p w14:paraId="0CEE777B">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本项目情况</w:t>
                  </w:r>
                </w:p>
              </w:tc>
              <w:tc>
                <w:tcPr>
                  <w:tcW w:w="1074" w:type="dxa"/>
                  <w:tcBorders>
                    <w:right w:val="nil"/>
                  </w:tcBorders>
                  <w:vAlign w:val="center"/>
                </w:tcPr>
                <w:p w14:paraId="21F745DE">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符合性分析</w:t>
                  </w:r>
                </w:p>
              </w:tc>
            </w:tr>
            <w:tr w14:paraId="204FC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7" w:type="dxa"/>
                  <w:tcBorders>
                    <w:left w:val="nil"/>
                  </w:tcBorders>
                  <w:vAlign w:val="center"/>
                </w:tcPr>
                <w:p w14:paraId="321E4D36">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bCs/>
                      <w:color w:val="auto"/>
                      <w:kern w:val="0"/>
                      <w:sz w:val="21"/>
                      <w:szCs w:val="21"/>
                      <w:highlight w:val="none"/>
                      <w:vertAlign w:val="baseline"/>
                      <w:lang w:val="en-US" w:eastAsia="zh-CN" w:bidi="ar-SA"/>
                    </w:rPr>
                    <w:t>三级保护区（控制建设区）</w:t>
                  </w:r>
                  <w:r>
                    <w:rPr>
                      <w:rFonts w:hint="eastAsia" w:ascii="Times New Roman" w:hAnsi="Times New Roman" w:cs="Times New Roman"/>
                      <w:b w:val="0"/>
                      <w:bCs w:val="0"/>
                      <w:color w:val="auto"/>
                      <w:kern w:val="0"/>
                      <w:sz w:val="21"/>
                      <w:szCs w:val="21"/>
                      <w:highlight w:val="none"/>
                      <w:vertAlign w:val="baseline"/>
                      <w:lang w:val="en-US" w:eastAsia="zh-CN" w:bidi="ar-SA"/>
                    </w:rPr>
                    <w:t>：</w:t>
                  </w:r>
                </w:p>
                <w:p w14:paraId="77D5F548">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bCs/>
                      <w:color w:val="auto"/>
                      <w:kern w:val="0"/>
                      <w:sz w:val="21"/>
                      <w:szCs w:val="21"/>
                      <w:highlight w:val="none"/>
                      <w:vertAlign w:val="baseline"/>
                      <w:lang w:val="en-US" w:eastAsia="zh-CN" w:bidi="ar-SA"/>
                    </w:rPr>
                    <w:t>范围</w:t>
                  </w:r>
                  <w:r>
                    <w:rPr>
                      <w:rFonts w:hint="eastAsia" w:ascii="Times New Roman" w:hAnsi="Times New Roman" w:cs="Times New Roman"/>
                      <w:b w:val="0"/>
                      <w:bCs w:val="0"/>
                      <w:color w:val="auto"/>
                      <w:kern w:val="0"/>
                      <w:sz w:val="21"/>
                      <w:szCs w:val="21"/>
                      <w:highlight w:val="none"/>
                      <w:vertAlign w:val="baseline"/>
                      <w:lang w:val="en-US" w:eastAsia="zh-CN" w:bidi="ar-SA"/>
                    </w:rPr>
                    <w:t>：除一级、二级保护区以外的其他区域，主要为居民生产生活集中区域及开发利用强度较高的区域，面积3989.43平方公里，占风景区总面积的42.44%。该区包括发展控制区、旅游服务区和部分风景恢复区。</w:t>
                  </w:r>
                </w:p>
                <w:p w14:paraId="3CD15147">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bCs/>
                      <w:color w:val="auto"/>
                      <w:kern w:val="0"/>
                      <w:sz w:val="21"/>
                      <w:szCs w:val="21"/>
                      <w:highlight w:val="none"/>
                      <w:vertAlign w:val="baseline"/>
                      <w:lang w:val="en-US" w:eastAsia="zh-CN" w:bidi="ar-SA"/>
                    </w:rPr>
                    <w:t>保护要求</w:t>
                  </w:r>
                  <w:r>
                    <w:rPr>
                      <w:rFonts w:hint="eastAsia" w:ascii="Times New Roman" w:hAnsi="Times New Roman" w:cs="Times New Roman"/>
                      <w:b w:val="0"/>
                      <w:bCs w:val="0"/>
                      <w:color w:val="auto"/>
                      <w:kern w:val="0"/>
                      <w:sz w:val="21"/>
                      <w:szCs w:val="21"/>
                      <w:highlight w:val="none"/>
                      <w:vertAlign w:val="baseline"/>
                      <w:lang w:val="en-US" w:eastAsia="zh-CN" w:bidi="ar-SA"/>
                    </w:rPr>
                    <w:t>：</w:t>
                  </w:r>
                </w:p>
                <w:p w14:paraId="1845BBC3">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按照国土空间规划调整区内原有土地利用方式与形态，合理安排旅游服务设施和相关建设；</w:t>
                  </w:r>
                </w:p>
                <w:p w14:paraId="28119964">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游览设施相对集中等涉及较多建设活动的区域，编制详细规划并经有关部门批准，设施建设需编制影响评估报告并经有关部门批准后实施；</w:t>
                  </w:r>
                </w:p>
                <w:p w14:paraId="083A02DD">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区内建设应控制建设功能、建设规模、建设强度、建筑布局、建筑高度和形式等，并与周边自然环境和历史文化特色相协调；保持文物古迹和景观的完整性与原真性，不得擅自重建、改建、迁移和拆除；</w:t>
                  </w:r>
                </w:p>
                <w:p w14:paraId="7A41A5AE">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保护原住居民生产、生活场所和设施，控制居民设施布局和规模，引导散居居民聚居。</w:t>
                  </w:r>
                </w:p>
              </w:tc>
              <w:tc>
                <w:tcPr>
                  <w:tcW w:w="2657" w:type="dxa"/>
                  <w:vAlign w:val="center"/>
                </w:tcPr>
                <w:p w14:paraId="35D60B4B">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本项目距离三级保护区最近距离约155m（海拔较本项目高50m），不涉及占用风景名胜区土地。</w:t>
                  </w:r>
                </w:p>
                <w:p w14:paraId="3C2457A4">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eastAsia"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项目占地为林地，已经县级主管部门预审通过转报上一级主管部门。</w:t>
                  </w:r>
                </w:p>
                <w:p w14:paraId="4F993C82">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default" w:ascii="Times New Roman" w:hAnsi="Times New Roman"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项目周边为磨岗岭村，受人为影响深远。</w:t>
                  </w:r>
                </w:p>
                <w:p w14:paraId="591A5E84">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环评要求，项目应控制施工范围在厂界内，不得无故上至风景名胜区；项目营运期运输路线和活动范围不涉及风景名胜区，其建设风格应与周边环境相容，营运期工作人员不得无故至风景名胜区范围内进行伐木等破坏活动；项目不设置无害化处理设施，不设置焚烧排气筒，仅排放的恶臭气体经收集处理后排放，排放量很小，不会对风景名胜区一般控制区（三级保护区）造成不利影响。</w:t>
                  </w:r>
                </w:p>
              </w:tc>
              <w:tc>
                <w:tcPr>
                  <w:tcW w:w="1074" w:type="dxa"/>
                  <w:tcBorders>
                    <w:right w:val="nil"/>
                  </w:tcBorders>
                  <w:vAlign w:val="center"/>
                </w:tcPr>
                <w:p w14:paraId="0C16AB3B">
                  <w:pPr>
                    <w:pStyle w:val="27"/>
                    <w:keepNext w:val="0"/>
                    <w:keepLines w:val="0"/>
                    <w:pageBreakBefore w:val="0"/>
                    <w:widowControl w:val="0"/>
                    <w:numPr>
                      <w:ilvl w:val="-1"/>
                      <w:numId w:val="0"/>
                    </w:numPr>
                    <w:kinsoku/>
                    <w:wordWrap w:val="0"/>
                    <w:overflowPunct/>
                    <w:topLinePunct w:val="0"/>
                    <w:autoSpaceDE w:val="0"/>
                    <w:autoSpaceDN/>
                    <w:bidi w:val="0"/>
                    <w:adjustRightInd/>
                    <w:snapToGrid/>
                    <w:spacing w:before="0" w:beforeAutospacing="0" w:after="0" w:afterAutospacing="0"/>
                    <w:jc w:val="both"/>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相符合</w:t>
                  </w:r>
                </w:p>
              </w:tc>
            </w:tr>
          </w:tbl>
          <w:p w14:paraId="1942B24E">
            <w:pPr>
              <w:spacing w:line="360" w:lineRule="auto"/>
              <w:rPr>
                <w:rFonts w:hint="default" w:ascii="Times New Roman" w:hAnsi="Times New Roman" w:eastAsia="宋体" w:cs="Times New Roman"/>
                <w:b/>
                <w:bCs/>
                <w:color w:val="auto"/>
                <w:highlight w:val="none"/>
              </w:rPr>
            </w:pPr>
            <w:r>
              <w:rPr>
                <w:rFonts w:hint="eastAsia" w:cs="Times New Roman"/>
                <w:b/>
                <w:bCs/>
                <w:color w:val="auto"/>
                <w:highlight w:val="none"/>
                <w:lang w:val="en-US" w:eastAsia="zh-CN"/>
              </w:rPr>
              <w:t>14、</w:t>
            </w:r>
            <w:r>
              <w:rPr>
                <w:rFonts w:hint="default" w:ascii="Times New Roman" w:hAnsi="Times New Roman" w:eastAsia="宋体" w:cs="Times New Roman"/>
                <w:b/>
                <w:bCs/>
                <w:color w:val="auto"/>
                <w:highlight w:val="none"/>
              </w:rPr>
              <w:t>项目选址</w:t>
            </w:r>
            <w:r>
              <w:rPr>
                <w:rFonts w:hint="eastAsia" w:cs="Times New Roman"/>
                <w:b/>
                <w:bCs/>
                <w:color w:val="auto"/>
                <w:highlight w:val="none"/>
                <w:lang w:val="en-US" w:eastAsia="zh-CN"/>
              </w:rPr>
              <w:t>方案比选及</w:t>
            </w:r>
            <w:r>
              <w:rPr>
                <w:rFonts w:hint="default" w:ascii="Times New Roman" w:hAnsi="Times New Roman" w:eastAsia="宋体" w:cs="Times New Roman"/>
                <w:b/>
                <w:bCs/>
                <w:color w:val="auto"/>
                <w:highlight w:val="none"/>
              </w:rPr>
              <w:t>与外环境相容性分析</w:t>
            </w:r>
          </w:p>
          <w:p w14:paraId="64EA2D4E">
            <w:pPr>
              <w:adjustRightInd w:val="0"/>
              <w:snapToGrid w:val="0"/>
              <w:spacing w:line="360" w:lineRule="auto"/>
              <w:ind w:firstLine="482" w:firstLineChars="200"/>
              <w:rPr>
                <w:rFonts w:hint="eastAsia" w:cs="Times New Roman"/>
                <w:b/>
                <w:bCs/>
                <w:color w:val="auto"/>
                <w:kern w:val="0"/>
                <w:highlight w:val="none"/>
                <w:lang w:val="en-US" w:eastAsia="zh-CN"/>
              </w:rPr>
            </w:pPr>
            <w:r>
              <w:rPr>
                <w:rFonts w:hint="default" w:ascii="Times New Roman" w:hAnsi="Times New Roman" w:eastAsia="宋体" w:cs="Times New Roman"/>
                <w:b/>
                <w:bCs/>
                <w:color w:val="auto"/>
                <w:kern w:val="0"/>
                <w:highlight w:val="none"/>
                <w:lang w:val="en-US" w:eastAsia="zh-CN"/>
              </w:rPr>
              <w:t>1</w:t>
            </w:r>
            <w:r>
              <w:rPr>
                <w:rFonts w:hint="eastAsia" w:ascii="Times New Roman" w:hAnsi="Times New Roman" w:eastAsia="宋体" w:cs="Times New Roman"/>
                <w:b/>
                <w:bCs/>
                <w:color w:val="auto"/>
                <w:kern w:val="0"/>
                <w:highlight w:val="none"/>
                <w:lang w:val="en-US" w:eastAsia="zh-CN"/>
              </w:rPr>
              <w:t>）</w:t>
            </w:r>
            <w:r>
              <w:rPr>
                <w:rFonts w:hint="eastAsia" w:cs="Times New Roman"/>
                <w:b/>
                <w:bCs/>
                <w:color w:val="auto"/>
                <w:kern w:val="0"/>
                <w:highlight w:val="none"/>
                <w:lang w:val="en-US" w:eastAsia="zh-CN"/>
              </w:rPr>
              <w:t>项目选址方案比选</w:t>
            </w:r>
          </w:p>
          <w:p w14:paraId="1E102FB1">
            <w:pPr>
              <w:adjustRightInd w:val="0"/>
              <w:snapToGrid w:val="0"/>
              <w:spacing w:line="360" w:lineRule="auto"/>
              <w:ind w:firstLine="480" w:firstLineChars="200"/>
              <w:rPr>
                <w:rFonts w:hint="default" w:cs="Times New Roman"/>
                <w:color w:val="auto"/>
                <w:kern w:val="0"/>
                <w:highlight w:val="none"/>
                <w:lang w:val="en-US" w:eastAsia="zh-CN"/>
              </w:rPr>
            </w:pPr>
            <w:r>
              <w:rPr>
                <w:rFonts w:hint="eastAsia" w:cs="Times New Roman"/>
                <w:color w:val="auto"/>
                <w:kern w:val="0"/>
                <w:highlight w:val="none"/>
                <w:lang w:val="en-US" w:eastAsia="zh-CN"/>
              </w:rPr>
              <w:t>项目开展了前期选址比选，共有3个选址方案。方案一：磨西污水厂附近选址。方案二：贡嘎翔云悬崖选址。方案三：磨岗岭村选址。</w:t>
            </w:r>
          </w:p>
          <w:p w14:paraId="3412DE30">
            <w:pPr>
              <w:adjustRightInd w:val="0"/>
              <w:snapToGrid w:val="0"/>
              <w:spacing w:line="360" w:lineRule="auto"/>
              <w:ind w:firstLine="482" w:firstLineChars="200"/>
              <w:rPr>
                <w:rFonts w:hint="eastAsia" w:cs="Times New Roman"/>
                <w:b w:val="0"/>
                <w:bCs w:val="0"/>
                <w:color w:val="auto"/>
                <w:kern w:val="0"/>
                <w:highlight w:val="none"/>
                <w:lang w:val="en-US" w:eastAsia="zh-CN"/>
              </w:rPr>
            </w:pPr>
            <w:r>
              <w:rPr>
                <w:rFonts w:hint="eastAsia" w:cs="Times New Roman"/>
                <w:b/>
                <w:bCs/>
                <w:color w:val="auto"/>
                <w:kern w:val="0"/>
                <w:highlight w:val="none"/>
                <w:lang w:val="en-US" w:eastAsia="zh-CN"/>
              </w:rPr>
              <w:t>选址方案一</w:t>
            </w:r>
            <w:r>
              <w:rPr>
                <w:rFonts w:hint="eastAsia" w:cs="Times New Roman"/>
                <w:b w:val="0"/>
                <w:bCs w:val="0"/>
                <w:color w:val="auto"/>
                <w:kern w:val="0"/>
                <w:highlight w:val="none"/>
                <w:lang w:val="en-US" w:eastAsia="zh-CN"/>
              </w:rPr>
              <w:t>：选址方案一位于磨西污水厂北侧（经纬度：N29°37′，E102°8′），占地面积约1800m</w:t>
            </w:r>
            <w:r>
              <w:rPr>
                <w:rFonts w:hint="eastAsia" w:cs="Times New Roman"/>
                <w:b w:val="0"/>
                <w:bCs w:val="0"/>
                <w:color w:val="auto"/>
                <w:kern w:val="0"/>
                <w:highlight w:val="none"/>
                <w:vertAlign w:val="superscript"/>
                <w:lang w:val="en-US" w:eastAsia="zh-CN"/>
              </w:rPr>
              <w:t>2</w:t>
            </w:r>
            <w:r>
              <w:rPr>
                <w:rFonts w:hint="eastAsia" w:cs="Times New Roman"/>
                <w:b w:val="0"/>
                <w:bCs w:val="0"/>
                <w:color w:val="auto"/>
                <w:kern w:val="0"/>
                <w:highlight w:val="none"/>
                <w:lang w:val="en-US" w:eastAsia="zh-CN"/>
              </w:rPr>
              <w:t>，选址位置处卫星地图和照片详见图1-3。选址方案一交通较为方便，处于场镇下风向，废水委托处理的运输距离很近（也可以修建管道），但该选址涉及基本农田，因此该方案不可行。</w:t>
            </w:r>
          </w:p>
          <w:p w14:paraId="5E991D20">
            <w:pPr>
              <w:adjustRightInd w:val="0"/>
              <w:snapToGrid w:val="0"/>
              <w:spacing w:line="360" w:lineRule="auto"/>
              <w:ind w:firstLine="482" w:firstLineChars="200"/>
              <w:rPr>
                <w:rFonts w:hint="default" w:cs="Times New Roman"/>
                <w:b w:val="0"/>
                <w:bCs w:val="0"/>
                <w:color w:val="auto"/>
                <w:kern w:val="0"/>
                <w:highlight w:val="none"/>
                <w:lang w:val="en-US" w:eastAsia="zh-CN"/>
              </w:rPr>
            </w:pPr>
            <w:r>
              <w:rPr>
                <w:rFonts w:hint="eastAsia" w:cs="Times New Roman"/>
                <w:b/>
                <w:bCs/>
                <w:color w:val="auto"/>
                <w:kern w:val="0"/>
                <w:highlight w:val="none"/>
                <w:lang w:val="en-US" w:eastAsia="zh-CN"/>
              </w:rPr>
              <w:t>选址方案二</w:t>
            </w:r>
            <w:r>
              <w:rPr>
                <w:rFonts w:hint="eastAsia" w:cs="Times New Roman"/>
                <w:b w:val="0"/>
                <w:bCs w:val="0"/>
                <w:color w:val="auto"/>
                <w:kern w:val="0"/>
                <w:highlight w:val="none"/>
                <w:lang w:val="en-US" w:eastAsia="zh-CN"/>
              </w:rPr>
              <w:t>：贡嘎翔云悬崖选址（经纬度：N29°38′，E102°7′），该选址位于磨西场镇西侧的海拔较高处，占地面积约1850m</w:t>
            </w:r>
            <w:r>
              <w:rPr>
                <w:rFonts w:hint="eastAsia" w:cs="Times New Roman"/>
                <w:b w:val="0"/>
                <w:bCs w:val="0"/>
                <w:color w:val="auto"/>
                <w:kern w:val="0"/>
                <w:highlight w:val="none"/>
                <w:vertAlign w:val="superscript"/>
                <w:lang w:val="en-US" w:eastAsia="zh-CN"/>
              </w:rPr>
              <w:t>2</w:t>
            </w:r>
            <w:r>
              <w:rPr>
                <w:rFonts w:hint="eastAsia" w:cs="Times New Roman"/>
                <w:b w:val="0"/>
                <w:bCs w:val="0"/>
                <w:color w:val="auto"/>
                <w:kern w:val="0"/>
                <w:highlight w:val="none"/>
                <w:lang w:val="en-US" w:eastAsia="zh-CN"/>
              </w:rPr>
              <w:t>。选址方案二距离磨西场镇较远，且海拔相对较高，交通运输距离稍长，不处于场镇的上风向，且废水运输距离较长，该选址涉及基本农田，因此该方案不可行。</w:t>
            </w:r>
          </w:p>
          <w:p w14:paraId="25B9AC58">
            <w:pPr>
              <w:adjustRightInd w:val="0"/>
              <w:snapToGrid w:val="0"/>
              <w:spacing w:line="360" w:lineRule="auto"/>
              <w:ind w:firstLine="482" w:firstLineChars="200"/>
              <w:rPr>
                <w:rFonts w:hint="eastAsia" w:cs="Times New Roman"/>
                <w:b w:val="0"/>
                <w:bCs w:val="0"/>
                <w:color w:val="auto"/>
                <w:kern w:val="0"/>
                <w:highlight w:val="none"/>
                <w:lang w:val="en-US" w:eastAsia="zh-CN"/>
              </w:rPr>
            </w:pPr>
            <w:r>
              <w:rPr>
                <w:rFonts w:hint="eastAsia" w:cs="Times New Roman"/>
                <w:b/>
                <w:bCs/>
                <w:color w:val="auto"/>
                <w:kern w:val="0"/>
                <w:highlight w:val="none"/>
                <w:lang w:val="en-US" w:eastAsia="zh-CN"/>
              </w:rPr>
              <w:t>选址方案三</w:t>
            </w:r>
            <w:r>
              <w:rPr>
                <w:rFonts w:hint="eastAsia" w:cs="Times New Roman"/>
                <w:b w:val="0"/>
                <w:bCs w:val="0"/>
                <w:color w:val="auto"/>
                <w:kern w:val="0"/>
                <w:highlight w:val="none"/>
                <w:lang w:val="en-US" w:eastAsia="zh-CN"/>
              </w:rPr>
              <w:t>：磨岗岭村选址（即本项目的推荐选址），该选址位于磨西镇场镇的东侧（雅家埂河以东），交通较为方便，废水运输距离适中，不处于场镇上风向，该选址仅涉及商品林地、乔木林地等一般林地，不涉及占用基本农田。</w:t>
            </w:r>
          </w:p>
          <w:p w14:paraId="41F22E1A">
            <w:pPr>
              <w:adjustRightInd w:val="0"/>
              <w:snapToGrid w:val="0"/>
              <w:spacing w:line="360" w:lineRule="auto"/>
              <w:ind w:firstLine="482" w:firstLineChars="200"/>
              <w:rPr>
                <w:rFonts w:hint="default" w:cs="Times New Roman"/>
                <w:b w:val="0"/>
                <w:bCs w:val="0"/>
                <w:color w:val="auto"/>
                <w:kern w:val="0"/>
                <w:highlight w:val="none"/>
                <w:lang w:val="en-US" w:eastAsia="zh-CN"/>
              </w:rPr>
            </w:pPr>
            <w:r>
              <w:rPr>
                <w:rFonts w:hint="eastAsia" w:cs="Times New Roman"/>
                <w:b/>
                <w:bCs/>
                <w:color w:val="auto"/>
                <w:kern w:val="0"/>
                <w:highlight w:val="none"/>
                <w:lang w:val="en-US" w:eastAsia="zh-CN"/>
              </w:rPr>
              <w:t>综合比选下来，推荐选址方案三，即本项目的选址（磨岗岭村选址）</w:t>
            </w:r>
            <w:r>
              <w:rPr>
                <w:rFonts w:hint="eastAsia" w:cs="Times New Roman"/>
                <w:b w:val="0"/>
                <w:bCs w:val="0"/>
                <w:color w:val="auto"/>
                <w:kern w:val="0"/>
                <w:highlight w:val="none"/>
                <w:lang w:val="en-US" w:eastAsia="zh-CN"/>
              </w:rPr>
              <w:t>。</w:t>
            </w:r>
          </w:p>
          <w:p w14:paraId="6FEC4C17">
            <w:pPr>
              <w:adjustRightInd w:val="0"/>
              <w:snapToGrid w:val="0"/>
              <w:spacing w:line="360" w:lineRule="auto"/>
              <w:ind w:firstLine="480" w:firstLineChars="200"/>
              <w:jc w:val="center"/>
              <w:rPr>
                <w:rFonts w:hint="eastAsia" w:eastAsia="宋体" w:cs="Times New Roman"/>
                <w:b/>
                <w:bCs/>
                <w:color w:val="auto"/>
                <w:kern w:val="0"/>
                <w:highlight w:val="none"/>
                <w:lang w:val="en-US" w:eastAsia="zh-CN"/>
              </w:rPr>
            </w:pPr>
            <w:r>
              <w:rPr>
                <w:color w:val="auto"/>
                <w:sz w:val="24"/>
              </w:rPr>
              <mc:AlternateContent>
                <mc:Choice Requires="wps">
                  <w:drawing>
                    <wp:anchor distT="0" distB="0" distL="114300" distR="114300" simplePos="0" relativeHeight="251672576" behindDoc="0" locked="0" layoutInCell="1" allowOverlap="1">
                      <wp:simplePos x="0" y="0"/>
                      <wp:positionH relativeFrom="column">
                        <wp:posOffset>3703320</wp:posOffset>
                      </wp:positionH>
                      <wp:positionV relativeFrom="paragraph">
                        <wp:posOffset>2604135</wp:posOffset>
                      </wp:positionV>
                      <wp:extent cx="956945" cy="372110"/>
                      <wp:effectExtent l="0" t="0" r="0" b="0"/>
                      <wp:wrapNone/>
                      <wp:docPr id="20" name="文本框 20"/>
                      <wp:cNvGraphicFramePr/>
                      <a:graphic xmlns:a="http://schemas.openxmlformats.org/drawingml/2006/main">
                        <a:graphicData uri="http://schemas.microsoft.com/office/word/2010/wordprocessingShape">
                          <wps:wsp>
                            <wps:cNvSpPr txBox="1"/>
                            <wps:spPr>
                              <a:xfrm>
                                <a:off x="4730115" y="2607945"/>
                                <a:ext cx="956945" cy="3721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6CD9AC">
                                  <w:pPr>
                                    <w:rPr>
                                      <w:rFonts w:hint="default" w:eastAsia="宋体"/>
                                      <w:b/>
                                      <w:bCs/>
                                      <w:color w:val="FF0000"/>
                                      <w:sz w:val="15"/>
                                      <w:szCs w:val="15"/>
                                      <w:lang w:val="en-US" w:eastAsia="zh-CN"/>
                                    </w:rPr>
                                  </w:pPr>
                                  <w:r>
                                    <w:rPr>
                                      <w:rFonts w:hint="eastAsia"/>
                                      <w:b/>
                                      <w:bCs/>
                                      <w:color w:val="FF0000"/>
                                      <w:sz w:val="15"/>
                                      <w:szCs w:val="15"/>
                                      <w:lang w:val="en-US" w:eastAsia="zh-CN"/>
                                    </w:rPr>
                                    <w:t>方案一：磨西污水厂附近选址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1.6pt;margin-top:205.05pt;height:29.3pt;width:75.35pt;z-index:251672576;mso-width-relative:page;mso-height-relative:page;" filled="f" stroked="f" coordsize="21600,21600" o:gfxdata="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MDyjqLcAAAACwEAAA8AAAAA&#10;AAAAAQAgAAAAIgAAAGRycy9kb3ducmV2LnhtbFBLAQIUABQAAAAIAIdO4kAKHhjqSQIAAHMEAAAO&#10;AAAAAAAAAAEAIAAAACsBAABkcnMvZTJvRG9jLnhtbFBLBQYAAAAABgAGAFkBAADmBQAAAAA=&#10;">
                      <v:fill on="f" focussize="0,0"/>
                      <v:stroke on="f" weight="0.5pt"/>
                      <v:imagedata o:title=""/>
                      <o:lock v:ext="edit" aspectratio="f"/>
                      <v:textbox>
                        <w:txbxContent>
                          <w:p w14:paraId="186CD9AC">
                            <w:pPr>
                              <w:rPr>
                                <w:rFonts w:hint="default" w:eastAsia="宋体"/>
                                <w:b/>
                                <w:bCs/>
                                <w:color w:val="FF0000"/>
                                <w:sz w:val="15"/>
                                <w:szCs w:val="15"/>
                                <w:lang w:val="en-US" w:eastAsia="zh-CN"/>
                              </w:rPr>
                            </w:pPr>
                            <w:r>
                              <w:rPr>
                                <w:rFonts w:hint="eastAsia"/>
                                <w:b/>
                                <w:bCs/>
                                <w:color w:val="FF0000"/>
                                <w:sz w:val="15"/>
                                <w:szCs w:val="15"/>
                                <w:lang w:val="en-US" w:eastAsia="zh-CN"/>
                              </w:rPr>
                              <w:t>方案一：磨西污水厂附近选址</w:t>
                            </w:r>
                          </w:p>
                        </w:txbxContent>
                      </v:textbox>
                    </v:shape>
                  </w:pict>
                </mc:Fallback>
              </mc:AlternateContent>
            </w:r>
            <w:r>
              <w:rPr>
                <w:color w:val="auto"/>
                <w:sz w:val="24"/>
              </w:rPr>
              <mc:AlternateContent>
                <mc:Choice Requires="wps">
                  <w:drawing>
                    <wp:anchor distT="0" distB="0" distL="114300" distR="114300" simplePos="0" relativeHeight="251676672" behindDoc="0" locked="0" layoutInCell="1" allowOverlap="1">
                      <wp:simplePos x="0" y="0"/>
                      <wp:positionH relativeFrom="column">
                        <wp:posOffset>2748915</wp:posOffset>
                      </wp:positionH>
                      <wp:positionV relativeFrom="paragraph">
                        <wp:posOffset>688340</wp:posOffset>
                      </wp:positionV>
                      <wp:extent cx="956945" cy="37211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956945" cy="3721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225C60">
                                  <w:pPr>
                                    <w:rPr>
                                      <w:rFonts w:hint="default" w:eastAsia="宋体"/>
                                      <w:b/>
                                      <w:bCs/>
                                      <w:color w:val="FF0000"/>
                                      <w:sz w:val="15"/>
                                      <w:szCs w:val="15"/>
                                      <w:lang w:val="en-US" w:eastAsia="zh-CN"/>
                                    </w:rPr>
                                  </w:pPr>
                                  <w:r>
                                    <w:rPr>
                                      <w:rFonts w:hint="eastAsia"/>
                                      <w:b/>
                                      <w:bCs/>
                                      <w:color w:val="FF0000"/>
                                      <w:sz w:val="15"/>
                                      <w:szCs w:val="15"/>
                                      <w:lang w:val="en-US" w:eastAsia="zh-CN"/>
                                    </w:rPr>
                                    <w:t>方案三：磨岗岭村选址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6.45pt;margin-top:54.2pt;height:29.3pt;width:75.35pt;z-index:251676672;mso-width-relative:page;mso-height-relative:page;" filled="f" stroked="f" coordsize="21600,21600" o:gfxdata="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xY2+B3AAAAAsBAAAPAAAAAAAAAAEAIAAAACIA&#10;AABkcnMvZG93bnJldi54bWxQSwECFAAUAAAACACHTuJAijCazD4CAABnBAAADgAAAAAAAAABACAA&#10;AAArAQAAZHJzL2Uyb0RvYy54bWxQSwUGAAAAAAYABgBZAQAA2wUAAAAA&#10;">
                      <v:fill on="f" focussize="0,0"/>
                      <v:stroke on="f" weight="0.5pt"/>
                      <v:imagedata o:title=""/>
                      <o:lock v:ext="edit" aspectratio="f"/>
                      <v:textbox>
                        <w:txbxContent>
                          <w:p w14:paraId="7A225C60">
                            <w:pPr>
                              <w:rPr>
                                <w:rFonts w:hint="default" w:eastAsia="宋体"/>
                                <w:b/>
                                <w:bCs/>
                                <w:color w:val="FF0000"/>
                                <w:sz w:val="15"/>
                                <w:szCs w:val="15"/>
                                <w:lang w:val="en-US" w:eastAsia="zh-CN"/>
                              </w:rPr>
                            </w:pPr>
                            <w:r>
                              <w:rPr>
                                <w:rFonts w:hint="eastAsia"/>
                                <w:b/>
                                <w:bCs/>
                                <w:color w:val="FF0000"/>
                                <w:sz w:val="15"/>
                                <w:szCs w:val="15"/>
                                <w:lang w:val="en-US" w:eastAsia="zh-CN"/>
                              </w:rPr>
                              <w:t>方案三：磨岗岭村选址</w:t>
                            </w:r>
                          </w:p>
                        </w:txbxContent>
                      </v:textbox>
                    </v:shape>
                  </w:pict>
                </mc:Fallback>
              </mc:AlternateContent>
            </w:r>
            <w:r>
              <w:rPr>
                <w:color w:val="auto"/>
                <w:sz w:val="24"/>
              </w:rPr>
              <mc:AlternateContent>
                <mc:Choice Requires="wps">
                  <w:drawing>
                    <wp:anchor distT="0" distB="0" distL="114300" distR="114300" simplePos="0" relativeHeight="251675648" behindDoc="0" locked="0" layoutInCell="1" allowOverlap="1">
                      <wp:simplePos x="0" y="0"/>
                      <wp:positionH relativeFrom="column">
                        <wp:posOffset>2694305</wp:posOffset>
                      </wp:positionH>
                      <wp:positionV relativeFrom="paragraph">
                        <wp:posOffset>775335</wp:posOffset>
                      </wp:positionV>
                      <wp:extent cx="119380" cy="103505"/>
                      <wp:effectExtent l="12700" t="12700" r="20320" b="17145"/>
                      <wp:wrapNone/>
                      <wp:docPr id="27" name="矩形 27"/>
                      <wp:cNvGraphicFramePr/>
                      <a:graphic xmlns:a="http://schemas.openxmlformats.org/drawingml/2006/main">
                        <a:graphicData uri="http://schemas.microsoft.com/office/word/2010/wordprocessingShape">
                          <wps:wsp>
                            <wps:cNvSpPr/>
                            <wps:spPr>
                              <a:xfrm>
                                <a:off x="0" y="0"/>
                                <a:ext cx="119380" cy="10350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2.15pt;margin-top:61.05pt;height:8.15pt;width:9.4pt;z-index:251675648;v-text-anchor:middle;mso-width-relative:page;mso-height-relative:page;" filled="f" stroked="t" coordsize="21600,21600" o:gfxdata="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MZJV9bZAAAACwEAAA8AAAAAAAAAAQAgAAAAIgAAAGRycy9kb3ducmV2LnhtbFBLAQIUABQAAAAI&#10;AIdO4kDI+PD3XgIAALUEAAAOAAAAAAAAAAEAIAAAACgBAABkcnMvZTJvRG9jLnhtbFBLBQYAAAAA&#10;BgAGAFkBAAD4BQAAAAA=&#10;">
                      <v:fill on="f" focussize="0,0"/>
                      <v:stroke weight="2pt" color="#FF0000 [2404]" joinstyle="round"/>
                      <v:imagedata o:title=""/>
                      <o:lock v:ext="edit" aspectratio="f"/>
                    </v:rect>
                  </w:pict>
                </mc:Fallback>
              </mc:AlternateContent>
            </w:r>
            <w:r>
              <w:rPr>
                <w:color w:val="auto"/>
                <w:sz w:val="24"/>
              </w:rPr>
              <mc:AlternateContent>
                <mc:Choice Requires="wps">
                  <w:drawing>
                    <wp:anchor distT="0" distB="0" distL="114300" distR="114300" simplePos="0" relativeHeight="251674624" behindDoc="0" locked="0" layoutInCell="1" allowOverlap="1">
                      <wp:simplePos x="0" y="0"/>
                      <wp:positionH relativeFrom="column">
                        <wp:posOffset>1331595</wp:posOffset>
                      </wp:positionH>
                      <wp:positionV relativeFrom="paragraph">
                        <wp:posOffset>2540635</wp:posOffset>
                      </wp:positionV>
                      <wp:extent cx="956945" cy="37211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956945" cy="3721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CE58C">
                                  <w:pPr>
                                    <w:rPr>
                                      <w:rFonts w:hint="default" w:eastAsia="宋体"/>
                                      <w:b/>
                                      <w:bCs/>
                                      <w:color w:val="FF0000"/>
                                      <w:sz w:val="15"/>
                                      <w:szCs w:val="15"/>
                                      <w:lang w:val="en-US" w:eastAsia="zh-CN"/>
                                    </w:rPr>
                                  </w:pPr>
                                  <w:r>
                                    <w:rPr>
                                      <w:rFonts w:hint="eastAsia"/>
                                      <w:b/>
                                      <w:bCs/>
                                      <w:color w:val="FF0000"/>
                                      <w:sz w:val="15"/>
                                      <w:szCs w:val="15"/>
                                      <w:lang w:val="en-US" w:eastAsia="zh-CN"/>
                                    </w:rPr>
                                    <w:t>方案二：贡嘎翔云悬崖选址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4.85pt;margin-top:200.05pt;height:29.3pt;width:75.35pt;z-index:251674624;mso-width-relative:page;mso-height-relative:page;" filled="f" stroked="f" coordsize="21600,21600" o:gfxdata="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vLnKW3AAAAAsBAAAPAAAAAAAAAAEAIAAAACIA&#10;AABkcnMvZG93bnJldi54bWxQSwECFAAUAAAACACHTuJAG6WeED4CAABnBAAADgAAAAAAAAABACAA&#10;AAArAQAAZHJzL2Uyb0RvYy54bWxQSwUGAAAAAAYABgBZAQAA2wUAAAAA&#10;">
                      <v:fill on="f" focussize="0,0"/>
                      <v:stroke on="f" weight="0.5pt"/>
                      <v:imagedata o:title=""/>
                      <o:lock v:ext="edit" aspectratio="f"/>
                      <v:textbox>
                        <w:txbxContent>
                          <w:p w14:paraId="6ACCE58C">
                            <w:pPr>
                              <w:rPr>
                                <w:rFonts w:hint="default" w:eastAsia="宋体"/>
                                <w:b/>
                                <w:bCs/>
                                <w:color w:val="FF0000"/>
                                <w:sz w:val="15"/>
                                <w:szCs w:val="15"/>
                                <w:lang w:val="en-US" w:eastAsia="zh-CN"/>
                              </w:rPr>
                            </w:pPr>
                            <w:r>
                              <w:rPr>
                                <w:rFonts w:hint="eastAsia"/>
                                <w:b/>
                                <w:bCs/>
                                <w:color w:val="FF0000"/>
                                <w:sz w:val="15"/>
                                <w:szCs w:val="15"/>
                                <w:lang w:val="en-US" w:eastAsia="zh-CN"/>
                              </w:rPr>
                              <w:t>方案二：贡嘎翔云悬崖选址</w:t>
                            </w:r>
                          </w:p>
                        </w:txbxContent>
                      </v:textbox>
                    </v:shape>
                  </w:pict>
                </mc:Fallback>
              </mc:AlternateContent>
            </w:r>
            <w:r>
              <w:rPr>
                <w:color w:val="auto"/>
                <w:sz w:val="24"/>
              </w:rPr>
              <mc:AlternateContent>
                <mc:Choice Requires="wps">
                  <w:drawing>
                    <wp:anchor distT="0" distB="0" distL="114300" distR="114300" simplePos="0" relativeHeight="251673600" behindDoc="0" locked="0" layoutInCell="1" allowOverlap="1">
                      <wp:simplePos x="0" y="0"/>
                      <wp:positionH relativeFrom="column">
                        <wp:posOffset>1257935</wp:posOffset>
                      </wp:positionH>
                      <wp:positionV relativeFrom="paragraph">
                        <wp:posOffset>2597785</wp:posOffset>
                      </wp:positionV>
                      <wp:extent cx="119380" cy="103505"/>
                      <wp:effectExtent l="12700" t="12700" r="20320" b="17145"/>
                      <wp:wrapNone/>
                      <wp:docPr id="24" name="矩形 24"/>
                      <wp:cNvGraphicFramePr/>
                      <a:graphic xmlns:a="http://schemas.openxmlformats.org/drawingml/2006/main">
                        <a:graphicData uri="http://schemas.microsoft.com/office/word/2010/wordprocessingShape">
                          <wps:wsp>
                            <wps:cNvSpPr/>
                            <wps:spPr>
                              <a:xfrm>
                                <a:off x="0" y="0"/>
                                <a:ext cx="119380" cy="10350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9.05pt;margin-top:204.55pt;height:8.15pt;width:9.4pt;z-index:251673600;v-text-anchor:middle;mso-width-relative:page;mso-height-relative:page;" filled="f" stroked="t" coordsize="21600,21600" o:gfxdata="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dztWt2gAAAAsBAAAPAAAAAAAAAAEAIAAAACIAAABkcnMvZG93bnJldi54bWxQSwECFAAUAAAA&#10;CACHTuJAYjtXRl4CAAC1BAAADgAAAAAAAAABACAAAAApAQAAZHJzL2Uyb0RvYy54bWxQSwUGAAAA&#10;AAYABgBZAQAA+QUAAAAA&#10;">
                      <v:fill on="f" focussize="0,0"/>
                      <v:stroke weight="2pt" color="#FF0000 [2404]" joinstyle="round"/>
                      <v:imagedata o:title=""/>
                      <o:lock v:ext="edit" aspectratio="f"/>
                    </v:rect>
                  </w:pict>
                </mc:Fallback>
              </mc:AlternateContent>
            </w: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3616325</wp:posOffset>
                      </wp:positionH>
                      <wp:positionV relativeFrom="paragraph">
                        <wp:posOffset>2696845</wp:posOffset>
                      </wp:positionV>
                      <wp:extent cx="119380" cy="103505"/>
                      <wp:effectExtent l="12700" t="12700" r="20320" b="17145"/>
                      <wp:wrapNone/>
                      <wp:docPr id="19" name="矩形 19"/>
                      <wp:cNvGraphicFramePr/>
                      <a:graphic xmlns:a="http://schemas.openxmlformats.org/drawingml/2006/main">
                        <a:graphicData uri="http://schemas.microsoft.com/office/word/2010/wordprocessingShape">
                          <wps:wsp>
                            <wps:cNvSpPr/>
                            <wps:spPr>
                              <a:xfrm>
                                <a:off x="4304665" y="2514600"/>
                                <a:ext cx="119380" cy="10350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4.75pt;margin-top:212.35pt;height:8.15pt;width:9.4pt;z-index:251671552;v-text-anchor:middle;mso-width-relative:page;mso-height-relative:page;" filled="f" stroked="t" coordsize="21600,21600" o:gfxdata="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iO0KMtoAAAALAQAADwAAAAAAAAABACAAAAAiAAAAZHJzL2Rvd25yZXYu&#10;eG1sUEsBAhQAFAAAAAgAh07iQASv7DlrAgAAwQQAAA4AAAAAAAAAAQAgAAAAKQEAAGRycy9lMm9E&#10;b2MueG1sUEsFBgAAAAAGAAYAWQEAAAYGAAAAAA==&#10;">
                      <v:fill on="f" focussize="0,0"/>
                      <v:stroke weight="2pt" color="#FF0000 [2404]" joinstyle="round"/>
                      <v:imagedata o:title=""/>
                      <o:lock v:ext="edit" aspectratio="f"/>
                    </v:rect>
                  </w:pict>
                </mc:Fallback>
              </mc:AlternateContent>
            </w:r>
            <w:r>
              <w:rPr>
                <w:rFonts w:hint="eastAsia" w:eastAsia="宋体" w:cs="Times New Roman"/>
                <w:b/>
                <w:bCs/>
                <w:color w:val="auto"/>
                <w:kern w:val="0"/>
                <w:highlight w:val="none"/>
                <w:lang w:val="en-US" w:eastAsia="zh-CN"/>
              </w:rPr>
              <w:drawing>
                <wp:inline distT="0" distB="0" distL="114300" distR="114300">
                  <wp:extent cx="4869815" cy="3995420"/>
                  <wp:effectExtent l="0" t="0" r="6985" b="5080"/>
                  <wp:docPr id="23" name="图片 23" descr="1737426070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737426070404"/>
                          <pic:cNvPicPr>
                            <a:picLocks noChangeAspect="1"/>
                          </pic:cNvPicPr>
                        </pic:nvPicPr>
                        <pic:blipFill>
                          <a:blip r:embed="rId12"/>
                          <a:stretch>
                            <a:fillRect/>
                          </a:stretch>
                        </pic:blipFill>
                        <pic:spPr>
                          <a:xfrm>
                            <a:off x="0" y="0"/>
                            <a:ext cx="4869815" cy="3995420"/>
                          </a:xfrm>
                          <a:prstGeom prst="rect">
                            <a:avLst/>
                          </a:prstGeom>
                        </pic:spPr>
                      </pic:pic>
                    </a:graphicData>
                  </a:graphic>
                </wp:inline>
              </w:drawing>
            </w:r>
          </w:p>
          <w:p w14:paraId="6822ED2E">
            <w:pPr>
              <w:adjustRightInd w:val="0"/>
              <w:snapToGrid w:val="0"/>
              <w:spacing w:line="360" w:lineRule="auto"/>
              <w:jc w:val="center"/>
              <w:rPr>
                <w:rFonts w:hint="eastAsia" w:ascii="黑体" w:hAnsi="黑体" w:eastAsia="黑体" w:cs="黑体"/>
                <w:b w:val="0"/>
                <w:bCs w:val="0"/>
                <w:color w:val="auto"/>
                <w:kern w:val="0"/>
                <w:sz w:val="21"/>
                <w:szCs w:val="21"/>
                <w:highlight w:val="none"/>
                <w:lang w:val="en-US" w:eastAsia="zh-CN"/>
              </w:rPr>
            </w:pPr>
            <w:r>
              <w:rPr>
                <w:rFonts w:hint="eastAsia" w:ascii="黑体" w:hAnsi="黑体" w:eastAsia="黑体" w:cs="黑体"/>
                <w:b w:val="0"/>
                <w:bCs w:val="0"/>
                <w:color w:val="auto"/>
                <w:kern w:val="0"/>
                <w:sz w:val="21"/>
                <w:szCs w:val="21"/>
                <w:highlight w:val="none"/>
                <w:lang w:val="en-US" w:eastAsia="zh-CN"/>
              </w:rPr>
              <w:t>图1-3   项目选址比选方案</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6"/>
              <w:gridCol w:w="3936"/>
            </w:tblGrid>
            <w:tr w14:paraId="0D12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6" w:type="dxa"/>
                </w:tcPr>
                <w:p w14:paraId="770701BA">
                  <w:pPr>
                    <w:adjustRightInd w:val="0"/>
                    <w:snapToGrid w:val="0"/>
                    <w:spacing w:line="360" w:lineRule="auto"/>
                    <w:jc w:val="center"/>
                    <w:rPr>
                      <w:rFonts w:hint="default" w:ascii="黑体" w:hAnsi="黑体" w:eastAsia="黑体" w:cs="黑体"/>
                      <w:b w:val="0"/>
                      <w:bCs w:val="0"/>
                      <w:color w:val="auto"/>
                      <w:kern w:val="0"/>
                      <w:sz w:val="21"/>
                      <w:szCs w:val="21"/>
                      <w:highlight w:val="none"/>
                      <w:vertAlign w:val="baseline"/>
                      <w:lang w:val="en-US" w:eastAsia="zh-CN"/>
                    </w:rPr>
                  </w:pPr>
                  <w:r>
                    <w:rPr>
                      <w:rFonts w:hint="eastAsia" w:cs="Times New Roman"/>
                      <w:b/>
                      <w:bCs/>
                      <w:color w:val="auto"/>
                      <w:kern w:val="0"/>
                      <w:highlight w:val="none"/>
                      <w:lang w:val="en-US" w:eastAsia="zh-CN"/>
                    </w:rPr>
                    <w:drawing>
                      <wp:inline distT="0" distB="0" distL="114300" distR="114300">
                        <wp:extent cx="2319020" cy="1739900"/>
                        <wp:effectExtent l="0" t="0" r="5080" b="12700"/>
                        <wp:docPr id="21" name="图片 21" descr="13d55adea06ec067b7f66837d668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3d55adea06ec067b7f66837d668302"/>
                                <pic:cNvPicPr>
                                  <a:picLocks noChangeAspect="1"/>
                                </pic:cNvPicPr>
                              </pic:nvPicPr>
                              <pic:blipFill>
                                <a:blip r:embed="rId13"/>
                                <a:stretch>
                                  <a:fillRect/>
                                </a:stretch>
                              </pic:blipFill>
                              <pic:spPr>
                                <a:xfrm>
                                  <a:off x="0" y="0"/>
                                  <a:ext cx="2319020" cy="1739900"/>
                                </a:xfrm>
                                <a:prstGeom prst="rect">
                                  <a:avLst/>
                                </a:prstGeom>
                              </pic:spPr>
                            </pic:pic>
                          </a:graphicData>
                        </a:graphic>
                      </wp:inline>
                    </w:drawing>
                  </w:r>
                </w:p>
              </w:tc>
              <w:tc>
                <w:tcPr>
                  <w:tcW w:w="3936" w:type="dxa"/>
                </w:tcPr>
                <w:p w14:paraId="0A1CC882">
                  <w:pPr>
                    <w:adjustRightInd w:val="0"/>
                    <w:snapToGrid w:val="0"/>
                    <w:spacing w:line="360" w:lineRule="auto"/>
                    <w:jc w:val="center"/>
                    <w:rPr>
                      <w:rFonts w:hint="default" w:ascii="黑体" w:hAnsi="黑体" w:eastAsia="黑体" w:cs="黑体"/>
                      <w:b w:val="0"/>
                      <w:bCs w:val="0"/>
                      <w:color w:val="auto"/>
                      <w:kern w:val="0"/>
                      <w:sz w:val="21"/>
                      <w:szCs w:val="21"/>
                      <w:highlight w:val="none"/>
                      <w:vertAlign w:val="baseline"/>
                      <w:lang w:val="en-US" w:eastAsia="zh-CN"/>
                    </w:rPr>
                  </w:pPr>
                  <w:r>
                    <w:rPr>
                      <w:rFonts w:hint="eastAsia" w:cs="Times New Roman"/>
                      <w:b/>
                      <w:bCs/>
                      <w:color w:val="auto"/>
                      <w:kern w:val="0"/>
                      <w:highlight w:val="none"/>
                      <w:lang w:val="en-US" w:eastAsia="zh-CN"/>
                    </w:rPr>
                    <w:drawing>
                      <wp:inline distT="0" distB="0" distL="114300" distR="114300">
                        <wp:extent cx="2350135" cy="1763395"/>
                        <wp:effectExtent l="0" t="0" r="12065" b="8255"/>
                        <wp:docPr id="22" name="图片 22" descr="133a7a6c53c4df726e35a2408226f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33a7a6c53c4df726e35a2408226f3c"/>
                                <pic:cNvPicPr>
                                  <a:picLocks noChangeAspect="1"/>
                                </pic:cNvPicPr>
                              </pic:nvPicPr>
                              <pic:blipFill>
                                <a:blip r:embed="rId14"/>
                                <a:stretch>
                                  <a:fillRect/>
                                </a:stretch>
                              </pic:blipFill>
                              <pic:spPr>
                                <a:xfrm>
                                  <a:off x="0" y="0"/>
                                  <a:ext cx="2350135" cy="1763395"/>
                                </a:xfrm>
                                <a:prstGeom prst="rect">
                                  <a:avLst/>
                                </a:prstGeom>
                              </pic:spPr>
                            </pic:pic>
                          </a:graphicData>
                        </a:graphic>
                      </wp:inline>
                    </w:drawing>
                  </w:r>
                </w:p>
              </w:tc>
            </w:tr>
          </w:tbl>
          <w:p w14:paraId="7043F642">
            <w:pPr>
              <w:adjustRightInd w:val="0"/>
              <w:snapToGrid w:val="0"/>
              <w:spacing w:line="360" w:lineRule="auto"/>
              <w:jc w:val="center"/>
              <w:rPr>
                <w:rFonts w:hint="default" w:ascii="黑体" w:hAnsi="黑体" w:eastAsia="黑体" w:cs="黑体"/>
                <w:b w:val="0"/>
                <w:bCs w:val="0"/>
                <w:color w:val="auto"/>
                <w:kern w:val="0"/>
                <w:sz w:val="21"/>
                <w:szCs w:val="21"/>
                <w:highlight w:val="none"/>
                <w:lang w:val="en-US" w:eastAsia="zh-CN"/>
              </w:rPr>
            </w:pPr>
            <w:r>
              <w:rPr>
                <w:rFonts w:hint="eastAsia" w:ascii="黑体" w:hAnsi="黑体" w:eastAsia="黑体" w:cs="黑体"/>
                <w:b w:val="0"/>
                <w:bCs w:val="0"/>
                <w:color w:val="auto"/>
                <w:kern w:val="0"/>
                <w:sz w:val="21"/>
                <w:szCs w:val="21"/>
                <w:highlight w:val="none"/>
                <w:lang w:val="en-US" w:eastAsia="zh-CN"/>
              </w:rPr>
              <w:t>图1-4   选址方案一：磨西污水厂附近选址</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6"/>
              <w:gridCol w:w="3936"/>
            </w:tblGrid>
            <w:tr w14:paraId="3A871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76" w:type="dxa"/>
                </w:tcPr>
                <w:p w14:paraId="37D41A70">
                  <w:pPr>
                    <w:adjustRightInd w:val="0"/>
                    <w:snapToGrid w:val="0"/>
                    <w:spacing w:line="360" w:lineRule="auto"/>
                    <w:jc w:val="center"/>
                    <w:rPr>
                      <w:rFonts w:hint="default" w:ascii="黑体" w:hAnsi="黑体" w:eastAsia="黑体" w:cs="黑体"/>
                      <w:b w:val="0"/>
                      <w:bCs w:val="0"/>
                      <w:color w:val="auto"/>
                      <w:kern w:val="0"/>
                      <w:sz w:val="21"/>
                      <w:szCs w:val="21"/>
                      <w:highlight w:val="none"/>
                      <w:vertAlign w:val="baseline"/>
                      <w:lang w:val="en-US" w:eastAsia="zh-CN"/>
                    </w:rPr>
                  </w:pPr>
                  <w:r>
                    <w:rPr>
                      <w:rFonts w:hint="default" w:ascii="黑体" w:hAnsi="黑体" w:eastAsia="黑体" w:cs="黑体"/>
                      <w:b w:val="0"/>
                      <w:bCs w:val="0"/>
                      <w:color w:val="auto"/>
                      <w:kern w:val="0"/>
                      <w:sz w:val="21"/>
                      <w:szCs w:val="21"/>
                      <w:highlight w:val="none"/>
                      <w:vertAlign w:val="baseline"/>
                      <w:lang w:val="en-US" w:eastAsia="zh-CN"/>
                    </w:rPr>
                    <w:drawing>
                      <wp:inline distT="0" distB="0" distL="114300" distR="114300">
                        <wp:extent cx="2187575" cy="2916555"/>
                        <wp:effectExtent l="0" t="0" r="3175" b="17145"/>
                        <wp:docPr id="36" name="图片 36" descr="15af0e6c50a41655e6d74ebcec83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5af0e6c50a41655e6d74ebcec83315"/>
                                <pic:cNvPicPr>
                                  <a:picLocks noChangeAspect="1"/>
                                </pic:cNvPicPr>
                              </pic:nvPicPr>
                              <pic:blipFill>
                                <a:blip r:embed="rId15"/>
                                <a:stretch>
                                  <a:fillRect/>
                                </a:stretch>
                              </pic:blipFill>
                              <pic:spPr>
                                <a:xfrm>
                                  <a:off x="0" y="0"/>
                                  <a:ext cx="2187575" cy="2916555"/>
                                </a:xfrm>
                                <a:prstGeom prst="rect">
                                  <a:avLst/>
                                </a:prstGeom>
                              </pic:spPr>
                            </pic:pic>
                          </a:graphicData>
                        </a:graphic>
                      </wp:inline>
                    </w:drawing>
                  </w:r>
                </w:p>
              </w:tc>
              <w:tc>
                <w:tcPr>
                  <w:tcW w:w="3936" w:type="dxa"/>
                </w:tcPr>
                <w:p w14:paraId="7EBC434B">
                  <w:pPr>
                    <w:adjustRightInd w:val="0"/>
                    <w:snapToGrid w:val="0"/>
                    <w:spacing w:line="360" w:lineRule="auto"/>
                    <w:jc w:val="center"/>
                    <w:rPr>
                      <w:rFonts w:hint="default" w:ascii="黑体" w:hAnsi="黑体" w:eastAsia="黑体" w:cs="黑体"/>
                      <w:b w:val="0"/>
                      <w:bCs w:val="0"/>
                      <w:color w:val="auto"/>
                      <w:kern w:val="0"/>
                      <w:sz w:val="21"/>
                      <w:szCs w:val="21"/>
                      <w:highlight w:val="none"/>
                      <w:vertAlign w:val="baseline"/>
                      <w:lang w:val="en-US" w:eastAsia="zh-CN"/>
                    </w:rPr>
                  </w:pPr>
                  <w:r>
                    <w:rPr>
                      <w:rFonts w:hint="default" w:ascii="黑体" w:hAnsi="黑体" w:eastAsia="黑体" w:cs="黑体"/>
                      <w:b w:val="0"/>
                      <w:bCs w:val="0"/>
                      <w:color w:val="auto"/>
                      <w:kern w:val="0"/>
                      <w:sz w:val="21"/>
                      <w:szCs w:val="21"/>
                      <w:highlight w:val="none"/>
                      <w:vertAlign w:val="baseline"/>
                      <w:lang w:val="en-US" w:eastAsia="zh-CN"/>
                    </w:rPr>
                    <w:drawing>
                      <wp:inline distT="0" distB="0" distL="114300" distR="114300">
                        <wp:extent cx="2173605" cy="2897505"/>
                        <wp:effectExtent l="0" t="0" r="17145" b="17145"/>
                        <wp:docPr id="41" name="图片 41" descr="e47d96fff4b26c77c1c1c906467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e47d96fff4b26c77c1c1c9064671206"/>
                                <pic:cNvPicPr>
                                  <a:picLocks noChangeAspect="1"/>
                                </pic:cNvPicPr>
                              </pic:nvPicPr>
                              <pic:blipFill>
                                <a:blip r:embed="rId16"/>
                                <a:stretch>
                                  <a:fillRect/>
                                </a:stretch>
                              </pic:blipFill>
                              <pic:spPr>
                                <a:xfrm>
                                  <a:off x="0" y="0"/>
                                  <a:ext cx="2173605" cy="2897505"/>
                                </a:xfrm>
                                <a:prstGeom prst="rect">
                                  <a:avLst/>
                                </a:prstGeom>
                              </pic:spPr>
                            </pic:pic>
                          </a:graphicData>
                        </a:graphic>
                      </wp:inline>
                    </w:drawing>
                  </w:r>
                </w:p>
              </w:tc>
            </w:tr>
          </w:tbl>
          <w:p w14:paraId="152F3628">
            <w:pPr>
              <w:adjustRightInd w:val="0"/>
              <w:snapToGrid w:val="0"/>
              <w:spacing w:line="360" w:lineRule="auto"/>
              <w:jc w:val="center"/>
              <w:rPr>
                <w:rFonts w:hint="default" w:ascii="黑体" w:hAnsi="黑体" w:eastAsia="黑体" w:cs="黑体"/>
                <w:b w:val="0"/>
                <w:bCs w:val="0"/>
                <w:color w:val="auto"/>
                <w:kern w:val="0"/>
                <w:sz w:val="21"/>
                <w:szCs w:val="21"/>
                <w:highlight w:val="none"/>
                <w:lang w:val="en-US" w:eastAsia="zh-CN"/>
              </w:rPr>
            </w:pPr>
            <w:r>
              <w:rPr>
                <w:rFonts w:hint="eastAsia" w:ascii="黑体" w:hAnsi="黑体" w:eastAsia="黑体" w:cs="黑体"/>
                <w:b w:val="0"/>
                <w:bCs w:val="0"/>
                <w:color w:val="auto"/>
                <w:kern w:val="0"/>
                <w:sz w:val="21"/>
                <w:szCs w:val="21"/>
                <w:highlight w:val="none"/>
                <w:lang w:val="en-US" w:eastAsia="zh-CN"/>
              </w:rPr>
              <w:t>图1-5   选址方案二：贡嘎翔云悬崖选址</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6"/>
              <w:gridCol w:w="3936"/>
            </w:tblGrid>
            <w:tr w14:paraId="13DB0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6" w:type="dxa"/>
                </w:tcPr>
                <w:p w14:paraId="581E26A9">
                  <w:pPr>
                    <w:adjustRightInd w:val="0"/>
                    <w:snapToGrid w:val="0"/>
                    <w:spacing w:line="360" w:lineRule="auto"/>
                    <w:jc w:val="center"/>
                    <w:rPr>
                      <w:rFonts w:hint="default" w:ascii="黑体" w:hAnsi="黑体" w:eastAsia="黑体" w:cs="黑体"/>
                      <w:b w:val="0"/>
                      <w:bCs w:val="0"/>
                      <w:color w:val="auto"/>
                      <w:kern w:val="0"/>
                      <w:sz w:val="21"/>
                      <w:szCs w:val="21"/>
                      <w:highlight w:val="none"/>
                      <w:vertAlign w:val="baseline"/>
                      <w:lang w:val="en-US" w:eastAsia="zh-CN"/>
                    </w:rPr>
                  </w:pPr>
                  <w:r>
                    <w:rPr>
                      <w:rFonts w:hint="default" w:ascii="黑体" w:hAnsi="黑体" w:eastAsia="黑体" w:cs="黑体"/>
                      <w:b w:val="0"/>
                      <w:bCs w:val="0"/>
                      <w:color w:val="auto"/>
                      <w:kern w:val="0"/>
                      <w:sz w:val="21"/>
                      <w:szCs w:val="21"/>
                      <w:highlight w:val="none"/>
                      <w:vertAlign w:val="baseline"/>
                      <w:lang w:val="en-US" w:eastAsia="zh-CN"/>
                    </w:rPr>
                    <w:drawing>
                      <wp:inline distT="0" distB="0" distL="114300" distR="114300">
                        <wp:extent cx="2249170" cy="3000375"/>
                        <wp:effectExtent l="0" t="0" r="17780" b="9525"/>
                        <wp:docPr id="53" name="图片 53" descr="875c9578b9831b9cec6139480aea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875c9578b9831b9cec6139480aea6bf"/>
                                <pic:cNvPicPr>
                                  <a:picLocks noChangeAspect="1"/>
                                </pic:cNvPicPr>
                              </pic:nvPicPr>
                              <pic:blipFill>
                                <a:blip r:embed="rId17"/>
                                <a:stretch>
                                  <a:fillRect/>
                                </a:stretch>
                              </pic:blipFill>
                              <pic:spPr>
                                <a:xfrm>
                                  <a:off x="0" y="0"/>
                                  <a:ext cx="2249170" cy="3000375"/>
                                </a:xfrm>
                                <a:prstGeom prst="rect">
                                  <a:avLst/>
                                </a:prstGeom>
                              </pic:spPr>
                            </pic:pic>
                          </a:graphicData>
                        </a:graphic>
                      </wp:inline>
                    </w:drawing>
                  </w:r>
                </w:p>
              </w:tc>
              <w:tc>
                <w:tcPr>
                  <w:tcW w:w="3936" w:type="dxa"/>
                </w:tcPr>
                <w:p w14:paraId="576C3DEA">
                  <w:pPr>
                    <w:adjustRightInd w:val="0"/>
                    <w:snapToGrid w:val="0"/>
                    <w:spacing w:line="360" w:lineRule="auto"/>
                    <w:jc w:val="center"/>
                    <w:rPr>
                      <w:rFonts w:hint="default" w:ascii="黑体" w:hAnsi="黑体" w:eastAsia="黑体" w:cs="黑体"/>
                      <w:b w:val="0"/>
                      <w:bCs w:val="0"/>
                      <w:color w:val="auto"/>
                      <w:kern w:val="0"/>
                      <w:sz w:val="21"/>
                      <w:szCs w:val="21"/>
                      <w:highlight w:val="none"/>
                      <w:vertAlign w:val="baseline"/>
                      <w:lang w:val="en-US" w:eastAsia="zh-CN"/>
                    </w:rPr>
                  </w:pPr>
                  <w:r>
                    <w:rPr>
                      <w:rFonts w:hint="default" w:ascii="黑体" w:hAnsi="黑体" w:eastAsia="黑体" w:cs="黑体"/>
                      <w:b w:val="0"/>
                      <w:bCs w:val="0"/>
                      <w:color w:val="auto"/>
                      <w:kern w:val="0"/>
                      <w:sz w:val="21"/>
                      <w:szCs w:val="21"/>
                      <w:highlight w:val="none"/>
                      <w:vertAlign w:val="baseline"/>
                      <w:lang w:val="en-US" w:eastAsia="zh-CN"/>
                    </w:rPr>
                    <w:drawing>
                      <wp:inline distT="0" distB="0" distL="114300" distR="114300">
                        <wp:extent cx="2256155" cy="3009265"/>
                        <wp:effectExtent l="0" t="0" r="10795" b="635"/>
                        <wp:docPr id="54" name="图片 54" descr="eb1363249eb9c1ca2c8d999fa09fc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eb1363249eb9c1ca2c8d999fa09fc27"/>
                                <pic:cNvPicPr>
                                  <a:picLocks noChangeAspect="1"/>
                                </pic:cNvPicPr>
                              </pic:nvPicPr>
                              <pic:blipFill>
                                <a:blip r:embed="rId18"/>
                                <a:stretch>
                                  <a:fillRect/>
                                </a:stretch>
                              </pic:blipFill>
                              <pic:spPr>
                                <a:xfrm>
                                  <a:off x="0" y="0"/>
                                  <a:ext cx="2256155" cy="3009265"/>
                                </a:xfrm>
                                <a:prstGeom prst="rect">
                                  <a:avLst/>
                                </a:prstGeom>
                              </pic:spPr>
                            </pic:pic>
                          </a:graphicData>
                        </a:graphic>
                      </wp:inline>
                    </w:drawing>
                  </w:r>
                </w:p>
              </w:tc>
            </w:tr>
          </w:tbl>
          <w:p w14:paraId="21410A3A">
            <w:pPr>
              <w:adjustRightInd w:val="0"/>
              <w:snapToGrid w:val="0"/>
              <w:spacing w:line="360" w:lineRule="auto"/>
              <w:jc w:val="center"/>
              <w:rPr>
                <w:rFonts w:hint="default" w:ascii="黑体" w:hAnsi="黑体" w:eastAsia="黑体" w:cs="黑体"/>
                <w:b w:val="0"/>
                <w:bCs w:val="0"/>
                <w:color w:val="auto"/>
                <w:kern w:val="0"/>
                <w:sz w:val="21"/>
                <w:szCs w:val="21"/>
                <w:highlight w:val="none"/>
                <w:lang w:val="en-US" w:eastAsia="zh-CN"/>
              </w:rPr>
            </w:pPr>
            <w:r>
              <w:rPr>
                <w:rFonts w:hint="eastAsia" w:ascii="黑体" w:hAnsi="黑体" w:eastAsia="黑体" w:cs="黑体"/>
                <w:b w:val="0"/>
                <w:bCs w:val="0"/>
                <w:color w:val="auto"/>
                <w:kern w:val="0"/>
                <w:sz w:val="21"/>
                <w:szCs w:val="21"/>
                <w:highlight w:val="none"/>
                <w:lang w:val="en-US" w:eastAsia="zh-CN"/>
              </w:rPr>
              <w:t>图1-6   选址方案三：磨岗岭村选址（推荐选址）</w:t>
            </w:r>
          </w:p>
          <w:p w14:paraId="43487B53">
            <w:pPr>
              <w:adjustRightInd w:val="0"/>
              <w:snapToGrid w:val="0"/>
              <w:spacing w:line="360" w:lineRule="auto"/>
              <w:ind w:firstLine="482" w:firstLineChars="200"/>
              <w:rPr>
                <w:rFonts w:hint="default" w:ascii="Times New Roman" w:hAnsi="Times New Roman" w:eastAsia="宋体" w:cs="Times New Roman"/>
                <w:b/>
                <w:bCs/>
                <w:color w:val="auto"/>
                <w:kern w:val="0"/>
                <w:highlight w:val="none"/>
                <w:lang w:val="en-US" w:eastAsia="zh-CN"/>
              </w:rPr>
            </w:pPr>
            <w:r>
              <w:rPr>
                <w:rFonts w:hint="eastAsia" w:cs="Times New Roman"/>
                <w:b/>
                <w:bCs/>
                <w:color w:val="auto"/>
                <w:kern w:val="0"/>
                <w:highlight w:val="none"/>
                <w:lang w:val="en-US" w:eastAsia="zh-CN"/>
              </w:rPr>
              <w:t>2</w:t>
            </w:r>
            <w:r>
              <w:rPr>
                <w:rFonts w:hint="eastAsia" w:ascii="Times New Roman" w:hAnsi="Times New Roman" w:eastAsia="宋体" w:cs="Times New Roman"/>
                <w:b/>
                <w:bCs/>
                <w:color w:val="auto"/>
                <w:kern w:val="0"/>
                <w:highlight w:val="none"/>
                <w:lang w:val="en-US" w:eastAsia="zh-CN"/>
              </w:rPr>
              <w:t xml:space="preserve">）项目与“三区三线”符合性 </w:t>
            </w:r>
          </w:p>
          <w:p w14:paraId="4EFAABC0">
            <w:pPr>
              <w:adjustRightInd w:val="0"/>
              <w:snapToGrid w:val="0"/>
              <w:spacing w:line="360" w:lineRule="auto"/>
              <w:ind w:firstLine="480" w:firstLineChars="200"/>
              <w:rPr>
                <w:rFonts w:hint="default" w:ascii="Times New Roman" w:hAnsi="Times New Roman" w:eastAsia="宋体" w:cs="Times New Roman"/>
                <w:color w:val="auto"/>
                <w:kern w:val="0"/>
                <w:highlight w:val="none"/>
                <w:lang w:val="en-US" w:eastAsia="zh-CN"/>
              </w:rPr>
            </w:pPr>
            <w:r>
              <w:rPr>
                <w:rFonts w:hint="eastAsia" w:ascii="Times New Roman" w:hAnsi="Times New Roman" w:eastAsia="宋体" w:cs="Times New Roman"/>
                <w:color w:val="auto"/>
                <w:kern w:val="0"/>
                <w:highlight w:val="none"/>
                <w:lang w:val="en-US" w:eastAsia="zh-CN"/>
              </w:rPr>
              <w:t>根据甘孜州自然资源和规划局海螺沟直属分局《关于核实磨西镇磨岗岭村民族团结进步示范村（民族团结进步示范社区项目）拟用地范围内是否涉及生态保护红线、永久基本农田等问题的复函》，“经核实，磨西镇磨岗岭村民族团结进步示范村（民族团结进步示范社区项目）拟用地范围内不占用生态保护红线，不占用永久基本农田。”同时，</w:t>
            </w:r>
            <w:r>
              <w:rPr>
                <w:rFonts w:hint="default" w:ascii="Times New Roman" w:hAnsi="Times New Roman" w:eastAsia="宋体" w:cs="Times New Roman"/>
                <w:color w:val="auto"/>
                <w:kern w:val="0"/>
                <w:highlight w:val="none"/>
                <w:lang w:val="en-US" w:eastAsia="zh-CN"/>
              </w:rPr>
              <w:t>202</w:t>
            </w:r>
            <w:r>
              <w:rPr>
                <w:rFonts w:hint="eastAsia" w:ascii="Times New Roman" w:hAnsi="Times New Roman" w:eastAsia="宋体" w:cs="Times New Roman"/>
                <w:color w:val="auto"/>
                <w:kern w:val="0"/>
                <w:highlight w:val="none"/>
                <w:lang w:val="en-US" w:eastAsia="zh-CN"/>
              </w:rPr>
              <w:t>4年11月22日，泸定县自然资源局出具了本项目的《建设项目用地预审与选址意见书》（用字第</w:t>
            </w:r>
            <w:r>
              <w:rPr>
                <w:rFonts w:hint="default" w:ascii="Times New Roman" w:hAnsi="Times New Roman" w:eastAsia="宋体" w:cs="Times New Roman"/>
                <w:color w:val="auto"/>
                <w:kern w:val="0"/>
                <w:highlight w:val="none"/>
                <w:lang w:val="en-US" w:eastAsia="zh-CN"/>
              </w:rPr>
              <w:t>513</w:t>
            </w:r>
            <w:r>
              <w:rPr>
                <w:rFonts w:hint="eastAsia" w:ascii="Times New Roman" w:hAnsi="Times New Roman" w:eastAsia="宋体" w:cs="Times New Roman"/>
                <w:color w:val="auto"/>
                <w:kern w:val="0"/>
                <w:highlight w:val="none"/>
                <w:lang w:val="en-US" w:eastAsia="zh-CN"/>
              </w:rPr>
              <w:t>322202400027号），同意本项目用地选址，拟用地面积1998</w:t>
            </w:r>
            <w:r>
              <w:rPr>
                <w:rFonts w:hint="default" w:ascii="Times New Roman" w:hAnsi="Times New Roman" w:eastAsia="宋体" w:cs="Times New Roman"/>
                <w:color w:val="auto"/>
                <w:kern w:val="0"/>
                <w:highlight w:val="none"/>
                <w:lang w:val="en-US" w:eastAsia="zh-CN"/>
              </w:rPr>
              <w:t>m</w:t>
            </w:r>
            <w:r>
              <w:rPr>
                <w:rFonts w:hint="default" w:ascii="Times New Roman" w:hAnsi="Times New Roman" w:eastAsia="宋体" w:cs="Times New Roman"/>
                <w:color w:val="auto"/>
                <w:kern w:val="0"/>
                <w:highlight w:val="none"/>
                <w:vertAlign w:val="superscript"/>
                <w:lang w:val="en-US" w:eastAsia="zh-CN"/>
              </w:rPr>
              <w:t>2</w:t>
            </w:r>
            <w:r>
              <w:rPr>
                <w:rFonts w:hint="eastAsia" w:ascii="Times New Roman" w:hAnsi="Times New Roman" w:eastAsia="宋体" w:cs="Times New Roman"/>
                <w:color w:val="auto"/>
                <w:kern w:val="0"/>
                <w:highlight w:val="none"/>
                <w:lang w:val="en-US" w:eastAsia="zh-CN"/>
              </w:rPr>
              <w:t>，综上，符合区域“三区三线”要求。</w:t>
            </w:r>
          </w:p>
          <w:p w14:paraId="50398D53">
            <w:pPr>
              <w:adjustRightInd w:val="0"/>
              <w:snapToGrid w:val="0"/>
              <w:spacing w:line="360" w:lineRule="auto"/>
              <w:ind w:firstLine="482" w:firstLineChars="200"/>
              <w:rPr>
                <w:rFonts w:hint="eastAsia" w:cs="Times New Roman"/>
                <w:b/>
                <w:bCs/>
                <w:color w:val="auto"/>
                <w:kern w:val="0"/>
                <w:highlight w:val="none"/>
                <w:lang w:val="en-US" w:eastAsia="zh-CN"/>
              </w:rPr>
            </w:pPr>
            <w:r>
              <w:rPr>
                <w:rFonts w:hint="eastAsia" w:cs="Times New Roman"/>
                <w:b/>
                <w:bCs/>
                <w:color w:val="auto"/>
                <w:kern w:val="0"/>
                <w:highlight w:val="none"/>
                <w:lang w:val="en-US" w:eastAsia="zh-CN"/>
              </w:rPr>
              <w:t>3）项目选址与农业农村部《动物防疫条件审查办法》（中华人民共和国农业农村部令 2022年第8号）中相关要求的符合性分析</w:t>
            </w:r>
          </w:p>
          <w:p w14:paraId="243C8C06">
            <w:pPr>
              <w:adjustRightInd w:val="0"/>
              <w:snapToGrid w:val="0"/>
              <w:spacing w:line="360" w:lineRule="auto"/>
              <w:ind w:firstLine="480" w:firstLineChars="200"/>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本项目选址与规范中要求符合性见下表所示。</w:t>
            </w:r>
          </w:p>
          <w:p w14:paraId="46615557">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项目选址与《动物防疫条件审查办法》的相符性分析</w:t>
            </w:r>
          </w:p>
          <w:tbl>
            <w:tblPr>
              <w:tblStyle w:val="33"/>
              <w:tblW w:w="76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34"/>
              <w:gridCol w:w="2694"/>
              <w:gridCol w:w="1010"/>
            </w:tblGrid>
            <w:tr w14:paraId="7D2399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934" w:type="dxa"/>
                  <w:tcBorders>
                    <w:tl2br w:val="nil"/>
                    <w:tr2bl w:val="nil"/>
                  </w:tcBorders>
                  <w:vAlign w:val="center"/>
                </w:tcPr>
                <w:p w14:paraId="1C575F79">
                  <w:pPr>
                    <w:pStyle w:val="132"/>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《动物防疫条件审查办法》中相关规定</w:t>
                  </w:r>
                </w:p>
              </w:tc>
              <w:tc>
                <w:tcPr>
                  <w:tcW w:w="2694" w:type="dxa"/>
                  <w:tcBorders>
                    <w:tl2br w:val="nil"/>
                    <w:tr2bl w:val="nil"/>
                  </w:tcBorders>
                  <w:vAlign w:val="center"/>
                </w:tcPr>
                <w:p w14:paraId="455ABEFA">
                  <w:pPr>
                    <w:pStyle w:val="132"/>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本项目情况</w:t>
                  </w:r>
                </w:p>
              </w:tc>
              <w:tc>
                <w:tcPr>
                  <w:tcW w:w="1010" w:type="dxa"/>
                  <w:tcBorders>
                    <w:tl2br w:val="nil"/>
                    <w:tr2bl w:val="nil"/>
                  </w:tcBorders>
                  <w:vAlign w:val="center"/>
                </w:tcPr>
                <w:p w14:paraId="39E60235">
                  <w:pPr>
                    <w:pStyle w:val="132"/>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符合性</w:t>
                  </w:r>
                </w:p>
              </w:tc>
            </w:tr>
            <w:tr w14:paraId="5CCFDE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934" w:type="dxa"/>
                  <w:tcBorders>
                    <w:tl2br w:val="nil"/>
                    <w:tr2bl w:val="nil"/>
                  </w:tcBorders>
                  <w:vAlign w:val="center"/>
                </w:tcPr>
                <w:p w14:paraId="7FCE854C">
                  <w:pPr>
                    <w:keepNext w:val="0"/>
                    <w:keepLines w:val="0"/>
                    <w:widowControl/>
                    <w:suppressLineNumbers w:val="0"/>
                    <w:jc w:val="left"/>
                    <w:rPr>
                      <w:color w:val="auto"/>
                      <w:highlight w:val="none"/>
                    </w:rPr>
                  </w:pPr>
                  <w:r>
                    <w:rPr>
                      <w:rFonts w:hint="eastAsia" w:ascii="宋体" w:hAnsi="宋体" w:eastAsia="宋体" w:cs="宋体"/>
                      <w:color w:val="auto"/>
                      <w:kern w:val="0"/>
                      <w:sz w:val="20"/>
                      <w:szCs w:val="20"/>
                      <w:highlight w:val="none"/>
                      <w:lang w:val="en-US" w:eastAsia="zh-CN" w:bidi="ar"/>
                    </w:rPr>
                    <w:t>第六条动物饲养场、动物隔离场所、动物屠宰加工场所以及动物和动物产品无害化处理场所</w:t>
                  </w:r>
                </w:p>
                <w:p w14:paraId="44EE55FD">
                  <w:pPr>
                    <w:keepNext w:val="0"/>
                    <w:keepLines w:val="0"/>
                    <w:widowControl/>
                    <w:suppressLineNumbers w:val="0"/>
                    <w:jc w:val="left"/>
                    <w:rPr>
                      <w:color w:val="auto"/>
                      <w:highlight w:val="none"/>
                    </w:rPr>
                  </w:pPr>
                  <w:r>
                    <w:rPr>
                      <w:rFonts w:hint="eastAsia" w:ascii="宋体" w:hAnsi="宋体" w:eastAsia="宋体" w:cs="宋体"/>
                      <w:color w:val="auto"/>
                      <w:kern w:val="0"/>
                      <w:sz w:val="20"/>
                      <w:szCs w:val="20"/>
                      <w:highlight w:val="none"/>
                      <w:lang w:val="en-US" w:eastAsia="zh-CN" w:bidi="ar"/>
                    </w:rPr>
                    <w:t>应当符合下列条件：</w:t>
                  </w:r>
                </w:p>
                <w:p w14:paraId="5FD2A7F2">
                  <w:pPr>
                    <w:keepNext w:val="0"/>
                    <w:keepLines w:val="0"/>
                    <w:widowControl/>
                    <w:suppressLineNumbers w:val="0"/>
                    <w:jc w:val="left"/>
                    <w:rPr>
                      <w:color w:val="auto"/>
                      <w:highlight w:val="none"/>
                    </w:rPr>
                  </w:pPr>
                  <w:r>
                    <w:rPr>
                      <w:rFonts w:hint="eastAsia" w:ascii="宋体" w:hAnsi="宋体" w:eastAsia="宋体" w:cs="宋体"/>
                      <w:color w:val="auto"/>
                      <w:kern w:val="0"/>
                      <w:sz w:val="20"/>
                      <w:szCs w:val="20"/>
                      <w:highlight w:val="none"/>
                      <w:lang w:val="en-US" w:eastAsia="zh-CN" w:bidi="ar"/>
                    </w:rPr>
                    <w:t>（一）各场所之间，各场所与动物诊疗场所、居民生活区、生活饮用水水源地、学校、医院等公共场所之间保持必要的距离；</w:t>
                  </w:r>
                </w:p>
                <w:p w14:paraId="4D724895">
                  <w:pPr>
                    <w:keepNext w:val="0"/>
                    <w:keepLines w:val="0"/>
                    <w:widowControl/>
                    <w:suppressLineNumbers w:val="0"/>
                    <w:jc w:val="left"/>
                    <w:rPr>
                      <w:color w:val="auto"/>
                      <w:highlight w:val="none"/>
                    </w:rPr>
                  </w:pPr>
                  <w:r>
                    <w:rPr>
                      <w:rFonts w:hint="eastAsia" w:ascii="宋体" w:hAnsi="宋体" w:eastAsia="宋体" w:cs="宋体"/>
                      <w:color w:val="auto"/>
                      <w:kern w:val="0"/>
                      <w:sz w:val="20"/>
                      <w:szCs w:val="20"/>
                      <w:highlight w:val="none"/>
                      <w:lang w:val="en-US" w:eastAsia="zh-CN" w:bidi="ar"/>
                    </w:rPr>
                    <w:t>（二）场区周围建有围墙等隔离设施；场区出入口处设置运输车辆消毒通道或者消毒池，并单独设置人员消毒通道；生产经营区与生活办公区分开，并有隔离设施；生产经营区入口处设置人员更衣消毒室；</w:t>
                  </w:r>
                </w:p>
                <w:p w14:paraId="18FB50DF">
                  <w:pPr>
                    <w:keepNext w:val="0"/>
                    <w:keepLines w:val="0"/>
                    <w:widowControl/>
                    <w:suppressLineNumbers w:val="0"/>
                    <w:jc w:val="left"/>
                    <w:rPr>
                      <w:color w:val="auto"/>
                      <w:highlight w:val="none"/>
                    </w:rPr>
                  </w:pPr>
                  <w:r>
                    <w:rPr>
                      <w:rFonts w:hint="eastAsia" w:ascii="宋体" w:hAnsi="宋体" w:eastAsia="宋体" w:cs="宋体"/>
                      <w:color w:val="auto"/>
                      <w:kern w:val="0"/>
                      <w:sz w:val="20"/>
                      <w:szCs w:val="20"/>
                      <w:highlight w:val="none"/>
                      <w:lang w:val="en-US" w:eastAsia="zh-CN" w:bidi="ar"/>
                    </w:rPr>
                    <w:t>（三）配备与其生产经营规模相适应的执业兽医或者动物防疫技术人员；</w:t>
                  </w:r>
                </w:p>
                <w:p w14:paraId="7CEA4DBF">
                  <w:pPr>
                    <w:keepNext w:val="0"/>
                    <w:keepLines w:val="0"/>
                    <w:widowControl/>
                    <w:suppressLineNumbers w:val="0"/>
                    <w:jc w:val="left"/>
                    <w:rPr>
                      <w:color w:val="auto"/>
                      <w:highlight w:val="none"/>
                    </w:rPr>
                  </w:pPr>
                  <w:r>
                    <w:rPr>
                      <w:rFonts w:hint="eastAsia" w:ascii="宋体" w:hAnsi="宋体" w:eastAsia="宋体" w:cs="宋体"/>
                      <w:color w:val="auto"/>
                      <w:kern w:val="0"/>
                      <w:sz w:val="20"/>
                      <w:szCs w:val="20"/>
                      <w:highlight w:val="none"/>
                      <w:lang w:val="en-US" w:eastAsia="zh-CN" w:bidi="ar"/>
                    </w:rPr>
                    <w:t>（四）配备与其生产经营规模相适应的污水、污物处理设施，清洗消毒设施设备，以及必要的防鼠、防鸟、防虫设施设备；</w:t>
                  </w:r>
                </w:p>
                <w:p w14:paraId="7F5E1A7A">
                  <w:pPr>
                    <w:keepNext w:val="0"/>
                    <w:keepLines w:val="0"/>
                    <w:widowControl/>
                    <w:suppressLineNumbers w:val="0"/>
                    <w:jc w:val="left"/>
                    <w:rPr>
                      <w:rFonts w:hint="default" w:ascii="Times New Roman" w:hAnsi="Times New Roman" w:eastAsia="宋体" w:cs="Times New Roman"/>
                      <w:color w:val="auto"/>
                      <w:highlight w:val="none"/>
                      <w:lang w:val="en-US" w:eastAsia="zh-CN"/>
                    </w:rPr>
                  </w:pPr>
                  <w:r>
                    <w:rPr>
                      <w:rFonts w:hint="eastAsia" w:ascii="宋体" w:hAnsi="宋体" w:eastAsia="宋体" w:cs="宋体"/>
                      <w:color w:val="auto"/>
                      <w:kern w:val="0"/>
                      <w:sz w:val="20"/>
                      <w:szCs w:val="20"/>
                      <w:highlight w:val="none"/>
                      <w:lang w:val="en-US" w:eastAsia="zh-CN" w:bidi="ar"/>
                    </w:rPr>
                    <w:t>（五）建立隔离消毒、购销台账、日常巡查等动物防疫制度。</w:t>
                  </w:r>
                </w:p>
              </w:tc>
              <w:tc>
                <w:tcPr>
                  <w:tcW w:w="2694" w:type="dxa"/>
                  <w:tcBorders>
                    <w:tl2br w:val="nil"/>
                    <w:tr2bl w:val="nil"/>
                  </w:tcBorders>
                  <w:vAlign w:val="center"/>
                </w:tcPr>
                <w:p w14:paraId="1C9FEA48">
                  <w:pPr>
                    <w:pStyle w:val="132"/>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本项目远离动物诊疗场所、居民生活区、生活饮用水水源地、学校、医院等公共场所，</w:t>
                  </w:r>
                  <w:r>
                    <w:rPr>
                      <w:rFonts w:hint="eastAsia" w:cs="Times New Roman"/>
                      <w:color w:val="auto"/>
                      <w:highlight w:val="none"/>
                      <w:lang w:val="en-US" w:eastAsia="zh-CN"/>
                    </w:rPr>
                    <w:t>项目周边仅有零散居民住户。</w:t>
                  </w:r>
                  <w:r>
                    <w:rPr>
                      <w:rFonts w:hint="default" w:ascii="Times New Roman" w:hAnsi="Times New Roman" w:eastAsia="宋体" w:cs="Times New Roman"/>
                      <w:color w:val="auto"/>
                      <w:highlight w:val="none"/>
                      <w:lang w:val="en-US" w:eastAsia="zh-CN"/>
                    </w:rPr>
                    <w:t>厂区与周围建有围墙等隔离设施，厂区出入口设置运输车辆消毒通道，并单独设置人员消毒通道，生产区域生活办公区分开，设置人员更衣消毒室。配备动物防疫技术人员。对污水处理设施、清洗设置进行必要的防鼠、防鸟、防虫设施设备，建立隔离消毒、购销台账、日常巡查等动物防疫制度。</w:t>
                  </w:r>
                </w:p>
              </w:tc>
              <w:tc>
                <w:tcPr>
                  <w:tcW w:w="1010" w:type="dxa"/>
                  <w:tcBorders>
                    <w:tl2br w:val="nil"/>
                    <w:tr2bl w:val="nil"/>
                  </w:tcBorders>
                  <w:vAlign w:val="center"/>
                </w:tcPr>
                <w:p w14:paraId="42719F08">
                  <w:pPr>
                    <w:pStyle w:val="132"/>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符合</w:t>
                  </w:r>
                </w:p>
              </w:tc>
            </w:tr>
          </w:tbl>
          <w:p w14:paraId="09923EC3">
            <w:pPr>
              <w:adjustRightInd w:val="0"/>
              <w:snapToGrid w:val="0"/>
              <w:spacing w:line="360" w:lineRule="auto"/>
              <w:ind w:firstLine="480" w:firstLineChars="200"/>
              <w:rPr>
                <w:rFonts w:hint="default" w:ascii="Times New Roman" w:hAnsi="Times New Roman" w:eastAsia="宋体" w:cs="Times New Roman"/>
                <w:color w:val="auto"/>
                <w:kern w:val="0"/>
                <w:highlight w:val="none"/>
                <w:lang w:val="en-US" w:eastAsia="zh-CN"/>
              </w:rPr>
            </w:pPr>
            <w:r>
              <w:rPr>
                <w:rFonts w:hint="default" w:ascii="Times New Roman" w:hAnsi="Times New Roman" w:eastAsia="宋体" w:cs="Times New Roman"/>
                <w:color w:val="auto"/>
                <w:kern w:val="0"/>
                <w:highlight w:val="none"/>
                <w:lang w:val="en-US" w:eastAsia="zh-CN"/>
              </w:rPr>
              <w:t>综上，项目选址能够满足</w:t>
            </w:r>
            <w:r>
              <w:rPr>
                <w:rFonts w:hint="eastAsia" w:cs="Times New Roman"/>
                <w:color w:val="auto"/>
                <w:kern w:val="0"/>
                <w:highlight w:val="none"/>
                <w:lang w:val="en-US" w:eastAsia="zh-CN"/>
              </w:rPr>
              <w:t>《动物防疫条件审查办法》（中华人民共和国农业农村部令 2022年第8号）</w:t>
            </w:r>
            <w:r>
              <w:rPr>
                <w:rFonts w:hint="default" w:ascii="Times New Roman" w:hAnsi="Times New Roman" w:eastAsia="宋体" w:cs="Times New Roman"/>
                <w:color w:val="auto"/>
                <w:kern w:val="0"/>
                <w:highlight w:val="none"/>
                <w:lang w:val="en-US" w:eastAsia="zh-CN"/>
              </w:rPr>
              <w:t>中相关要求。</w:t>
            </w:r>
          </w:p>
          <w:p w14:paraId="0F851B5A">
            <w:pPr>
              <w:adjustRightInd w:val="0"/>
              <w:snapToGrid w:val="0"/>
              <w:spacing w:line="360" w:lineRule="auto"/>
              <w:ind w:firstLine="482" w:firstLineChars="200"/>
              <w:rPr>
                <w:rFonts w:hint="default" w:ascii="Times New Roman" w:hAnsi="Times New Roman" w:eastAsia="宋体" w:cs="Times New Roman"/>
                <w:b/>
                <w:bCs/>
                <w:color w:val="auto"/>
                <w:kern w:val="0"/>
                <w:highlight w:val="none"/>
                <w:lang w:val="en-US" w:eastAsia="zh-CN"/>
              </w:rPr>
            </w:pPr>
            <w:r>
              <w:rPr>
                <w:rFonts w:hint="eastAsia" w:cs="Times New Roman"/>
                <w:b/>
                <w:bCs/>
                <w:color w:val="auto"/>
                <w:kern w:val="0"/>
                <w:highlight w:val="none"/>
                <w:lang w:val="en-US" w:eastAsia="zh-CN"/>
              </w:rPr>
              <w:t>4）</w:t>
            </w:r>
            <w:r>
              <w:rPr>
                <w:rFonts w:hint="default" w:ascii="Times New Roman" w:hAnsi="Times New Roman" w:eastAsia="宋体" w:cs="Times New Roman"/>
                <w:b/>
                <w:bCs/>
                <w:color w:val="auto"/>
                <w:kern w:val="0"/>
                <w:highlight w:val="none"/>
                <w:lang w:val="en-US" w:eastAsia="zh-CN"/>
              </w:rPr>
              <w:t>与周边外环境相容性分析</w:t>
            </w:r>
          </w:p>
          <w:p w14:paraId="3F545EF9">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本项目位于磨西镇磨岗岭村。</w:t>
            </w:r>
            <w:r>
              <w:rPr>
                <w:rFonts w:hint="eastAsia" w:ascii="Times New Roman" w:hAnsi="Times New Roman" w:eastAsia="宋体" w:cs="Times New Roman"/>
                <w:color w:val="auto"/>
                <w:highlight w:val="none"/>
                <w:lang w:val="en-US" w:eastAsia="zh-CN"/>
              </w:rPr>
              <w:t>通过现场调查</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对项目周边环境进行详细介绍：</w:t>
            </w:r>
          </w:p>
          <w:p w14:paraId="57D64A95">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东侧：项目南侧500m范围内</w:t>
            </w:r>
            <w:r>
              <w:rPr>
                <w:rFonts w:hint="eastAsia" w:cs="Times New Roman"/>
                <w:color w:val="auto"/>
                <w:highlight w:val="none"/>
                <w:lang w:val="en-US" w:eastAsia="zh-CN"/>
              </w:rPr>
              <w:t>现状</w:t>
            </w:r>
            <w:r>
              <w:rPr>
                <w:rFonts w:hint="default" w:ascii="Times New Roman" w:hAnsi="Times New Roman" w:eastAsia="宋体" w:cs="Times New Roman"/>
                <w:color w:val="auto"/>
                <w:highlight w:val="none"/>
                <w:lang w:val="en-US" w:eastAsia="zh-CN"/>
              </w:rPr>
              <w:t>为</w:t>
            </w:r>
            <w:r>
              <w:rPr>
                <w:rFonts w:hint="eastAsia" w:ascii="Times New Roman" w:hAnsi="Times New Roman" w:eastAsia="宋体" w:cs="Times New Roman"/>
                <w:color w:val="auto"/>
                <w:highlight w:val="none"/>
                <w:lang w:val="en-US" w:eastAsia="zh-CN"/>
              </w:rPr>
              <w:t>林地</w:t>
            </w:r>
            <w:r>
              <w:rPr>
                <w:rFonts w:hint="eastAsia" w:cs="Times New Roman"/>
                <w:color w:val="auto"/>
                <w:highlight w:val="none"/>
                <w:lang w:val="en-US" w:eastAsia="zh-CN"/>
              </w:rPr>
              <w:t>（东侧隔马路有一个农户柴棚，不居住）</w:t>
            </w:r>
            <w:r>
              <w:rPr>
                <w:rFonts w:hint="eastAsia" w:ascii="Times New Roman" w:hAnsi="Times New Roman" w:eastAsia="宋体" w:cs="Times New Roman"/>
                <w:color w:val="auto"/>
                <w:highlight w:val="none"/>
                <w:lang w:val="en-US" w:eastAsia="zh-CN"/>
              </w:rPr>
              <w:t>。</w:t>
            </w:r>
          </w:p>
          <w:p w14:paraId="088BA926">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南侧：项目南侧500m范围内</w:t>
            </w:r>
            <w:r>
              <w:rPr>
                <w:rFonts w:hint="eastAsia" w:cs="Times New Roman"/>
                <w:color w:val="auto"/>
                <w:highlight w:val="none"/>
                <w:lang w:val="en-US" w:eastAsia="zh-CN"/>
              </w:rPr>
              <w:t>现状</w:t>
            </w:r>
            <w:r>
              <w:rPr>
                <w:rFonts w:hint="default" w:ascii="Times New Roman" w:hAnsi="Times New Roman" w:eastAsia="宋体" w:cs="Times New Roman"/>
                <w:color w:val="auto"/>
                <w:highlight w:val="none"/>
                <w:lang w:val="en-US" w:eastAsia="zh-CN"/>
              </w:rPr>
              <w:t>为</w:t>
            </w:r>
            <w:r>
              <w:rPr>
                <w:rFonts w:hint="eastAsia" w:ascii="Times New Roman" w:hAnsi="Times New Roman" w:eastAsia="宋体" w:cs="Times New Roman"/>
                <w:color w:val="auto"/>
                <w:highlight w:val="none"/>
                <w:lang w:val="en-US" w:eastAsia="zh-CN"/>
              </w:rPr>
              <w:t>林地</w:t>
            </w:r>
            <w:r>
              <w:rPr>
                <w:rFonts w:hint="default" w:ascii="Times New Roman" w:hAnsi="Times New Roman" w:eastAsia="宋体" w:cs="Times New Roman"/>
                <w:color w:val="auto"/>
                <w:highlight w:val="none"/>
                <w:lang w:val="en-US" w:eastAsia="zh-CN"/>
              </w:rPr>
              <w:t>。</w:t>
            </w:r>
          </w:p>
          <w:p w14:paraId="534E234A">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西侧：项目西侧、西南侧、西西北侧约300~500m范围内为磨西镇场镇（含民宿宾馆、咱地村村委会、海螺沟中学、海螺沟景区管理局等），场镇人口约5000~6000人。项目西侧约150m处为雅家埂河。项目与磨西镇场镇分别位于雅家埂河的左岸、右岸。</w:t>
            </w:r>
          </w:p>
          <w:p w14:paraId="0E6452C7">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西北侧：项目西北侧500m范围内分布有磨岗岭村居民点、牛坪村居民点。</w:t>
            </w:r>
          </w:p>
          <w:p w14:paraId="6799FE2A">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西北侧50m范围内：</w:t>
            </w:r>
            <w:r>
              <w:rPr>
                <w:rFonts w:hint="eastAsia" w:ascii="Times New Roman" w:hAnsi="Times New Roman" w:eastAsia="宋体" w:cs="Times New Roman"/>
                <w:color w:val="auto"/>
                <w:highlight w:val="none"/>
                <w:lang w:val="en-US" w:eastAsia="zh-CN"/>
              </w:rPr>
              <w:t>距离项目厂界最近的居民点为西北侧约43m处的磨岗岭村居民</w:t>
            </w:r>
            <w:r>
              <w:rPr>
                <w:rFonts w:hint="eastAsia" w:cs="Times New Roman"/>
                <w:color w:val="auto"/>
                <w:highlight w:val="none"/>
                <w:lang w:val="en-US" w:eastAsia="zh-CN"/>
              </w:rPr>
              <w:t>1户（周友康住户），约4人；</w:t>
            </w:r>
          </w:p>
          <w:p w14:paraId="3A0B3917">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西北侧50m~100m范围内：分布有磨岗岭村聚居点一的居民2户（周友荣、姜学贵住户），约8人；</w:t>
            </w:r>
          </w:p>
          <w:p w14:paraId="79420733">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西北侧100m~150m范围内：分布有磨岗岭村聚居点二的居民4户（程洪刚、程洪琼、吴代平、姜德明住户），约20人；</w:t>
            </w:r>
          </w:p>
          <w:p w14:paraId="37D3EAF8">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西北侧150m~200m范围内：分布有磨岗岭村聚居点二的居民5户（程洪清、程洪斌、陈启富、刘忠平、刘忠勇住户），约25人；</w:t>
            </w:r>
          </w:p>
          <w:p w14:paraId="49DC05E1">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西北侧200m~400m范围内：分布有磨岗岭村聚居点二的居民5户，约25人；</w:t>
            </w:r>
          </w:p>
          <w:p w14:paraId="59C30E6A">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西北侧400m~500m范围内：分布有牛坪村居民的居民3户，约15人；</w:t>
            </w:r>
          </w:p>
          <w:p w14:paraId="14BAB4F8">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此外，西北侧500m~700m范围内还分布有其他牛坪村居民约10多户。</w:t>
            </w:r>
          </w:p>
          <w:p w14:paraId="350748F6">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本项目距离贡嘎山自然保护区和海螺沟国家冰川森林公园在3km以上，距离海螺沟国家地质公园边界在600m以上，距离海螺沟国家地质公园一、二、三级保护区在6km以上，距离贡嘎山风景名胜区</w:t>
            </w:r>
            <w:r>
              <w:rPr>
                <w:rFonts w:hint="eastAsia" w:cs="Times New Roman"/>
                <w:color w:val="auto"/>
                <w:highlight w:val="none"/>
                <w:lang w:val="en-US" w:eastAsia="zh-CN"/>
              </w:rPr>
              <w:t>一般控制区最近约155</w:t>
            </w:r>
            <w:r>
              <w:rPr>
                <w:rFonts w:hint="eastAsia" w:ascii="Times New Roman" w:hAnsi="Times New Roman" w:eastAsia="宋体" w:cs="Times New Roman"/>
                <w:color w:val="auto"/>
                <w:highlight w:val="none"/>
                <w:lang w:val="en-US" w:eastAsia="zh-CN"/>
              </w:rPr>
              <w:t>m</w:t>
            </w:r>
            <w:r>
              <w:rPr>
                <w:rFonts w:hint="eastAsia" w:cs="Times New Roman"/>
                <w:color w:val="auto"/>
                <w:highlight w:val="none"/>
                <w:lang w:val="en-US" w:eastAsia="zh-CN"/>
              </w:rPr>
              <w:t>、距其核心区最近约4.5km</w:t>
            </w:r>
            <w:r>
              <w:rPr>
                <w:rFonts w:hint="eastAsia" w:ascii="Times New Roman" w:hAnsi="Times New Roman" w:eastAsia="宋体" w:cs="Times New Roman"/>
                <w:color w:val="auto"/>
                <w:highlight w:val="none"/>
                <w:lang w:val="en-US" w:eastAsia="zh-CN"/>
              </w:rPr>
              <w:t>。以上生态环境保护目标均位于本项目评价范围之外。</w:t>
            </w:r>
          </w:p>
          <w:p w14:paraId="0CAC56AF">
            <w:pPr>
              <w:pStyle w:val="27"/>
              <w:keepNext w:val="0"/>
              <w:keepLines w:val="0"/>
              <w:pageBreakBefore w:val="0"/>
              <w:widowControl w:val="0"/>
              <w:numPr>
                <w:ilvl w:val="0"/>
                <w:numId w:val="3"/>
              </w:numPr>
              <w:kinsoku/>
              <w:wordWrap w:val="0"/>
              <w:overflowPunct/>
              <w:topLinePunct w:val="0"/>
              <w:autoSpaceDE w:val="0"/>
              <w:autoSpaceDN/>
              <w:bidi w:val="0"/>
              <w:adjustRightInd/>
              <w:snapToGrid/>
              <w:spacing w:before="0" w:beforeAutospacing="0" w:after="0" w:afterAutospacing="0"/>
              <w:ind w:left="425" w:leftChars="0" w:hanging="425" w:firstLineChars="0"/>
              <w:jc w:val="center"/>
              <w:textAlignment w:val="auto"/>
              <w:rPr>
                <w:rFonts w:hint="default" w:ascii="Times New Roman" w:hAnsi="Times New Roman" w:eastAsia="宋体" w:cs="Times New Roman"/>
                <w:b/>
                <w:bCs/>
                <w:color w:val="auto"/>
                <w:sz w:val="21"/>
                <w:szCs w:val="16"/>
                <w:highlight w:val="none"/>
              </w:rPr>
            </w:pPr>
            <w:r>
              <w:rPr>
                <w:rFonts w:hint="eastAsia" w:ascii="Times New Roman" w:hAnsi="Times New Roman" w:cs="Times New Roman"/>
                <w:b/>
                <w:bCs/>
                <w:color w:val="auto"/>
                <w:sz w:val="21"/>
                <w:szCs w:val="16"/>
                <w:highlight w:val="none"/>
                <w:lang w:val="en-US" w:eastAsia="zh-CN"/>
              </w:rPr>
              <w:t xml:space="preserve"> </w:t>
            </w:r>
            <w:r>
              <w:rPr>
                <w:rFonts w:hint="default" w:ascii="Times New Roman" w:hAnsi="Times New Roman" w:eastAsia="宋体" w:cs="Times New Roman"/>
                <w:b/>
                <w:bCs/>
                <w:color w:val="auto"/>
                <w:sz w:val="21"/>
                <w:szCs w:val="16"/>
                <w:highlight w:val="none"/>
              </w:rPr>
              <w:t>项目外环境关系一览表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2032"/>
              <w:gridCol w:w="1356"/>
              <w:gridCol w:w="1587"/>
              <w:gridCol w:w="2113"/>
            </w:tblGrid>
            <w:tr w14:paraId="6D50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12" w:space="0"/>
                    <w:bottom w:val="single" w:color="auto" w:sz="6" w:space="0"/>
                    <w:right w:val="single" w:color="auto" w:sz="6" w:space="0"/>
                  </w:tcBorders>
                  <w:vAlign w:val="center"/>
                </w:tcPr>
                <w:p w14:paraId="11D834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1301" w:type="pct"/>
                  <w:tcBorders>
                    <w:top w:val="single" w:color="auto" w:sz="12" w:space="0"/>
                    <w:left w:val="single" w:color="auto" w:sz="6" w:space="0"/>
                    <w:bottom w:val="single" w:color="auto" w:sz="6" w:space="0"/>
                    <w:right w:val="single" w:color="auto" w:sz="6" w:space="0"/>
                  </w:tcBorders>
                  <w:vAlign w:val="center"/>
                </w:tcPr>
                <w:p w14:paraId="73D77C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名称</w:t>
                  </w:r>
                </w:p>
              </w:tc>
              <w:tc>
                <w:tcPr>
                  <w:tcW w:w="868" w:type="pct"/>
                  <w:tcBorders>
                    <w:top w:val="single" w:color="auto" w:sz="12" w:space="0"/>
                    <w:left w:val="single" w:color="auto" w:sz="6" w:space="0"/>
                    <w:bottom w:val="single" w:color="auto" w:sz="6" w:space="0"/>
                    <w:right w:val="single" w:color="auto" w:sz="6" w:space="0"/>
                  </w:tcBorders>
                  <w:vAlign w:val="center"/>
                </w:tcPr>
                <w:p w14:paraId="4294F8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方位</w:t>
                  </w:r>
                </w:p>
              </w:tc>
              <w:tc>
                <w:tcPr>
                  <w:tcW w:w="1016" w:type="pct"/>
                  <w:tcBorders>
                    <w:top w:val="single" w:color="auto" w:sz="12" w:space="0"/>
                    <w:left w:val="single" w:color="auto" w:sz="6" w:space="0"/>
                    <w:bottom w:val="single" w:color="auto" w:sz="6" w:space="0"/>
                    <w:right w:val="single" w:color="auto" w:sz="6" w:space="0"/>
                  </w:tcBorders>
                  <w:vAlign w:val="center"/>
                </w:tcPr>
                <w:p w14:paraId="4A7BE8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距离（m）</w:t>
                  </w:r>
                </w:p>
              </w:tc>
              <w:tc>
                <w:tcPr>
                  <w:tcW w:w="1351" w:type="pct"/>
                  <w:tcBorders>
                    <w:top w:val="single" w:color="auto" w:sz="12" w:space="0"/>
                    <w:left w:val="single" w:color="auto" w:sz="6" w:space="0"/>
                    <w:bottom w:val="single" w:color="auto" w:sz="6" w:space="0"/>
                    <w:right w:val="nil"/>
                  </w:tcBorders>
                  <w:vAlign w:val="center"/>
                </w:tcPr>
                <w:p w14:paraId="200092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经营内容/备注</w:t>
                  </w:r>
                </w:p>
              </w:tc>
            </w:tr>
            <w:tr w14:paraId="008AE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tcBorders>
                    <w:top w:val="single" w:color="auto" w:sz="6" w:space="0"/>
                    <w:left w:val="nil"/>
                    <w:bottom w:val="single" w:color="auto" w:sz="6" w:space="0"/>
                    <w:right w:val="nil"/>
                  </w:tcBorders>
                  <w:vAlign w:val="center"/>
                </w:tcPr>
                <w:p w14:paraId="09A4BF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距本项目厂界0~50m</w:t>
                  </w:r>
                  <w:r>
                    <w:rPr>
                      <w:rFonts w:hint="eastAsia" w:ascii="Times New Roman" w:hAnsi="Times New Roman" w:eastAsia="宋体" w:cs="Times New Roman"/>
                      <w:b/>
                      <w:bCs/>
                      <w:color w:val="auto"/>
                      <w:sz w:val="21"/>
                      <w:szCs w:val="21"/>
                      <w:highlight w:val="none"/>
                      <w:lang w:val="en-US" w:eastAsia="zh-CN"/>
                    </w:rPr>
                    <w:t>内</w:t>
                  </w:r>
                </w:p>
              </w:tc>
            </w:tr>
            <w:tr w14:paraId="6364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6" w:space="0"/>
                    <w:right w:val="single" w:color="auto" w:sz="6" w:space="0"/>
                  </w:tcBorders>
                  <w:vAlign w:val="center"/>
                </w:tcPr>
                <w:p w14:paraId="77F40E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301" w:type="pct"/>
                  <w:tcBorders>
                    <w:top w:val="single" w:color="auto" w:sz="6" w:space="0"/>
                    <w:left w:val="single" w:color="auto" w:sz="6" w:space="0"/>
                    <w:bottom w:val="single" w:color="auto" w:sz="6" w:space="0"/>
                    <w:right w:val="single" w:color="auto" w:sz="6" w:space="0"/>
                  </w:tcBorders>
                  <w:vAlign w:val="center"/>
                </w:tcPr>
                <w:p w14:paraId="11D59DA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磨岗岭村居民聚集点一</w:t>
                  </w:r>
                </w:p>
              </w:tc>
              <w:tc>
                <w:tcPr>
                  <w:tcW w:w="868" w:type="pct"/>
                  <w:tcBorders>
                    <w:top w:val="single" w:color="auto" w:sz="6" w:space="0"/>
                    <w:left w:val="single" w:color="auto" w:sz="6" w:space="0"/>
                    <w:bottom w:val="single" w:color="auto" w:sz="6" w:space="0"/>
                    <w:right w:val="single" w:color="auto" w:sz="6" w:space="0"/>
                  </w:tcBorders>
                  <w:vAlign w:val="center"/>
                </w:tcPr>
                <w:p w14:paraId="36CC39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西北侧</w:t>
                  </w:r>
                </w:p>
              </w:tc>
              <w:tc>
                <w:tcPr>
                  <w:tcW w:w="1016" w:type="pct"/>
                  <w:tcBorders>
                    <w:top w:val="single" w:color="auto" w:sz="6" w:space="0"/>
                    <w:left w:val="single" w:color="auto" w:sz="6" w:space="0"/>
                    <w:bottom w:val="single" w:color="auto" w:sz="6" w:space="0"/>
                    <w:right w:val="single" w:color="auto" w:sz="6" w:space="0"/>
                  </w:tcBorders>
                  <w:vAlign w:val="center"/>
                </w:tcPr>
                <w:p w14:paraId="736009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43</w:t>
                  </w:r>
                </w:p>
              </w:tc>
              <w:tc>
                <w:tcPr>
                  <w:tcW w:w="1351" w:type="pct"/>
                  <w:tcBorders>
                    <w:top w:val="single" w:color="auto" w:sz="6" w:space="0"/>
                    <w:left w:val="single" w:color="auto" w:sz="6" w:space="0"/>
                    <w:bottom w:val="single" w:color="auto" w:sz="6" w:space="0"/>
                    <w:right w:val="nil"/>
                  </w:tcBorders>
                  <w:vAlign w:val="center"/>
                </w:tcPr>
                <w:p w14:paraId="33F0DE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zh-CN" w:eastAsia="zh-CN"/>
                    </w:rPr>
                    <w:t>户，约</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zh-CN" w:eastAsia="zh-CN"/>
                    </w:rPr>
                    <w:t>人</w:t>
                  </w:r>
                </w:p>
              </w:tc>
            </w:tr>
            <w:tr w14:paraId="48C7C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tcBorders>
                    <w:top w:val="single" w:color="auto" w:sz="6" w:space="0"/>
                    <w:left w:val="nil"/>
                    <w:bottom w:val="single" w:color="auto" w:sz="6" w:space="0"/>
                    <w:right w:val="nil"/>
                  </w:tcBorders>
                  <w:vAlign w:val="center"/>
                </w:tcPr>
                <w:p w14:paraId="237B7C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距本项目厂界51~200m范围内</w:t>
                  </w:r>
                </w:p>
              </w:tc>
            </w:tr>
            <w:tr w14:paraId="7DB2E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62" w:type="pct"/>
                  <w:tcBorders>
                    <w:top w:val="single" w:color="auto" w:sz="6" w:space="0"/>
                    <w:left w:val="nil"/>
                    <w:bottom w:val="single" w:color="auto" w:sz="6" w:space="0"/>
                    <w:right w:val="single" w:color="auto" w:sz="6" w:space="0"/>
                  </w:tcBorders>
                  <w:vAlign w:val="center"/>
                </w:tcPr>
                <w:p w14:paraId="733FC9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301" w:type="pct"/>
                  <w:tcBorders>
                    <w:top w:val="single" w:color="auto" w:sz="6" w:space="0"/>
                    <w:left w:val="single" w:color="auto" w:sz="6" w:space="0"/>
                    <w:bottom w:val="single" w:color="auto" w:sz="6" w:space="0"/>
                    <w:right w:val="single" w:color="auto" w:sz="6" w:space="0"/>
                  </w:tcBorders>
                  <w:vAlign w:val="center"/>
                </w:tcPr>
                <w:p w14:paraId="2CD2A8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磨岗岭村居民</w:t>
                  </w:r>
                  <w:r>
                    <w:rPr>
                      <w:rFonts w:hint="eastAsia" w:ascii="Times New Roman" w:hAnsi="Times New Roman" w:eastAsia="宋体" w:cs="Times New Roman"/>
                      <w:color w:val="auto"/>
                      <w:sz w:val="21"/>
                      <w:szCs w:val="21"/>
                      <w:highlight w:val="none"/>
                      <w:lang w:val="en-US" w:eastAsia="zh-CN"/>
                    </w:rPr>
                    <w:t>聚集点一</w:t>
                  </w:r>
                </w:p>
              </w:tc>
              <w:tc>
                <w:tcPr>
                  <w:tcW w:w="868" w:type="pct"/>
                  <w:tcBorders>
                    <w:top w:val="single" w:color="auto" w:sz="6" w:space="0"/>
                    <w:left w:val="single" w:color="auto" w:sz="6" w:space="0"/>
                    <w:bottom w:val="single" w:color="auto" w:sz="6" w:space="0"/>
                    <w:right w:val="single" w:color="auto" w:sz="6" w:space="0"/>
                  </w:tcBorders>
                  <w:vAlign w:val="center"/>
                </w:tcPr>
                <w:p w14:paraId="064D6D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西北侧</w:t>
                  </w:r>
                </w:p>
              </w:tc>
              <w:tc>
                <w:tcPr>
                  <w:tcW w:w="1016" w:type="pct"/>
                  <w:tcBorders>
                    <w:top w:val="single" w:color="auto" w:sz="6" w:space="0"/>
                    <w:left w:val="single" w:color="auto" w:sz="6" w:space="0"/>
                    <w:bottom w:val="single" w:color="auto" w:sz="6" w:space="0"/>
                    <w:right w:val="single" w:color="auto" w:sz="6" w:space="0"/>
                  </w:tcBorders>
                  <w:vAlign w:val="center"/>
                </w:tcPr>
                <w:p w14:paraId="0010E0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r>
                    <w:rPr>
                      <w:rFonts w:hint="default" w:ascii="Times New Roman" w:hAnsi="Times New Roman" w:eastAsia="宋体" w:cs="Times New Roman"/>
                      <w:color w:val="auto"/>
                      <w:sz w:val="21"/>
                      <w:szCs w:val="21"/>
                      <w:highlight w:val="none"/>
                      <w:lang w:val="zh-CN" w:eastAsia="zh-CN"/>
                    </w:rPr>
                    <w:t>m~</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zh-CN" w:eastAsia="zh-CN"/>
                    </w:rPr>
                    <w:t>00m</w:t>
                  </w:r>
                </w:p>
              </w:tc>
              <w:tc>
                <w:tcPr>
                  <w:tcW w:w="1351" w:type="pct"/>
                  <w:tcBorders>
                    <w:top w:val="single" w:color="auto" w:sz="6" w:space="0"/>
                    <w:left w:val="single" w:color="auto" w:sz="6" w:space="0"/>
                    <w:bottom w:val="single" w:color="auto" w:sz="6" w:space="0"/>
                    <w:right w:val="nil"/>
                  </w:tcBorders>
                  <w:vAlign w:val="center"/>
                </w:tcPr>
                <w:p w14:paraId="5ACE59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zh-CN" w:eastAsia="zh-CN"/>
                    </w:rPr>
                    <w:t>户，约</w:t>
                  </w:r>
                  <w:r>
                    <w:rPr>
                      <w:rFonts w:hint="default"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zh-CN" w:eastAsia="zh-CN"/>
                    </w:rPr>
                    <w:t>人</w:t>
                  </w:r>
                </w:p>
              </w:tc>
            </w:tr>
            <w:tr w14:paraId="418E1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462" w:type="pct"/>
                  <w:tcBorders>
                    <w:top w:val="single" w:color="auto" w:sz="6" w:space="0"/>
                    <w:left w:val="nil"/>
                    <w:bottom w:val="single" w:color="auto" w:sz="6" w:space="0"/>
                    <w:right w:val="single" w:color="auto" w:sz="6" w:space="0"/>
                  </w:tcBorders>
                  <w:vAlign w:val="center"/>
                </w:tcPr>
                <w:p w14:paraId="73DE6B7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301" w:type="pct"/>
                  <w:tcBorders>
                    <w:top w:val="single" w:color="auto" w:sz="6" w:space="0"/>
                    <w:left w:val="single" w:color="auto" w:sz="6" w:space="0"/>
                    <w:bottom w:val="single" w:color="auto" w:sz="6" w:space="0"/>
                    <w:right w:val="single" w:color="auto" w:sz="6" w:space="0"/>
                  </w:tcBorders>
                  <w:vAlign w:val="center"/>
                </w:tcPr>
                <w:p w14:paraId="4C0526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磨岗岭村居民聚集点二</w:t>
                  </w:r>
                </w:p>
              </w:tc>
              <w:tc>
                <w:tcPr>
                  <w:tcW w:w="868" w:type="pct"/>
                  <w:tcBorders>
                    <w:top w:val="single" w:color="auto" w:sz="6" w:space="0"/>
                    <w:left w:val="single" w:color="auto" w:sz="6" w:space="0"/>
                    <w:bottom w:val="single" w:color="auto" w:sz="6" w:space="0"/>
                    <w:right w:val="single" w:color="auto" w:sz="6" w:space="0"/>
                  </w:tcBorders>
                  <w:vAlign w:val="center"/>
                </w:tcPr>
                <w:p w14:paraId="409CF9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西北侧</w:t>
                  </w:r>
                </w:p>
              </w:tc>
              <w:tc>
                <w:tcPr>
                  <w:tcW w:w="1016" w:type="pct"/>
                  <w:tcBorders>
                    <w:top w:val="single" w:color="auto" w:sz="6" w:space="0"/>
                    <w:left w:val="single" w:color="auto" w:sz="6" w:space="0"/>
                    <w:bottom w:val="single" w:color="auto" w:sz="6" w:space="0"/>
                    <w:right w:val="single" w:color="auto" w:sz="6" w:space="0"/>
                  </w:tcBorders>
                  <w:vAlign w:val="center"/>
                </w:tcPr>
                <w:p w14:paraId="2977822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r>
                    <w:rPr>
                      <w:rFonts w:hint="default" w:ascii="Times New Roman" w:hAnsi="Times New Roman" w:eastAsia="宋体" w:cs="Times New Roman"/>
                      <w:color w:val="auto"/>
                      <w:sz w:val="21"/>
                      <w:szCs w:val="21"/>
                      <w:highlight w:val="none"/>
                      <w:lang w:val="zh-CN" w:eastAsia="zh-CN"/>
                    </w:rPr>
                    <w:t>m~</w:t>
                  </w:r>
                  <w:r>
                    <w:rPr>
                      <w:rFonts w:hint="default" w:ascii="Times New Roman" w:hAnsi="Times New Roman" w:eastAsia="宋体" w:cs="Times New Roman"/>
                      <w:color w:val="auto"/>
                      <w:sz w:val="21"/>
                      <w:szCs w:val="21"/>
                      <w:highlight w:val="none"/>
                      <w:lang w:val="en-US" w:eastAsia="zh-CN"/>
                    </w:rPr>
                    <w:t>150</w:t>
                  </w:r>
                  <w:r>
                    <w:rPr>
                      <w:rFonts w:hint="default" w:ascii="Times New Roman" w:hAnsi="Times New Roman" w:eastAsia="宋体" w:cs="Times New Roman"/>
                      <w:color w:val="auto"/>
                      <w:sz w:val="21"/>
                      <w:szCs w:val="21"/>
                      <w:highlight w:val="none"/>
                      <w:lang w:val="zh-CN" w:eastAsia="zh-CN"/>
                    </w:rPr>
                    <w:t>m</w:t>
                  </w:r>
                </w:p>
              </w:tc>
              <w:tc>
                <w:tcPr>
                  <w:tcW w:w="1351" w:type="pct"/>
                  <w:tcBorders>
                    <w:top w:val="single" w:color="auto" w:sz="6" w:space="0"/>
                    <w:left w:val="single" w:color="auto" w:sz="6" w:space="0"/>
                    <w:bottom w:val="single" w:color="auto" w:sz="6" w:space="0"/>
                    <w:right w:val="nil"/>
                  </w:tcBorders>
                  <w:vAlign w:val="center"/>
                </w:tcPr>
                <w:p w14:paraId="398574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zh-CN" w:eastAsia="zh-CN"/>
                    </w:rPr>
                    <w:t>户，约</w:t>
                  </w:r>
                  <w:r>
                    <w:rPr>
                      <w:rFonts w:hint="default" w:ascii="Times New Roman" w:hAns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zh-CN" w:eastAsia="zh-CN"/>
                    </w:rPr>
                    <w:t>人</w:t>
                  </w:r>
                </w:p>
              </w:tc>
            </w:tr>
            <w:tr w14:paraId="45358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6" w:space="0"/>
                    <w:right w:val="single" w:color="auto" w:sz="6" w:space="0"/>
                  </w:tcBorders>
                  <w:vAlign w:val="center"/>
                </w:tcPr>
                <w:p w14:paraId="444142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301" w:type="pct"/>
                  <w:tcBorders>
                    <w:top w:val="single" w:color="auto" w:sz="6" w:space="0"/>
                    <w:left w:val="single" w:color="auto" w:sz="6" w:space="0"/>
                    <w:bottom w:val="single" w:color="auto" w:sz="6" w:space="0"/>
                    <w:right w:val="single" w:color="auto" w:sz="6" w:space="0"/>
                  </w:tcBorders>
                  <w:vAlign w:val="center"/>
                </w:tcPr>
                <w:p w14:paraId="604AEE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磨岗岭村居民聚集点二</w:t>
                  </w:r>
                </w:p>
              </w:tc>
              <w:tc>
                <w:tcPr>
                  <w:tcW w:w="868" w:type="pct"/>
                  <w:tcBorders>
                    <w:top w:val="single" w:color="auto" w:sz="6" w:space="0"/>
                    <w:left w:val="single" w:color="auto" w:sz="6" w:space="0"/>
                    <w:bottom w:val="single" w:color="auto" w:sz="6" w:space="0"/>
                    <w:right w:val="single" w:color="auto" w:sz="6" w:space="0"/>
                  </w:tcBorders>
                  <w:vAlign w:val="center"/>
                </w:tcPr>
                <w:p w14:paraId="1073B8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西北侧</w:t>
                  </w:r>
                </w:p>
              </w:tc>
              <w:tc>
                <w:tcPr>
                  <w:tcW w:w="1016" w:type="pct"/>
                  <w:tcBorders>
                    <w:top w:val="single" w:color="auto" w:sz="6" w:space="0"/>
                    <w:left w:val="single" w:color="auto" w:sz="6" w:space="0"/>
                    <w:bottom w:val="single" w:color="auto" w:sz="6" w:space="0"/>
                    <w:right w:val="single" w:color="auto" w:sz="6" w:space="0"/>
                  </w:tcBorders>
                  <w:vAlign w:val="center"/>
                </w:tcPr>
                <w:p w14:paraId="3957686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150</w:t>
                  </w:r>
                  <w:r>
                    <w:rPr>
                      <w:rFonts w:hint="default" w:ascii="Times New Roman" w:hAnsi="Times New Roman" w:eastAsia="宋体" w:cs="Times New Roman"/>
                      <w:color w:val="auto"/>
                      <w:sz w:val="21"/>
                      <w:szCs w:val="21"/>
                      <w:highlight w:val="none"/>
                      <w:lang w:val="zh-CN" w:eastAsia="zh-CN"/>
                    </w:rPr>
                    <w:t>m~</w:t>
                  </w:r>
                  <w:r>
                    <w:rPr>
                      <w:rFonts w:hint="default" w:ascii="Times New Roman" w:hAnsi="Times New Roman" w:eastAsia="宋体" w:cs="Times New Roman"/>
                      <w:color w:val="auto"/>
                      <w:sz w:val="21"/>
                      <w:szCs w:val="21"/>
                      <w:highlight w:val="none"/>
                      <w:lang w:val="en-US" w:eastAsia="zh-CN"/>
                    </w:rPr>
                    <w:t>200</w:t>
                  </w:r>
                  <w:r>
                    <w:rPr>
                      <w:rFonts w:hint="default" w:ascii="Times New Roman" w:hAnsi="Times New Roman" w:eastAsia="宋体" w:cs="Times New Roman"/>
                      <w:color w:val="auto"/>
                      <w:sz w:val="21"/>
                      <w:szCs w:val="21"/>
                      <w:highlight w:val="none"/>
                      <w:lang w:val="zh-CN" w:eastAsia="zh-CN"/>
                    </w:rPr>
                    <w:t>m</w:t>
                  </w:r>
                </w:p>
              </w:tc>
              <w:tc>
                <w:tcPr>
                  <w:tcW w:w="1351" w:type="pct"/>
                  <w:tcBorders>
                    <w:top w:val="single" w:color="auto" w:sz="6" w:space="0"/>
                    <w:left w:val="single" w:color="auto" w:sz="6" w:space="0"/>
                    <w:bottom w:val="single" w:color="auto" w:sz="6" w:space="0"/>
                    <w:right w:val="nil"/>
                  </w:tcBorders>
                  <w:vAlign w:val="center"/>
                </w:tcPr>
                <w:p w14:paraId="3A242D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zh-CN" w:eastAsia="zh-CN"/>
                    </w:rPr>
                    <w:t>户，约</w:t>
                  </w:r>
                  <w:r>
                    <w:rPr>
                      <w:rFonts w:hint="default" w:ascii="Times New Roman" w:hAnsi="Times New Roman" w:eastAsia="宋体"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zh-CN" w:eastAsia="zh-CN"/>
                    </w:rPr>
                    <w:t>人</w:t>
                  </w:r>
                </w:p>
              </w:tc>
            </w:tr>
            <w:tr w14:paraId="019EB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6" w:space="0"/>
                    <w:right w:val="single" w:color="auto" w:sz="6" w:space="0"/>
                  </w:tcBorders>
                  <w:vAlign w:val="center"/>
                </w:tcPr>
                <w:p w14:paraId="316EA8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1301" w:type="pct"/>
                  <w:tcBorders>
                    <w:top w:val="single" w:color="auto" w:sz="6" w:space="0"/>
                    <w:left w:val="single" w:color="auto" w:sz="6" w:space="0"/>
                    <w:bottom w:val="single" w:color="auto" w:sz="6" w:space="0"/>
                    <w:right w:val="single" w:color="auto" w:sz="6" w:space="0"/>
                  </w:tcBorders>
                  <w:shd w:val="clear" w:color="auto" w:fill="auto"/>
                  <w:vAlign w:val="center"/>
                </w:tcPr>
                <w:p w14:paraId="03DD1F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贡嘎山风景名胜区一般控制区</w:t>
                  </w:r>
                </w:p>
              </w:tc>
              <w:tc>
                <w:tcPr>
                  <w:tcW w:w="868" w:type="pct"/>
                  <w:tcBorders>
                    <w:top w:val="single" w:color="auto" w:sz="6" w:space="0"/>
                    <w:left w:val="single" w:color="auto" w:sz="6" w:space="0"/>
                    <w:bottom w:val="single" w:color="auto" w:sz="6" w:space="0"/>
                    <w:right w:val="single" w:color="auto" w:sz="6" w:space="0"/>
                  </w:tcBorders>
                  <w:shd w:val="clear" w:color="auto" w:fill="auto"/>
                  <w:vAlign w:val="center"/>
                </w:tcPr>
                <w:p w14:paraId="4BF20B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东侧</w:t>
                  </w:r>
                </w:p>
              </w:tc>
              <w:tc>
                <w:tcPr>
                  <w:tcW w:w="1016" w:type="pct"/>
                  <w:tcBorders>
                    <w:top w:val="single" w:color="auto" w:sz="6" w:space="0"/>
                    <w:left w:val="single" w:color="auto" w:sz="6" w:space="0"/>
                    <w:bottom w:val="single" w:color="auto" w:sz="6" w:space="0"/>
                    <w:right w:val="single" w:color="auto" w:sz="6" w:space="0"/>
                  </w:tcBorders>
                  <w:shd w:val="clear" w:color="auto" w:fill="auto"/>
                  <w:vAlign w:val="center"/>
                </w:tcPr>
                <w:p w14:paraId="0C1252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155m</w:t>
                  </w:r>
                </w:p>
              </w:tc>
              <w:tc>
                <w:tcPr>
                  <w:tcW w:w="1351" w:type="pct"/>
                  <w:tcBorders>
                    <w:top w:val="single" w:color="auto" w:sz="6" w:space="0"/>
                    <w:left w:val="single" w:color="auto" w:sz="6" w:space="0"/>
                    <w:bottom w:val="single" w:color="auto" w:sz="6" w:space="0"/>
                    <w:right w:val="nil"/>
                  </w:tcBorders>
                  <w:vAlign w:val="center"/>
                </w:tcPr>
                <w:p w14:paraId="562B2E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风景名胜区</w:t>
                  </w:r>
                </w:p>
              </w:tc>
            </w:tr>
            <w:tr w14:paraId="0E0E1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tcBorders>
                    <w:top w:val="single" w:color="auto" w:sz="6" w:space="0"/>
                    <w:left w:val="nil"/>
                    <w:bottom w:val="single" w:color="auto" w:sz="6" w:space="0"/>
                    <w:right w:val="nil"/>
                  </w:tcBorders>
                  <w:vAlign w:val="center"/>
                </w:tcPr>
                <w:p w14:paraId="2EA522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距本项目厂界201~500m范围内</w:t>
                  </w:r>
                </w:p>
              </w:tc>
            </w:tr>
            <w:tr w14:paraId="0E46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6" w:space="0"/>
                    <w:right w:val="single" w:color="auto" w:sz="6" w:space="0"/>
                  </w:tcBorders>
                  <w:vAlign w:val="center"/>
                </w:tcPr>
                <w:p w14:paraId="6ADA9B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1301" w:type="pct"/>
                  <w:tcBorders>
                    <w:top w:val="single" w:color="auto" w:sz="6" w:space="0"/>
                    <w:left w:val="single" w:color="auto" w:sz="6" w:space="0"/>
                    <w:bottom w:val="single" w:color="auto" w:sz="6" w:space="0"/>
                    <w:right w:val="single" w:color="auto" w:sz="6" w:space="0"/>
                  </w:tcBorders>
                  <w:vAlign w:val="center"/>
                </w:tcPr>
                <w:p w14:paraId="328B4D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磨岗岭村居民聚集点二</w:t>
                  </w:r>
                </w:p>
              </w:tc>
              <w:tc>
                <w:tcPr>
                  <w:tcW w:w="868" w:type="pct"/>
                  <w:tcBorders>
                    <w:top w:val="single" w:color="auto" w:sz="6" w:space="0"/>
                    <w:left w:val="single" w:color="auto" w:sz="6" w:space="0"/>
                    <w:bottom w:val="single" w:color="auto" w:sz="6" w:space="0"/>
                    <w:right w:val="single" w:color="auto" w:sz="6" w:space="0"/>
                  </w:tcBorders>
                  <w:vAlign w:val="center"/>
                </w:tcPr>
                <w:p w14:paraId="3886CF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西北侧</w:t>
                  </w:r>
                </w:p>
              </w:tc>
              <w:tc>
                <w:tcPr>
                  <w:tcW w:w="1016" w:type="pct"/>
                  <w:tcBorders>
                    <w:top w:val="single" w:color="auto" w:sz="6" w:space="0"/>
                    <w:left w:val="single" w:color="auto" w:sz="6" w:space="0"/>
                    <w:bottom w:val="single" w:color="auto" w:sz="6" w:space="0"/>
                    <w:right w:val="single" w:color="auto" w:sz="6" w:space="0"/>
                  </w:tcBorders>
                  <w:vAlign w:val="center"/>
                </w:tcPr>
                <w:p w14:paraId="713EA0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w:t>
                  </w:r>
                  <w:r>
                    <w:rPr>
                      <w:rFonts w:hint="default" w:ascii="Times New Roman" w:hAnsi="Times New Roman" w:eastAsia="宋体" w:cs="Times New Roman"/>
                      <w:color w:val="auto"/>
                      <w:sz w:val="21"/>
                      <w:szCs w:val="21"/>
                      <w:highlight w:val="none"/>
                      <w:lang w:val="zh-CN" w:eastAsia="zh-CN"/>
                    </w:rPr>
                    <w:t>m~</w:t>
                  </w:r>
                  <w:r>
                    <w:rPr>
                      <w:rFonts w:hint="default" w:ascii="Times New Roman" w:hAnsi="Times New Roman" w:eastAsia="宋体" w:cs="Times New Roman"/>
                      <w:color w:val="auto"/>
                      <w:sz w:val="21"/>
                      <w:szCs w:val="21"/>
                      <w:highlight w:val="none"/>
                      <w:lang w:val="en-US" w:eastAsia="zh-CN"/>
                    </w:rPr>
                    <w:t>400</w:t>
                  </w:r>
                  <w:r>
                    <w:rPr>
                      <w:rFonts w:hint="default" w:ascii="Times New Roman" w:hAnsi="Times New Roman" w:eastAsia="宋体" w:cs="Times New Roman"/>
                      <w:color w:val="auto"/>
                      <w:sz w:val="21"/>
                      <w:szCs w:val="21"/>
                      <w:highlight w:val="none"/>
                      <w:lang w:val="zh-CN" w:eastAsia="zh-CN"/>
                    </w:rPr>
                    <w:t>m</w:t>
                  </w:r>
                </w:p>
              </w:tc>
              <w:tc>
                <w:tcPr>
                  <w:tcW w:w="1351" w:type="pct"/>
                  <w:tcBorders>
                    <w:top w:val="single" w:color="auto" w:sz="6" w:space="0"/>
                    <w:left w:val="single" w:color="auto" w:sz="6" w:space="0"/>
                    <w:bottom w:val="single" w:color="auto" w:sz="6" w:space="0"/>
                    <w:right w:val="nil"/>
                  </w:tcBorders>
                  <w:vAlign w:val="center"/>
                </w:tcPr>
                <w:p w14:paraId="24A03E6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zh-CN" w:eastAsia="zh-CN"/>
                    </w:rPr>
                    <w:t>户，约</w:t>
                  </w:r>
                  <w:r>
                    <w:rPr>
                      <w:rFonts w:hint="default" w:ascii="Times New Roman" w:hAnsi="Times New Roman" w:eastAsia="宋体" w:cs="Times New Roman"/>
                      <w:color w:val="auto"/>
                      <w:sz w:val="21"/>
                      <w:szCs w:val="21"/>
                      <w:highlight w:val="none"/>
                      <w:lang w:val="en-US" w:eastAsia="zh-CN"/>
                    </w:rPr>
                    <w:t>25</w:t>
                  </w:r>
                  <w:r>
                    <w:rPr>
                      <w:rFonts w:hint="default" w:ascii="Times New Roman" w:hAnsi="Times New Roman" w:eastAsia="宋体" w:cs="Times New Roman"/>
                      <w:color w:val="auto"/>
                      <w:sz w:val="21"/>
                      <w:szCs w:val="21"/>
                      <w:highlight w:val="none"/>
                      <w:lang w:val="zh-CN" w:eastAsia="zh-CN"/>
                    </w:rPr>
                    <w:t>人</w:t>
                  </w:r>
                </w:p>
              </w:tc>
            </w:tr>
            <w:tr w14:paraId="04678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6" w:space="0"/>
                    <w:right w:val="single" w:color="auto" w:sz="6" w:space="0"/>
                  </w:tcBorders>
                  <w:vAlign w:val="center"/>
                </w:tcPr>
                <w:p w14:paraId="4FE274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1301" w:type="pct"/>
                  <w:tcBorders>
                    <w:top w:val="single" w:color="auto" w:sz="6" w:space="0"/>
                    <w:left w:val="single" w:color="auto" w:sz="6" w:space="0"/>
                    <w:bottom w:val="single" w:color="auto" w:sz="6" w:space="0"/>
                    <w:right w:val="single" w:color="auto" w:sz="6" w:space="0"/>
                  </w:tcBorders>
                  <w:vAlign w:val="center"/>
                </w:tcPr>
                <w:p w14:paraId="7D6E558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牛坪村居民点</w:t>
                  </w:r>
                </w:p>
              </w:tc>
              <w:tc>
                <w:tcPr>
                  <w:tcW w:w="868" w:type="pct"/>
                  <w:tcBorders>
                    <w:top w:val="single" w:color="auto" w:sz="6" w:space="0"/>
                    <w:left w:val="single" w:color="auto" w:sz="6" w:space="0"/>
                    <w:bottom w:val="single" w:color="auto" w:sz="6" w:space="0"/>
                    <w:right w:val="single" w:color="auto" w:sz="6" w:space="0"/>
                  </w:tcBorders>
                  <w:vAlign w:val="center"/>
                </w:tcPr>
                <w:p w14:paraId="12201F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西北侧</w:t>
                  </w:r>
                </w:p>
              </w:tc>
              <w:tc>
                <w:tcPr>
                  <w:tcW w:w="1016" w:type="pct"/>
                  <w:tcBorders>
                    <w:top w:val="single" w:color="auto" w:sz="6" w:space="0"/>
                    <w:left w:val="single" w:color="auto" w:sz="6" w:space="0"/>
                    <w:bottom w:val="single" w:color="auto" w:sz="6" w:space="0"/>
                    <w:right w:val="single" w:color="auto" w:sz="6" w:space="0"/>
                  </w:tcBorders>
                  <w:vAlign w:val="center"/>
                </w:tcPr>
                <w:p w14:paraId="5D061B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400</w:t>
                  </w:r>
                  <w:r>
                    <w:rPr>
                      <w:rFonts w:hint="default" w:ascii="Times New Roman" w:hAnsi="Times New Roman" w:eastAsia="宋体" w:cs="Times New Roman"/>
                      <w:color w:val="auto"/>
                      <w:sz w:val="21"/>
                      <w:szCs w:val="21"/>
                      <w:highlight w:val="none"/>
                      <w:lang w:val="zh-CN" w:eastAsia="zh-CN"/>
                    </w:rPr>
                    <w:t>m~</w:t>
                  </w:r>
                  <w:r>
                    <w:rPr>
                      <w:rFonts w:hint="default" w:ascii="Times New Roman" w:hAnsi="Times New Roman" w:eastAsia="宋体" w:cs="Times New Roman"/>
                      <w:color w:val="auto"/>
                      <w:sz w:val="21"/>
                      <w:szCs w:val="21"/>
                      <w:highlight w:val="none"/>
                      <w:lang w:val="en-US" w:eastAsia="zh-CN"/>
                    </w:rPr>
                    <w:t>500</w:t>
                  </w:r>
                  <w:r>
                    <w:rPr>
                      <w:rFonts w:hint="default" w:ascii="Times New Roman" w:hAnsi="Times New Roman" w:eastAsia="宋体" w:cs="Times New Roman"/>
                      <w:color w:val="auto"/>
                      <w:sz w:val="21"/>
                      <w:szCs w:val="21"/>
                      <w:highlight w:val="none"/>
                      <w:lang w:val="zh-CN" w:eastAsia="zh-CN"/>
                    </w:rPr>
                    <w:t>m</w:t>
                  </w:r>
                </w:p>
              </w:tc>
              <w:tc>
                <w:tcPr>
                  <w:tcW w:w="1351" w:type="pct"/>
                  <w:tcBorders>
                    <w:top w:val="single" w:color="auto" w:sz="6" w:space="0"/>
                    <w:left w:val="single" w:color="auto" w:sz="6" w:space="0"/>
                    <w:bottom w:val="single" w:color="auto" w:sz="6" w:space="0"/>
                    <w:right w:val="nil"/>
                  </w:tcBorders>
                  <w:vAlign w:val="center"/>
                </w:tcPr>
                <w:p w14:paraId="14F3DD3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zh-CN" w:eastAsia="zh-CN"/>
                    </w:rPr>
                    <w:t>户，约</w:t>
                  </w:r>
                  <w:r>
                    <w:rPr>
                      <w:rFonts w:hint="default" w:ascii="Times New Roman" w:hAns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lang w:val="zh-CN" w:eastAsia="zh-CN"/>
                    </w:rPr>
                    <w:t>人</w:t>
                  </w:r>
                </w:p>
              </w:tc>
            </w:tr>
            <w:tr w14:paraId="57468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6" w:space="0"/>
                    <w:right w:val="single" w:color="auto" w:sz="6" w:space="0"/>
                  </w:tcBorders>
                  <w:vAlign w:val="center"/>
                </w:tcPr>
                <w:p w14:paraId="79E648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1301" w:type="pct"/>
                  <w:tcBorders>
                    <w:top w:val="single" w:color="auto" w:sz="6" w:space="0"/>
                    <w:left w:val="single" w:color="auto" w:sz="6" w:space="0"/>
                    <w:bottom w:val="single" w:color="auto" w:sz="6" w:space="0"/>
                    <w:right w:val="single" w:color="auto" w:sz="6" w:space="0"/>
                  </w:tcBorders>
                  <w:vAlign w:val="center"/>
                </w:tcPr>
                <w:p w14:paraId="1DA681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磨西镇</w:t>
                  </w:r>
                </w:p>
                <w:p w14:paraId="495230B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场镇（含民宿、咱地村村委会）</w:t>
                  </w:r>
                </w:p>
              </w:tc>
              <w:tc>
                <w:tcPr>
                  <w:tcW w:w="868" w:type="pct"/>
                  <w:tcBorders>
                    <w:top w:val="single" w:color="auto" w:sz="6" w:space="0"/>
                    <w:left w:val="single" w:color="auto" w:sz="6" w:space="0"/>
                    <w:bottom w:val="single" w:color="auto" w:sz="6" w:space="0"/>
                    <w:right w:val="single" w:color="auto" w:sz="6" w:space="0"/>
                  </w:tcBorders>
                  <w:vAlign w:val="center"/>
                </w:tcPr>
                <w:p w14:paraId="5D66A47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西南侧</w:t>
                  </w:r>
                </w:p>
              </w:tc>
              <w:tc>
                <w:tcPr>
                  <w:tcW w:w="1016" w:type="pct"/>
                  <w:tcBorders>
                    <w:top w:val="single" w:color="auto" w:sz="6" w:space="0"/>
                    <w:left w:val="single" w:color="auto" w:sz="6" w:space="0"/>
                    <w:bottom w:val="single" w:color="auto" w:sz="6" w:space="0"/>
                    <w:right w:val="single" w:color="auto" w:sz="6" w:space="0"/>
                  </w:tcBorders>
                  <w:vAlign w:val="center"/>
                </w:tcPr>
                <w:p w14:paraId="166277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300m~500m</w:t>
                  </w:r>
                </w:p>
              </w:tc>
              <w:tc>
                <w:tcPr>
                  <w:tcW w:w="1351" w:type="pct"/>
                  <w:tcBorders>
                    <w:top w:val="single" w:color="auto" w:sz="6" w:space="0"/>
                    <w:left w:val="single" w:color="auto" w:sz="6" w:space="0"/>
                    <w:bottom w:val="single" w:color="auto" w:sz="6" w:space="0"/>
                    <w:right w:val="nil"/>
                  </w:tcBorders>
                  <w:vAlign w:val="center"/>
                </w:tcPr>
                <w:p w14:paraId="71C10D8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集镇区，</w:t>
                  </w:r>
                  <w:r>
                    <w:rPr>
                      <w:rFonts w:hint="eastAsia" w:ascii="Times New Roman" w:hAnsi="Times New Roman" w:eastAsia="宋体" w:cs="Times New Roman"/>
                      <w:color w:val="auto"/>
                      <w:sz w:val="21"/>
                      <w:szCs w:val="21"/>
                      <w:highlight w:val="none"/>
                      <w:lang w:val="en-US" w:eastAsia="zh-CN"/>
                    </w:rPr>
                    <w:t>约200</w:t>
                  </w:r>
                  <w:r>
                    <w:rPr>
                      <w:rFonts w:hint="default" w:ascii="Times New Roman" w:hAnsi="Times New Roman" w:eastAsia="宋体" w:cs="Times New Roman"/>
                      <w:color w:val="auto"/>
                      <w:sz w:val="21"/>
                      <w:szCs w:val="21"/>
                      <w:highlight w:val="none"/>
                      <w:lang w:val="en-US" w:eastAsia="zh-CN"/>
                    </w:rPr>
                    <w:t>人</w:t>
                  </w:r>
                </w:p>
              </w:tc>
            </w:tr>
            <w:tr w14:paraId="05C5C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tcBorders>
                    <w:top w:val="single" w:color="auto" w:sz="6" w:space="0"/>
                    <w:left w:val="nil"/>
                    <w:bottom w:val="single" w:color="auto" w:sz="6" w:space="0"/>
                    <w:right w:val="nil"/>
                  </w:tcBorders>
                  <w:vAlign w:val="center"/>
                </w:tcPr>
                <w:p w14:paraId="25645C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距本项目厂界</w:t>
                  </w:r>
                  <w:r>
                    <w:rPr>
                      <w:rFonts w:hint="default" w:ascii="Times New Roman" w:hAnsi="Times New Roman" w:eastAsia="宋体" w:cs="Times New Roman"/>
                      <w:b/>
                      <w:bCs/>
                      <w:color w:val="auto"/>
                      <w:sz w:val="21"/>
                      <w:szCs w:val="21"/>
                      <w:highlight w:val="none"/>
                      <w:lang w:val="en-US" w:eastAsia="zh-CN"/>
                    </w:rPr>
                    <w:t>500m</w:t>
                  </w:r>
                  <w:r>
                    <w:rPr>
                      <w:rFonts w:hint="default" w:ascii="Times New Roman" w:hAnsi="Times New Roman" w:eastAsia="宋体" w:cs="Times New Roman"/>
                      <w:b/>
                      <w:bCs/>
                      <w:color w:val="auto"/>
                      <w:sz w:val="21"/>
                      <w:szCs w:val="21"/>
                      <w:highlight w:val="none"/>
                      <w:lang w:val="zh-CN" w:eastAsia="zh-CN"/>
                    </w:rPr>
                    <w:t>~</w:t>
                  </w:r>
                  <w:r>
                    <w:rPr>
                      <w:rFonts w:hint="default" w:ascii="Times New Roman" w:hAnsi="Times New Roman" w:eastAsia="宋体" w:cs="Times New Roman"/>
                      <w:b/>
                      <w:bCs/>
                      <w:color w:val="auto"/>
                      <w:sz w:val="21"/>
                      <w:szCs w:val="21"/>
                      <w:highlight w:val="none"/>
                      <w:lang w:val="en-US" w:eastAsia="zh-CN"/>
                    </w:rPr>
                    <w:t>1.5K</w:t>
                  </w:r>
                  <w:r>
                    <w:rPr>
                      <w:rFonts w:hint="default" w:ascii="Times New Roman" w:hAnsi="Times New Roman" w:eastAsia="宋体" w:cs="Times New Roman"/>
                      <w:b/>
                      <w:bCs/>
                      <w:color w:val="auto"/>
                      <w:sz w:val="21"/>
                      <w:szCs w:val="21"/>
                      <w:highlight w:val="none"/>
                      <w:lang w:val="zh-CN" w:eastAsia="zh-CN"/>
                    </w:rPr>
                    <w:t>m范围内</w:t>
                  </w:r>
                </w:p>
              </w:tc>
            </w:tr>
            <w:tr w14:paraId="5ED2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2" w:type="pct"/>
                  <w:tcBorders>
                    <w:top w:val="single" w:color="auto" w:sz="6" w:space="0"/>
                    <w:left w:val="nil"/>
                    <w:bottom w:val="single" w:color="auto" w:sz="12" w:space="0"/>
                    <w:right w:val="single" w:color="auto" w:sz="6" w:space="0"/>
                  </w:tcBorders>
                  <w:vAlign w:val="center"/>
                </w:tcPr>
                <w:p w14:paraId="5F0D6E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p>
              </w:tc>
              <w:tc>
                <w:tcPr>
                  <w:tcW w:w="1301" w:type="pct"/>
                  <w:tcBorders>
                    <w:top w:val="single" w:color="auto" w:sz="6" w:space="0"/>
                    <w:left w:val="single" w:color="auto" w:sz="6" w:space="0"/>
                    <w:bottom w:val="single" w:color="auto" w:sz="12" w:space="0"/>
                    <w:right w:val="single" w:color="auto" w:sz="6" w:space="0"/>
                  </w:tcBorders>
                  <w:vAlign w:val="center"/>
                </w:tcPr>
                <w:p w14:paraId="53FD19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磨西镇</w:t>
                  </w:r>
                </w:p>
                <w:p w14:paraId="4953A6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场镇（含民宿、咱地村村委会）</w:t>
                  </w:r>
                </w:p>
              </w:tc>
              <w:tc>
                <w:tcPr>
                  <w:tcW w:w="868" w:type="pct"/>
                  <w:tcBorders>
                    <w:top w:val="single" w:color="auto" w:sz="6" w:space="0"/>
                    <w:left w:val="single" w:color="auto" w:sz="6" w:space="0"/>
                    <w:bottom w:val="single" w:color="auto" w:sz="12" w:space="0"/>
                    <w:right w:val="single" w:color="auto" w:sz="6" w:space="0"/>
                  </w:tcBorders>
                  <w:vAlign w:val="center"/>
                </w:tcPr>
                <w:p w14:paraId="40C930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西南侧</w:t>
                  </w:r>
                </w:p>
              </w:tc>
              <w:tc>
                <w:tcPr>
                  <w:tcW w:w="1016" w:type="pct"/>
                  <w:tcBorders>
                    <w:top w:val="single" w:color="auto" w:sz="6" w:space="0"/>
                    <w:left w:val="single" w:color="auto" w:sz="6" w:space="0"/>
                    <w:bottom w:val="single" w:color="auto" w:sz="12" w:space="0"/>
                    <w:right w:val="single" w:color="auto" w:sz="6" w:space="0"/>
                  </w:tcBorders>
                  <w:vAlign w:val="center"/>
                </w:tcPr>
                <w:p w14:paraId="434DCBF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500m~1.5km</w:t>
                  </w:r>
                </w:p>
              </w:tc>
              <w:tc>
                <w:tcPr>
                  <w:tcW w:w="1351" w:type="pct"/>
                  <w:tcBorders>
                    <w:top w:val="single" w:color="auto" w:sz="6" w:space="0"/>
                    <w:left w:val="single" w:color="auto" w:sz="6" w:space="0"/>
                    <w:bottom w:val="single" w:color="auto" w:sz="12" w:space="0"/>
                    <w:right w:val="nil"/>
                  </w:tcBorders>
                  <w:vAlign w:val="center"/>
                </w:tcPr>
                <w:p w14:paraId="292D09D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集镇区，</w:t>
                  </w:r>
                  <w:r>
                    <w:rPr>
                      <w:rFonts w:hint="eastAsia" w:ascii="Times New Roman" w:hAnsi="Times New Roman" w:eastAsia="宋体" w:cs="Times New Roman"/>
                      <w:color w:val="auto"/>
                      <w:sz w:val="21"/>
                      <w:szCs w:val="21"/>
                      <w:highlight w:val="none"/>
                      <w:lang w:val="en-US" w:eastAsia="zh-CN"/>
                    </w:rPr>
                    <w:t>约</w:t>
                  </w:r>
                  <w:r>
                    <w:rPr>
                      <w:rFonts w:hint="default" w:ascii="Times New Roman" w:hAnsi="Times New Roman" w:eastAsia="宋体" w:cs="Times New Roman"/>
                      <w:color w:val="auto"/>
                      <w:sz w:val="21"/>
                      <w:szCs w:val="21"/>
                      <w:highlight w:val="none"/>
                      <w:lang w:val="en-US" w:eastAsia="zh-CN"/>
                    </w:rPr>
                    <w:t>5000~6000人人</w:t>
                  </w:r>
                </w:p>
              </w:tc>
            </w:tr>
          </w:tbl>
          <w:p w14:paraId="705BD309">
            <w:pPr>
              <w:adjustRightInd w:val="0"/>
              <w:snapToGrid w:val="0"/>
              <w:spacing w:line="360" w:lineRule="auto"/>
              <w:ind w:firstLine="482" w:firstLineChars="200"/>
              <w:rPr>
                <w:rFonts w:hint="default" w:ascii="Times New Roman" w:hAnsi="Times New Roman" w:eastAsia="宋体" w:cs="Times New Roman"/>
                <w:b/>
                <w:bCs/>
                <w:color w:val="auto"/>
                <w:highlight w:val="none"/>
              </w:rPr>
            </w:pPr>
            <w:r>
              <w:rPr>
                <w:rFonts w:hint="eastAsia"/>
                <w:b/>
                <w:bCs/>
                <w:color w:val="auto"/>
                <w:kern w:val="0"/>
                <w:sz w:val="24"/>
                <w:szCs w:val="20"/>
                <w:lang w:bidi="ar"/>
              </w:rPr>
              <w:t>本项目对外环境的影响分析</w:t>
            </w:r>
          </w:p>
          <w:p w14:paraId="7A99BA07">
            <w:pPr>
              <w:adjustRightInd w:val="0"/>
              <w:snapToGrid w:val="0"/>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外环境对本项目的影响：</w:t>
            </w:r>
          </w:p>
          <w:p w14:paraId="71C24330">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根据现场调查，周边主要为</w:t>
            </w:r>
            <w:r>
              <w:rPr>
                <w:rFonts w:hint="eastAsia" w:cs="Times New Roman"/>
                <w:color w:val="auto"/>
                <w:highlight w:val="none"/>
                <w:lang w:val="en-US" w:eastAsia="zh-CN"/>
              </w:rPr>
              <w:t>林地、</w:t>
            </w:r>
            <w:r>
              <w:rPr>
                <w:rFonts w:hint="eastAsia" w:ascii="Times New Roman" w:hAnsi="Times New Roman" w:eastAsia="宋体" w:cs="Times New Roman"/>
                <w:color w:val="auto"/>
                <w:highlight w:val="none"/>
                <w:lang w:val="en-US" w:eastAsia="zh-CN"/>
              </w:rPr>
              <w:t>农户，无工业企业</w:t>
            </w:r>
            <w:r>
              <w:rPr>
                <w:rFonts w:hint="eastAsia" w:cs="Times New Roman"/>
                <w:color w:val="auto"/>
                <w:highlight w:val="none"/>
                <w:lang w:val="en-US" w:eastAsia="zh-CN"/>
              </w:rPr>
              <w:t>，且本项目对外环境无特殊要求，因此外环境对本项目基本没有影响。</w:t>
            </w:r>
          </w:p>
          <w:p w14:paraId="32BEEF3D">
            <w:pPr>
              <w:adjustRightInd w:val="0"/>
              <w:snapToGrid w:val="0"/>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本项目对外环境的影响：</w:t>
            </w:r>
          </w:p>
          <w:p w14:paraId="6A905849">
            <w:pPr>
              <w:adjustRightInd w:val="0"/>
              <w:snapToGrid w:val="0"/>
              <w:spacing w:line="360" w:lineRule="auto"/>
              <w:ind w:firstLine="480" w:firstLineChars="20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根据对周边环境的调查了解</w:t>
            </w:r>
            <w:r>
              <w:rPr>
                <w:rFonts w:hint="default" w:ascii="Times New Roman" w:hAnsi="Times New Roman" w:eastAsia="宋体" w:cs="Times New Roman"/>
                <w:color w:val="auto"/>
                <w:highlight w:val="none"/>
                <w:lang w:val="en-US" w:eastAsia="zh-CN"/>
              </w:rPr>
              <w:t>及</w:t>
            </w:r>
            <w:r>
              <w:rPr>
                <w:rFonts w:hint="default" w:ascii="Times New Roman" w:hAnsi="Times New Roman" w:eastAsia="宋体" w:cs="Times New Roman"/>
                <w:color w:val="auto"/>
                <w:highlight w:val="none"/>
              </w:rPr>
              <w:t>外环境关系图可知，可能受本项目影响的主要为</w:t>
            </w:r>
            <w:r>
              <w:rPr>
                <w:rFonts w:hint="eastAsia" w:ascii="Times New Roman" w:hAnsi="Times New Roman" w:eastAsia="宋体" w:cs="Times New Roman"/>
                <w:color w:val="auto"/>
                <w:highlight w:val="none"/>
                <w:lang w:val="en-US" w:eastAsia="zh-CN"/>
              </w:rPr>
              <w:t>周边</w:t>
            </w:r>
            <w:r>
              <w:rPr>
                <w:rFonts w:hint="default" w:ascii="Times New Roman" w:hAnsi="Times New Roman" w:eastAsia="宋体" w:cs="Times New Roman"/>
                <w:color w:val="auto"/>
                <w:highlight w:val="none"/>
                <w:lang w:eastAsia="zh-CN"/>
              </w:rPr>
              <w:t>散居居民。</w:t>
            </w:r>
          </w:p>
          <w:p w14:paraId="097CFA98">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废气：本项目产生的屠宰废气、污水处理站废气及污粪暂存间废气经“密闭负压收集+碱液喷淋塔+活性炭吸附”后由1根15m高排气筒（DA001）排放</w:t>
            </w:r>
            <w:r>
              <w:rPr>
                <w:rFonts w:hint="eastAsia" w:cs="Times New Roman"/>
                <w:color w:val="auto"/>
                <w:highlight w:val="none"/>
                <w:lang w:eastAsia="zh-CN"/>
              </w:rPr>
              <w:t>。</w:t>
            </w:r>
            <w:r>
              <w:rPr>
                <w:rFonts w:hint="eastAsia" w:cs="Times New Roman"/>
                <w:color w:val="auto"/>
                <w:highlight w:val="none"/>
                <w:lang w:val="en-US" w:eastAsia="zh-CN"/>
              </w:rPr>
              <w:t>本项目周边居民基本分布于西侧、西北侧和西南侧，为减小对居民的影响，本次拟将排放口设置于东北侧。</w:t>
            </w:r>
          </w:p>
          <w:p w14:paraId="12EB2BB8">
            <w:pPr>
              <w:spacing w:line="360" w:lineRule="auto"/>
              <w:ind w:firstLine="460" w:firstLineChars="2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pacing w:val="-5"/>
                <w:sz w:val="24"/>
                <w:szCs w:val="24"/>
                <w:highlight w:val="none"/>
              </w:rPr>
              <w:t>废水：项目采用雨、污分流制。</w:t>
            </w:r>
            <w:r>
              <w:rPr>
                <w:rFonts w:ascii="宋体" w:hAnsi="宋体" w:eastAsia="宋体" w:cs="宋体"/>
                <w:color w:val="auto"/>
                <w:sz w:val="24"/>
                <w:szCs w:val="24"/>
                <w:highlight w:val="none"/>
              </w:rPr>
              <w:t>本项目所有废水</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包括生活污水、车辆清洗废水、检疫废水、喷淋塔更换废水及生产废水</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全部进入厂区自建</w:t>
            </w:r>
            <w:r>
              <w:rPr>
                <w:rFonts w:hint="eastAsia" w:ascii="宋体" w:hAnsi="宋体" w:eastAsia="宋体" w:cs="宋体"/>
                <w:color w:val="auto"/>
                <w:sz w:val="24"/>
                <w:szCs w:val="24"/>
                <w:highlight w:val="none"/>
                <w:lang w:val="en-US" w:eastAsia="zh-CN"/>
              </w:rPr>
              <w:t>一体化污水处理设施处理</w:t>
            </w:r>
            <w:r>
              <w:rPr>
                <w:rFonts w:ascii="宋体" w:hAnsi="宋体" w:eastAsia="宋体" w:cs="宋体"/>
                <w:color w:val="auto"/>
                <w:sz w:val="24"/>
                <w:szCs w:val="24"/>
                <w:highlight w:val="none"/>
              </w:rPr>
              <w:t>达《肉类加工工业水污染</w:t>
            </w:r>
            <w:r>
              <w:rPr>
                <w:rFonts w:ascii="宋体" w:hAnsi="宋体" w:eastAsia="宋体" w:cs="宋体"/>
                <w:color w:val="auto"/>
                <w:spacing w:val="-4"/>
                <w:sz w:val="24"/>
                <w:szCs w:val="24"/>
                <w:highlight w:val="none"/>
              </w:rPr>
              <w:t>物排放标准》（</w:t>
            </w:r>
            <w:r>
              <w:rPr>
                <w:rFonts w:ascii="Times New Roman" w:hAnsi="Times New Roman" w:eastAsia="Times New Roman" w:cs="Times New Roman"/>
                <w:color w:val="auto"/>
                <w:spacing w:val="-4"/>
                <w:sz w:val="24"/>
                <w:szCs w:val="24"/>
                <w:highlight w:val="none"/>
              </w:rPr>
              <w:t>GB</w:t>
            </w:r>
            <w:r>
              <w:rPr>
                <w:rFonts w:ascii="Times New Roman" w:hAnsi="Times New Roman" w:eastAsia="Times New Roman" w:cs="Times New Roman"/>
                <w:color w:val="auto"/>
                <w:spacing w:val="29"/>
                <w:w w:val="101"/>
                <w:sz w:val="24"/>
                <w:szCs w:val="24"/>
                <w:highlight w:val="none"/>
              </w:rPr>
              <w:t xml:space="preserve"> </w:t>
            </w:r>
            <w:r>
              <w:rPr>
                <w:rFonts w:ascii="Times New Roman" w:hAnsi="Times New Roman" w:eastAsia="Times New Roman" w:cs="Times New Roman"/>
                <w:color w:val="auto"/>
                <w:spacing w:val="-4"/>
                <w:sz w:val="24"/>
                <w:szCs w:val="24"/>
                <w:highlight w:val="none"/>
              </w:rPr>
              <w:t>13457-92</w:t>
            </w:r>
            <w:r>
              <w:rPr>
                <w:rFonts w:ascii="宋体" w:hAnsi="宋体" w:eastAsia="宋体" w:cs="宋体"/>
                <w:color w:val="auto"/>
                <w:spacing w:val="-4"/>
                <w:sz w:val="24"/>
                <w:szCs w:val="24"/>
                <w:highlight w:val="none"/>
              </w:rPr>
              <w:t>）表</w:t>
            </w:r>
            <w:r>
              <w:rPr>
                <w:rFonts w:ascii="宋体" w:hAnsi="宋体" w:eastAsia="宋体" w:cs="宋体"/>
                <w:color w:val="auto"/>
                <w:spacing w:val="-50"/>
                <w:sz w:val="24"/>
                <w:szCs w:val="24"/>
                <w:highlight w:val="none"/>
              </w:rPr>
              <w:t xml:space="preserve"> </w:t>
            </w:r>
            <w:r>
              <w:rPr>
                <w:rFonts w:ascii="Times New Roman" w:hAnsi="Times New Roman" w:eastAsia="Times New Roman" w:cs="Times New Roman"/>
                <w:color w:val="auto"/>
                <w:spacing w:val="-4"/>
                <w:sz w:val="24"/>
                <w:szCs w:val="24"/>
                <w:highlight w:val="none"/>
              </w:rPr>
              <w:t>3</w:t>
            </w:r>
            <w:r>
              <w:rPr>
                <w:rFonts w:ascii="宋体" w:hAnsi="宋体" w:eastAsia="宋体" w:cs="宋体"/>
                <w:color w:val="auto"/>
                <w:spacing w:val="-4"/>
                <w:sz w:val="24"/>
                <w:szCs w:val="24"/>
                <w:highlight w:val="none"/>
              </w:rPr>
              <w:t>中畜</w:t>
            </w:r>
            <w:r>
              <w:rPr>
                <w:rFonts w:ascii="宋体" w:hAnsi="宋体" w:eastAsia="宋体" w:cs="宋体"/>
                <w:color w:val="auto"/>
                <w:spacing w:val="-5"/>
                <w:sz w:val="24"/>
                <w:szCs w:val="24"/>
                <w:highlight w:val="none"/>
              </w:rPr>
              <w:t>类屠宰加工三级标准后</w:t>
            </w:r>
            <w:r>
              <w:rPr>
                <w:rFonts w:hint="eastAsia" w:ascii="宋体" w:hAnsi="宋体" w:cs="宋体"/>
                <w:color w:val="auto"/>
                <w:spacing w:val="-5"/>
                <w:sz w:val="24"/>
                <w:szCs w:val="24"/>
                <w:highlight w:val="none"/>
                <w:lang w:eastAsia="zh-CN"/>
              </w:rPr>
              <w:t>，</w:t>
            </w:r>
            <w:r>
              <w:rPr>
                <w:rFonts w:hint="eastAsia" w:ascii="宋体" w:hAnsi="宋体" w:eastAsia="宋体" w:cs="宋体"/>
                <w:color w:val="auto"/>
                <w:sz w:val="24"/>
                <w:szCs w:val="24"/>
                <w:highlight w:val="none"/>
                <w:lang w:val="en-US" w:eastAsia="zh-CN"/>
              </w:rPr>
              <w:t>由罐车运至海螺沟磨西镇城市生活污水处理厂</w:t>
            </w:r>
            <w:r>
              <w:rPr>
                <w:rFonts w:ascii="宋体" w:hAnsi="宋体" w:eastAsia="宋体" w:cs="宋体"/>
                <w:color w:val="auto"/>
                <w:sz w:val="24"/>
                <w:szCs w:val="24"/>
                <w:highlight w:val="none"/>
              </w:rPr>
              <w:t>处理达到</w:t>
            </w:r>
            <w:r>
              <w:rPr>
                <w:rFonts w:ascii="Times New Roman" w:hAnsi="Times New Roman" w:cs="Times New Roman"/>
                <w:color w:val="auto"/>
                <w:highlight w:val="none"/>
              </w:rPr>
              <w:t>《城镇污水处理厂污染物排放标准》（GB18918-2002）一级标准的</w:t>
            </w:r>
            <w:r>
              <w:rPr>
                <w:rFonts w:hint="eastAsia" w:cs="Times New Roman"/>
                <w:color w:val="auto"/>
                <w:highlight w:val="none"/>
                <w:lang w:val="en-US" w:eastAsia="zh-CN"/>
              </w:rPr>
              <w:t>A</w:t>
            </w:r>
            <w:r>
              <w:rPr>
                <w:rFonts w:ascii="Times New Roman" w:hAnsi="Times New Roman" w:cs="Times New Roman"/>
                <w:color w:val="auto"/>
                <w:highlight w:val="none"/>
              </w:rPr>
              <w:t>标准</w:t>
            </w:r>
            <w:r>
              <w:rPr>
                <w:rFonts w:ascii="宋体" w:hAnsi="宋体" w:eastAsia="宋体" w:cs="宋体"/>
                <w:color w:val="auto"/>
                <w:sz w:val="24"/>
                <w:szCs w:val="24"/>
                <w:highlight w:val="none"/>
              </w:rPr>
              <w:t>后，排入</w:t>
            </w:r>
            <w:r>
              <w:rPr>
                <w:rFonts w:hint="eastAsia" w:ascii="宋体" w:hAnsi="宋体" w:eastAsia="宋体" w:cs="宋体"/>
                <w:color w:val="auto"/>
                <w:sz w:val="24"/>
                <w:szCs w:val="24"/>
                <w:highlight w:val="none"/>
                <w:lang w:val="en-US" w:eastAsia="zh-CN"/>
              </w:rPr>
              <w:t>燕子沟</w:t>
            </w:r>
            <w:r>
              <w:rPr>
                <w:rFonts w:ascii="宋体" w:hAnsi="宋体" w:eastAsia="宋体" w:cs="宋体"/>
                <w:color w:val="auto"/>
                <w:spacing w:val="-1"/>
                <w:sz w:val="24"/>
                <w:szCs w:val="24"/>
                <w:highlight w:val="none"/>
              </w:rPr>
              <w:t>。</w:t>
            </w:r>
          </w:p>
          <w:p w14:paraId="2B677920">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ascii="宋体" w:hAnsi="宋体" w:eastAsia="宋体" w:cs="宋体"/>
                <w:color w:val="auto"/>
                <w:sz w:val="24"/>
                <w:szCs w:val="24"/>
                <w:highlight w:val="none"/>
              </w:rPr>
              <w:t>固废：</w:t>
            </w:r>
            <w:r>
              <w:rPr>
                <w:rFonts w:hint="eastAsia" w:ascii="宋体" w:hAnsi="宋体" w:eastAsia="宋体" w:cs="宋体"/>
                <w:color w:val="auto"/>
                <w:sz w:val="24"/>
                <w:szCs w:val="24"/>
                <w:highlight w:val="none"/>
                <w:lang w:val="en-US" w:eastAsia="zh-CN"/>
              </w:rPr>
              <w:t>本项目</w:t>
            </w:r>
            <w:r>
              <w:rPr>
                <w:rFonts w:hint="default" w:ascii="Times New Roman" w:hAnsi="Times New Roman" w:eastAsia="宋体" w:cs="Times New Roman"/>
                <w:bCs/>
                <w:color w:val="auto"/>
                <w:sz w:val="24"/>
                <w:szCs w:val="24"/>
                <w:highlight w:val="none"/>
              </w:rPr>
              <w:t>生活垃圾</w:t>
            </w:r>
            <w:r>
              <w:rPr>
                <w:rFonts w:hint="default" w:ascii="Times New Roman" w:hAnsi="Times New Roman" w:eastAsia="宋体" w:cs="Times New Roman"/>
                <w:bCs/>
                <w:color w:val="auto"/>
                <w:sz w:val="24"/>
                <w:szCs w:val="24"/>
                <w:highlight w:val="none"/>
                <w:lang w:val="en-US" w:eastAsia="zh-CN"/>
              </w:rPr>
              <w:t>经</w:t>
            </w:r>
            <w:r>
              <w:rPr>
                <w:rFonts w:hint="default" w:ascii="Times New Roman" w:hAnsi="Times New Roman" w:eastAsia="宋体" w:cs="Times New Roman"/>
                <w:bCs/>
                <w:color w:val="auto"/>
                <w:sz w:val="24"/>
                <w:szCs w:val="24"/>
                <w:highlight w:val="none"/>
              </w:rPr>
              <w:t>厂区垃圾桶收集后，由环卫部门统一清运处置</w:t>
            </w:r>
            <w:r>
              <w:rPr>
                <w:rFonts w:hint="default" w:ascii="Times New Roman" w:hAnsi="Times New Roman" w:eastAsia="宋体" w:cs="Times New Roman"/>
                <w:bCs/>
                <w:color w:val="auto"/>
                <w:sz w:val="24"/>
                <w:szCs w:val="24"/>
                <w:highlight w:val="none"/>
                <w:lang w:eastAsia="zh-CN"/>
              </w:rPr>
              <w:t>；</w:t>
            </w:r>
            <w:r>
              <w:rPr>
                <w:rFonts w:hint="eastAsia" w:ascii="Times New Roman" w:hAnsi="Times New Roman" w:eastAsia="宋体" w:cs="Times New Roman"/>
                <w:b w:val="0"/>
                <w:bCs/>
                <w:color w:val="auto"/>
                <w:sz w:val="24"/>
                <w:szCs w:val="24"/>
                <w:highlight w:val="none"/>
                <w:vertAlign w:val="baseline"/>
                <w:lang w:val="en-US" w:eastAsia="zh-CN"/>
              </w:rPr>
              <w:t>本项目病害生猪及生猪产品委托成都市科农动物无害化处置有限公司进行集中处置</w:t>
            </w:r>
            <w:r>
              <w:rPr>
                <w:rFonts w:hint="eastAsia" w:cs="Times New Roman"/>
                <w:bCs/>
                <w:color w:val="auto"/>
                <w:sz w:val="24"/>
                <w:szCs w:val="24"/>
                <w:highlight w:val="none"/>
                <w:lang w:eastAsia="zh-CN"/>
              </w:rPr>
              <w:t>；粪便及肠胃内容物收集于专用密闭桶内，与粪便一同暂存于猪粪、猪毛及肠内容物暂存间，由附近村民运走做肥料，做到日产日清；不可食用内脏和碎肉渣分类收集后外售饲料加工企业生产饲料；厂区污水站格栅渣及污泥、废油脂定期清掏后交环卫部门处置，不在厂内储存；</w:t>
            </w:r>
          </w:p>
          <w:p w14:paraId="6D73A436">
            <w:pPr>
              <w:keepNext w:val="0"/>
              <w:keepLines w:val="0"/>
              <w:pageBreakBefore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bCs/>
                <w:color w:val="auto"/>
                <w:sz w:val="24"/>
                <w:szCs w:val="24"/>
                <w:highlight w:val="none"/>
                <w:lang w:val="en-US" w:eastAsia="zh-CN"/>
              </w:rPr>
              <w:t>危险废物</w:t>
            </w:r>
            <w:r>
              <w:rPr>
                <w:rFonts w:hint="eastAsia" w:ascii="Times New Roman" w:hAnsi="Times New Roman" w:eastAsia="宋体" w:cs="Times New Roman"/>
                <w:bCs/>
                <w:color w:val="auto"/>
                <w:sz w:val="24"/>
                <w:szCs w:val="24"/>
                <w:highlight w:val="none"/>
                <w:lang w:val="en-US" w:eastAsia="zh-CN"/>
              </w:rPr>
              <w:t>主要为</w:t>
            </w:r>
            <w:r>
              <w:rPr>
                <w:rFonts w:hint="default" w:ascii="Times New Roman" w:hAnsi="Times New Roman" w:eastAsia="宋体" w:cs="Times New Roman"/>
                <w:bCs/>
                <w:color w:val="auto"/>
                <w:sz w:val="24"/>
                <w:szCs w:val="24"/>
                <w:highlight w:val="none"/>
                <w:lang w:val="en-US" w:eastAsia="zh-CN"/>
              </w:rPr>
              <w:t>废矿物油、消毒剂废包装袋、废活性炭、废含油废抹布及废棉纱手套</w:t>
            </w:r>
            <w:r>
              <w:rPr>
                <w:rFonts w:hint="eastAsia" w:ascii="Times New Roman" w:hAnsi="Times New Roman" w:eastAsia="宋体" w:cs="Times New Roman"/>
                <w:bCs/>
                <w:color w:val="auto"/>
                <w:sz w:val="24"/>
                <w:szCs w:val="24"/>
                <w:highlight w:val="none"/>
                <w:lang w:val="en-US" w:eastAsia="zh-CN"/>
              </w:rPr>
              <w:t>，经</w:t>
            </w:r>
            <w:r>
              <w:rPr>
                <w:rFonts w:hint="default" w:ascii="Times New Roman" w:hAnsi="Times New Roman" w:eastAsia="宋体" w:cs="Times New Roman"/>
                <w:bCs/>
                <w:color w:val="auto"/>
                <w:sz w:val="24"/>
                <w:szCs w:val="24"/>
                <w:highlight w:val="none"/>
                <w:lang w:val="en-US" w:eastAsia="zh-CN"/>
              </w:rPr>
              <w:t>分类收集后暂存危废暂存间</w:t>
            </w:r>
            <w:r>
              <w:rPr>
                <w:rFonts w:hint="eastAsia" w:ascii="Times New Roman" w:hAnsi="Times New Roman" w:eastAsia="宋体" w:cs="Times New Roman"/>
                <w:bCs/>
                <w:color w:val="auto"/>
                <w:sz w:val="24"/>
                <w:szCs w:val="24"/>
                <w:highlight w:val="none"/>
                <w:lang w:val="en-US" w:eastAsia="zh-CN"/>
              </w:rPr>
              <w:t>后</w:t>
            </w:r>
            <w:r>
              <w:rPr>
                <w:rFonts w:hint="default" w:ascii="Times New Roman" w:hAnsi="Times New Roman" w:eastAsia="宋体" w:cs="Times New Roman"/>
                <w:bCs/>
                <w:color w:val="auto"/>
                <w:sz w:val="24"/>
                <w:szCs w:val="24"/>
                <w:highlight w:val="none"/>
                <w:lang w:val="en-US" w:eastAsia="zh-CN"/>
              </w:rPr>
              <w:t>，定期交由有资质单位处理。</w:t>
            </w:r>
          </w:p>
          <w:p w14:paraId="06ED6351">
            <w:pPr>
              <w:keepNext w:val="0"/>
              <w:keepLines w:val="0"/>
              <w:pageBreakBefore w:val="0"/>
              <w:kinsoku/>
              <w:wordWrap/>
              <w:overflowPunct/>
              <w:topLinePunct w:val="0"/>
              <w:autoSpaceDE/>
              <w:autoSpaceDN/>
              <w:bidi w:val="0"/>
              <w:adjustRightInd/>
              <w:snapToGrid/>
              <w:spacing w:line="360" w:lineRule="auto"/>
              <w:ind w:left="0" w:right="0" w:firstLine="480" w:firstLineChars="200"/>
              <w:textAlignment w:val="auto"/>
              <w:rPr>
                <w:rFonts w:ascii="宋体" w:hAnsi="宋体" w:eastAsia="宋体" w:cs="宋体"/>
                <w:color w:val="auto"/>
                <w:sz w:val="24"/>
                <w:szCs w:val="24"/>
                <w:highlight w:val="none"/>
              </w:rPr>
            </w:pPr>
            <w:r>
              <w:rPr>
                <w:rFonts w:ascii="宋体" w:hAnsi="宋体" w:eastAsia="宋体" w:cs="宋体"/>
                <w:color w:val="auto"/>
                <w:sz w:val="24"/>
                <w:szCs w:val="24"/>
                <w:highlight w:val="none"/>
              </w:rPr>
              <w:t>本项目固废去向明确，均能做到合理处置，不会造成二次污</w:t>
            </w:r>
            <w:r>
              <w:rPr>
                <w:rFonts w:ascii="宋体" w:hAnsi="宋体" w:eastAsia="宋体" w:cs="宋体"/>
                <w:color w:val="auto"/>
                <w:spacing w:val="-2"/>
                <w:sz w:val="24"/>
                <w:szCs w:val="24"/>
                <w:highlight w:val="none"/>
              </w:rPr>
              <w:t>染，对外环境影响较小。</w:t>
            </w:r>
          </w:p>
          <w:p w14:paraId="2079109E">
            <w:pPr>
              <w:keepNext w:val="0"/>
              <w:keepLines w:val="0"/>
              <w:pageBreakBefore w:val="0"/>
              <w:kinsoku/>
              <w:wordWrap/>
              <w:overflowPunct/>
              <w:topLinePunct w:val="0"/>
              <w:autoSpaceDE/>
              <w:autoSpaceDN/>
              <w:bidi w:val="0"/>
              <w:adjustRightInd/>
              <w:snapToGrid/>
              <w:spacing w:line="360" w:lineRule="auto"/>
              <w:ind w:left="0" w:right="0" w:firstLine="484" w:firstLineChars="200"/>
              <w:jc w:val="both"/>
              <w:textAlignment w:val="auto"/>
              <w:rPr>
                <w:rFonts w:hint="eastAsia" w:ascii="Times New Roman" w:hAnsi="Times New Roman" w:cs="Times New Roman"/>
                <w:color w:val="auto"/>
                <w:spacing w:val="1"/>
                <w:sz w:val="24"/>
                <w:szCs w:val="24"/>
                <w:highlight w:val="none"/>
                <w:lang w:val="en-US" w:eastAsia="zh-CN"/>
              </w:rPr>
            </w:pPr>
            <w:r>
              <w:rPr>
                <w:rFonts w:hint="default" w:ascii="Times New Roman" w:hAnsi="Times New Roman" w:eastAsia="宋体" w:cs="Times New Roman"/>
                <w:color w:val="auto"/>
                <w:spacing w:val="1"/>
                <w:sz w:val="24"/>
                <w:szCs w:val="24"/>
                <w:highlight w:val="none"/>
              </w:rPr>
              <w:t>噪声：项目运营期噪声主要为人员活动噪声和设备噪声。</w:t>
            </w:r>
            <w:r>
              <w:rPr>
                <w:rFonts w:hint="default" w:ascii="Times New Roman" w:hAnsi="Times New Roman" w:cs="Times New Roman"/>
                <w:color w:val="auto"/>
                <w:spacing w:val="1"/>
                <w:sz w:val="24"/>
                <w:szCs w:val="24"/>
                <w:highlight w:val="none"/>
                <w:lang w:val="en-US" w:eastAsia="zh-CN"/>
              </w:rPr>
              <w:t>根据外环境调查，本项目周边50m范围内分布的声环境保护目标为西侧距离</w:t>
            </w:r>
            <w:r>
              <w:rPr>
                <w:rFonts w:hint="eastAsia" w:cs="Times New Roman"/>
                <w:color w:val="auto"/>
                <w:spacing w:val="1"/>
                <w:sz w:val="24"/>
                <w:szCs w:val="24"/>
                <w:highlight w:val="none"/>
                <w:lang w:val="en-US" w:eastAsia="zh-CN"/>
              </w:rPr>
              <w:t>43</w:t>
            </w:r>
            <w:r>
              <w:rPr>
                <w:rFonts w:hint="default" w:ascii="Times New Roman" w:hAnsi="Times New Roman" w:cs="Times New Roman"/>
                <w:color w:val="auto"/>
                <w:spacing w:val="1"/>
                <w:sz w:val="24"/>
                <w:szCs w:val="24"/>
                <w:highlight w:val="none"/>
                <w:lang w:val="en-US" w:eastAsia="zh-CN"/>
              </w:rPr>
              <w:t>m的磨岗岭村民</w:t>
            </w:r>
            <w:r>
              <w:rPr>
                <w:rFonts w:hint="eastAsia" w:cs="Times New Roman"/>
                <w:color w:val="auto"/>
                <w:spacing w:val="1"/>
                <w:sz w:val="24"/>
                <w:szCs w:val="24"/>
                <w:highlight w:val="none"/>
                <w:lang w:val="en-US" w:eastAsia="zh-CN"/>
              </w:rPr>
              <w:t>1户，通过噪声预测对周边居民的影响较小</w:t>
            </w:r>
            <w:r>
              <w:rPr>
                <w:rFonts w:hint="eastAsia" w:ascii="Times New Roman" w:hAnsi="Times New Roman" w:cs="Times New Roman"/>
                <w:color w:val="auto"/>
                <w:spacing w:val="1"/>
                <w:sz w:val="24"/>
                <w:szCs w:val="24"/>
                <w:highlight w:val="none"/>
                <w:lang w:val="en-US" w:eastAsia="zh-CN"/>
              </w:rPr>
              <w:t>。</w:t>
            </w:r>
          </w:p>
          <w:p w14:paraId="13CCBC7A">
            <w:pPr>
              <w:widowControl/>
              <w:spacing w:line="360" w:lineRule="auto"/>
              <w:ind w:firstLine="482" w:firstLineChars="200"/>
              <w:jc w:val="left"/>
              <w:rPr>
                <w:rFonts w:hint="default" w:ascii="Times New Roman" w:hAnsi="Times New Roman" w:eastAsia="宋体" w:cs="Times New Roman"/>
                <w:color w:val="auto"/>
                <w:highlight w:val="none"/>
              </w:rPr>
            </w:pPr>
            <w:r>
              <w:rPr>
                <w:rFonts w:hint="eastAsia"/>
                <w:b/>
                <w:bCs/>
                <w:color w:val="auto"/>
                <w:kern w:val="0"/>
                <w:sz w:val="24"/>
                <w:szCs w:val="20"/>
                <w:highlight w:val="none"/>
                <w:lang w:bidi="ar"/>
              </w:rPr>
              <w:t>综上，在严格采取上述治理措施后，项目产生的废气、废水、噪声、固废对周围环境造成影响较小。</w:t>
            </w:r>
          </w:p>
        </w:tc>
      </w:tr>
    </w:tbl>
    <w:p w14:paraId="537D915F">
      <w:pPr>
        <w:spacing w:line="360" w:lineRule="auto"/>
        <w:ind w:firstLine="600"/>
        <w:rPr>
          <w:rFonts w:hint="default" w:ascii="Times New Roman" w:hAnsi="Times New Roman" w:eastAsia="宋体" w:cs="Times New Roman"/>
          <w:color w:val="auto"/>
          <w:sz w:val="30"/>
          <w:highlight w:val="none"/>
        </w:rPr>
        <w:sectPr>
          <w:footerReference r:id="rId7" w:type="default"/>
          <w:pgSz w:w="11906" w:h="16838"/>
          <w:pgMar w:top="1440" w:right="1803" w:bottom="1440" w:left="1803" w:header="851" w:footer="1077" w:gutter="0"/>
          <w:pgBorders>
            <w:top w:val="none" w:sz="0" w:space="0"/>
            <w:left w:val="none" w:sz="0" w:space="0"/>
            <w:bottom w:val="none" w:sz="0" w:space="0"/>
            <w:right w:val="none" w:sz="0" w:space="0"/>
          </w:pgBorders>
          <w:pgNumType w:fmt="decimal"/>
          <w:cols w:space="720" w:num="1"/>
          <w:docGrid w:linePitch="312" w:charSpace="0"/>
        </w:sectPr>
      </w:pPr>
    </w:p>
    <w:p w14:paraId="348B7B8A">
      <w:pPr>
        <w:pStyle w:val="27"/>
        <w:ind w:firstLine="600"/>
        <w:jc w:val="center"/>
        <w:outlineLvl w:val="0"/>
        <w:rPr>
          <w:rFonts w:hint="default" w:ascii="Times New Roman" w:hAnsi="Times New Roman" w:eastAsia="宋体" w:cs="Times New Roman"/>
          <w:snapToGrid w:val="0"/>
          <w:color w:val="auto"/>
          <w:sz w:val="30"/>
          <w:szCs w:val="30"/>
          <w:highlight w:val="none"/>
        </w:rPr>
      </w:pPr>
      <w:bookmarkStart w:id="4" w:name="_Toc21541"/>
      <w:r>
        <w:rPr>
          <w:rFonts w:hint="default" w:ascii="Times New Roman" w:hAnsi="Times New Roman" w:eastAsia="宋体" w:cs="Times New Roman"/>
          <w:snapToGrid w:val="0"/>
          <w:color w:val="auto"/>
          <w:sz w:val="30"/>
          <w:szCs w:val="30"/>
          <w:highlight w:val="none"/>
          <w:lang w:val="en-US" w:eastAsia="zh-CN"/>
        </w:rPr>
        <w:t>二、</w:t>
      </w:r>
      <w:r>
        <w:rPr>
          <w:rFonts w:hint="default" w:ascii="Times New Roman" w:hAnsi="Times New Roman" w:eastAsia="宋体" w:cs="Times New Roman"/>
          <w:snapToGrid w:val="0"/>
          <w:color w:val="auto"/>
          <w:sz w:val="30"/>
          <w:szCs w:val="30"/>
          <w:highlight w:val="none"/>
        </w:rPr>
        <w:t>建设项目工程分析</w:t>
      </w:r>
      <w:bookmarkEnd w:id="4"/>
    </w:p>
    <w:tbl>
      <w:tblPr>
        <w:tblStyle w:val="3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0"/>
        <w:gridCol w:w="8601"/>
      </w:tblGrid>
      <w:tr w14:paraId="103781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94" w:hRule="atLeast"/>
        </w:trPr>
        <w:tc>
          <w:tcPr>
            <w:tcW w:w="460" w:type="dxa"/>
            <w:vAlign w:val="center"/>
          </w:tcPr>
          <w:p w14:paraId="09178AE1">
            <w:pPr>
              <w:pStyle w:val="27"/>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建设内容</w:t>
            </w:r>
          </w:p>
        </w:tc>
        <w:tc>
          <w:tcPr>
            <w:tcW w:w="8601" w:type="dxa"/>
            <w:vAlign w:val="top"/>
          </w:tcPr>
          <w:p w14:paraId="5CD2FC3E">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一、建设项目由来</w:t>
            </w:r>
          </w:p>
          <w:p w14:paraId="1F844B21">
            <w:pPr>
              <w:spacing w:before="174" w:line="357" w:lineRule="auto"/>
              <w:ind w:left="106" w:right="41" w:firstLine="480"/>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根据甘孜藏族自治州人民政府办公室关于印发《甘孜州藏香猪产业发展推进方案（2023—2025年）》的通知，“大力推进屠宰企业标准化建设。支持现有屠宰企业改造升级，引导生猪屠宰加工向养殖集中区域转移，实现养殖屠宰匹配、产销顺畅衔接。支持养殖龙头企业开展生产、屠宰、加工、配送、销售一体化经营。 ”</w:t>
            </w:r>
            <w:r>
              <w:rPr>
                <w:rFonts w:hint="eastAsia" w:ascii="宋体" w:hAnsi="宋体" w:eastAsia="宋体" w:cs="宋体"/>
                <w:color w:val="auto"/>
                <w:sz w:val="24"/>
                <w:szCs w:val="24"/>
                <w:highlight w:val="none"/>
                <w:lang w:val="en-US" w:eastAsia="zh-CN"/>
              </w:rPr>
              <w:t>同时</w:t>
            </w:r>
            <w:r>
              <w:rPr>
                <w:rFonts w:hint="eastAsia" w:ascii="宋体" w:hAnsi="宋体" w:eastAsia="宋体" w:cs="宋体"/>
                <w:color w:val="auto"/>
                <w:sz w:val="24"/>
                <w:szCs w:val="24"/>
                <w:highlight w:val="none"/>
              </w:rPr>
              <w:t>根据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甘孜州生猪屠宰行业发展实施方案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的发展目标“到2027年底，全州生猪定点屠宰企业总数控制在24家以内，原则上每县(市</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及海螺沟景区管理委员会至少保留1家县级生猪定点屠宰企业。”</w:t>
            </w:r>
          </w:p>
          <w:p w14:paraId="08C02E8D">
            <w:pPr>
              <w:widowControl/>
              <w:spacing w:line="360" w:lineRule="auto"/>
              <w:ind w:firstLine="480" w:firstLineChars="200"/>
              <w:rPr>
                <w:rFonts w:hint="default" w:ascii="Times New Roman" w:hAnsi="Times New Roman" w:eastAsia="宋体" w:cs="Times New Roman"/>
                <w:color w:val="auto"/>
                <w:highlight w:val="none"/>
              </w:rPr>
            </w:pPr>
            <w:r>
              <w:rPr>
                <w:rFonts w:hint="eastAsia" w:cs="Times New Roman"/>
                <w:color w:val="auto"/>
                <w:highlight w:val="none"/>
                <w:lang w:val="en-US" w:eastAsia="zh-CN"/>
              </w:rPr>
              <w:t>目前海螺沟景区管理委员</w:t>
            </w:r>
            <w:r>
              <w:rPr>
                <w:rFonts w:hint="eastAsia" w:ascii="Times New Roman" w:hAnsi="Times New Roman" w:eastAsia="宋体" w:cs="Times New Roman"/>
                <w:color w:val="auto"/>
                <w:highlight w:val="none"/>
                <w:lang w:val="en-US" w:eastAsia="zh-CN"/>
              </w:rPr>
              <w:t>暂无生猪定点屠宰场</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为了有力促进养殖业发展，</w:t>
            </w:r>
            <w:r>
              <w:rPr>
                <w:rFonts w:hint="eastAsia" w:ascii="Times New Roman" w:hAnsi="Times New Roman" w:eastAsia="宋体" w:cs="Times New Roman"/>
                <w:color w:val="auto"/>
                <w:highlight w:val="none"/>
              </w:rPr>
              <w:t>满足当地群众消费要求，提高畜禽肉品安全</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泸定县磨西镇人民政府</w:t>
            </w:r>
            <w:r>
              <w:rPr>
                <w:rFonts w:hint="default" w:ascii="Times New Roman" w:hAnsi="Times New Roman" w:eastAsia="宋体" w:cs="Times New Roman"/>
                <w:color w:val="auto"/>
                <w:highlight w:val="none"/>
              </w:rPr>
              <w:t>拟</w:t>
            </w:r>
            <w:r>
              <w:rPr>
                <w:rFonts w:hint="eastAsia" w:ascii="Times New Roman" w:hAnsi="Times New Roman" w:eastAsia="宋体" w:cs="Times New Roman"/>
                <w:color w:val="auto"/>
                <w:highlight w:val="none"/>
                <w:lang w:val="en-US" w:eastAsia="zh-CN"/>
              </w:rPr>
              <w:t>在磨西镇磨岗岭村</w:t>
            </w:r>
            <w:r>
              <w:rPr>
                <w:rFonts w:hint="default" w:ascii="Times New Roman" w:hAnsi="Times New Roman" w:eastAsia="宋体" w:cs="Times New Roman"/>
                <w:color w:val="auto"/>
                <w:highlight w:val="none"/>
              </w:rPr>
              <w:t>建设</w:t>
            </w:r>
            <w:r>
              <w:rPr>
                <w:rFonts w:hint="eastAsia" w:ascii="Times New Roman" w:hAnsi="Times New Roman" w:eastAsia="宋体" w:cs="Times New Roman"/>
                <w:color w:val="auto"/>
                <w:highlight w:val="none"/>
                <w:lang w:val="en-US" w:eastAsia="zh-CN"/>
              </w:rPr>
              <w:t>生猪</w:t>
            </w:r>
            <w:r>
              <w:rPr>
                <w:rFonts w:hint="default" w:ascii="Times New Roman" w:hAnsi="Times New Roman" w:eastAsia="宋体" w:cs="Times New Roman"/>
                <w:color w:val="auto"/>
                <w:highlight w:val="none"/>
              </w:rPr>
              <w:t>定点屠宰场</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即</w:t>
            </w:r>
            <w:r>
              <w:rPr>
                <w:rFonts w:hint="default" w:ascii="Times New Roman" w:hAnsi="Times New Roman" w:eastAsia="宋体" w:cs="Times New Roman"/>
                <w:color w:val="auto"/>
                <w:highlight w:val="none"/>
                <w:lang w:eastAsia="zh-CN"/>
              </w:rPr>
              <w:t>磨西镇磨岗岭村民族团结进步示范村（民族团结进步示范社区）项目（屠宰场工程）</w:t>
            </w:r>
            <w:r>
              <w:rPr>
                <w:rFonts w:hint="eastAsia" w:ascii="Times New Roman" w:hAnsi="Times New Roman" w:eastAsia="宋体" w:cs="Times New Roman"/>
                <w:color w:val="auto"/>
                <w:highlight w:val="none"/>
                <w:lang w:eastAsia="zh-CN"/>
              </w:rPr>
              <w:t>。主要建设内容：拟建1栋</w:t>
            </w:r>
            <w:r>
              <w:rPr>
                <w:rFonts w:hint="eastAsia" w:ascii="Times New Roman" w:hAnsi="Times New Roman" w:eastAsia="宋体" w:cs="Times New Roman"/>
                <w:color w:val="auto"/>
                <w:highlight w:val="none"/>
                <w:lang w:val="en-US" w:eastAsia="zh-CN"/>
              </w:rPr>
              <w:t>猪屠宰与分割车间</w:t>
            </w:r>
            <w:r>
              <w:rPr>
                <w:rFonts w:hint="eastAsia" w:ascii="Times New Roman" w:hAnsi="Times New Roman" w:eastAsia="宋体" w:cs="Times New Roman"/>
                <w:color w:val="auto"/>
                <w:highlight w:val="none"/>
                <w:lang w:eastAsia="zh-CN"/>
              </w:rPr>
              <w:t>（年屠宰量为</w:t>
            </w:r>
            <w:r>
              <w:rPr>
                <w:rFonts w:hint="eastAsia" w:ascii="Times New Roman" w:hAnsi="Times New Roman" w:eastAsia="宋体" w:cs="Times New Roman"/>
                <w:color w:val="auto"/>
                <w:highlight w:val="none"/>
                <w:lang w:val="en-US" w:eastAsia="zh-CN"/>
              </w:rPr>
              <w:t>7300</w:t>
            </w:r>
            <w:r>
              <w:rPr>
                <w:rFonts w:hint="eastAsia" w:ascii="Times New Roman" w:hAnsi="Times New Roman" w:eastAsia="宋体" w:cs="Times New Roman"/>
                <w:color w:val="auto"/>
                <w:highlight w:val="none"/>
                <w:lang w:eastAsia="zh-CN"/>
              </w:rPr>
              <w:t>头）含</w:t>
            </w:r>
            <w:r>
              <w:rPr>
                <w:rFonts w:hint="eastAsia" w:ascii="Times New Roman" w:hAnsi="Times New Roman" w:eastAsia="宋体" w:cs="Times New Roman"/>
                <w:color w:val="auto"/>
                <w:highlight w:val="none"/>
                <w:lang w:val="en-US" w:eastAsia="zh-CN"/>
              </w:rPr>
              <w:t>屠宰车间</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分割车间、</w:t>
            </w:r>
            <w:r>
              <w:rPr>
                <w:rFonts w:hint="eastAsia" w:ascii="Times New Roman" w:hAnsi="Times New Roman" w:eastAsia="宋体" w:cs="Times New Roman"/>
                <w:color w:val="auto"/>
                <w:highlight w:val="none"/>
                <w:lang w:eastAsia="zh-CN"/>
              </w:rPr>
              <w:t>待宰圈、</w:t>
            </w:r>
            <w:r>
              <w:rPr>
                <w:rFonts w:hint="eastAsia" w:ascii="Times New Roman" w:hAnsi="Times New Roman" w:eastAsia="宋体" w:cs="Times New Roman"/>
                <w:color w:val="auto"/>
                <w:highlight w:val="none"/>
                <w:lang w:val="en-US" w:eastAsia="zh-CN"/>
              </w:rPr>
              <w:t>隔离间、急宰间、</w:t>
            </w:r>
            <w:r>
              <w:rPr>
                <w:rFonts w:hint="eastAsia" w:ascii="Times New Roman" w:hAnsi="Times New Roman" w:eastAsia="宋体" w:cs="Times New Roman"/>
                <w:color w:val="auto"/>
                <w:highlight w:val="none"/>
                <w:lang w:eastAsia="zh-CN"/>
              </w:rPr>
              <w:t>冻库、</w:t>
            </w:r>
            <w:r>
              <w:rPr>
                <w:rFonts w:hint="eastAsia" w:ascii="Times New Roman" w:hAnsi="Times New Roman" w:eastAsia="宋体" w:cs="Times New Roman"/>
                <w:color w:val="auto"/>
                <w:highlight w:val="none"/>
                <w:lang w:val="en-US" w:eastAsia="zh-CN"/>
              </w:rPr>
              <w:t>冷藏库、</w:t>
            </w:r>
            <w:r>
              <w:rPr>
                <w:rFonts w:hint="eastAsia" w:ascii="Times New Roman" w:hAnsi="Times New Roman" w:eastAsia="宋体" w:cs="Times New Roman"/>
                <w:color w:val="auto"/>
                <w:highlight w:val="none"/>
                <w:lang w:eastAsia="zh-CN"/>
              </w:rPr>
              <w:t>动检办公等功能，1</w:t>
            </w:r>
            <w:r>
              <w:rPr>
                <w:rFonts w:hint="eastAsia" w:ascii="Times New Roman" w:hAnsi="Times New Roman" w:eastAsia="宋体" w:cs="Times New Roman"/>
                <w:color w:val="auto"/>
                <w:highlight w:val="none"/>
                <w:lang w:val="en-US" w:eastAsia="zh-CN"/>
              </w:rPr>
              <w:t>座</w:t>
            </w:r>
            <w:r>
              <w:rPr>
                <w:rFonts w:hint="eastAsia" w:ascii="Times New Roman" w:hAnsi="Times New Roman" w:eastAsia="宋体" w:cs="Times New Roman"/>
                <w:color w:val="auto"/>
                <w:highlight w:val="none"/>
                <w:lang w:eastAsia="zh-CN"/>
              </w:rPr>
              <w:t>污水处理站</w:t>
            </w:r>
            <w:r>
              <w:rPr>
                <w:rFonts w:hint="eastAsia" w:ascii="Times New Roman" w:hAnsi="Times New Roman" w:eastAsia="宋体" w:cs="Times New Roman"/>
                <w:color w:val="auto"/>
                <w:highlight w:val="none"/>
                <w:lang w:val="en-US" w:eastAsia="zh-CN"/>
              </w:rPr>
              <w:t>及</w:t>
            </w:r>
            <w:r>
              <w:rPr>
                <w:rFonts w:hint="eastAsia" w:ascii="Times New Roman" w:hAnsi="Times New Roman" w:eastAsia="宋体" w:cs="Times New Roman"/>
                <w:color w:val="auto"/>
                <w:highlight w:val="none"/>
                <w:lang w:eastAsia="zh-CN"/>
              </w:rPr>
              <w:t>其他</w:t>
            </w:r>
            <w:r>
              <w:rPr>
                <w:rFonts w:hint="eastAsia" w:cs="Times New Roman"/>
                <w:color w:val="auto"/>
                <w:highlight w:val="none"/>
                <w:lang w:val="en-US" w:eastAsia="zh-CN"/>
              </w:rPr>
              <w:t>配套</w:t>
            </w:r>
            <w:r>
              <w:rPr>
                <w:rFonts w:hint="eastAsia" w:ascii="Times New Roman" w:hAnsi="Times New Roman" w:eastAsia="宋体" w:cs="Times New Roman"/>
                <w:color w:val="auto"/>
                <w:highlight w:val="none"/>
                <w:lang w:eastAsia="zh-CN"/>
              </w:rPr>
              <w:t>设施等。</w:t>
            </w:r>
          </w:p>
          <w:p w14:paraId="56B313D8">
            <w:pPr>
              <w:pStyle w:val="45"/>
              <w:rPr>
                <w:rFonts w:hint="default" w:ascii="Times New Roman" w:hAnsi="Times New Roman" w:eastAsia="宋体" w:cs="Times New Roman"/>
                <w:b/>
                <w:bCs/>
                <w:color w:val="auto"/>
                <w:highlight w:val="none"/>
              </w:rPr>
            </w:pPr>
            <w:r>
              <w:rPr>
                <w:rFonts w:hint="default" w:ascii="Times New Roman" w:hAnsi="Times New Roman" w:eastAsia="宋体" w:cs="Times New Roman"/>
                <w:color w:val="auto"/>
                <w:highlight w:val="none"/>
              </w:rPr>
              <w:t>根据《中华人民共和国环境影响评价法》及《建设项目环境保护管理条例》等有关环保法律法规和条例的规定，本项目应进行环境影响评价。对照《国民经济行业分类》(GB/T 4754-2017)，项目属于“</w:t>
            </w:r>
            <w:r>
              <w:rPr>
                <w:rFonts w:hint="default" w:ascii="Times New Roman" w:hAnsi="Times New Roman" w:eastAsia="宋体" w:cs="Times New Roman"/>
                <w:color w:val="auto"/>
                <w:highlight w:val="none"/>
                <w:lang w:eastAsia="zh-CN"/>
              </w:rPr>
              <w:t>C</w:t>
            </w:r>
            <w:r>
              <w:rPr>
                <w:rFonts w:hint="eastAsia" w:cs="Times New Roman"/>
                <w:color w:val="auto"/>
                <w:highlight w:val="none"/>
                <w:lang w:val="en-US" w:eastAsia="zh-CN"/>
              </w:rPr>
              <w:t>1351</w:t>
            </w:r>
            <w:r>
              <w:rPr>
                <w:rFonts w:hint="default" w:ascii="Times New Roman" w:hAnsi="Times New Roman" w:eastAsia="宋体" w:cs="Times New Roman"/>
                <w:color w:val="auto"/>
                <w:highlight w:val="none"/>
                <w:lang w:eastAsia="zh-CN"/>
              </w:rPr>
              <w:t xml:space="preserve"> </w:t>
            </w:r>
            <w:r>
              <w:rPr>
                <w:rFonts w:hint="eastAsia" w:cs="Times New Roman"/>
                <w:color w:val="auto"/>
                <w:highlight w:val="none"/>
                <w:lang w:val="en-US" w:eastAsia="zh-CN"/>
              </w:rPr>
              <w:t>牲畜屠宰</w:t>
            </w:r>
            <w:r>
              <w:rPr>
                <w:rFonts w:hint="default" w:ascii="Times New Roman" w:hAnsi="Times New Roman" w:eastAsia="宋体" w:cs="Times New Roman"/>
                <w:color w:val="auto"/>
                <w:highlight w:val="none"/>
              </w:rPr>
              <w:t>”类项目，根据《建设项目环境影响评价分类管理名录</w:t>
            </w:r>
            <w:r>
              <w:rPr>
                <w:rFonts w:hint="eastAsia" w:cs="Times New Roman"/>
                <w:color w:val="auto"/>
                <w:highlight w:val="none"/>
                <w:lang w:eastAsia="zh-CN"/>
              </w:rPr>
              <w:t>（</w:t>
            </w:r>
            <w:r>
              <w:rPr>
                <w:rFonts w:hint="default" w:ascii="Times New Roman" w:hAnsi="Times New Roman" w:eastAsia="宋体" w:cs="Times New Roman"/>
                <w:color w:val="auto"/>
                <w:highlight w:val="none"/>
              </w:rPr>
              <w:t>2021年版</w:t>
            </w:r>
            <w:r>
              <w:rPr>
                <w:rFonts w:hint="eastAsia" w:cs="Times New Roman"/>
                <w:color w:val="auto"/>
                <w:highlight w:val="none"/>
                <w:lang w:eastAsia="zh-CN"/>
              </w:rPr>
              <w:t>）</w:t>
            </w:r>
            <w:r>
              <w:rPr>
                <w:rFonts w:hint="default" w:ascii="Times New Roman" w:hAnsi="Times New Roman" w:eastAsia="宋体" w:cs="Times New Roman"/>
                <w:color w:val="auto"/>
                <w:highlight w:val="none"/>
              </w:rPr>
              <w:t>》</w:t>
            </w:r>
            <w:r>
              <w:rPr>
                <w:rFonts w:hint="eastAsia" w:cs="Times New Roman"/>
                <w:color w:val="auto"/>
                <w:highlight w:val="none"/>
                <w:lang w:eastAsia="zh-CN"/>
              </w:rPr>
              <w:t>（</w:t>
            </w:r>
            <w:r>
              <w:rPr>
                <w:rFonts w:hint="default" w:ascii="Times New Roman" w:hAnsi="Times New Roman" w:eastAsia="宋体" w:cs="Times New Roman"/>
                <w:color w:val="auto"/>
                <w:highlight w:val="none"/>
              </w:rPr>
              <w:t>生态环境部部令第16号，2020.11.30</w:t>
            </w:r>
            <w:r>
              <w:rPr>
                <w:rFonts w:hint="eastAsia" w:cs="Times New Roman"/>
                <w:color w:val="auto"/>
                <w:highlight w:val="none"/>
                <w:lang w:eastAsia="zh-CN"/>
              </w:rPr>
              <w:t>）</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本</w:t>
            </w:r>
            <w:r>
              <w:rPr>
                <w:rFonts w:hint="default" w:ascii="Times New Roman" w:hAnsi="Times New Roman" w:eastAsia="宋体" w:cs="Times New Roman"/>
                <w:color w:val="auto"/>
                <w:highlight w:val="none"/>
              </w:rPr>
              <w:t>项目属于“十、农副食品加工业 13/18 屠宰及肉类加工 135*”</w:t>
            </w:r>
            <w:r>
              <w:rPr>
                <w:rFonts w:hint="eastAsia" w:cs="Times New Roman"/>
                <w:color w:val="auto"/>
                <w:highlight w:val="none"/>
                <w:lang w:eastAsia="zh-CN"/>
              </w:rPr>
              <w:t>“</w:t>
            </w:r>
            <w:r>
              <w:rPr>
                <w:rFonts w:hint="eastAsia" w:cs="Times New Roman"/>
                <w:color w:val="auto"/>
                <w:highlight w:val="none"/>
                <w:lang w:val="en-US" w:eastAsia="zh-CN"/>
              </w:rPr>
              <w:t>其他屠宰；年加工2万吨及以上的肉类加工</w:t>
            </w:r>
            <w:r>
              <w:rPr>
                <w:rFonts w:hint="eastAsia" w:cs="Times New Roman"/>
                <w:color w:val="auto"/>
                <w:highlight w:val="none"/>
                <w:lang w:eastAsia="zh-CN"/>
              </w:rPr>
              <w:t>”</w:t>
            </w:r>
            <w:r>
              <w:rPr>
                <w:rFonts w:hint="default" w:ascii="Times New Roman" w:hAnsi="Times New Roman" w:eastAsia="宋体" w:cs="Times New Roman"/>
                <w:color w:val="auto"/>
                <w:highlight w:val="none"/>
              </w:rPr>
              <w:t>项目，</w:t>
            </w:r>
            <w:r>
              <w:rPr>
                <w:rFonts w:hint="default" w:ascii="Times New Roman" w:hAnsi="Times New Roman" w:eastAsia="宋体" w:cs="Times New Roman"/>
                <w:b/>
                <w:bCs/>
                <w:color w:val="auto"/>
                <w:highlight w:val="none"/>
              </w:rPr>
              <w:t>应编制环境影响报告表。</w:t>
            </w:r>
          </w:p>
          <w:p w14:paraId="05D64458">
            <w:pPr>
              <w:widowControl/>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为此，</w:t>
            </w:r>
            <w:r>
              <w:rPr>
                <w:rFonts w:hint="eastAsia" w:cs="Times New Roman"/>
                <w:color w:val="auto"/>
                <w:highlight w:val="none"/>
                <w:lang w:val="en-US" w:eastAsia="zh-CN"/>
              </w:rPr>
              <w:t>泸定县磨西镇人民政府</w:t>
            </w:r>
            <w:r>
              <w:rPr>
                <w:rFonts w:hint="default" w:ascii="Times New Roman" w:hAnsi="Times New Roman" w:eastAsia="宋体" w:cs="Times New Roman"/>
                <w:color w:val="auto"/>
                <w:highlight w:val="none"/>
              </w:rPr>
              <w:t>特委托成都蜀蓉恒舟环境技术有限公司进行环境影响评价工作。接受委托后，评价单位即派有关人员对该项目进行现场踏勘和资料收集，按照相关技术规范，编制出本环境影响报告表。</w:t>
            </w:r>
          </w:p>
          <w:p w14:paraId="17FA5870">
            <w:pPr>
              <w:spacing w:line="360" w:lineRule="auto"/>
              <w:ind w:firstLine="482" w:firstLineChars="200"/>
              <w:rPr>
                <w:rFonts w:hint="default" w:ascii="Times New Roman" w:hAnsi="Times New Roman" w:eastAsia="宋体" w:cs="Times New Roman"/>
                <w:b/>
                <w:color w:val="auto"/>
                <w:highlight w:val="none"/>
              </w:rPr>
            </w:pPr>
            <w:r>
              <w:rPr>
                <w:rFonts w:hint="default" w:ascii="Times New Roman" w:hAnsi="Times New Roman" w:eastAsia="宋体" w:cs="Times New Roman"/>
                <w:b/>
                <w:bCs/>
                <w:color w:val="auto"/>
                <w:highlight w:val="none"/>
              </w:rPr>
              <w:t>二</w:t>
            </w:r>
            <w:r>
              <w:rPr>
                <w:rFonts w:hint="default" w:ascii="Times New Roman" w:hAnsi="Times New Roman" w:eastAsia="宋体" w:cs="Times New Roman"/>
                <w:b/>
                <w:color w:val="auto"/>
                <w:highlight w:val="none"/>
              </w:rPr>
              <w:t>、项目概况</w:t>
            </w:r>
          </w:p>
          <w:p w14:paraId="4B45BA98">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1、建设项目名称、性质、建设地点等基本情况</w:t>
            </w:r>
          </w:p>
          <w:p w14:paraId="26492B13">
            <w:pPr>
              <w:pStyle w:val="78"/>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项目名称：磨西镇磨岗岭村民族团结进步示范村（民族团结进步示范社区）项目（屠宰场工程）；</w:t>
            </w:r>
          </w:p>
          <w:p w14:paraId="4EBAA3E4">
            <w:pPr>
              <w:spacing w:line="360" w:lineRule="auto"/>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建设单位：泸定县磨西镇人民政府；</w:t>
            </w:r>
          </w:p>
          <w:p w14:paraId="4AB7453A">
            <w:pPr>
              <w:spacing w:line="360" w:lineRule="auto"/>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建设性质：新建；</w:t>
            </w:r>
          </w:p>
          <w:p w14:paraId="3D32159D">
            <w:pPr>
              <w:spacing w:line="360" w:lineRule="auto"/>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建设地点：磨西镇磨岗岭村；</w:t>
            </w:r>
          </w:p>
          <w:p w14:paraId="2AAAA8AB">
            <w:pPr>
              <w:spacing w:line="360" w:lineRule="auto"/>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项目总投资：</w:t>
            </w:r>
            <w:r>
              <w:rPr>
                <w:rFonts w:hint="eastAsia" w:cs="Times New Roman"/>
                <w:color w:val="auto"/>
                <w:highlight w:val="none"/>
                <w:lang w:val="en-US" w:eastAsia="zh-CN"/>
              </w:rPr>
              <w:t>285</w:t>
            </w:r>
            <w:r>
              <w:rPr>
                <w:rFonts w:hint="default" w:ascii="Times New Roman" w:hAnsi="Times New Roman" w:eastAsia="宋体" w:cs="Times New Roman"/>
                <w:color w:val="auto"/>
                <w:highlight w:val="none"/>
              </w:rPr>
              <w:t>万元；</w:t>
            </w:r>
          </w:p>
          <w:p w14:paraId="6BD283DA">
            <w:pPr>
              <w:pStyle w:val="45"/>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劳动定员及工作制度</w:t>
            </w:r>
            <w:r>
              <w:rPr>
                <w:rFonts w:hint="default" w:ascii="Times New Roman" w:hAnsi="Times New Roman" w:eastAsia="宋体" w:cs="Times New Roman"/>
                <w:color w:val="auto"/>
                <w:highlight w:val="none"/>
              </w:rPr>
              <w:t>：本项目劳动定员</w:t>
            </w:r>
            <w:r>
              <w:rPr>
                <w:rFonts w:hint="eastAsia" w:cs="Times New Roman"/>
                <w:color w:val="auto"/>
                <w:highlight w:val="none"/>
                <w:lang w:val="en-US" w:eastAsia="zh-CN"/>
              </w:rPr>
              <w:t>10</w:t>
            </w:r>
            <w:r>
              <w:rPr>
                <w:rFonts w:hint="default" w:ascii="Times New Roman" w:hAnsi="Times New Roman" w:eastAsia="宋体" w:cs="Times New Roman"/>
                <w:color w:val="auto"/>
                <w:highlight w:val="none"/>
              </w:rPr>
              <w:t>人，年工作</w:t>
            </w:r>
            <w:r>
              <w:rPr>
                <w:rFonts w:hint="eastAsia" w:cs="Times New Roman"/>
                <w:color w:val="auto"/>
                <w:highlight w:val="none"/>
                <w:lang w:val="en-US" w:eastAsia="zh-CN"/>
              </w:rPr>
              <w:t>365</w:t>
            </w:r>
            <w:r>
              <w:rPr>
                <w:rFonts w:hint="default" w:ascii="Times New Roman" w:hAnsi="Times New Roman" w:eastAsia="宋体" w:cs="Times New Roman"/>
                <w:color w:val="auto"/>
                <w:highlight w:val="none"/>
              </w:rPr>
              <w:t>天，</w:t>
            </w:r>
            <w:r>
              <w:rPr>
                <w:rFonts w:hint="default" w:ascii="Times New Roman" w:hAnsi="Times New Roman" w:eastAsia="宋体" w:cs="Times New Roman"/>
                <w:color w:val="auto"/>
                <w:highlight w:val="none"/>
                <w:lang w:val="en-US" w:eastAsia="zh-CN"/>
              </w:rPr>
              <w:t>每天</w:t>
            </w:r>
            <w:r>
              <w:rPr>
                <w:rFonts w:hint="eastAsia" w:cs="Times New Roman"/>
                <w:color w:val="auto"/>
                <w:highlight w:val="none"/>
                <w:lang w:val="en-US" w:eastAsia="zh-CN"/>
              </w:rPr>
              <w:t>工作8小时，屠宰时间4</w:t>
            </w:r>
            <w:r>
              <w:rPr>
                <w:rFonts w:hint="default" w:ascii="Times New Roman" w:hAnsi="Times New Roman" w:eastAsia="宋体" w:cs="Times New Roman"/>
                <w:color w:val="auto"/>
                <w:highlight w:val="none"/>
                <w:lang w:val="en-US" w:eastAsia="zh-CN"/>
              </w:rPr>
              <w:t>小时（</w:t>
            </w:r>
            <w:r>
              <w:rPr>
                <w:rFonts w:hint="eastAsia" w:cs="Times New Roman"/>
                <w:color w:val="auto"/>
                <w:highlight w:val="none"/>
                <w:lang w:val="en-US" w:eastAsia="zh-CN"/>
              </w:rPr>
              <w:t>一</w:t>
            </w:r>
            <w:r>
              <w:rPr>
                <w:rFonts w:hint="default" w:ascii="Times New Roman" w:hAnsi="Times New Roman" w:eastAsia="宋体" w:cs="Times New Roman"/>
                <w:color w:val="auto"/>
                <w:highlight w:val="none"/>
              </w:rPr>
              <w:t>班制</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不提供食堂</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住宿。</w:t>
            </w:r>
          </w:p>
          <w:p w14:paraId="47CE8EF4">
            <w:pPr>
              <w:spacing w:before="34" w:line="347" w:lineRule="auto"/>
              <w:ind w:left="124" w:right="112" w:firstLine="480"/>
              <w:rPr>
                <w:rFonts w:ascii="宋体" w:hAnsi="宋体" w:eastAsia="宋体" w:cs="宋体"/>
                <w:color w:val="auto"/>
                <w:sz w:val="24"/>
                <w:szCs w:val="24"/>
                <w:highlight w:val="none"/>
              </w:rPr>
            </w:pPr>
            <w:r>
              <w:rPr>
                <w:rFonts w:ascii="宋体" w:hAnsi="宋体" w:eastAsia="宋体" w:cs="宋体"/>
                <w:color w:val="auto"/>
                <w:spacing w:val="-3"/>
                <w:sz w:val="24"/>
                <w:szCs w:val="24"/>
                <w:highlight w:val="none"/>
              </w:rPr>
              <w:t>生产时段：根据建设方提供的资料，生猪进场时间会控制在</w:t>
            </w:r>
            <w:r>
              <w:rPr>
                <w:rFonts w:ascii="宋体" w:hAnsi="宋体" w:eastAsia="宋体" w:cs="宋体"/>
                <w:color w:val="auto"/>
                <w:spacing w:val="-4"/>
                <w:sz w:val="24"/>
                <w:szCs w:val="24"/>
                <w:highlight w:val="none"/>
              </w:rPr>
              <w:t>下午三时至六时</w:t>
            </w:r>
            <w:r>
              <w:rPr>
                <w:rFonts w:ascii="宋体" w:hAnsi="宋体" w:eastAsia="宋体" w:cs="宋体"/>
                <w:color w:val="auto"/>
                <w:spacing w:val="-1"/>
                <w:sz w:val="24"/>
                <w:szCs w:val="24"/>
                <w:highlight w:val="none"/>
              </w:rPr>
              <w:t>之间，约有</w:t>
            </w:r>
            <w:r>
              <w:rPr>
                <w:rFonts w:hint="eastAsia" w:ascii="Times New Roman" w:hAnsi="Times New Roman" w:eastAsia="宋体" w:cs="Times New Roman"/>
                <w:color w:val="auto"/>
                <w:spacing w:val="-1"/>
                <w:sz w:val="24"/>
                <w:szCs w:val="24"/>
                <w:highlight w:val="none"/>
                <w:lang w:val="en-US" w:eastAsia="zh-CN"/>
              </w:rPr>
              <w:t>20</w:t>
            </w:r>
            <w:r>
              <w:rPr>
                <w:rFonts w:ascii="宋体" w:hAnsi="宋体" w:eastAsia="宋体" w:cs="宋体"/>
                <w:color w:val="auto"/>
                <w:spacing w:val="-1"/>
                <w:sz w:val="24"/>
                <w:szCs w:val="24"/>
                <w:highlight w:val="none"/>
              </w:rPr>
              <w:t>头生猪进场；在待宰间停留</w:t>
            </w:r>
            <w:r>
              <w:rPr>
                <w:rFonts w:ascii="Times New Roman" w:hAnsi="Times New Roman" w:eastAsia="Times New Roman" w:cs="Times New Roman"/>
                <w:color w:val="auto"/>
                <w:spacing w:val="-1"/>
                <w:sz w:val="24"/>
                <w:szCs w:val="24"/>
                <w:highlight w:val="none"/>
              </w:rPr>
              <w:t>12h</w:t>
            </w:r>
            <w:r>
              <w:rPr>
                <w:rFonts w:ascii="宋体" w:hAnsi="宋体" w:eastAsia="宋体" w:cs="宋体"/>
                <w:color w:val="auto"/>
                <w:spacing w:val="-1"/>
                <w:sz w:val="24"/>
                <w:szCs w:val="24"/>
                <w:highlight w:val="none"/>
              </w:rPr>
              <w:t>以上再进行屠宰。</w:t>
            </w:r>
          </w:p>
          <w:p w14:paraId="4F705DD7">
            <w:pPr>
              <w:numPr>
                <w:ilvl w:val="0"/>
                <w:numId w:val="6"/>
              </w:num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产品名称</w:t>
            </w:r>
          </w:p>
          <w:p w14:paraId="65D62F72">
            <w:pPr>
              <w:spacing w:before="34" w:line="347" w:lineRule="auto"/>
              <w:ind w:left="124" w:right="112" w:firstLine="480"/>
              <w:rPr>
                <w:rFonts w:ascii="宋体" w:hAnsi="宋体" w:eastAsia="宋体" w:cs="宋体"/>
                <w:color w:val="auto"/>
                <w:sz w:val="24"/>
                <w:szCs w:val="24"/>
                <w:highlight w:val="none"/>
              </w:rPr>
            </w:pPr>
            <w:r>
              <w:rPr>
                <w:rFonts w:hint="default" w:ascii="Times New Roman" w:hAnsi="Times New Roman" w:eastAsia="宋体" w:cs="Times New Roman"/>
                <w:color w:val="auto"/>
                <w:spacing w:val="-3"/>
                <w:sz w:val="24"/>
                <w:szCs w:val="24"/>
                <w:highlight w:val="none"/>
              </w:rPr>
              <w:t>本项目年屠宰生猪</w:t>
            </w:r>
            <w:r>
              <w:rPr>
                <w:rFonts w:hint="default" w:ascii="Times New Roman" w:hAnsi="Times New Roman" w:eastAsia="宋体" w:cs="Times New Roman"/>
                <w:color w:val="auto"/>
                <w:spacing w:val="-3"/>
                <w:sz w:val="24"/>
                <w:szCs w:val="24"/>
                <w:highlight w:val="none"/>
                <w:lang w:val="en-US" w:eastAsia="zh-CN"/>
              </w:rPr>
              <w:t>7</w:t>
            </w:r>
            <w:r>
              <w:rPr>
                <w:rFonts w:hint="eastAsia" w:cs="Times New Roman"/>
                <w:color w:val="auto"/>
                <w:spacing w:val="-3"/>
                <w:sz w:val="24"/>
                <w:szCs w:val="24"/>
                <w:highlight w:val="none"/>
                <w:lang w:val="en-US" w:eastAsia="zh-CN"/>
              </w:rPr>
              <w:t>3</w:t>
            </w:r>
            <w:r>
              <w:rPr>
                <w:rFonts w:hint="default" w:ascii="Times New Roman" w:hAnsi="Times New Roman" w:eastAsia="宋体" w:cs="Times New Roman"/>
                <w:color w:val="auto"/>
                <w:spacing w:val="-3"/>
                <w:sz w:val="24"/>
                <w:szCs w:val="24"/>
                <w:highlight w:val="none"/>
                <w:lang w:val="en-US" w:eastAsia="zh-CN"/>
              </w:rPr>
              <w:t>00</w:t>
            </w:r>
            <w:r>
              <w:rPr>
                <w:rFonts w:hint="default" w:ascii="Times New Roman" w:hAnsi="Times New Roman" w:eastAsia="宋体" w:cs="Times New Roman"/>
                <w:color w:val="auto"/>
                <w:spacing w:val="-3"/>
                <w:sz w:val="24"/>
                <w:szCs w:val="24"/>
                <w:highlight w:val="none"/>
              </w:rPr>
              <w:t>头，主产品为白条肉，副产品包括猪头、猪蹄、猪尾、猪血、猪毛猪鬃、可食用内脏、板油等。本项目屠宰后的猪肉主要作为冷鲜肉售卖。根据《排污许可证申请与核发技术规范农副食品加工工业—屠宰及肉类加工工业》（HJ860.3-2018），项目每头猪重量约为</w:t>
            </w:r>
            <w:r>
              <w:rPr>
                <w:rFonts w:hint="eastAsia" w:ascii="Times New Roman" w:hAnsi="Times New Roman" w:eastAsia="宋体" w:cs="Times New Roman"/>
                <w:color w:val="auto"/>
                <w:spacing w:val="-3"/>
                <w:sz w:val="24"/>
                <w:szCs w:val="24"/>
                <w:highlight w:val="none"/>
                <w:lang w:val="en-US" w:eastAsia="zh-CN"/>
              </w:rPr>
              <w:t>1</w:t>
            </w:r>
            <w:r>
              <w:rPr>
                <w:rFonts w:hint="default" w:ascii="Times New Roman" w:hAnsi="Times New Roman" w:eastAsia="宋体" w:cs="Times New Roman"/>
                <w:color w:val="auto"/>
                <w:spacing w:val="-3"/>
                <w:sz w:val="24"/>
                <w:szCs w:val="24"/>
                <w:highlight w:val="none"/>
              </w:rPr>
              <w:t>10kg；肉类产品质量执行《食品安全国家标准鲜（冻）畜、禽产品》（GB2707-2016）、《鲜、冻猪肉及猪副产品第1部分：片猪肉》（GB/T9959.1-2019）、《鲜、冻猪肉及猪副产品第3部分：分部位分割猪肉》（GB/T9959.3-2019）、《鲜、冻猪肉及猪副产品第4部分：猪副产品》（GB/T9959.4-2019）。本项目屠宰产品方案见表</w:t>
            </w:r>
            <w:r>
              <w:rPr>
                <w:rFonts w:hint="eastAsia" w:ascii="Times New Roman" w:hAnsi="Times New Roman" w:eastAsia="宋体" w:cs="Times New Roman"/>
                <w:color w:val="auto"/>
                <w:spacing w:val="-3"/>
                <w:sz w:val="24"/>
                <w:szCs w:val="24"/>
                <w:highlight w:val="none"/>
                <w:lang w:val="en-US" w:eastAsia="zh-CN"/>
              </w:rPr>
              <w:t>2-1</w:t>
            </w:r>
            <w:r>
              <w:rPr>
                <w:rFonts w:ascii="宋体" w:hAnsi="宋体" w:eastAsia="宋体" w:cs="宋体"/>
                <w:color w:val="auto"/>
                <w:spacing w:val="-2"/>
                <w:sz w:val="24"/>
                <w:szCs w:val="24"/>
                <w:highlight w:val="none"/>
              </w:rPr>
              <w:t>。</w:t>
            </w:r>
          </w:p>
          <w:p w14:paraId="2C1280FD">
            <w:pPr>
              <w:pStyle w:val="15"/>
              <w:numPr>
                <w:ilvl w:val="0"/>
                <w:numId w:val="7"/>
              </w:numPr>
              <w:ind w:left="425" w:leftChars="0" w:hanging="425" w:firstLineChars="0"/>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项目产品方案</w:t>
            </w:r>
          </w:p>
          <w:tbl>
            <w:tblPr>
              <w:tblStyle w:val="32"/>
              <w:tblW w:w="4985"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288"/>
              <w:gridCol w:w="920"/>
              <w:gridCol w:w="1790"/>
              <w:gridCol w:w="1460"/>
              <w:gridCol w:w="1883"/>
            </w:tblGrid>
            <w:tr w14:paraId="07E465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restart"/>
                  <w:tcBorders>
                    <w:top w:val="single" w:color="auto" w:sz="12" w:space="0"/>
                    <w:right w:val="single" w:color="auto" w:sz="8" w:space="0"/>
                  </w:tcBorders>
                  <w:noWrap w:val="0"/>
                  <w:vAlign w:val="center"/>
                </w:tcPr>
                <w:p w14:paraId="2832E071">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屠宰量</w:t>
                  </w:r>
                </w:p>
              </w:tc>
              <w:tc>
                <w:tcPr>
                  <w:tcW w:w="1624" w:type="pct"/>
                  <w:gridSpan w:val="2"/>
                  <w:tcBorders>
                    <w:top w:val="single" w:color="auto" w:sz="12" w:space="0"/>
                    <w:left w:val="single" w:color="auto" w:sz="8" w:space="0"/>
                    <w:right w:val="single" w:color="auto" w:sz="8" w:space="0"/>
                  </w:tcBorders>
                  <w:noWrap w:val="0"/>
                  <w:vAlign w:val="center"/>
                </w:tcPr>
                <w:p w14:paraId="5C28AB41">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产品名称</w:t>
                  </w:r>
                </w:p>
              </w:tc>
              <w:tc>
                <w:tcPr>
                  <w:tcW w:w="874" w:type="pct"/>
                  <w:tcBorders>
                    <w:top w:val="single" w:color="auto" w:sz="12" w:space="0"/>
                    <w:left w:val="single" w:color="auto" w:sz="8" w:space="0"/>
                    <w:right w:val="single" w:color="auto" w:sz="8" w:space="0"/>
                  </w:tcBorders>
                  <w:noWrap w:val="0"/>
                  <w:vAlign w:val="center"/>
                </w:tcPr>
                <w:p w14:paraId="6D24A598">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产出率（%）</w:t>
                  </w:r>
                </w:p>
              </w:tc>
              <w:tc>
                <w:tcPr>
                  <w:tcW w:w="1128" w:type="pct"/>
                  <w:tcBorders>
                    <w:top w:val="single" w:color="auto" w:sz="12" w:space="0"/>
                    <w:left w:val="single" w:color="auto" w:sz="8" w:space="0"/>
                    <w:right w:val="nil"/>
                  </w:tcBorders>
                  <w:noWrap w:val="0"/>
                  <w:vAlign w:val="center"/>
                </w:tcPr>
                <w:p w14:paraId="4019C5F2">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产量（t/a）</w:t>
                  </w:r>
                </w:p>
              </w:tc>
            </w:tr>
            <w:tr w14:paraId="06B348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2F255A17">
                  <w:pPr>
                    <w:pStyle w:val="81"/>
                    <w:kinsoku w:val="0"/>
                    <w:overflowPunct w:val="0"/>
                    <w:jc w:val="center"/>
                    <w:rPr>
                      <w:rFonts w:hint="default" w:ascii="Times New Roman" w:hAnsi="Times New Roman" w:eastAsia="宋体" w:cs="Times New Roman"/>
                      <w:color w:val="auto"/>
                      <w:sz w:val="21"/>
                      <w:szCs w:val="21"/>
                      <w:highlight w:val="none"/>
                      <w:lang w:val="en-US" w:eastAsia="zh-CN"/>
                    </w:rPr>
                  </w:pPr>
                </w:p>
              </w:tc>
              <w:tc>
                <w:tcPr>
                  <w:tcW w:w="551" w:type="pct"/>
                  <w:tcBorders>
                    <w:left w:val="single" w:color="auto" w:sz="8" w:space="0"/>
                    <w:right w:val="single" w:color="auto" w:sz="8" w:space="0"/>
                  </w:tcBorders>
                  <w:noWrap w:val="0"/>
                  <w:vAlign w:val="center"/>
                </w:tcPr>
                <w:p w14:paraId="701155C2">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主产品</w:t>
                  </w:r>
                </w:p>
              </w:tc>
              <w:tc>
                <w:tcPr>
                  <w:tcW w:w="1073" w:type="pct"/>
                  <w:tcBorders>
                    <w:left w:val="single" w:color="auto" w:sz="8" w:space="0"/>
                    <w:right w:val="single" w:color="auto" w:sz="8" w:space="0"/>
                  </w:tcBorders>
                  <w:noWrap w:val="0"/>
                  <w:vAlign w:val="center"/>
                </w:tcPr>
                <w:p w14:paraId="6A90B799">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白条肉</w:t>
                  </w:r>
                </w:p>
              </w:tc>
              <w:tc>
                <w:tcPr>
                  <w:tcW w:w="874" w:type="pct"/>
                  <w:tcBorders>
                    <w:left w:val="single" w:color="auto" w:sz="8" w:space="0"/>
                    <w:right w:val="single" w:color="auto" w:sz="8" w:space="0"/>
                  </w:tcBorders>
                  <w:noWrap w:val="0"/>
                  <w:vAlign w:val="center"/>
                </w:tcPr>
                <w:p w14:paraId="5C0A12D9">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66.5</w:t>
                  </w:r>
                </w:p>
              </w:tc>
              <w:tc>
                <w:tcPr>
                  <w:tcW w:w="1128" w:type="pct"/>
                  <w:tcBorders>
                    <w:left w:val="single" w:color="auto" w:sz="8" w:space="0"/>
                    <w:right w:val="nil"/>
                  </w:tcBorders>
                  <w:noWrap w:val="0"/>
                  <w:vAlign w:val="center"/>
                </w:tcPr>
                <w:p w14:paraId="542F437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533.995</w:t>
                  </w:r>
                </w:p>
              </w:tc>
            </w:tr>
            <w:tr w14:paraId="0DF941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restart"/>
                  <w:tcBorders>
                    <w:left w:val="nil"/>
                    <w:right w:val="single" w:color="auto" w:sz="8" w:space="0"/>
                  </w:tcBorders>
                  <w:noWrap w:val="0"/>
                  <w:vAlign w:val="center"/>
                </w:tcPr>
                <w:p w14:paraId="3E233D47">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r>
                    <w:rPr>
                      <w:rFonts w:hint="eastAsia"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00头生猪</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803</w:t>
                  </w:r>
                  <w:r>
                    <w:rPr>
                      <w:rFonts w:hint="eastAsia" w:ascii="Times New Roman" w:hAnsi="Times New Roman" w:eastAsia="宋体" w:cs="Times New Roman"/>
                      <w:color w:val="auto"/>
                      <w:sz w:val="21"/>
                      <w:szCs w:val="21"/>
                      <w:highlight w:val="none"/>
                      <w:lang w:val="en-US" w:eastAsia="zh-CN"/>
                    </w:rPr>
                    <w:t>t/a）</w:t>
                  </w:r>
                </w:p>
              </w:tc>
              <w:tc>
                <w:tcPr>
                  <w:tcW w:w="551" w:type="pct"/>
                  <w:vMerge w:val="restart"/>
                  <w:tcBorders>
                    <w:left w:val="single" w:color="auto" w:sz="8" w:space="0"/>
                    <w:right w:val="single" w:color="auto" w:sz="8" w:space="0"/>
                  </w:tcBorders>
                  <w:noWrap w:val="0"/>
                  <w:vAlign w:val="center"/>
                </w:tcPr>
                <w:p w14:paraId="2A36975E">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副产品</w:t>
                  </w:r>
                </w:p>
              </w:tc>
              <w:tc>
                <w:tcPr>
                  <w:tcW w:w="1073" w:type="pct"/>
                  <w:tcBorders>
                    <w:left w:val="single" w:color="auto" w:sz="8" w:space="0"/>
                    <w:right w:val="single" w:color="auto" w:sz="8" w:space="0"/>
                  </w:tcBorders>
                  <w:noWrap w:val="0"/>
                  <w:vAlign w:val="center"/>
                </w:tcPr>
                <w:p w14:paraId="6860B513">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猪头</w:t>
                  </w:r>
                </w:p>
              </w:tc>
              <w:tc>
                <w:tcPr>
                  <w:tcW w:w="874" w:type="pct"/>
                  <w:tcBorders>
                    <w:left w:val="single" w:color="auto" w:sz="8" w:space="0"/>
                    <w:right w:val="single" w:color="auto" w:sz="8" w:space="0"/>
                  </w:tcBorders>
                  <w:noWrap w:val="0"/>
                  <w:vAlign w:val="center"/>
                </w:tcPr>
                <w:p w14:paraId="73678637">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6.8</w:t>
                  </w:r>
                </w:p>
              </w:tc>
              <w:tc>
                <w:tcPr>
                  <w:tcW w:w="1128" w:type="pct"/>
                  <w:tcBorders>
                    <w:left w:val="single" w:color="auto" w:sz="8" w:space="0"/>
                    <w:right w:val="nil"/>
                  </w:tcBorders>
                  <w:noWrap w:val="0"/>
                  <w:vAlign w:val="center"/>
                </w:tcPr>
                <w:p w14:paraId="593835F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54.604</w:t>
                  </w:r>
                </w:p>
              </w:tc>
            </w:tr>
            <w:tr w14:paraId="336428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6515FF01">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3D07078A">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18B73228">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猪蹄</w:t>
                  </w:r>
                </w:p>
              </w:tc>
              <w:tc>
                <w:tcPr>
                  <w:tcW w:w="874" w:type="pct"/>
                  <w:tcBorders>
                    <w:left w:val="single" w:color="auto" w:sz="8" w:space="0"/>
                    <w:right w:val="single" w:color="auto" w:sz="8" w:space="0"/>
                  </w:tcBorders>
                  <w:noWrap w:val="0"/>
                  <w:vAlign w:val="center"/>
                </w:tcPr>
                <w:p w14:paraId="159360AE">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128" w:type="pct"/>
                  <w:tcBorders>
                    <w:left w:val="single" w:color="auto" w:sz="8" w:space="0"/>
                    <w:right w:val="nil"/>
                  </w:tcBorders>
                  <w:noWrap w:val="0"/>
                  <w:vAlign w:val="center"/>
                </w:tcPr>
                <w:p w14:paraId="3E1DB0A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215CDE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62A7F218">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4FBFD628">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48300657">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猪尾</w:t>
                  </w:r>
                </w:p>
              </w:tc>
              <w:tc>
                <w:tcPr>
                  <w:tcW w:w="874" w:type="pct"/>
                  <w:tcBorders>
                    <w:left w:val="single" w:color="auto" w:sz="8" w:space="0"/>
                    <w:right w:val="single" w:color="auto" w:sz="8" w:space="0"/>
                  </w:tcBorders>
                  <w:noWrap w:val="0"/>
                  <w:vAlign w:val="center"/>
                </w:tcPr>
                <w:p w14:paraId="7F070D13">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w:t>
                  </w:r>
                </w:p>
              </w:tc>
              <w:tc>
                <w:tcPr>
                  <w:tcW w:w="1128" w:type="pct"/>
                  <w:tcBorders>
                    <w:left w:val="single" w:color="auto" w:sz="8" w:space="0"/>
                    <w:right w:val="nil"/>
                  </w:tcBorders>
                  <w:noWrap w:val="0"/>
                  <w:vAlign w:val="center"/>
                </w:tcPr>
                <w:p w14:paraId="5DF6F6F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2A0749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59A35E6B">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724D7977">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0C717B31">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猪血</w:t>
                  </w:r>
                </w:p>
              </w:tc>
              <w:tc>
                <w:tcPr>
                  <w:tcW w:w="874" w:type="pct"/>
                  <w:tcBorders>
                    <w:left w:val="single" w:color="auto" w:sz="8" w:space="0"/>
                    <w:right w:val="single" w:color="auto" w:sz="8" w:space="0"/>
                  </w:tcBorders>
                  <w:noWrap w:val="0"/>
                  <w:vAlign w:val="center"/>
                </w:tcPr>
                <w:p w14:paraId="5414ACD7">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128" w:type="pct"/>
                  <w:tcBorders>
                    <w:left w:val="single" w:color="auto" w:sz="8" w:space="0"/>
                    <w:right w:val="nil"/>
                  </w:tcBorders>
                  <w:noWrap w:val="0"/>
                  <w:vAlign w:val="center"/>
                </w:tcPr>
                <w:p w14:paraId="366D1AE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32.12</w:t>
                  </w:r>
                </w:p>
              </w:tc>
            </w:tr>
            <w:tr w14:paraId="128F6D5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158FEFC6">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6ADD06A5">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11B15974">
                  <w:pPr>
                    <w:pStyle w:val="81"/>
                    <w:kinsoku w:val="0"/>
                    <w:overflowPunct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猪毛猪鬃</w:t>
                  </w:r>
                </w:p>
              </w:tc>
              <w:tc>
                <w:tcPr>
                  <w:tcW w:w="874" w:type="pct"/>
                  <w:tcBorders>
                    <w:left w:val="single" w:color="auto" w:sz="8" w:space="0"/>
                    <w:right w:val="single" w:color="auto" w:sz="8" w:space="0"/>
                  </w:tcBorders>
                  <w:noWrap w:val="0"/>
                  <w:vAlign w:val="center"/>
                </w:tcPr>
                <w:p w14:paraId="2D070E98">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28" w:type="pct"/>
                  <w:tcBorders>
                    <w:left w:val="single" w:color="auto" w:sz="8" w:space="0"/>
                    <w:right w:val="nil"/>
                  </w:tcBorders>
                  <w:noWrap w:val="0"/>
                  <w:vAlign w:val="center"/>
                </w:tcPr>
                <w:p w14:paraId="1BCEE77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r>
            <w:tr w14:paraId="4F5003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119A9F34">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6C30F497">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4CFAFFCF">
                  <w:pPr>
                    <w:pStyle w:val="81"/>
                    <w:kinsoku w:val="0"/>
                    <w:overflowPunct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可食用内脏</w:t>
                  </w:r>
                </w:p>
              </w:tc>
              <w:tc>
                <w:tcPr>
                  <w:tcW w:w="874" w:type="pct"/>
                  <w:tcBorders>
                    <w:left w:val="single" w:color="auto" w:sz="8" w:space="0"/>
                    <w:right w:val="single" w:color="auto" w:sz="8" w:space="0"/>
                  </w:tcBorders>
                  <w:noWrap w:val="0"/>
                  <w:vAlign w:val="center"/>
                </w:tcPr>
                <w:p w14:paraId="39F0E50A">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9.1</w:t>
                  </w:r>
                </w:p>
              </w:tc>
              <w:tc>
                <w:tcPr>
                  <w:tcW w:w="1128" w:type="pct"/>
                  <w:tcBorders>
                    <w:left w:val="single" w:color="auto" w:sz="8" w:space="0"/>
                    <w:right w:val="nil"/>
                  </w:tcBorders>
                  <w:noWrap w:val="0"/>
                  <w:vAlign w:val="center"/>
                </w:tcPr>
                <w:p w14:paraId="031F11C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73.073</w:t>
                  </w:r>
                </w:p>
              </w:tc>
            </w:tr>
            <w:tr w14:paraId="129D08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4D842FAF">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4CD70F72">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50D3B4E5">
                  <w:pPr>
                    <w:pStyle w:val="81"/>
                    <w:kinsoku w:val="0"/>
                    <w:overflowPunct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板油</w:t>
                  </w:r>
                </w:p>
              </w:tc>
              <w:tc>
                <w:tcPr>
                  <w:tcW w:w="874" w:type="pct"/>
                  <w:tcBorders>
                    <w:left w:val="single" w:color="auto" w:sz="8" w:space="0"/>
                    <w:right w:val="single" w:color="auto" w:sz="8" w:space="0"/>
                  </w:tcBorders>
                  <w:noWrap w:val="0"/>
                  <w:vAlign w:val="center"/>
                </w:tcPr>
                <w:p w14:paraId="5AA079AE">
                  <w:pPr>
                    <w:pStyle w:val="81"/>
                    <w:kinsoku w:val="0"/>
                    <w:overflowPunct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4</w:t>
                  </w:r>
                </w:p>
              </w:tc>
              <w:tc>
                <w:tcPr>
                  <w:tcW w:w="1128" w:type="pct"/>
                  <w:tcBorders>
                    <w:left w:val="single" w:color="auto" w:sz="8" w:space="0"/>
                    <w:right w:val="nil"/>
                  </w:tcBorders>
                  <w:noWrap w:val="0"/>
                  <w:vAlign w:val="center"/>
                </w:tcPr>
                <w:p w14:paraId="73FBD4C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32.12</w:t>
                  </w:r>
                </w:p>
              </w:tc>
            </w:tr>
            <w:tr w14:paraId="1210BB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5FA39B17">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restart"/>
                  <w:tcBorders>
                    <w:left w:val="single" w:color="auto" w:sz="8" w:space="0"/>
                    <w:right w:val="single" w:color="auto" w:sz="8" w:space="0"/>
                  </w:tcBorders>
                  <w:noWrap w:val="0"/>
                  <w:vAlign w:val="center"/>
                </w:tcPr>
                <w:p w14:paraId="5DC49ECD">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固废</w:t>
                  </w:r>
                </w:p>
              </w:tc>
              <w:tc>
                <w:tcPr>
                  <w:tcW w:w="1073" w:type="pct"/>
                  <w:tcBorders>
                    <w:left w:val="single" w:color="auto" w:sz="8" w:space="0"/>
                    <w:right w:val="single" w:color="auto" w:sz="8" w:space="0"/>
                  </w:tcBorders>
                  <w:noWrap w:val="0"/>
                  <w:vAlign w:val="center"/>
                </w:tcPr>
                <w:p w14:paraId="4A4DA049">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粪便及肠胃内容物</w:t>
                  </w:r>
                </w:p>
              </w:tc>
              <w:tc>
                <w:tcPr>
                  <w:tcW w:w="874" w:type="pct"/>
                  <w:tcBorders>
                    <w:left w:val="single" w:color="auto" w:sz="8" w:space="0"/>
                    <w:right w:val="single" w:color="auto" w:sz="8" w:space="0"/>
                  </w:tcBorders>
                  <w:noWrap w:val="0"/>
                  <w:vAlign w:val="center"/>
                </w:tcPr>
                <w:p w14:paraId="7BEEC364">
                  <w:pPr>
                    <w:pStyle w:val="81"/>
                    <w:kinsoku w:val="0"/>
                    <w:overflowPunct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w:t>
                  </w:r>
                </w:p>
              </w:tc>
              <w:tc>
                <w:tcPr>
                  <w:tcW w:w="1128" w:type="pct"/>
                  <w:tcBorders>
                    <w:left w:val="single" w:color="auto" w:sz="8" w:space="0"/>
                    <w:right w:val="nil"/>
                  </w:tcBorders>
                  <w:noWrap w:val="0"/>
                  <w:vAlign w:val="center"/>
                </w:tcPr>
                <w:p w14:paraId="0CE4416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40.15</w:t>
                  </w:r>
                </w:p>
              </w:tc>
            </w:tr>
            <w:tr w14:paraId="6B61458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03A98F25">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410E4F7B">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129EA7E1">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不可食用内脏和碎肉渣</w:t>
                  </w:r>
                </w:p>
              </w:tc>
              <w:tc>
                <w:tcPr>
                  <w:tcW w:w="874" w:type="pct"/>
                  <w:tcBorders>
                    <w:left w:val="single" w:color="auto" w:sz="8" w:space="0"/>
                    <w:right w:val="single" w:color="auto" w:sz="8" w:space="0"/>
                  </w:tcBorders>
                  <w:noWrap w:val="0"/>
                  <w:vAlign w:val="center"/>
                </w:tcPr>
                <w:p w14:paraId="2DDB8403">
                  <w:pPr>
                    <w:pStyle w:val="81"/>
                    <w:kinsoku w:val="0"/>
                    <w:overflowPunct w:val="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w:t>
                  </w:r>
                </w:p>
              </w:tc>
              <w:tc>
                <w:tcPr>
                  <w:tcW w:w="1128" w:type="pct"/>
                  <w:tcBorders>
                    <w:left w:val="single" w:color="auto" w:sz="8" w:space="0"/>
                    <w:right w:val="nil"/>
                  </w:tcBorders>
                  <w:noWrap w:val="0"/>
                  <w:vAlign w:val="center"/>
                </w:tcPr>
                <w:p w14:paraId="58C96BF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r>
            <w:tr w14:paraId="78CA30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right w:val="single" w:color="auto" w:sz="8" w:space="0"/>
                  </w:tcBorders>
                  <w:noWrap w:val="0"/>
                  <w:vAlign w:val="center"/>
                </w:tcPr>
                <w:p w14:paraId="6DF773EA">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right w:val="single" w:color="auto" w:sz="8" w:space="0"/>
                  </w:tcBorders>
                  <w:noWrap w:val="0"/>
                  <w:vAlign w:val="center"/>
                </w:tcPr>
                <w:p w14:paraId="0928EADE">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right w:val="single" w:color="auto" w:sz="8" w:space="0"/>
                  </w:tcBorders>
                  <w:noWrap w:val="0"/>
                  <w:vAlign w:val="center"/>
                </w:tcPr>
                <w:p w14:paraId="0E7FF1B5">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不合格酮体及内脏</w:t>
                  </w:r>
                </w:p>
              </w:tc>
              <w:tc>
                <w:tcPr>
                  <w:tcW w:w="874" w:type="pct"/>
                  <w:tcBorders>
                    <w:left w:val="single" w:color="auto" w:sz="8" w:space="0"/>
                    <w:right w:val="single" w:color="auto" w:sz="8" w:space="0"/>
                  </w:tcBorders>
                  <w:noWrap w:val="0"/>
                  <w:vAlign w:val="center"/>
                </w:tcPr>
                <w:p w14:paraId="7617D1B2">
                  <w:pPr>
                    <w:pStyle w:val="81"/>
                    <w:kinsoku w:val="0"/>
                    <w:overflowPunct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w:t>
                  </w:r>
                  <w:r>
                    <w:rPr>
                      <w:rFonts w:hint="eastAsia" w:ascii="Times New Roman" w:hAnsi="Times New Roman" w:cs="Times New Roman"/>
                      <w:bCs/>
                      <w:color w:val="auto"/>
                      <w:sz w:val="21"/>
                      <w:szCs w:val="21"/>
                      <w:highlight w:val="none"/>
                      <w:lang w:val="en-US" w:eastAsia="zh-CN"/>
                    </w:rPr>
                    <w:t>2</w:t>
                  </w:r>
                </w:p>
              </w:tc>
              <w:tc>
                <w:tcPr>
                  <w:tcW w:w="1128" w:type="pct"/>
                  <w:tcBorders>
                    <w:left w:val="single" w:color="auto" w:sz="8" w:space="0"/>
                    <w:right w:val="nil"/>
                  </w:tcBorders>
                  <w:noWrap w:val="0"/>
                  <w:vAlign w:val="center"/>
                </w:tcPr>
                <w:p w14:paraId="3CF9A77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246EE1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1371" w:type="pct"/>
                  <w:vMerge w:val="continue"/>
                  <w:tcBorders>
                    <w:left w:val="nil"/>
                    <w:bottom w:val="single" w:color="auto" w:sz="12" w:space="0"/>
                    <w:right w:val="single" w:color="auto" w:sz="8" w:space="0"/>
                  </w:tcBorders>
                  <w:noWrap w:val="0"/>
                  <w:vAlign w:val="center"/>
                </w:tcPr>
                <w:p w14:paraId="49700C8C">
                  <w:pPr>
                    <w:pStyle w:val="81"/>
                    <w:kinsoku w:val="0"/>
                    <w:overflowPunct w:val="0"/>
                    <w:jc w:val="center"/>
                    <w:rPr>
                      <w:rFonts w:hint="default" w:ascii="Times New Roman" w:hAnsi="Times New Roman" w:eastAsia="宋体" w:cs="Times New Roman"/>
                      <w:color w:val="auto"/>
                      <w:sz w:val="21"/>
                      <w:szCs w:val="21"/>
                      <w:highlight w:val="none"/>
                    </w:rPr>
                  </w:pPr>
                </w:p>
              </w:tc>
              <w:tc>
                <w:tcPr>
                  <w:tcW w:w="551" w:type="pct"/>
                  <w:vMerge w:val="continue"/>
                  <w:tcBorders>
                    <w:left w:val="single" w:color="auto" w:sz="8" w:space="0"/>
                    <w:bottom w:val="single" w:color="auto" w:sz="12" w:space="0"/>
                    <w:right w:val="single" w:color="auto" w:sz="8" w:space="0"/>
                  </w:tcBorders>
                  <w:noWrap w:val="0"/>
                  <w:vAlign w:val="center"/>
                </w:tcPr>
                <w:p w14:paraId="6C7B2AEE">
                  <w:pPr>
                    <w:pStyle w:val="81"/>
                    <w:kinsoku w:val="0"/>
                    <w:overflowPunct w:val="0"/>
                    <w:jc w:val="center"/>
                    <w:rPr>
                      <w:rFonts w:hint="default" w:ascii="Times New Roman" w:hAnsi="Times New Roman" w:eastAsia="宋体" w:cs="Times New Roman"/>
                      <w:color w:val="auto"/>
                      <w:sz w:val="21"/>
                      <w:szCs w:val="21"/>
                      <w:highlight w:val="none"/>
                    </w:rPr>
                  </w:pPr>
                </w:p>
              </w:tc>
              <w:tc>
                <w:tcPr>
                  <w:tcW w:w="1073" w:type="pct"/>
                  <w:tcBorders>
                    <w:left w:val="single" w:color="auto" w:sz="8" w:space="0"/>
                    <w:bottom w:val="single" w:color="auto" w:sz="12" w:space="0"/>
                    <w:right w:val="single" w:color="auto" w:sz="8" w:space="0"/>
                  </w:tcBorders>
                  <w:noWrap w:val="0"/>
                  <w:vAlign w:val="center"/>
                </w:tcPr>
                <w:p w14:paraId="33E14C97">
                  <w:pPr>
                    <w:pStyle w:val="8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病死猪</w:t>
                  </w:r>
                </w:p>
              </w:tc>
              <w:tc>
                <w:tcPr>
                  <w:tcW w:w="874" w:type="pct"/>
                  <w:tcBorders>
                    <w:left w:val="single" w:color="auto" w:sz="8" w:space="0"/>
                    <w:bottom w:val="single" w:color="auto" w:sz="12" w:space="0"/>
                    <w:right w:val="single" w:color="auto" w:sz="8" w:space="0"/>
                  </w:tcBorders>
                  <w:noWrap w:val="0"/>
                  <w:vAlign w:val="center"/>
                </w:tcPr>
                <w:p w14:paraId="3EED0287">
                  <w:pPr>
                    <w:pStyle w:val="81"/>
                    <w:kinsoku w:val="0"/>
                    <w:overflowPunct w:val="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w:t>
                  </w:r>
                  <w:r>
                    <w:rPr>
                      <w:rFonts w:hint="eastAsia" w:ascii="Times New Roman" w:hAnsi="Times New Roman" w:cs="Times New Roman"/>
                      <w:bCs/>
                      <w:color w:val="auto"/>
                      <w:sz w:val="21"/>
                      <w:szCs w:val="21"/>
                      <w:highlight w:val="none"/>
                      <w:lang w:val="en-US" w:eastAsia="zh-CN"/>
                    </w:rPr>
                    <w:t>2</w:t>
                  </w:r>
                </w:p>
              </w:tc>
              <w:tc>
                <w:tcPr>
                  <w:tcW w:w="1128" w:type="pct"/>
                  <w:tcBorders>
                    <w:left w:val="single" w:color="auto" w:sz="8" w:space="0"/>
                    <w:bottom w:val="single" w:color="auto" w:sz="12" w:space="0"/>
                    <w:right w:val="nil"/>
                  </w:tcBorders>
                  <w:noWrap w:val="0"/>
                  <w:vAlign w:val="center"/>
                </w:tcPr>
                <w:p w14:paraId="343DF7E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bl>
          <w:p w14:paraId="4F1666D4">
            <w:pPr>
              <w:pStyle w:val="15"/>
              <w:ind w:firstLine="422"/>
              <w:rPr>
                <w:rFonts w:hint="default" w:ascii="Times New Roman" w:hAnsi="Times New Roman" w:eastAsia="宋体" w:cs="Times New Roman"/>
                <w:bCs/>
                <w:color w:val="auto"/>
                <w:sz w:val="21"/>
                <w:szCs w:val="21"/>
                <w:highlight w:val="none"/>
              </w:rPr>
            </w:pPr>
          </w:p>
          <w:p w14:paraId="7609E104">
            <w:pPr>
              <w:spacing w:line="360" w:lineRule="auto"/>
              <w:ind w:firstLine="480" w:firstLineChars="200"/>
              <w:rPr>
                <w:color w:val="auto"/>
              </w:rPr>
            </w:pPr>
          </w:p>
          <w:p w14:paraId="3022D085">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3、</w:t>
            </w:r>
            <w:r>
              <w:rPr>
                <w:rFonts w:hint="eastAsia" w:cs="Times New Roman"/>
                <w:b/>
                <w:bCs/>
                <w:color w:val="auto"/>
                <w:highlight w:val="none"/>
                <w:lang w:val="en-US" w:eastAsia="zh-CN"/>
              </w:rPr>
              <w:t>屠宰范围及来源、成品猪输送</w:t>
            </w:r>
          </w:p>
          <w:p w14:paraId="0EFE9DA8">
            <w:pPr>
              <w:spacing w:line="360" w:lineRule="auto"/>
              <w:ind w:firstLine="480" w:firstLineChars="200"/>
              <w:rPr>
                <w:rFonts w:hint="default"/>
                <w:color w:val="auto"/>
                <w:lang w:val="en-US" w:eastAsia="zh-CN"/>
              </w:rPr>
            </w:pPr>
            <w:r>
              <w:rPr>
                <w:rFonts w:hint="eastAsia"/>
                <w:color w:val="auto"/>
                <w:lang w:val="en-US" w:eastAsia="zh-CN"/>
              </w:rPr>
              <w:t>1）定点屠宰场设置的必要性</w:t>
            </w:r>
          </w:p>
          <w:p w14:paraId="7FCAE060">
            <w:pPr>
              <w:spacing w:line="360" w:lineRule="auto"/>
              <w:ind w:firstLine="480" w:firstLineChars="200"/>
              <w:rPr>
                <w:rFonts w:hint="default"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目前</w:t>
            </w:r>
            <w:r>
              <w:rPr>
                <w:rFonts w:hint="eastAsia" w:cs="Times New Roman"/>
                <w:bCs/>
                <w:color w:val="auto"/>
                <w:highlight w:val="none"/>
                <w:lang w:val="en-US" w:eastAsia="zh-CN"/>
              </w:rPr>
              <w:t>磨西镇生猪</w:t>
            </w:r>
            <w:r>
              <w:rPr>
                <w:rFonts w:hint="eastAsia" w:ascii="Times New Roman" w:hAnsi="Times New Roman" w:eastAsia="宋体" w:cs="Times New Roman"/>
                <w:bCs/>
                <w:color w:val="auto"/>
                <w:highlight w:val="none"/>
                <w:lang w:val="en-US" w:eastAsia="zh-CN"/>
              </w:rPr>
              <w:t>存栏量</w:t>
            </w:r>
            <w:r>
              <w:rPr>
                <w:rFonts w:hint="eastAsia" w:cs="Times New Roman"/>
                <w:bCs/>
                <w:color w:val="auto"/>
                <w:highlight w:val="none"/>
                <w:lang w:val="en-US" w:eastAsia="zh-CN"/>
              </w:rPr>
              <w:t>约1</w:t>
            </w:r>
            <w:r>
              <w:rPr>
                <w:rFonts w:hint="eastAsia" w:ascii="Times New Roman" w:hAnsi="Times New Roman" w:eastAsia="宋体" w:cs="Times New Roman"/>
                <w:bCs/>
                <w:color w:val="auto"/>
                <w:highlight w:val="none"/>
                <w:lang w:val="en-US" w:eastAsia="zh-CN"/>
              </w:rPr>
              <w:t>万余头，屠宰量</w:t>
            </w:r>
            <w:r>
              <w:rPr>
                <w:rFonts w:hint="eastAsia" w:cs="Times New Roman"/>
                <w:bCs/>
                <w:color w:val="auto"/>
                <w:highlight w:val="none"/>
                <w:lang w:val="en-US" w:eastAsia="zh-CN"/>
              </w:rPr>
              <w:t>0.5</w:t>
            </w:r>
            <w:r>
              <w:rPr>
                <w:rFonts w:hint="eastAsia" w:ascii="Times New Roman" w:hAnsi="Times New Roman" w:eastAsia="宋体" w:cs="Times New Roman"/>
                <w:bCs/>
                <w:color w:val="auto"/>
                <w:highlight w:val="none"/>
                <w:lang w:val="en-US" w:eastAsia="zh-CN"/>
              </w:rPr>
              <w:t>万余头，</w:t>
            </w:r>
            <w:r>
              <w:rPr>
                <w:rFonts w:hint="eastAsia" w:cs="Times New Roman"/>
                <w:bCs/>
                <w:color w:val="auto"/>
                <w:highlight w:val="none"/>
                <w:lang w:val="en-US" w:eastAsia="zh-CN"/>
              </w:rPr>
              <w:t>生猪</w:t>
            </w:r>
            <w:r>
              <w:rPr>
                <w:rFonts w:hint="eastAsia" w:ascii="Times New Roman" w:hAnsi="Times New Roman" w:eastAsia="宋体" w:cs="Times New Roman"/>
                <w:bCs/>
                <w:color w:val="auto"/>
                <w:highlight w:val="none"/>
                <w:lang w:val="en-US" w:eastAsia="zh-CN"/>
              </w:rPr>
              <w:t>每年宰杀数量较小，且都为零星宰杀。由于没有专门的定点屠宰场，</w:t>
            </w:r>
            <w:r>
              <w:rPr>
                <w:rFonts w:hint="eastAsia" w:cs="Times New Roman"/>
                <w:bCs/>
                <w:color w:val="auto"/>
                <w:highlight w:val="none"/>
                <w:lang w:val="en-US" w:eastAsia="zh-CN"/>
              </w:rPr>
              <w:t>磨西镇</w:t>
            </w:r>
            <w:r>
              <w:rPr>
                <w:rFonts w:hint="eastAsia" w:ascii="Times New Roman" w:hAnsi="Times New Roman" w:eastAsia="宋体" w:cs="Times New Roman"/>
                <w:bCs/>
                <w:color w:val="auto"/>
                <w:highlight w:val="none"/>
                <w:lang w:val="en-US" w:eastAsia="zh-CN"/>
              </w:rPr>
              <w:t>大多数猪屠宰分布于居民生活区的屠宰场，屠宰过程中没有流水作业设施，血水污物遍地，臭气熏天，对周围群众生活影响很大。加上大多没有与动物防疫和环保相适应的无害化处理设施和污水处理设施，造成交叉污染严重，肉品质量难以保证。另外，由于乡镇兽医站人员少，工作量大，猪屠宰场检疫设备落后，难免出现漏检、错检。通过本项目集中定点屠宰场的建设，能较大的完善屠宰设施，提高动物防检疫条件，保障猪肉制品的质量安全。</w:t>
            </w:r>
          </w:p>
          <w:p w14:paraId="008FFF3C">
            <w:pPr>
              <w:numPr>
                <w:ilvl w:val="0"/>
                <w:numId w:val="8"/>
              </w:numPr>
              <w:spacing w:line="360" w:lineRule="auto"/>
              <w:ind w:firstLine="480" w:firstLineChars="200"/>
              <w:rPr>
                <w:rFonts w:hint="eastAsia"/>
                <w:color w:val="auto"/>
                <w:lang w:val="en-US" w:eastAsia="zh-CN"/>
              </w:rPr>
            </w:pPr>
            <w:r>
              <w:rPr>
                <w:rFonts w:hint="eastAsia"/>
                <w:color w:val="auto"/>
                <w:lang w:val="en-US" w:eastAsia="zh-CN"/>
              </w:rPr>
              <w:t>屠宰范围及生猪来源</w:t>
            </w:r>
          </w:p>
          <w:p w14:paraId="53E0B7FD">
            <w:pPr>
              <w:spacing w:line="360" w:lineRule="auto"/>
              <w:ind w:firstLine="480" w:firstLineChars="200"/>
              <w:rPr>
                <w:rFonts w:hint="default"/>
                <w:color w:val="auto"/>
                <w:lang w:val="en-US" w:eastAsia="zh-CN"/>
              </w:rPr>
            </w:pPr>
            <w:r>
              <w:rPr>
                <w:rFonts w:hint="eastAsia"/>
                <w:color w:val="auto"/>
                <w:lang w:val="en-US" w:eastAsia="zh-CN"/>
              </w:rPr>
              <w:t>本项目建设后服务范围主要针对于磨西镇周边区县生猪养殖场及磨西镇农户散养猪进行屠宰。</w:t>
            </w:r>
          </w:p>
          <w:p w14:paraId="313F8BE7">
            <w:pPr>
              <w:numPr>
                <w:ilvl w:val="0"/>
                <w:numId w:val="8"/>
              </w:numPr>
              <w:spacing w:line="360" w:lineRule="auto"/>
              <w:ind w:firstLine="480" w:firstLineChars="200"/>
              <w:rPr>
                <w:rFonts w:hint="eastAsia"/>
                <w:color w:val="auto"/>
                <w:lang w:val="en-US" w:eastAsia="zh-CN"/>
              </w:rPr>
            </w:pPr>
            <w:r>
              <w:rPr>
                <w:rFonts w:hint="eastAsia"/>
                <w:color w:val="auto"/>
                <w:lang w:val="en-US" w:eastAsia="zh-CN"/>
              </w:rPr>
              <w:t>成品猪输送</w:t>
            </w:r>
          </w:p>
          <w:p w14:paraId="3BF41D25">
            <w:pPr>
              <w:spacing w:line="360" w:lineRule="auto"/>
              <w:ind w:firstLine="480" w:firstLineChars="200"/>
              <w:rPr>
                <w:rFonts w:hint="default"/>
                <w:color w:val="auto"/>
                <w:lang w:val="en-US" w:eastAsia="zh-CN"/>
              </w:rPr>
            </w:pPr>
            <w:r>
              <w:rPr>
                <w:rFonts w:hint="eastAsia"/>
                <w:color w:val="auto"/>
                <w:lang w:val="en-US" w:eastAsia="zh-CN"/>
              </w:rPr>
              <w:t>本项目生猪屠宰后运输至磨西镇农贸市场进行售卖，主要售卖给场镇上的居民食用。</w:t>
            </w:r>
          </w:p>
          <w:p w14:paraId="1893AD38">
            <w:pPr>
              <w:spacing w:line="360" w:lineRule="auto"/>
              <w:ind w:firstLine="482" w:firstLineChars="200"/>
              <w:rPr>
                <w:rFonts w:hint="default" w:ascii="Times New Roman" w:hAnsi="Times New Roman" w:eastAsia="宋体" w:cs="Times New Roman"/>
                <w:b/>
                <w:bCs/>
                <w:color w:val="auto"/>
                <w:highlight w:val="none"/>
              </w:rPr>
            </w:pPr>
            <w:r>
              <w:rPr>
                <w:rFonts w:hint="eastAsia" w:cs="Times New Roman"/>
                <w:b/>
                <w:bCs/>
                <w:color w:val="auto"/>
                <w:highlight w:val="none"/>
                <w:lang w:val="en-US" w:eastAsia="zh-CN"/>
              </w:rPr>
              <w:t>4</w:t>
            </w:r>
            <w:r>
              <w:rPr>
                <w:rFonts w:hint="default" w:ascii="Times New Roman" w:hAnsi="Times New Roman" w:eastAsia="宋体" w:cs="Times New Roman"/>
                <w:b/>
                <w:bCs/>
                <w:color w:val="auto"/>
                <w:highlight w:val="none"/>
              </w:rPr>
              <w:t>、建设内容及项目组成</w:t>
            </w:r>
          </w:p>
          <w:p w14:paraId="283757B5">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rPr>
              <w:t>本项目</w:t>
            </w:r>
            <w:r>
              <w:rPr>
                <w:rFonts w:hint="eastAsia" w:cs="Times New Roman"/>
                <w:bCs/>
                <w:color w:val="auto"/>
                <w:highlight w:val="none"/>
                <w:lang w:val="en-US" w:eastAsia="zh-CN"/>
              </w:rPr>
              <w:t>占地面积1998</w:t>
            </w:r>
            <w:r>
              <w:rPr>
                <w:rFonts w:hint="eastAsia"/>
                <w:color w:val="auto"/>
                <w:highlight w:val="none"/>
                <w:lang w:val="en-US" w:eastAsia="zh-CN"/>
              </w:rPr>
              <w:t>.51</w:t>
            </w:r>
            <w:r>
              <w:rPr>
                <w:rFonts w:hint="eastAsia" w:cs="Times New Roman"/>
                <w:bCs/>
                <w:color w:val="auto"/>
                <w:highlight w:val="none"/>
                <w:lang w:val="en-US" w:eastAsia="zh-CN"/>
              </w:rPr>
              <w:t>m</w:t>
            </w:r>
            <w:r>
              <w:rPr>
                <w:rFonts w:hint="eastAsia" w:cs="Times New Roman"/>
                <w:bCs/>
                <w:color w:val="auto"/>
                <w:highlight w:val="none"/>
                <w:vertAlign w:val="superscript"/>
                <w:lang w:val="en-US" w:eastAsia="zh-CN"/>
              </w:rPr>
              <w:t>2</w:t>
            </w:r>
            <w:r>
              <w:rPr>
                <w:rFonts w:hint="eastAsia" w:cs="Times New Roman"/>
                <w:bCs/>
                <w:color w:val="auto"/>
                <w:highlight w:val="none"/>
                <w:lang w:val="en-US" w:eastAsia="zh-CN"/>
              </w:rPr>
              <w:t>，总建筑面积634.15m</w:t>
            </w:r>
            <w:r>
              <w:rPr>
                <w:rFonts w:hint="eastAsia" w:cs="Times New Roman"/>
                <w:bCs/>
                <w:color w:val="auto"/>
                <w:highlight w:val="none"/>
                <w:vertAlign w:val="superscript"/>
                <w:lang w:val="en-US" w:eastAsia="zh-CN"/>
              </w:rPr>
              <w:t>2</w:t>
            </w:r>
            <w:r>
              <w:rPr>
                <w:rFonts w:hint="eastAsia" w:cs="Times New Roman"/>
                <w:bCs/>
                <w:color w:val="auto"/>
                <w:highlight w:val="none"/>
                <w:lang w:val="en-US" w:eastAsia="zh-CN"/>
              </w:rPr>
              <w:t>。项目组成一览表见下表。</w:t>
            </w:r>
          </w:p>
          <w:p w14:paraId="45418124">
            <w:pPr>
              <w:pStyle w:val="15"/>
              <w:numPr>
                <w:ilvl w:val="0"/>
                <w:numId w:val="7"/>
              </w:numPr>
              <w:ind w:left="425" w:leftChars="0" w:hanging="425" w:firstLineChars="0"/>
              <w:rPr>
                <w:color w:val="auto"/>
                <w:highlight w:val="none"/>
              </w:rPr>
            </w:pPr>
            <w:r>
              <w:rPr>
                <w:rFonts w:hint="eastAsia" w:ascii="Times New Roman" w:hAnsi="Times New Roman" w:eastAsia="宋体" w:cs="Times New Roman"/>
                <w:bCs/>
                <w:color w:val="auto"/>
                <w:sz w:val="21"/>
                <w:szCs w:val="21"/>
                <w:highlight w:val="none"/>
              </w:rPr>
              <w:t>项目组成及主要环境问题一览表</w:t>
            </w:r>
          </w:p>
          <w:tbl>
            <w:tblPr>
              <w:tblStyle w:val="103"/>
              <w:tblW w:w="839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8"/>
              <w:gridCol w:w="348"/>
              <w:gridCol w:w="2"/>
              <w:gridCol w:w="304"/>
              <w:gridCol w:w="507"/>
              <w:gridCol w:w="4396"/>
              <w:gridCol w:w="960"/>
              <w:gridCol w:w="780"/>
              <w:gridCol w:w="746"/>
            </w:tblGrid>
            <w:tr w14:paraId="22DA8A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1509" w:type="dxa"/>
                  <w:gridSpan w:val="5"/>
                  <w:vMerge w:val="restart"/>
                  <w:tcBorders>
                    <w:top w:val="single" w:color="auto" w:sz="12" w:space="0"/>
                    <w:left w:val="nil"/>
                    <w:bottom w:val="single" w:color="auto" w:sz="8" w:space="0"/>
                    <w:right w:val="single" w:color="auto" w:sz="8" w:space="0"/>
                  </w:tcBorders>
                  <w:vAlign w:val="center"/>
                </w:tcPr>
                <w:p w14:paraId="746A0675">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项目名称</w:t>
                  </w:r>
                </w:p>
              </w:tc>
              <w:tc>
                <w:tcPr>
                  <w:tcW w:w="4396" w:type="dxa"/>
                  <w:vMerge w:val="restart"/>
                  <w:tcBorders>
                    <w:top w:val="single" w:color="auto" w:sz="12" w:space="0"/>
                    <w:left w:val="single" w:color="auto" w:sz="8" w:space="0"/>
                    <w:bottom w:val="single" w:color="auto" w:sz="8" w:space="0"/>
                    <w:right w:val="single" w:color="auto" w:sz="8" w:space="0"/>
                  </w:tcBorders>
                  <w:vAlign w:val="center"/>
                </w:tcPr>
                <w:p w14:paraId="5342481B">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主要建设内容及规模</w:t>
                  </w:r>
                </w:p>
              </w:tc>
              <w:tc>
                <w:tcPr>
                  <w:tcW w:w="1740" w:type="dxa"/>
                  <w:gridSpan w:val="2"/>
                  <w:tcBorders>
                    <w:top w:val="single" w:color="auto" w:sz="12" w:space="0"/>
                    <w:left w:val="single" w:color="auto" w:sz="8" w:space="0"/>
                    <w:bottom w:val="single" w:color="auto" w:sz="8" w:space="0"/>
                    <w:right w:val="single" w:color="auto" w:sz="8" w:space="0"/>
                  </w:tcBorders>
                  <w:vAlign w:val="center"/>
                </w:tcPr>
                <w:p w14:paraId="4D48AEE6">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可能产生的环境问题</w:t>
                  </w:r>
                </w:p>
              </w:tc>
              <w:tc>
                <w:tcPr>
                  <w:tcW w:w="746" w:type="dxa"/>
                  <w:vMerge w:val="restart"/>
                  <w:tcBorders>
                    <w:top w:val="single" w:color="auto" w:sz="12" w:space="0"/>
                    <w:left w:val="single" w:color="auto" w:sz="8" w:space="0"/>
                    <w:bottom w:val="single" w:color="auto" w:sz="8" w:space="0"/>
                    <w:right w:val="nil"/>
                  </w:tcBorders>
                  <w:vAlign w:val="center"/>
                </w:tcPr>
                <w:p w14:paraId="562FD597">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14:paraId="2D39C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1509" w:type="dxa"/>
                  <w:gridSpan w:val="5"/>
                  <w:vMerge w:val="continue"/>
                  <w:tcBorders>
                    <w:top w:val="single" w:color="auto" w:sz="8" w:space="0"/>
                    <w:left w:val="nil"/>
                    <w:bottom w:val="single" w:color="auto" w:sz="8" w:space="0"/>
                    <w:right w:val="single" w:color="auto" w:sz="8" w:space="0"/>
                  </w:tcBorders>
                  <w:vAlign w:val="center"/>
                </w:tcPr>
                <w:p w14:paraId="71688388">
                  <w:pPr>
                    <w:jc w:val="center"/>
                    <w:rPr>
                      <w:rFonts w:hint="default" w:ascii="Times New Roman" w:hAnsi="Times New Roman" w:eastAsia="宋体" w:cs="Times New Roman"/>
                      <w:color w:val="auto"/>
                      <w:sz w:val="21"/>
                      <w:szCs w:val="21"/>
                      <w:highlight w:val="none"/>
                    </w:rPr>
                  </w:pPr>
                </w:p>
              </w:tc>
              <w:tc>
                <w:tcPr>
                  <w:tcW w:w="4396" w:type="dxa"/>
                  <w:vMerge w:val="continue"/>
                  <w:tcBorders>
                    <w:top w:val="single" w:color="auto" w:sz="8" w:space="0"/>
                    <w:left w:val="single" w:color="auto" w:sz="8" w:space="0"/>
                    <w:bottom w:val="single" w:color="auto" w:sz="8" w:space="0"/>
                    <w:right w:val="single" w:color="auto" w:sz="8" w:space="0"/>
                  </w:tcBorders>
                  <w:vAlign w:val="center"/>
                </w:tcPr>
                <w:p w14:paraId="38FCCFE5">
                  <w:pPr>
                    <w:jc w:val="center"/>
                    <w:rPr>
                      <w:rFonts w:hint="default" w:ascii="Times New Roman" w:hAnsi="Times New Roman" w:eastAsia="宋体" w:cs="Times New Roman"/>
                      <w:color w:val="auto"/>
                      <w:sz w:val="21"/>
                      <w:szCs w:val="21"/>
                      <w:highlight w:val="none"/>
                    </w:rPr>
                  </w:pPr>
                </w:p>
              </w:tc>
              <w:tc>
                <w:tcPr>
                  <w:tcW w:w="960" w:type="dxa"/>
                  <w:tcBorders>
                    <w:top w:val="single" w:color="auto" w:sz="8" w:space="0"/>
                    <w:left w:val="single" w:color="auto" w:sz="8" w:space="0"/>
                    <w:bottom w:val="single" w:color="auto" w:sz="8" w:space="0"/>
                    <w:right w:val="single" w:color="auto" w:sz="8" w:space="0"/>
                  </w:tcBorders>
                  <w:vAlign w:val="center"/>
                </w:tcPr>
                <w:p w14:paraId="3ECA51D6">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施工期</w:t>
                  </w:r>
                </w:p>
              </w:tc>
              <w:tc>
                <w:tcPr>
                  <w:tcW w:w="780" w:type="dxa"/>
                  <w:tcBorders>
                    <w:top w:val="single" w:color="auto" w:sz="8" w:space="0"/>
                    <w:left w:val="single" w:color="auto" w:sz="8" w:space="0"/>
                    <w:bottom w:val="single" w:color="auto" w:sz="8" w:space="0"/>
                    <w:right w:val="single" w:color="auto" w:sz="8" w:space="0"/>
                  </w:tcBorders>
                  <w:vAlign w:val="center"/>
                </w:tcPr>
                <w:p w14:paraId="261C1B82">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运营期</w:t>
                  </w:r>
                </w:p>
              </w:tc>
              <w:tc>
                <w:tcPr>
                  <w:tcW w:w="746" w:type="dxa"/>
                  <w:vMerge w:val="continue"/>
                  <w:tcBorders>
                    <w:top w:val="single" w:color="auto" w:sz="8" w:space="0"/>
                    <w:left w:val="single" w:color="auto" w:sz="8" w:space="0"/>
                    <w:bottom w:val="single" w:color="auto" w:sz="8" w:space="0"/>
                    <w:right w:val="nil"/>
                  </w:tcBorders>
                  <w:vAlign w:val="center"/>
                </w:tcPr>
                <w:p w14:paraId="22A7B4DE">
                  <w:pPr>
                    <w:jc w:val="center"/>
                    <w:rPr>
                      <w:rFonts w:hint="default" w:ascii="Times New Roman" w:hAnsi="Times New Roman" w:eastAsia="宋体" w:cs="Times New Roman"/>
                      <w:b/>
                      <w:bCs/>
                      <w:color w:val="auto"/>
                      <w:sz w:val="21"/>
                      <w:szCs w:val="21"/>
                      <w:highlight w:val="none"/>
                    </w:rPr>
                  </w:pPr>
                </w:p>
              </w:tc>
            </w:tr>
            <w:tr w14:paraId="08FEA6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8" w:type="dxa"/>
                  <w:vMerge w:val="restart"/>
                  <w:tcBorders>
                    <w:top w:val="single" w:color="auto" w:sz="8" w:space="0"/>
                    <w:left w:val="nil"/>
                    <w:bottom w:val="single" w:color="auto" w:sz="8" w:space="0"/>
                    <w:right w:val="single" w:color="auto" w:sz="8" w:space="0"/>
                  </w:tcBorders>
                  <w:textDirection w:val="tbRlV"/>
                  <w:vAlign w:val="center"/>
                </w:tcPr>
                <w:p w14:paraId="4D28F3B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 体 工 程</w:t>
                  </w:r>
                </w:p>
              </w:tc>
              <w:tc>
                <w:tcPr>
                  <w:tcW w:w="654" w:type="dxa"/>
                  <w:gridSpan w:val="3"/>
                  <w:vMerge w:val="restart"/>
                  <w:tcBorders>
                    <w:top w:val="single" w:color="auto" w:sz="8" w:space="0"/>
                    <w:left w:val="single" w:color="auto" w:sz="8" w:space="0"/>
                    <w:bottom w:val="single" w:color="auto" w:sz="8" w:space="0"/>
                    <w:right w:val="single" w:color="auto" w:sz="8" w:space="0"/>
                  </w:tcBorders>
                  <w:vAlign w:val="center"/>
                </w:tcPr>
                <w:p w14:paraId="64B2E0A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屠宰处理区</w:t>
                  </w:r>
                </w:p>
              </w:tc>
              <w:tc>
                <w:tcPr>
                  <w:tcW w:w="507" w:type="dxa"/>
                  <w:tcBorders>
                    <w:top w:val="single" w:color="auto" w:sz="8" w:space="0"/>
                    <w:left w:val="single" w:color="auto" w:sz="8" w:space="0"/>
                    <w:bottom w:val="single" w:color="auto" w:sz="8" w:space="0"/>
                    <w:right w:val="single" w:color="auto" w:sz="8" w:space="0"/>
                  </w:tcBorders>
                  <w:vAlign w:val="center"/>
                </w:tcPr>
                <w:p w14:paraId="0482C83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待宰</w:t>
                  </w:r>
                  <w:r>
                    <w:rPr>
                      <w:rFonts w:hint="eastAsia" w:ascii="Times New Roman" w:hAnsi="Times New Roman" w:eastAsia="宋体" w:cs="Times New Roman"/>
                      <w:color w:val="auto"/>
                      <w:sz w:val="21"/>
                      <w:szCs w:val="21"/>
                      <w:highlight w:val="none"/>
                      <w:lang w:val="en-US" w:eastAsia="zh-CN"/>
                    </w:rPr>
                    <w:t>圈</w:t>
                  </w:r>
                </w:p>
              </w:tc>
              <w:tc>
                <w:tcPr>
                  <w:tcW w:w="4396" w:type="dxa"/>
                  <w:tcBorders>
                    <w:top w:val="single" w:color="auto" w:sz="8" w:space="0"/>
                    <w:left w:val="single" w:color="auto" w:sz="8" w:space="0"/>
                    <w:bottom w:val="single" w:color="auto" w:sz="8" w:space="0"/>
                    <w:right w:val="single" w:color="auto" w:sz="8" w:space="0"/>
                  </w:tcBorders>
                  <w:vAlign w:val="center"/>
                </w:tcPr>
                <w:p w14:paraId="1ADB5302">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待宰间一间，钢结构厂房，建筑面积</w:t>
                  </w:r>
                  <w:r>
                    <w:rPr>
                      <w:rFonts w:hint="eastAsia" w:cs="Times New Roman"/>
                      <w:color w:val="auto"/>
                      <w:sz w:val="21"/>
                      <w:szCs w:val="21"/>
                      <w:highlight w:val="none"/>
                      <w:lang w:val="en-US" w:eastAsia="zh-CN"/>
                    </w:rPr>
                    <w:t>18.3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。用于生猪暂存，停食静养时间为12h。</w:t>
                  </w:r>
                </w:p>
              </w:tc>
              <w:tc>
                <w:tcPr>
                  <w:tcW w:w="960" w:type="dxa"/>
                  <w:vMerge w:val="restart"/>
                  <w:tcBorders>
                    <w:top w:val="single" w:color="auto" w:sz="8" w:space="0"/>
                    <w:left w:val="single" w:color="auto" w:sz="8" w:space="0"/>
                    <w:bottom w:val="single" w:color="auto" w:sz="8" w:space="0"/>
                    <w:right w:val="single" w:color="auto" w:sz="8" w:space="0"/>
                  </w:tcBorders>
                  <w:vAlign w:val="center"/>
                </w:tcPr>
                <w:p w14:paraId="47A42B8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噪声、固</w:t>
                  </w:r>
                </w:p>
                <w:p w14:paraId="6ED483C2">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废、废水</w:t>
                  </w:r>
                </w:p>
                <w:p w14:paraId="79AC5A9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780" w:type="dxa"/>
                  <w:vMerge w:val="restart"/>
                  <w:tcBorders>
                    <w:top w:val="single" w:color="auto" w:sz="8" w:space="0"/>
                    <w:left w:val="single" w:color="auto" w:sz="8" w:space="0"/>
                    <w:bottom w:val="single" w:color="auto" w:sz="8" w:space="0"/>
                    <w:right w:val="single" w:color="auto" w:sz="8" w:space="0"/>
                  </w:tcBorders>
                  <w:vAlign w:val="center"/>
                </w:tcPr>
                <w:p w14:paraId="5185F017">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臭气、噪声、固废、废水</w:t>
                  </w:r>
                </w:p>
              </w:tc>
              <w:tc>
                <w:tcPr>
                  <w:tcW w:w="746" w:type="dxa"/>
                  <w:tcBorders>
                    <w:top w:val="single" w:color="auto" w:sz="8" w:space="0"/>
                    <w:left w:val="single" w:color="auto" w:sz="8" w:space="0"/>
                    <w:bottom w:val="single" w:color="auto" w:sz="8" w:space="0"/>
                    <w:right w:val="nil"/>
                  </w:tcBorders>
                  <w:vAlign w:val="center"/>
                </w:tcPr>
                <w:p w14:paraId="210519E5">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244373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3D41682C">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3F4D0441">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shd w:val="clear" w:color="auto" w:fill="auto"/>
                  <w:vAlign w:val="center"/>
                </w:tcPr>
                <w:p w14:paraId="4226262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屠宰车间</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79857310">
                  <w:pPr>
                    <w:jc w:val="center"/>
                    <w:rPr>
                      <w:rFonts w:hint="default" w:ascii="Times New Roman" w:hAnsi="Times New Roman" w:eastAsia="宋体" w:cs="Times New Roman"/>
                      <w:color w:val="auto"/>
                      <w:sz w:val="21"/>
                      <w:szCs w:val="21"/>
                      <w:highlight w:val="none"/>
                      <w:lang w:val="en-US" w:eastAsia="en-US"/>
                    </w:rPr>
                  </w:pPr>
                  <w:r>
                    <w:rPr>
                      <w:rFonts w:hint="eastAsia" w:cs="Times New Roman"/>
                      <w:color w:val="auto"/>
                      <w:sz w:val="21"/>
                      <w:szCs w:val="21"/>
                      <w:highlight w:val="none"/>
                      <w:lang w:val="en-US" w:eastAsia="zh-CN"/>
                    </w:rPr>
                    <w:t>屠宰车间1间，</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161.1</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eastAsia" w:cs="Times New Roman"/>
                      <w:color w:val="auto"/>
                      <w:sz w:val="21"/>
                      <w:szCs w:val="21"/>
                      <w:highlight w:val="none"/>
                      <w:vertAlign w:val="baseline"/>
                      <w:lang w:eastAsia="zh-CN"/>
                    </w:rPr>
                    <w:t>，</w:t>
                  </w:r>
                  <w:r>
                    <w:rPr>
                      <w:rFonts w:hint="eastAsia" w:cs="Times New Roman"/>
                      <w:color w:val="auto"/>
                      <w:sz w:val="21"/>
                      <w:szCs w:val="21"/>
                      <w:highlight w:val="none"/>
                      <w:vertAlign w:val="baseline"/>
                      <w:lang w:val="en-US" w:eastAsia="zh-CN"/>
                    </w:rPr>
                    <w:t>设置</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条机械屠宰生产线，</w:t>
                  </w:r>
                  <w:r>
                    <w:rPr>
                      <w:rFonts w:hint="eastAsia" w:ascii="Times New Roman" w:hAnsi="Times New Roman" w:eastAsia="宋体" w:cs="Times New Roman"/>
                      <w:color w:val="auto"/>
                      <w:sz w:val="21"/>
                      <w:szCs w:val="21"/>
                      <w:highlight w:val="none"/>
                      <w:lang w:val="en-US" w:eastAsia="zh-CN"/>
                    </w:rPr>
                    <w:t>总体布置呈“L”型布置，</w:t>
                  </w:r>
                  <w:r>
                    <w:rPr>
                      <w:rFonts w:hint="default" w:ascii="Times New Roman" w:hAnsi="Times New Roman" w:eastAsia="宋体" w:cs="Times New Roman"/>
                      <w:color w:val="auto"/>
                      <w:sz w:val="21"/>
                      <w:szCs w:val="21"/>
                      <w:highlight w:val="none"/>
                    </w:rPr>
                    <w:t>年屠宰量</w:t>
                  </w:r>
                  <w:r>
                    <w:rPr>
                      <w:rFonts w:hint="eastAsia" w:ascii="Times New Roman" w:hAnsi="Times New Roman" w:eastAsia="宋体" w:cs="Times New Roman"/>
                      <w:color w:val="auto"/>
                      <w:sz w:val="21"/>
                      <w:szCs w:val="21"/>
                      <w:highlight w:val="none"/>
                      <w:lang w:val="en-US" w:eastAsia="zh-CN"/>
                    </w:rPr>
                    <w:t>7300</w:t>
                  </w:r>
                  <w:r>
                    <w:rPr>
                      <w:rFonts w:hint="default" w:ascii="Times New Roman" w:hAnsi="Times New Roman" w:eastAsia="宋体" w:cs="Times New Roman"/>
                      <w:color w:val="auto"/>
                      <w:sz w:val="21"/>
                      <w:szCs w:val="21"/>
                      <w:highlight w:val="none"/>
                    </w:rPr>
                    <w:t>头。</w:t>
                  </w:r>
                  <w:r>
                    <w:rPr>
                      <w:rFonts w:hint="eastAsia" w:cs="Times New Roman"/>
                      <w:color w:val="auto"/>
                      <w:sz w:val="21"/>
                      <w:szCs w:val="21"/>
                      <w:highlight w:val="none"/>
                      <w:lang w:val="en-US" w:eastAsia="zh-CN"/>
                    </w:rPr>
                    <w:t>布设</w:t>
                  </w:r>
                  <w:r>
                    <w:rPr>
                      <w:rFonts w:hint="default" w:ascii="Times New Roman" w:hAnsi="Times New Roman" w:eastAsia="宋体" w:cs="Times New Roman"/>
                      <w:color w:val="auto"/>
                      <w:sz w:val="21"/>
                      <w:szCs w:val="21"/>
                      <w:highlight w:val="none"/>
                    </w:rPr>
                    <w:t>机械化屠宰设备。</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4312482F">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218973BD">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11B1835A">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34BCB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276146F2">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00D2F8F2">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4B413DD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隔离间</w:t>
                  </w:r>
                </w:p>
              </w:tc>
              <w:tc>
                <w:tcPr>
                  <w:tcW w:w="4396" w:type="dxa"/>
                  <w:tcBorders>
                    <w:top w:val="single" w:color="auto" w:sz="8" w:space="0"/>
                    <w:left w:val="single" w:color="auto" w:sz="8" w:space="0"/>
                    <w:bottom w:val="single" w:color="auto" w:sz="8" w:space="0"/>
                    <w:right w:val="single" w:color="auto" w:sz="8" w:space="0"/>
                  </w:tcBorders>
                  <w:vAlign w:val="center"/>
                </w:tcPr>
                <w:p w14:paraId="1353B7E4">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隔离</w:t>
                  </w:r>
                  <w:r>
                    <w:rPr>
                      <w:rFonts w:hint="default" w:ascii="Times New Roman" w:hAnsi="Times New Roman" w:eastAsia="宋体" w:cs="Times New Roman"/>
                      <w:color w:val="auto"/>
                      <w:sz w:val="21"/>
                      <w:szCs w:val="21"/>
                      <w:highlight w:val="none"/>
                    </w:rPr>
                    <w:t>间一间，建筑面积</w:t>
                  </w:r>
                  <w:r>
                    <w:rPr>
                      <w:rFonts w:hint="eastAsia" w:cs="Times New Roman"/>
                      <w:color w:val="auto"/>
                      <w:sz w:val="21"/>
                      <w:szCs w:val="21"/>
                      <w:highlight w:val="none"/>
                      <w:lang w:val="en-US" w:eastAsia="zh-CN"/>
                    </w:rPr>
                    <w:t>6.5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。用于</w:t>
                  </w:r>
                  <w:r>
                    <w:rPr>
                      <w:rFonts w:hint="default" w:ascii="Times New Roman" w:hAnsi="Times New Roman" w:eastAsia="宋体" w:cs="Times New Roman"/>
                      <w:color w:val="auto"/>
                      <w:sz w:val="21"/>
                      <w:szCs w:val="21"/>
                      <w:highlight w:val="none"/>
                      <w:lang w:val="en-US" w:eastAsia="zh-CN"/>
                    </w:rPr>
                    <w:t>隔离病猪</w:t>
                  </w:r>
                  <w:r>
                    <w:rPr>
                      <w:rFonts w:hint="default" w:ascii="Times New Roman" w:hAnsi="Times New Roman" w:eastAsia="宋体" w:cs="Times New Roman"/>
                      <w:color w:val="auto"/>
                      <w:sz w:val="21"/>
                      <w:szCs w:val="21"/>
                      <w:highlight w:val="none"/>
                      <w:lang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7E587BCD">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7EC6B3AE">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2B08FF3E">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03D56E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539D69FC">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1B017B6D">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2F53B67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急宰间</w:t>
                  </w:r>
                </w:p>
              </w:tc>
              <w:tc>
                <w:tcPr>
                  <w:tcW w:w="4396" w:type="dxa"/>
                  <w:tcBorders>
                    <w:top w:val="single" w:color="auto" w:sz="8" w:space="0"/>
                    <w:left w:val="single" w:color="auto" w:sz="8" w:space="0"/>
                    <w:bottom w:val="single" w:color="auto" w:sz="8" w:space="0"/>
                    <w:right w:val="single" w:color="auto" w:sz="8" w:space="0"/>
                  </w:tcBorders>
                  <w:vAlign w:val="center"/>
                </w:tcPr>
                <w:p w14:paraId="29F4AD3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对临危生猪和待宰圈停食静养过程中发现的病死猪进行急宰（只进行宰杀，不进行分割）临危生猪急宰后进入分割线进行分割，病死猪不进行分割，急宰后按照主管部门要求</w:t>
                  </w:r>
                  <w:r>
                    <w:rPr>
                      <w:rFonts w:hint="eastAsia" w:cs="Times New Roman"/>
                      <w:color w:val="auto"/>
                      <w:sz w:val="21"/>
                      <w:szCs w:val="21"/>
                      <w:highlight w:val="none"/>
                      <w:lang w:val="en-US" w:eastAsia="zh-CN"/>
                    </w:rPr>
                    <w:t>外委</w:t>
                  </w:r>
                  <w:r>
                    <w:rPr>
                      <w:rFonts w:hint="default" w:ascii="Times New Roman" w:hAnsi="Times New Roman" w:eastAsia="宋体" w:cs="Times New Roman"/>
                      <w:color w:val="auto"/>
                      <w:sz w:val="21"/>
                      <w:szCs w:val="21"/>
                      <w:highlight w:val="none"/>
                    </w:rPr>
                    <w:t>无害化处置。</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44CD940F">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455CFACA">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081E70BD">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14F992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1D327A54">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5DAAE97B">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6E075020">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分割车间</w:t>
                  </w:r>
                </w:p>
              </w:tc>
              <w:tc>
                <w:tcPr>
                  <w:tcW w:w="4396" w:type="dxa"/>
                  <w:tcBorders>
                    <w:top w:val="single" w:color="auto" w:sz="8" w:space="0"/>
                    <w:left w:val="single" w:color="auto" w:sz="8" w:space="0"/>
                    <w:bottom w:val="single" w:color="auto" w:sz="8" w:space="0"/>
                    <w:right w:val="single" w:color="auto" w:sz="8" w:space="0"/>
                  </w:tcBorders>
                  <w:vAlign w:val="center"/>
                </w:tcPr>
                <w:p w14:paraId="76F6621F">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分割车间与屠宰车间相连，</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83.4</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主要对宰杀后的猪胴体进行分割</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327F1DA0">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7EBE7600">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02B067C9">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0A4EC9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8"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3169AE4E">
                  <w:pPr>
                    <w:jc w:val="center"/>
                    <w:rPr>
                      <w:rFonts w:hint="default" w:ascii="Times New Roman" w:hAnsi="Times New Roman" w:eastAsia="宋体" w:cs="Times New Roman"/>
                      <w:color w:val="auto"/>
                      <w:sz w:val="21"/>
                      <w:szCs w:val="21"/>
                      <w:highlight w:val="none"/>
                    </w:rPr>
                  </w:pPr>
                </w:p>
              </w:tc>
              <w:tc>
                <w:tcPr>
                  <w:tcW w:w="654" w:type="dxa"/>
                  <w:gridSpan w:val="3"/>
                  <w:tcBorders>
                    <w:top w:val="single" w:color="auto" w:sz="8" w:space="0"/>
                    <w:left w:val="single" w:color="auto" w:sz="8" w:space="0"/>
                    <w:bottom w:val="single" w:color="auto" w:sz="8" w:space="0"/>
                    <w:right w:val="single" w:color="auto" w:sz="8" w:space="0"/>
                  </w:tcBorders>
                  <w:vAlign w:val="center"/>
                </w:tcPr>
                <w:p w14:paraId="65D31A5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内脏加工处理区</w:t>
                  </w:r>
                </w:p>
              </w:tc>
              <w:tc>
                <w:tcPr>
                  <w:tcW w:w="4903" w:type="dxa"/>
                  <w:gridSpan w:val="2"/>
                  <w:tcBorders>
                    <w:top w:val="single" w:color="auto" w:sz="8" w:space="0"/>
                    <w:left w:val="single" w:color="auto" w:sz="8" w:space="0"/>
                    <w:bottom w:val="single" w:color="auto" w:sz="8" w:space="0"/>
                    <w:right w:val="single" w:color="auto" w:sz="8" w:space="0"/>
                  </w:tcBorders>
                  <w:vAlign w:val="center"/>
                </w:tcPr>
                <w:p w14:paraId="374C0EC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设置红脏间和白脏间各</w:t>
                  </w:r>
                  <w:r>
                    <w:rPr>
                      <w:rFonts w:hint="default" w:ascii="Times New Roman" w:hAnsi="Times New Roman" w:eastAsia="宋体" w:cs="Times New Roman"/>
                      <w:color w:val="auto"/>
                      <w:sz w:val="21"/>
                      <w:szCs w:val="21"/>
                      <w:highlight w:val="none"/>
                    </w:rPr>
                    <w:t>一间，钢结构厂房，</w:t>
                  </w:r>
                  <w:r>
                    <w:rPr>
                      <w:rFonts w:hint="eastAsia" w:cs="Times New Roman"/>
                      <w:color w:val="auto"/>
                      <w:sz w:val="21"/>
                      <w:szCs w:val="21"/>
                      <w:highlight w:val="none"/>
                      <w:lang w:val="en-US" w:eastAsia="zh-CN"/>
                    </w:rPr>
                    <w:t>红脏间6.6</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eastAsia" w:cs="Times New Roman"/>
                      <w:color w:val="auto"/>
                      <w:sz w:val="21"/>
                      <w:szCs w:val="21"/>
                      <w:highlight w:val="none"/>
                      <w:vertAlign w:val="baseline"/>
                      <w:lang w:eastAsia="zh-CN"/>
                    </w:rPr>
                    <w:t>、</w:t>
                  </w:r>
                  <w:r>
                    <w:rPr>
                      <w:rFonts w:hint="eastAsia" w:cs="Times New Roman"/>
                      <w:color w:val="auto"/>
                      <w:sz w:val="21"/>
                      <w:szCs w:val="21"/>
                      <w:highlight w:val="none"/>
                      <w:lang w:val="en-US" w:eastAsia="zh-CN"/>
                    </w:rPr>
                    <w:t>白脏间6.6</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主要</w:t>
                  </w:r>
                  <w:r>
                    <w:rPr>
                      <w:rFonts w:hint="default" w:ascii="Times New Roman" w:hAnsi="Times New Roman" w:eastAsia="宋体" w:cs="Times New Roman"/>
                      <w:color w:val="auto"/>
                      <w:sz w:val="21"/>
                      <w:szCs w:val="21"/>
                      <w:highlight w:val="none"/>
                      <w:lang w:val="en-US" w:eastAsia="zh-CN"/>
                    </w:rPr>
                    <w:t>对内脏进行加工处理后作为副产品售卖</w:t>
                  </w:r>
                  <w:r>
                    <w:rPr>
                      <w:rFonts w:hint="eastAsia"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B1E330A">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1B07DC25">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36C3ECEB">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6E845D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01548777">
                  <w:pPr>
                    <w:jc w:val="center"/>
                    <w:rPr>
                      <w:rFonts w:hint="default" w:ascii="Times New Roman" w:hAnsi="Times New Roman" w:eastAsia="宋体" w:cs="Times New Roman"/>
                      <w:color w:val="auto"/>
                      <w:sz w:val="21"/>
                      <w:szCs w:val="21"/>
                      <w:highlight w:val="none"/>
                    </w:rPr>
                  </w:pPr>
                </w:p>
              </w:tc>
              <w:tc>
                <w:tcPr>
                  <w:tcW w:w="654" w:type="dxa"/>
                  <w:gridSpan w:val="3"/>
                  <w:vMerge w:val="restart"/>
                  <w:tcBorders>
                    <w:top w:val="single" w:color="auto" w:sz="8" w:space="0"/>
                    <w:left w:val="single" w:color="auto" w:sz="8" w:space="0"/>
                    <w:bottom w:val="single" w:color="auto" w:sz="8" w:space="0"/>
                    <w:right w:val="single" w:color="auto" w:sz="8" w:space="0"/>
                  </w:tcBorders>
                  <w:vAlign w:val="center"/>
                </w:tcPr>
                <w:p w14:paraId="5400AA15">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肉类保鲜区</w:t>
                  </w:r>
                </w:p>
              </w:tc>
              <w:tc>
                <w:tcPr>
                  <w:tcW w:w="507" w:type="dxa"/>
                  <w:tcBorders>
                    <w:top w:val="single" w:color="auto" w:sz="8" w:space="0"/>
                    <w:left w:val="single" w:color="auto" w:sz="8" w:space="0"/>
                    <w:bottom w:val="single" w:color="auto" w:sz="8" w:space="0"/>
                    <w:right w:val="single" w:color="auto" w:sz="8" w:space="0"/>
                  </w:tcBorders>
                  <w:vAlign w:val="center"/>
                </w:tcPr>
                <w:p w14:paraId="38DDEE5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速冻库</w:t>
                  </w:r>
                </w:p>
              </w:tc>
              <w:tc>
                <w:tcPr>
                  <w:tcW w:w="4396" w:type="dxa"/>
                  <w:tcBorders>
                    <w:top w:val="single" w:color="auto" w:sz="8" w:space="0"/>
                    <w:left w:val="single" w:color="auto" w:sz="8" w:space="0"/>
                    <w:bottom w:val="single" w:color="auto" w:sz="8" w:space="0"/>
                    <w:right w:val="single" w:color="auto" w:sz="8" w:space="0"/>
                  </w:tcBorders>
                  <w:vAlign w:val="center"/>
                </w:tcPr>
                <w:p w14:paraId="1776F7E3">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冻库用于应急状态下屠宰后</w:t>
                  </w:r>
                  <w:r>
                    <w:rPr>
                      <w:rFonts w:hint="default" w:ascii="Times New Roman" w:hAnsi="Times New Roman" w:eastAsia="宋体" w:cs="Times New Roman"/>
                      <w:color w:val="auto"/>
                      <w:sz w:val="21"/>
                      <w:szCs w:val="21"/>
                      <w:highlight w:val="none"/>
                      <w:lang w:val="en-US" w:eastAsia="zh-CN"/>
                    </w:rPr>
                    <w:t>生猪</w:t>
                  </w:r>
                  <w:r>
                    <w:rPr>
                      <w:rFonts w:hint="default" w:ascii="Times New Roman" w:hAnsi="Times New Roman" w:eastAsia="宋体" w:cs="Times New Roman"/>
                      <w:color w:val="auto"/>
                      <w:sz w:val="21"/>
                      <w:szCs w:val="21"/>
                      <w:highlight w:val="none"/>
                    </w:rPr>
                    <w:t>暂存，面积</w:t>
                  </w:r>
                  <w:r>
                    <w:rPr>
                      <w:rFonts w:hint="eastAsia" w:cs="Times New Roman"/>
                      <w:color w:val="auto"/>
                      <w:sz w:val="21"/>
                      <w:szCs w:val="21"/>
                      <w:highlight w:val="none"/>
                      <w:lang w:val="en-US" w:eastAsia="zh-CN"/>
                    </w:rPr>
                    <w:t>10.8</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，使用</w:t>
                  </w:r>
                  <w:r>
                    <w:rPr>
                      <w:rFonts w:hint="eastAsia" w:cs="Times New Roman"/>
                      <w:color w:val="auto"/>
                      <w:sz w:val="21"/>
                      <w:szCs w:val="21"/>
                      <w:highlight w:val="none"/>
                      <w:lang w:val="en-US" w:eastAsia="zh-CN"/>
                    </w:rPr>
                    <w:t>R404A</w:t>
                  </w:r>
                  <w:r>
                    <w:rPr>
                      <w:rFonts w:hint="default" w:ascii="Times New Roman" w:hAnsi="Times New Roman" w:eastAsia="宋体" w:cs="Times New Roman"/>
                      <w:color w:val="auto"/>
                      <w:sz w:val="21"/>
                      <w:szCs w:val="21"/>
                      <w:highlight w:val="none"/>
                    </w:rPr>
                    <w:t>作为制冷剂</w:t>
                  </w:r>
                  <w:r>
                    <w:rPr>
                      <w:rFonts w:hint="default" w:ascii="Times New Roman" w:hAnsi="Times New Roman" w:eastAsia="宋体" w:cs="Times New Roman"/>
                      <w:color w:val="auto"/>
                      <w:sz w:val="21"/>
                      <w:szCs w:val="21"/>
                      <w:highlight w:val="none"/>
                      <w:lang w:eastAsia="zh-CN"/>
                    </w:rPr>
                    <w:t>，冻结间设计温度-35℃~-28℃。</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438F1427">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5A3EFAD8">
                  <w:pPr>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噪声</w:t>
                  </w:r>
                </w:p>
              </w:tc>
              <w:tc>
                <w:tcPr>
                  <w:tcW w:w="746" w:type="dxa"/>
                  <w:tcBorders>
                    <w:top w:val="single" w:color="auto" w:sz="8" w:space="0"/>
                    <w:left w:val="single" w:color="auto" w:sz="8" w:space="0"/>
                    <w:bottom w:val="single" w:color="auto" w:sz="8" w:space="0"/>
                    <w:right w:val="nil"/>
                  </w:tcBorders>
                  <w:vAlign w:val="center"/>
                </w:tcPr>
                <w:p w14:paraId="08D0C141">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5E3914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55463468">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5B5919B4">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685E5AC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冷藏库</w:t>
                  </w:r>
                </w:p>
              </w:tc>
              <w:tc>
                <w:tcPr>
                  <w:tcW w:w="4396" w:type="dxa"/>
                  <w:tcBorders>
                    <w:top w:val="single" w:color="auto" w:sz="8" w:space="0"/>
                    <w:left w:val="single" w:color="auto" w:sz="8" w:space="0"/>
                    <w:bottom w:val="single" w:color="auto" w:sz="8" w:space="0"/>
                    <w:right w:val="single" w:color="auto" w:sz="8" w:space="0"/>
                  </w:tcBorders>
                  <w:vAlign w:val="center"/>
                </w:tcPr>
                <w:p w14:paraId="1AB3E956">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冷藏库用于</w:t>
                  </w:r>
                  <w:r>
                    <w:rPr>
                      <w:rFonts w:hint="default" w:ascii="Times New Roman" w:hAnsi="Times New Roman" w:eastAsia="宋体" w:cs="Times New Roman"/>
                      <w:color w:val="auto"/>
                      <w:sz w:val="21"/>
                      <w:szCs w:val="21"/>
                      <w:highlight w:val="none"/>
                    </w:rPr>
                    <w:t>屠宰后</w:t>
                  </w:r>
                  <w:r>
                    <w:rPr>
                      <w:rFonts w:hint="default" w:ascii="Times New Roman" w:hAnsi="Times New Roman" w:eastAsia="宋体" w:cs="Times New Roman"/>
                      <w:color w:val="auto"/>
                      <w:sz w:val="21"/>
                      <w:szCs w:val="21"/>
                      <w:highlight w:val="none"/>
                      <w:lang w:val="en-US" w:eastAsia="zh-CN"/>
                    </w:rPr>
                    <w:t>生猪</w:t>
                  </w:r>
                  <w:r>
                    <w:rPr>
                      <w:rFonts w:hint="default" w:ascii="Times New Roman" w:hAnsi="Times New Roman" w:eastAsia="宋体" w:cs="Times New Roman"/>
                      <w:color w:val="auto"/>
                      <w:sz w:val="21"/>
                      <w:szCs w:val="21"/>
                      <w:highlight w:val="none"/>
                    </w:rPr>
                    <w:t>暂存占地面积为</w:t>
                  </w:r>
                  <w:r>
                    <w:rPr>
                      <w:rFonts w:hint="eastAsia"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，建筑最大尺寸长×宽×高=</w:t>
                  </w:r>
                  <w:r>
                    <w:rPr>
                      <w:rFonts w:hint="eastAsia" w:cs="Times New Roman"/>
                      <w:color w:val="auto"/>
                      <w:sz w:val="21"/>
                      <w:szCs w:val="21"/>
                      <w:highlight w:val="none"/>
                      <w:lang w:eastAsia="zh-CN"/>
                    </w:rPr>
                    <w:t>（4.68*2.88*4m）</w:t>
                  </w:r>
                  <w:r>
                    <w:rPr>
                      <w:rFonts w:hint="default" w:ascii="Times New Roman" w:hAnsi="Times New Roman" w:eastAsia="宋体" w:cs="Times New Roman"/>
                      <w:color w:val="auto"/>
                      <w:sz w:val="21"/>
                      <w:szCs w:val="21"/>
                      <w:highlight w:val="none"/>
                    </w:rPr>
                    <w:t>，用于生猪产品冷藏</w:t>
                  </w:r>
                  <w:r>
                    <w:rPr>
                      <w:rFonts w:hint="default" w:ascii="Times New Roman" w:hAnsi="Times New Roman" w:eastAsia="宋体" w:cs="Times New Roman"/>
                      <w:color w:val="auto"/>
                      <w:sz w:val="21"/>
                      <w:szCs w:val="21"/>
                      <w:highlight w:val="none"/>
                      <w:lang w:eastAsia="zh-CN"/>
                    </w:rPr>
                    <w:t>，暂存间设计温度 0~4℃</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053C1EC9">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6098ABB4">
                  <w:pPr>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噪声</w:t>
                  </w:r>
                </w:p>
              </w:tc>
              <w:tc>
                <w:tcPr>
                  <w:tcW w:w="746" w:type="dxa"/>
                  <w:tcBorders>
                    <w:top w:val="single" w:color="auto" w:sz="8" w:space="0"/>
                    <w:left w:val="single" w:color="auto" w:sz="8" w:space="0"/>
                    <w:bottom w:val="single" w:color="auto" w:sz="8" w:space="0"/>
                    <w:right w:val="nil"/>
                  </w:tcBorders>
                  <w:vAlign w:val="center"/>
                </w:tcPr>
                <w:p w14:paraId="68046A55">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4250FD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4777BE8B">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322581E3">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16857717">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排酸库</w:t>
                  </w:r>
                </w:p>
              </w:tc>
              <w:tc>
                <w:tcPr>
                  <w:tcW w:w="4396" w:type="dxa"/>
                  <w:tcBorders>
                    <w:top w:val="single" w:color="auto" w:sz="8" w:space="0"/>
                    <w:left w:val="single" w:color="auto" w:sz="8" w:space="0"/>
                    <w:bottom w:val="single" w:color="auto" w:sz="8" w:space="0"/>
                    <w:right w:val="single" w:color="auto" w:sz="8" w:space="0"/>
                  </w:tcBorders>
                  <w:vAlign w:val="center"/>
                </w:tcPr>
                <w:p w14:paraId="2D7D22BA">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设置1间</w:t>
                  </w:r>
                  <w:r>
                    <w:rPr>
                      <w:rFonts w:hint="default" w:ascii="Times New Roman" w:hAnsi="Times New Roman" w:eastAsia="宋体" w:cs="Times New Roman"/>
                      <w:color w:val="auto"/>
                      <w:sz w:val="21"/>
                      <w:szCs w:val="21"/>
                      <w:highlight w:val="none"/>
                      <w:lang w:val="en-US" w:eastAsia="zh-CN"/>
                    </w:rPr>
                    <w:t>排酸冷库，</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16.3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eastAsia" w:cs="Times New Roman"/>
                      <w:color w:val="auto"/>
                      <w:sz w:val="21"/>
                      <w:szCs w:val="21"/>
                      <w:highlight w:val="none"/>
                      <w:vertAlign w:val="baseline"/>
                      <w:lang w:eastAsia="zh-CN"/>
                    </w:rPr>
                    <w:t>，</w:t>
                  </w:r>
                  <w:r>
                    <w:rPr>
                      <w:rFonts w:hint="eastAsia" w:cs="Times New Roman"/>
                      <w:color w:val="auto"/>
                      <w:sz w:val="21"/>
                      <w:szCs w:val="21"/>
                      <w:highlight w:val="none"/>
                      <w:lang w:val="en-US" w:eastAsia="zh-CN"/>
                    </w:rPr>
                    <w:t>属</w:t>
                  </w:r>
                  <w:r>
                    <w:rPr>
                      <w:rFonts w:hint="default" w:ascii="Times New Roman" w:hAnsi="Times New Roman" w:eastAsia="宋体" w:cs="Times New Roman"/>
                      <w:color w:val="auto"/>
                      <w:sz w:val="21"/>
                      <w:szCs w:val="21"/>
                      <w:highlight w:val="none"/>
                      <w:lang w:val="en-US" w:eastAsia="zh-CN"/>
                    </w:rPr>
                    <w:t>屠宰场冷库内的配套设施，主要用于处理屠宰后的肉类，使其品质得到提升。肉类在屠宰后会产生乳酸，这种乳酸会影响肉的口感和品质。排酸库通过控制低温环境</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通常在-2℃℃~+4℃之间</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，使得肉中的乳酸物质分解成二氧化碳、水、酒精等物质并挥发掉，同时细胞内的大分子三磷酸</w:t>
                  </w:r>
                  <w:r>
                    <w:rPr>
                      <w:rFonts w:hint="eastAsia" w:ascii="Times New Roman" w:hAnsi="Times New Roman" w:eastAsia="宋体" w:cs="Times New Roman"/>
                      <w:color w:val="auto"/>
                      <w:sz w:val="21"/>
                      <w:szCs w:val="21"/>
                      <w:highlight w:val="none"/>
                      <w:lang w:val="en-US" w:eastAsia="zh-CN"/>
                    </w:rPr>
                    <w:t>苷</w:t>
                  </w:r>
                  <w:r>
                    <w:rPr>
                      <w:rFonts w:hint="default" w:ascii="Times New Roman" w:hAnsi="Times New Roman" w:eastAsia="宋体" w:cs="Times New Roman"/>
                      <w:color w:val="auto"/>
                      <w:sz w:val="21"/>
                      <w:szCs w:val="21"/>
                      <w:highlight w:val="none"/>
                      <w:lang w:val="en-US" w:eastAsia="zh-CN"/>
                    </w:rPr>
                    <w:t>在酶的作用下分解为鲜味物质基苷IMP</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味精的主要成分</w:t>
                  </w:r>
                  <w:r>
                    <w:rPr>
                      <w:rFonts w:hint="eastAsia"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11392EDB">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4A30CA77">
                  <w:pPr>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噪声</w:t>
                  </w:r>
                </w:p>
              </w:tc>
              <w:tc>
                <w:tcPr>
                  <w:tcW w:w="746" w:type="dxa"/>
                  <w:tcBorders>
                    <w:top w:val="single" w:color="auto" w:sz="8" w:space="0"/>
                    <w:left w:val="single" w:color="auto" w:sz="8" w:space="0"/>
                    <w:bottom w:val="single" w:color="auto" w:sz="8" w:space="0"/>
                    <w:right w:val="nil"/>
                  </w:tcBorders>
                  <w:vAlign w:val="center"/>
                </w:tcPr>
                <w:p w14:paraId="37A5422E">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7598D6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348" w:type="dxa"/>
                  <w:vMerge w:val="restart"/>
                  <w:tcBorders>
                    <w:top w:val="single" w:color="auto" w:sz="8" w:space="0"/>
                    <w:left w:val="nil"/>
                    <w:bottom w:val="single" w:color="auto" w:sz="8" w:space="0"/>
                    <w:right w:val="single" w:color="auto" w:sz="8" w:space="0"/>
                  </w:tcBorders>
                  <w:textDirection w:val="tbRlV"/>
                  <w:vAlign w:val="center"/>
                </w:tcPr>
                <w:p w14:paraId="533CBB9A">
                  <w:pPr>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辅助</w:t>
                  </w:r>
                  <w:r>
                    <w:rPr>
                      <w:rFonts w:hint="eastAsia" w:ascii="Times New Roman" w:hAnsi="Times New Roman" w:eastAsia="宋体" w:cs="Times New Roman"/>
                      <w:color w:val="auto"/>
                      <w:sz w:val="21"/>
                      <w:szCs w:val="21"/>
                      <w:highlight w:val="none"/>
                      <w:lang w:val="en-US" w:eastAsia="zh-CN"/>
                    </w:rPr>
                    <w:t>工</w:t>
                  </w:r>
                  <w:r>
                    <w:rPr>
                      <w:rFonts w:hint="eastAsia" w:cs="Times New Roman"/>
                      <w:color w:val="auto"/>
                      <w:sz w:val="21"/>
                      <w:szCs w:val="21"/>
                      <w:highlight w:val="none"/>
                      <w:lang w:val="en-US" w:eastAsia="zh-CN"/>
                    </w:rPr>
                    <w:t>程</w:t>
                  </w: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04EBAF62">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办公区</w:t>
                  </w:r>
                </w:p>
              </w:tc>
              <w:tc>
                <w:tcPr>
                  <w:tcW w:w="4396" w:type="dxa"/>
                  <w:tcBorders>
                    <w:top w:val="single" w:color="auto" w:sz="8" w:space="0"/>
                    <w:left w:val="single" w:color="auto" w:sz="8" w:space="0"/>
                    <w:bottom w:val="single" w:color="auto" w:sz="8" w:space="0"/>
                    <w:right w:val="single" w:color="auto" w:sz="8" w:space="0"/>
                  </w:tcBorders>
                  <w:vAlign w:val="center"/>
                </w:tcPr>
                <w:p w14:paraId="308ECF71">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厂区内不设置办公区</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09E4330E">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2C3058EF">
                  <w:pPr>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415621F3">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4B9D5C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3439F518">
                  <w:pPr>
                    <w:jc w:val="center"/>
                    <w:rPr>
                      <w:rFonts w:hint="default" w:ascii="Times New Roman" w:hAnsi="Times New Roman" w:eastAsia="宋体" w:cs="Times New Roman"/>
                      <w:color w:val="auto"/>
                      <w:sz w:val="21"/>
                      <w:szCs w:val="21"/>
                      <w:highlight w:val="none"/>
                    </w:rPr>
                  </w:pPr>
                </w:p>
              </w:tc>
              <w:tc>
                <w:tcPr>
                  <w:tcW w:w="654" w:type="dxa"/>
                  <w:gridSpan w:val="3"/>
                  <w:vMerge w:val="restart"/>
                  <w:tcBorders>
                    <w:top w:val="single" w:color="auto" w:sz="8" w:space="0"/>
                    <w:left w:val="single" w:color="auto" w:sz="8" w:space="0"/>
                    <w:bottom w:val="single" w:color="auto" w:sz="8" w:space="0"/>
                    <w:right w:val="single" w:color="auto" w:sz="8" w:space="0"/>
                  </w:tcBorders>
                  <w:vAlign w:val="center"/>
                </w:tcPr>
                <w:p w14:paraId="621941B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检验检疫</w:t>
                  </w:r>
                </w:p>
              </w:tc>
              <w:tc>
                <w:tcPr>
                  <w:tcW w:w="507" w:type="dxa"/>
                  <w:tcBorders>
                    <w:top w:val="single" w:color="auto" w:sz="8" w:space="0"/>
                    <w:left w:val="single" w:color="auto" w:sz="8" w:space="0"/>
                    <w:bottom w:val="single" w:color="auto" w:sz="8" w:space="0"/>
                    <w:right w:val="single" w:color="auto" w:sz="8" w:space="0"/>
                  </w:tcBorders>
                  <w:vAlign w:val="center"/>
                </w:tcPr>
                <w:p w14:paraId="7208AF5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兽医室</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65EF382F">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设置两间兽医室，</w:t>
                  </w:r>
                  <w:r>
                    <w:rPr>
                      <w:rFonts w:hint="default" w:ascii="Times New Roman" w:hAnsi="Times New Roman" w:eastAsia="宋体" w:cs="Times New Roman"/>
                      <w:color w:val="auto"/>
                      <w:sz w:val="21"/>
                      <w:szCs w:val="21"/>
                      <w:highlight w:val="none"/>
                      <w:lang w:val="en-US" w:eastAsia="zh-CN"/>
                    </w:rPr>
                    <w:t>位于生产区</w:t>
                  </w:r>
                  <w:r>
                    <w:rPr>
                      <w:rFonts w:hint="eastAsia" w:cs="Times New Roman"/>
                      <w:color w:val="auto"/>
                      <w:sz w:val="21"/>
                      <w:szCs w:val="21"/>
                      <w:highlight w:val="none"/>
                      <w:lang w:val="en-US" w:eastAsia="zh-CN"/>
                    </w:rPr>
                    <w:t>东北侧</w:t>
                  </w:r>
                  <w:r>
                    <w:rPr>
                      <w:rFonts w:hint="default" w:ascii="Times New Roman" w:hAnsi="Times New Roman" w:eastAsia="宋体" w:cs="Times New Roman"/>
                      <w:color w:val="auto"/>
                      <w:sz w:val="21"/>
                      <w:szCs w:val="21"/>
                      <w:highlight w:val="none"/>
                      <w:lang w:val="en-US" w:eastAsia="zh-CN"/>
                    </w:rPr>
                    <w:t>，建筑面积</w:t>
                  </w:r>
                  <w:r>
                    <w:rPr>
                      <w:rFonts w:hint="eastAsia" w:cs="Times New Roman"/>
                      <w:color w:val="auto"/>
                      <w:sz w:val="21"/>
                      <w:szCs w:val="21"/>
                      <w:highlight w:val="none"/>
                      <w:lang w:val="en-US" w:eastAsia="zh-CN"/>
                    </w:rPr>
                    <w:t>均为18.3</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，用作</w:t>
                  </w:r>
                  <w:r>
                    <w:rPr>
                      <w:rFonts w:hint="eastAsia" w:cs="Times New Roman"/>
                      <w:color w:val="auto"/>
                      <w:sz w:val="21"/>
                      <w:szCs w:val="21"/>
                      <w:highlight w:val="none"/>
                      <w:lang w:val="en-US" w:eastAsia="zh-CN"/>
                    </w:rPr>
                    <w:t>宰前检查，</w:t>
                  </w:r>
                  <w:r>
                    <w:rPr>
                      <w:rFonts w:hint="default" w:ascii="Times New Roman" w:hAnsi="Times New Roman" w:eastAsia="宋体" w:cs="Times New Roman"/>
                      <w:color w:val="auto"/>
                      <w:sz w:val="21"/>
                      <w:szCs w:val="21"/>
                      <w:highlight w:val="none"/>
                      <w:lang w:val="en-US" w:eastAsia="zh-CN"/>
                    </w:rPr>
                    <w:t>在</w:t>
                  </w:r>
                  <w:r>
                    <w:rPr>
                      <w:rFonts w:hint="eastAsia" w:cs="Times New Roman"/>
                      <w:color w:val="auto"/>
                      <w:sz w:val="21"/>
                      <w:szCs w:val="21"/>
                      <w:highlight w:val="none"/>
                      <w:lang w:val="en-US" w:eastAsia="zh-CN"/>
                    </w:rPr>
                    <w:t>生猪</w:t>
                  </w:r>
                  <w:r>
                    <w:rPr>
                      <w:rFonts w:hint="default" w:ascii="Times New Roman" w:hAnsi="Times New Roman" w:eastAsia="宋体" w:cs="Times New Roman"/>
                      <w:color w:val="auto"/>
                      <w:sz w:val="21"/>
                      <w:szCs w:val="21"/>
                      <w:highlight w:val="none"/>
                      <w:lang w:val="en-US" w:eastAsia="zh-CN"/>
                    </w:rPr>
                    <w:t>屠宰前，综合判定畜禽是否健康和适合人类食用，对畜禽群体和个体进行</w:t>
                  </w:r>
                  <w:r>
                    <w:rPr>
                      <w:rFonts w:hint="eastAsia" w:cs="Times New Roman"/>
                      <w:color w:val="auto"/>
                      <w:sz w:val="21"/>
                      <w:szCs w:val="21"/>
                      <w:highlight w:val="none"/>
                      <w:lang w:val="en-US" w:eastAsia="zh-CN"/>
                    </w:rPr>
                    <w:t>检</w:t>
                  </w:r>
                  <w:r>
                    <w:rPr>
                      <w:rFonts w:hint="default" w:ascii="Times New Roman" w:hAnsi="Times New Roman" w:eastAsia="宋体" w:cs="Times New Roman"/>
                      <w:color w:val="auto"/>
                      <w:sz w:val="21"/>
                      <w:szCs w:val="21"/>
                      <w:highlight w:val="none"/>
                      <w:lang w:val="en-US" w:eastAsia="zh-CN"/>
                    </w:rPr>
                    <w:t>查。</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D01F7F2">
                  <w:pPr>
                    <w:jc w:val="center"/>
                    <w:rPr>
                      <w:rFonts w:hint="default" w:ascii="Times New Roman" w:hAnsi="Times New Roman" w:eastAsia="宋体" w:cs="Times New Roman"/>
                      <w:color w:val="auto"/>
                      <w:sz w:val="21"/>
                      <w:szCs w:val="21"/>
                      <w:highlight w:val="none"/>
                    </w:rPr>
                  </w:pPr>
                </w:p>
              </w:tc>
              <w:tc>
                <w:tcPr>
                  <w:tcW w:w="780" w:type="dxa"/>
                  <w:vMerge w:val="restart"/>
                  <w:tcBorders>
                    <w:top w:val="single" w:color="auto" w:sz="8" w:space="0"/>
                    <w:left w:val="single" w:color="auto" w:sz="8" w:space="0"/>
                    <w:right w:val="single" w:color="auto" w:sz="8" w:space="0"/>
                  </w:tcBorders>
                  <w:vAlign w:val="center"/>
                </w:tcPr>
                <w:p w14:paraId="0831A33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废水、固废</w:t>
                  </w:r>
                </w:p>
              </w:tc>
              <w:tc>
                <w:tcPr>
                  <w:tcW w:w="746" w:type="dxa"/>
                  <w:tcBorders>
                    <w:top w:val="single" w:color="auto" w:sz="8" w:space="0"/>
                    <w:left w:val="single" w:color="auto" w:sz="8" w:space="0"/>
                    <w:bottom w:val="single" w:color="auto" w:sz="8" w:space="0"/>
                    <w:right w:val="nil"/>
                  </w:tcBorders>
                  <w:vAlign w:val="center"/>
                </w:tcPr>
                <w:p w14:paraId="55F42434">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51C7C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1CB79455">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6200DCC6">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1DECAE4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化验室</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4466B2FB">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设置1间化验室，位于生产区北侧，</w:t>
                  </w:r>
                  <w:r>
                    <w:rPr>
                      <w:rFonts w:hint="default" w:ascii="Times New Roman" w:hAnsi="Times New Roman" w:eastAsia="宋体" w:cs="Times New Roman"/>
                      <w:color w:val="auto"/>
                      <w:sz w:val="21"/>
                      <w:szCs w:val="21"/>
                      <w:highlight w:val="none"/>
                      <w:lang w:val="en-US" w:eastAsia="zh-CN"/>
                    </w:rPr>
                    <w:t>建筑面积</w:t>
                  </w:r>
                  <w:r>
                    <w:rPr>
                      <w:rFonts w:hint="eastAsia" w:cs="Times New Roman"/>
                      <w:color w:val="auto"/>
                      <w:sz w:val="21"/>
                      <w:szCs w:val="21"/>
                      <w:highlight w:val="none"/>
                      <w:lang w:val="en-US" w:eastAsia="zh-CN"/>
                    </w:rPr>
                    <w:t>为13.4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cs="Times New Roman"/>
                      <w:color w:val="auto"/>
                      <w:sz w:val="21"/>
                      <w:szCs w:val="21"/>
                      <w:highlight w:val="none"/>
                      <w:vertAlign w:val="baseline"/>
                      <w:lang w:val="en-US" w:eastAsia="zh-CN"/>
                    </w:rPr>
                    <w:t>，用作</w:t>
                  </w:r>
                  <w:r>
                    <w:rPr>
                      <w:rFonts w:hint="default" w:ascii="Times New Roman" w:hAnsi="Times New Roman" w:eastAsia="宋体" w:cs="Times New Roman"/>
                      <w:color w:val="auto"/>
                      <w:sz w:val="21"/>
                      <w:szCs w:val="21"/>
                      <w:highlight w:val="none"/>
                      <w:lang w:val="en-US" w:eastAsia="zh-CN"/>
                    </w:rPr>
                    <w:t>疫病检测</w:t>
                  </w:r>
                  <w:r>
                    <w:rPr>
                      <w:rFonts w:hint="eastAsia" w:cs="Times New Roman"/>
                      <w:color w:val="auto"/>
                      <w:sz w:val="21"/>
                      <w:szCs w:val="21"/>
                      <w:highlight w:val="none"/>
                      <w:vertAlign w:val="baseline"/>
                      <w:lang w:val="en-US" w:eastAsia="zh-CN"/>
                    </w:rPr>
                    <w:t>，主要包括口蹄疫、非洲猪瘟、猪瘟、猪繁殖与呼吸综合征、炭疽、猪丹毒、囊尾蚴病、旋毛虫病等疫病检测。</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2990875">
                  <w:pPr>
                    <w:jc w:val="center"/>
                    <w:rPr>
                      <w:rFonts w:hint="default" w:ascii="Times New Roman" w:hAnsi="Times New Roman" w:eastAsia="宋体" w:cs="Times New Roman"/>
                      <w:color w:val="auto"/>
                      <w:sz w:val="21"/>
                      <w:szCs w:val="21"/>
                      <w:highlight w:val="none"/>
                    </w:rPr>
                  </w:pPr>
                </w:p>
              </w:tc>
              <w:tc>
                <w:tcPr>
                  <w:tcW w:w="780" w:type="dxa"/>
                  <w:vMerge w:val="continue"/>
                  <w:tcBorders>
                    <w:left w:val="single" w:color="auto" w:sz="8" w:space="0"/>
                    <w:right w:val="single" w:color="auto" w:sz="8" w:space="0"/>
                  </w:tcBorders>
                  <w:vAlign w:val="center"/>
                </w:tcPr>
                <w:p w14:paraId="25BEDC75">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18A08A05">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0B21B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09334F43">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5DD15F3B">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shd w:val="clear" w:color="auto" w:fill="auto"/>
                  <w:vAlign w:val="center"/>
                </w:tcPr>
                <w:p w14:paraId="363AF57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检疫间</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785E6D4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位于生产区西北</w:t>
                  </w:r>
                  <w:r>
                    <w:rPr>
                      <w:rFonts w:hint="eastAsia" w:cs="Times New Roman"/>
                      <w:color w:val="auto"/>
                      <w:sz w:val="21"/>
                      <w:szCs w:val="21"/>
                      <w:highlight w:val="none"/>
                      <w:lang w:val="en-US" w:eastAsia="zh-CN"/>
                    </w:rPr>
                    <w:t>侧</w:t>
                  </w:r>
                  <w:r>
                    <w:rPr>
                      <w:rFonts w:hint="default" w:ascii="Times New Roman" w:hAnsi="Times New Roman" w:eastAsia="宋体" w:cs="Times New Roman"/>
                      <w:color w:val="auto"/>
                      <w:sz w:val="21"/>
                      <w:szCs w:val="21"/>
                      <w:highlight w:val="none"/>
                      <w:lang w:val="en-US" w:eastAsia="zh-CN"/>
                    </w:rPr>
                    <w:t>，1间，建筑面积</w:t>
                  </w:r>
                  <w:r>
                    <w:rPr>
                      <w:rFonts w:hint="eastAsia" w:cs="Times New Roman"/>
                      <w:color w:val="auto"/>
                      <w:sz w:val="21"/>
                      <w:szCs w:val="21"/>
                      <w:highlight w:val="none"/>
                      <w:lang w:val="en-US" w:eastAsia="zh-CN"/>
                    </w:rPr>
                    <w:t>6.6</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，用作宰后检查</w:t>
                  </w:r>
                  <w:r>
                    <w:rPr>
                      <w:rFonts w:hint="eastAsia" w:cs="Times New Roman"/>
                      <w:color w:val="auto"/>
                      <w:sz w:val="21"/>
                      <w:szCs w:val="21"/>
                      <w:highlight w:val="none"/>
                      <w:lang w:val="en-US" w:eastAsia="zh-CN"/>
                    </w:rPr>
                    <w:t>，对</w:t>
                  </w:r>
                  <w:r>
                    <w:rPr>
                      <w:rFonts w:hint="default" w:ascii="Times New Roman" w:hAnsi="Times New Roman" w:eastAsia="宋体" w:cs="Times New Roman"/>
                      <w:color w:val="auto"/>
                      <w:sz w:val="21"/>
                      <w:szCs w:val="21"/>
                      <w:highlight w:val="none"/>
                      <w:lang w:val="en-US" w:eastAsia="zh-CN"/>
                    </w:rPr>
                    <w:t>屠宰后的生猪的胴体及脏器、蹄、头等统一编号进行检疫</w:t>
                  </w:r>
                  <w:r>
                    <w:rPr>
                      <w:rFonts w:hint="eastAsia"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C52D479">
                  <w:pPr>
                    <w:jc w:val="center"/>
                    <w:rPr>
                      <w:rFonts w:hint="default" w:ascii="Times New Roman" w:hAnsi="Times New Roman" w:eastAsia="宋体" w:cs="Times New Roman"/>
                      <w:color w:val="auto"/>
                      <w:sz w:val="21"/>
                      <w:szCs w:val="21"/>
                      <w:highlight w:val="none"/>
                    </w:rPr>
                  </w:pPr>
                </w:p>
              </w:tc>
              <w:tc>
                <w:tcPr>
                  <w:tcW w:w="780" w:type="dxa"/>
                  <w:vMerge w:val="continue"/>
                  <w:tcBorders>
                    <w:left w:val="single" w:color="auto" w:sz="8" w:space="0"/>
                    <w:bottom w:val="single" w:color="auto" w:sz="8" w:space="0"/>
                    <w:right w:val="single" w:color="auto" w:sz="8" w:space="0"/>
                  </w:tcBorders>
                  <w:vAlign w:val="center"/>
                </w:tcPr>
                <w:p w14:paraId="0030ACC0">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622D99EE">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39EF2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7A4E9B6A">
                  <w:pPr>
                    <w:jc w:val="center"/>
                    <w:rPr>
                      <w:rFonts w:hint="default" w:ascii="Times New Roman" w:hAnsi="Times New Roman" w:eastAsia="宋体" w:cs="Times New Roman"/>
                      <w:color w:val="auto"/>
                      <w:sz w:val="21"/>
                      <w:szCs w:val="21"/>
                      <w:highlight w:val="none"/>
                    </w:rPr>
                  </w:pPr>
                </w:p>
              </w:tc>
              <w:tc>
                <w:tcPr>
                  <w:tcW w:w="654" w:type="dxa"/>
                  <w:gridSpan w:val="3"/>
                  <w:vMerge w:val="restart"/>
                  <w:tcBorders>
                    <w:top w:val="single" w:color="auto" w:sz="8" w:space="0"/>
                    <w:left w:val="single" w:color="auto" w:sz="8" w:space="0"/>
                    <w:bottom w:val="single" w:color="auto" w:sz="8" w:space="0"/>
                    <w:right w:val="single" w:color="auto" w:sz="8" w:space="0"/>
                  </w:tcBorders>
                  <w:vAlign w:val="center"/>
                </w:tcPr>
                <w:p w14:paraId="76D14A2A">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清洁消毒</w:t>
                  </w:r>
                </w:p>
              </w:tc>
              <w:tc>
                <w:tcPr>
                  <w:tcW w:w="507" w:type="dxa"/>
                  <w:tcBorders>
                    <w:top w:val="single" w:color="auto" w:sz="8" w:space="0"/>
                    <w:left w:val="single" w:color="auto" w:sz="8" w:space="0"/>
                    <w:bottom w:val="single" w:color="auto" w:sz="8" w:space="0"/>
                    <w:right w:val="single" w:color="auto" w:sz="8" w:space="0"/>
                  </w:tcBorders>
                  <w:vAlign w:val="center"/>
                </w:tcPr>
                <w:p w14:paraId="55811BDB">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更衣室、洗手、卫生间清洁消毒</w:t>
                  </w:r>
                </w:p>
              </w:tc>
              <w:tc>
                <w:tcPr>
                  <w:tcW w:w="4396" w:type="dxa"/>
                  <w:tcBorders>
                    <w:top w:val="single" w:color="auto" w:sz="8" w:space="0"/>
                    <w:left w:val="single" w:color="auto" w:sz="8" w:space="0"/>
                    <w:bottom w:val="single" w:color="auto" w:sz="8" w:space="0"/>
                    <w:right w:val="single" w:color="auto" w:sz="8" w:space="0"/>
                  </w:tcBorders>
                  <w:vAlign w:val="center"/>
                </w:tcPr>
                <w:p w14:paraId="0FCBD780">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车间内分别在屠宰车间及分割车间入口处设置1套更衣室（含男、女更衣间）、风淋间（含消毒设施）、淋浴室、卫生间，总建筑面积2</w:t>
                  </w:r>
                  <w:r>
                    <w:rPr>
                      <w:rFonts w:hint="default" w:ascii="Arial" w:hAnsi="Arial" w:cs="Arial"/>
                      <w:color w:val="auto"/>
                      <w:sz w:val="21"/>
                      <w:szCs w:val="21"/>
                      <w:highlight w:val="none"/>
                      <w:lang w:val="en-US" w:eastAsia="zh-CN"/>
                    </w:rPr>
                    <w:t>×</w:t>
                  </w:r>
                  <w:r>
                    <w:rPr>
                      <w:rFonts w:hint="eastAsia" w:cs="Times New Roman"/>
                      <w:color w:val="auto"/>
                      <w:sz w:val="21"/>
                      <w:szCs w:val="21"/>
                      <w:highlight w:val="none"/>
                      <w:lang w:val="en-US" w:eastAsia="zh-CN"/>
                    </w:rPr>
                    <w:t>38.8m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lang w:val="en-US" w:eastAsia="zh-CN"/>
                    </w:rPr>
                    <w:t>。生产车间入口及车间内必要处，应按需设置换鞋(穿戴鞋套）设施或工作鞋靴消毒设施，其规格尺寸应能满足消毒需要。</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5C6E2391">
                  <w:pPr>
                    <w:jc w:val="center"/>
                    <w:rPr>
                      <w:rFonts w:hint="default" w:ascii="Times New Roman" w:hAnsi="Times New Roman" w:eastAsia="宋体" w:cs="Times New Roman"/>
                      <w:color w:val="auto"/>
                      <w:sz w:val="21"/>
                      <w:szCs w:val="21"/>
                      <w:highlight w:val="none"/>
                    </w:rPr>
                  </w:pPr>
                </w:p>
              </w:tc>
              <w:tc>
                <w:tcPr>
                  <w:tcW w:w="780" w:type="dxa"/>
                  <w:vMerge w:val="restart"/>
                  <w:tcBorders>
                    <w:top w:val="single" w:color="auto" w:sz="8" w:space="0"/>
                    <w:left w:val="single" w:color="auto" w:sz="8" w:space="0"/>
                    <w:bottom w:val="single" w:color="auto" w:sz="8" w:space="0"/>
                    <w:right w:val="single" w:color="auto" w:sz="8" w:space="0"/>
                  </w:tcBorders>
                  <w:vAlign w:val="center"/>
                </w:tcPr>
                <w:p w14:paraId="24F3F15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废水、噪声、固废</w:t>
                  </w:r>
                </w:p>
              </w:tc>
              <w:tc>
                <w:tcPr>
                  <w:tcW w:w="746" w:type="dxa"/>
                  <w:vMerge w:val="restart"/>
                  <w:tcBorders>
                    <w:top w:val="single" w:color="auto" w:sz="8" w:space="0"/>
                    <w:left w:val="single" w:color="auto" w:sz="8" w:space="0"/>
                    <w:bottom w:val="single" w:color="auto" w:sz="8" w:space="0"/>
                    <w:right w:val="nil"/>
                  </w:tcBorders>
                  <w:vAlign w:val="center"/>
                </w:tcPr>
                <w:p w14:paraId="0DBD2F33">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3501F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3BCCBFB6">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44DEB27C">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467A8EE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车辆进场消毒区</w:t>
                  </w:r>
                </w:p>
              </w:tc>
              <w:tc>
                <w:tcPr>
                  <w:tcW w:w="4396" w:type="dxa"/>
                  <w:tcBorders>
                    <w:top w:val="single" w:color="auto" w:sz="8" w:space="0"/>
                    <w:left w:val="single" w:color="auto" w:sz="8" w:space="0"/>
                    <w:bottom w:val="single" w:color="auto" w:sz="8" w:space="0"/>
                    <w:right w:val="single" w:color="auto" w:sz="8" w:space="0"/>
                  </w:tcBorders>
                  <w:vAlign w:val="center"/>
                </w:tcPr>
                <w:p w14:paraId="4D3012D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位于厂区东北侧，占地面积</w:t>
                  </w:r>
                  <w:r>
                    <w:rPr>
                      <w:rFonts w:hint="eastAsia"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，用于进出车辆消毒，</w:t>
                  </w:r>
                  <w:r>
                    <w:rPr>
                      <w:rFonts w:hint="eastAsia" w:cs="Times New Roman"/>
                      <w:color w:val="auto"/>
                      <w:sz w:val="21"/>
                      <w:szCs w:val="21"/>
                      <w:highlight w:val="none"/>
                      <w:lang w:val="en-US" w:eastAsia="zh-CN"/>
                    </w:rPr>
                    <w:t>在运输畜禽车辆出入口设置与门同宽（5m），长4m，深0.3m的消毒池；</w:t>
                  </w:r>
                  <w:r>
                    <w:rPr>
                      <w:rFonts w:hint="default" w:ascii="Times New Roman" w:hAnsi="Times New Roman" w:eastAsia="宋体" w:cs="Times New Roman"/>
                      <w:color w:val="auto"/>
                      <w:sz w:val="21"/>
                      <w:szCs w:val="21"/>
                      <w:highlight w:val="none"/>
                      <w:lang w:val="en-US" w:eastAsia="zh-CN"/>
                    </w:rPr>
                    <w:t>采用20%浓戊二醛溶液对车辆进行消毒</w:t>
                  </w:r>
                  <w:r>
                    <w:rPr>
                      <w:rFonts w:hint="eastAsia"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26A12116">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6C6F837C">
                  <w:pPr>
                    <w:jc w:val="center"/>
                    <w:rPr>
                      <w:rFonts w:hint="default" w:ascii="Times New Roman" w:hAnsi="Times New Roman" w:eastAsia="宋体" w:cs="Times New Roman"/>
                      <w:color w:val="auto"/>
                      <w:sz w:val="21"/>
                      <w:szCs w:val="21"/>
                      <w:highlight w:val="none"/>
                    </w:rPr>
                  </w:pPr>
                </w:p>
              </w:tc>
              <w:tc>
                <w:tcPr>
                  <w:tcW w:w="746" w:type="dxa"/>
                  <w:vMerge w:val="continue"/>
                  <w:tcBorders>
                    <w:top w:val="single" w:color="auto" w:sz="8" w:space="0"/>
                    <w:left w:val="single" w:color="auto" w:sz="8" w:space="0"/>
                    <w:bottom w:val="single" w:color="auto" w:sz="8" w:space="0"/>
                    <w:right w:val="nil"/>
                  </w:tcBorders>
                  <w:vAlign w:val="center"/>
                </w:tcPr>
                <w:p w14:paraId="4F7482DE">
                  <w:pPr>
                    <w:jc w:val="center"/>
                    <w:rPr>
                      <w:rFonts w:hint="default" w:ascii="Times New Roman" w:hAnsi="Times New Roman" w:eastAsia="宋体" w:cs="Times New Roman"/>
                      <w:color w:val="auto"/>
                      <w:sz w:val="21"/>
                      <w:szCs w:val="21"/>
                      <w:highlight w:val="none"/>
                    </w:rPr>
                  </w:pPr>
                </w:p>
              </w:tc>
            </w:tr>
            <w:tr w14:paraId="401FA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4600F653">
                  <w:pPr>
                    <w:jc w:val="center"/>
                    <w:rPr>
                      <w:rFonts w:hint="default" w:ascii="Times New Roman" w:hAnsi="Times New Roman" w:eastAsia="宋体" w:cs="Times New Roman"/>
                      <w:color w:val="auto"/>
                      <w:sz w:val="21"/>
                      <w:szCs w:val="21"/>
                      <w:highlight w:val="none"/>
                    </w:rPr>
                  </w:pPr>
                </w:p>
              </w:tc>
              <w:tc>
                <w:tcPr>
                  <w:tcW w:w="654" w:type="dxa"/>
                  <w:gridSpan w:val="3"/>
                  <w:vMerge w:val="continue"/>
                  <w:tcBorders>
                    <w:top w:val="single" w:color="auto" w:sz="8" w:space="0"/>
                    <w:left w:val="single" w:color="auto" w:sz="8" w:space="0"/>
                    <w:bottom w:val="single" w:color="auto" w:sz="8" w:space="0"/>
                    <w:right w:val="single" w:color="auto" w:sz="8" w:space="0"/>
                  </w:tcBorders>
                  <w:vAlign w:val="center"/>
                </w:tcPr>
                <w:p w14:paraId="0DB70AFE">
                  <w:pPr>
                    <w:jc w:val="center"/>
                    <w:rPr>
                      <w:rFonts w:hint="default" w:ascii="Times New Roman" w:hAnsi="Times New Roman" w:eastAsia="宋体" w:cs="Times New Roman"/>
                      <w:color w:val="auto"/>
                      <w:sz w:val="21"/>
                      <w:szCs w:val="21"/>
                      <w:highlight w:val="none"/>
                      <w:lang w:val="en-US" w:eastAsia="zh-CN"/>
                    </w:rPr>
                  </w:pPr>
                </w:p>
              </w:tc>
              <w:tc>
                <w:tcPr>
                  <w:tcW w:w="507" w:type="dxa"/>
                  <w:tcBorders>
                    <w:top w:val="single" w:color="auto" w:sz="8" w:space="0"/>
                    <w:left w:val="single" w:color="auto" w:sz="8" w:space="0"/>
                    <w:bottom w:val="single" w:color="auto" w:sz="8" w:space="0"/>
                    <w:right w:val="single" w:color="auto" w:sz="8" w:space="0"/>
                  </w:tcBorders>
                  <w:vAlign w:val="center"/>
                </w:tcPr>
                <w:p w14:paraId="6C8DF8E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回车场兼车辆清洗区</w:t>
                  </w:r>
                </w:p>
              </w:tc>
              <w:tc>
                <w:tcPr>
                  <w:tcW w:w="4396" w:type="dxa"/>
                  <w:tcBorders>
                    <w:top w:val="single" w:color="auto" w:sz="8" w:space="0"/>
                    <w:left w:val="single" w:color="auto" w:sz="8" w:space="0"/>
                    <w:bottom w:val="single" w:color="auto" w:sz="8" w:space="0"/>
                    <w:right w:val="single" w:color="auto" w:sz="8" w:space="0"/>
                  </w:tcBorders>
                  <w:vAlign w:val="center"/>
                </w:tcPr>
                <w:p w14:paraId="150BB9E0">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位于</w:t>
                  </w:r>
                  <w:r>
                    <w:rPr>
                      <w:rFonts w:hint="default" w:ascii="Times New Roman" w:hAnsi="Times New Roman" w:eastAsia="宋体" w:cs="Times New Roman"/>
                      <w:color w:val="auto"/>
                      <w:sz w:val="21"/>
                      <w:szCs w:val="21"/>
                      <w:highlight w:val="none"/>
                    </w:rPr>
                    <w:t>厂区</w:t>
                  </w:r>
                  <w:r>
                    <w:rPr>
                      <w:rFonts w:hint="default" w:ascii="Times New Roman" w:hAnsi="Times New Roman" w:eastAsia="宋体" w:cs="Times New Roman"/>
                      <w:color w:val="auto"/>
                      <w:sz w:val="21"/>
                      <w:szCs w:val="21"/>
                      <w:highlight w:val="none"/>
                      <w:lang w:val="en-US" w:eastAsia="zh-CN"/>
                    </w:rPr>
                    <w:t>东侧</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占地面积</w:t>
                  </w:r>
                  <w:r>
                    <w:rPr>
                      <w:rFonts w:hint="eastAsia" w:cs="Times New Roman"/>
                      <w:color w:val="auto"/>
                      <w:sz w:val="21"/>
                      <w:szCs w:val="21"/>
                      <w:highlight w:val="none"/>
                      <w:lang w:val="en-US" w:eastAsia="zh-CN"/>
                    </w:rPr>
                    <w:t>144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用于</w:t>
                  </w:r>
                  <w:r>
                    <w:rPr>
                      <w:rFonts w:hint="eastAsia" w:cs="Times New Roman"/>
                      <w:color w:val="auto"/>
                      <w:sz w:val="21"/>
                      <w:szCs w:val="21"/>
                      <w:highlight w:val="none"/>
                      <w:lang w:val="en-US" w:eastAsia="zh-CN"/>
                    </w:rPr>
                    <w:t>消防车回场区兼车辆冲洗区</w:t>
                  </w:r>
                  <w:r>
                    <w:rPr>
                      <w:rFonts w:hint="default" w:ascii="Times New Roman" w:hAnsi="Times New Roman" w:eastAsia="宋体" w:cs="Times New Roman"/>
                      <w:color w:val="auto"/>
                      <w:sz w:val="21"/>
                      <w:szCs w:val="21"/>
                      <w:highlight w:val="none"/>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7092879A">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38BF8CD8">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废水</w:t>
                  </w:r>
                </w:p>
              </w:tc>
              <w:tc>
                <w:tcPr>
                  <w:tcW w:w="746" w:type="dxa"/>
                  <w:tcBorders>
                    <w:top w:val="single" w:color="auto" w:sz="8" w:space="0"/>
                    <w:left w:val="single" w:color="auto" w:sz="8" w:space="0"/>
                    <w:bottom w:val="single" w:color="auto" w:sz="8" w:space="0"/>
                    <w:right w:val="nil"/>
                  </w:tcBorders>
                  <w:vAlign w:val="center"/>
                </w:tcPr>
                <w:p w14:paraId="5832226C">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22035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5"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6627E2E4">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5DFAC76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发货区</w:t>
                  </w:r>
                </w:p>
              </w:tc>
              <w:tc>
                <w:tcPr>
                  <w:tcW w:w="4396" w:type="dxa"/>
                  <w:tcBorders>
                    <w:top w:val="single" w:color="auto" w:sz="8" w:space="0"/>
                    <w:left w:val="single" w:color="auto" w:sz="8" w:space="0"/>
                    <w:bottom w:val="single" w:color="auto" w:sz="8" w:space="0"/>
                    <w:right w:val="single" w:color="auto" w:sz="8" w:space="0"/>
                  </w:tcBorders>
                  <w:vAlign w:val="center"/>
                </w:tcPr>
                <w:p w14:paraId="76A22F17">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位于</w:t>
                  </w:r>
                  <w:r>
                    <w:rPr>
                      <w:rFonts w:hint="default" w:ascii="Times New Roman" w:hAnsi="Times New Roman" w:eastAsia="宋体" w:cs="Times New Roman"/>
                      <w:color w:val="auto"/>
                      <w:sz w:val="21"/>
                      <w:szCs w:val="21"/>
                      <w:highlight w:val="none"/>
                    </w:rPr>
                    <w:t>厂区</w:t>
                  </w:r>
                  <w:r>
                    <w:rPr>
                      <w:rFonts w:hint="default" w:ascii="Times New Roman" w:hAnsi="Times New Roman" w:eastAsia="宋体" w:cs="Times New Roman"/>
                      <w:color w:val="auto"/>
                      <w:sz w:val="21"/>
                      <w:szCs w:val="21"/>
                      <w:highlight w:val="none"/>
                      <w:lang w:val="en-US" w:eastAsia="zh-CN"/>
                    </w:rPr>
                    <w:t>西北侧</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占地面积</w:t>
                  </w:r>
                  <w:r>
                    <w:rPr>
                      <w:rFonts w:hint="eastAsia" w:cs="Times New Roman"/>
                      <w:color w:val="auto"/>
                      <w:sz w:val="21"/>
                      <w:szCs w:val="21"/>
                      <w:highlight w:val="none"/>
                      <w:lang w:val="en-US" w:eastAsia="zh-CN"/>
                    </w:rPr>
                    <w:t>76.14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用于</w:t>
                  </w:r>
                  <w:r>
                    <w:rPr>
                      <w:rFonts w:hint="default" w:ascii="Times New Roman" w:hAnsi="Times New Roman" w:eastAsia="宋体" w:cs="Times New Roman"/>
                      <w:color w:val="auto"/>
                      <w:sz w:val="21"/>
                      <w:szCs w:val="21"/>
                      <w:highlight w:val="none"/>
                      <w:lang w:val="en-US" w:eastAsia="zh-CN"/>
                    </w:rPr>
                    <w:t>屠宰后生猪酮体的发货</w:t>
                  </w:r>
                  <w:r>
                    <w:rPr>
                      <w:rFonts w:hint="default" w:ascii="Times New Roman" w:hAnsi="Times New Roman" w:eastAsia="宋体" w:cs="Times New Roman"/>
                      <w:color w:val="auto"/>
                      <w:sz w:val="21"/>
                      <w:szCs w:val="21"/>
                      <w:highlight w:val="none"/>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24EECF6E">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70CAC92E">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1A20CDFB">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20A53D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4C403374">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right w:val="single" w:color="auto" w:sz="8" w:space="0"/>
                  </w:tcBorders>
                  <w:shd w:val="clear" w:color="auto" w:fill="auto"/>
                  <w:vAlign w:val="center"/>
                </w:tcPr>
                <w:p w14:paraId="4921E5D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冲淋间</w:t>
                  </w:r>
                </w:p>
              </w:tc>
              <w:tc>
                <w:tcPr>
                  <w:tcW w:w="4396" w:type="dxa"/>
                  <w:tcBorders>
                    <w:top w:val="single" w:color="auto" w:sz="8" w:space="0"/>
                    <w:left w:val="single" w:color="auto" w:sz="8" w:space="0"/>
                    <w:right w:val="single" w:color="auto" w:sz="8" w:space="0"/>
                  </w:tcBorders>
                  <w:shd w:val="clear" w:color="auto" w:fill="auto"/>
                  <w:vAlign w:val="center"/>
                </w:tcPr>
                <w:p w14:paraId="3D8C783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在待宰圈旁设置1间冲淋间，建筑面积为6.5m2，用于生猪屠宰前的清洗，除去生猪上的污垢和杂质。</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2710E817">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right w:val="single" w:color="auto" w:sz="8" w:space="0"/>
                  </w:tcBorders>
                  <w:shd w:val="clear" w:color="auto" w:fill="auto"/>
                  <w:vAlign w:val="center"/>
                </w:tcPr>
                <w:p w14:paraId="751E5EE9">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废水、噪声</w:t>
                  </w:r>
                </w:p>
              </w:tc>
              <w:tc>
                <w:tcPr>
                  <w:tcW w:w="746" w:type="dxa"/>
                  <w:tcBorders>
                    <w:top w:val="single" w:color="auto" w:sz="8" w:space="0"/>
                    <w:left w:val="single" w:color="auto" w:sz="8" w:space="0"/>
                    <w:bottom w:val="single" w:color="auto" w:sz="8" w:space="0"/>
                    <w:right w:val="nil"/>
                  </w:tcBorders>
                  <w:shd w:val="clear" w:color="auto" w:fill="auto"/>
                  <w:vAlign w:val="center"/>
                </w:tcPr>
                <w:p w14:paraId="2E14C2A7">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新建</w:t>
                  </w:r>
                </w:p>
              </w:tc>
            </w:tr>
            <w:tr w14:paraId="66E09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48" w:type="dxa"/>
                  <w:vMerge w:val="restart"/>
                  <w:tcBorders>
                    <w:top w:val="single" w:color="auto" w:sz="8" w:space="0"/>
                    <w:left w:val="nil"/>
                    <w:bottom w:val="single" w:color="auto" w:sz="8" w:space="0"/>
                    <w:right w:val="single" w:color="auto" w:sz="8" w:space="0"/>
                  </w:tcBorders>
                  <w:textDirection w:val="tbRlV"/>
                  <w:vAlign w:val="center"/>
                </w:tcPr>
                <w:p w14:paraId="25ADB439">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公用工程</w:t>
                  </w: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677E03A2">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供水</w:t>
                  </w:r>
                </w:p>
              </w:tc>
              <w:tc>
                <w:tcPr>
                  <w:tcW w:w="4396" w:type="dxa"/>
                  <w:tcBorders>
                    <w:top w:val="single" w:color="auto" w:sz="8" w:space="0"/>
                    <w:left w:val="single" w:color="auto" w:sz="8" w:space="0"/>
                    <w:bottom w:val="single" w:color="auto" w:sz="8" w:space="0"/>
                    <w:right w:val="single" w:color="auto" w:sz="8" w:space="0"/>
                  </w:tcBorders>
                  <w:vAlign w:val="center"/>
                </w:tcPr>
                <w:p w14:paraId="15ED43F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由</w:t>
                  </w:r>
                  <w:r>
                    <w:rPr>
                      <w:rFonts w:hint="eastAsia" w:cs="Times New Roman"/>
                      <w:color w:val="auto"/>
                      <w:sz w:val="21"/>
                      <w:szCs w:val="21"/>
                      <w:highlight w:val="none"/>
                      <w:lang w:val="en-US" w:eastAsia="zh-CN"/>
                    </w:rPr>
                    <w:t>由乡镇</w:t>
                  </w:r>
                  <w:r>
                    <w:rPr>
                      <w:rFonts w:hint="default" w:ascii="Times New Roman" w:hAnsi="Times New Roman" w:eastAsia="宋体" w:cs="Times New Roman"/>
                      <w:color w:val="auto"/>
                      <w:sz w:val="21"/>
                      <w:szCs w:val="21"/>
                      <w:highlight w:val="none"/>
                      <w:lang w:val="en-US" w:eastAsia="zh-CN"/>
                    </w:rPr>
                    <w:t>自来水管网</w:t>
                  </w:r>
                  <w:r>
                    <w:rPr>
                      <w:rFonts w:hint="eastAsia" w:cs="Times New Roman"/>
                      <w:color w:val="auto"/>
                      <w:sz w:val="21"/>
                      <w:szCs w:val="21"/>
                      <w:highlight w:val="none"/>
                      <w:lang w:val="en-US" w:eastAsia="zh-CN"/>
                    </w:rPr>
                    <w:t>供给</w:t>
                  </w:r>
                  <w:r>
                    <w:rPr>
                      <w:rFonts w:hint="default" w:ascii="Times New Roman" w:hAnsi="Times New Roman" w:eastAsia="宋体"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34C7C6EF">
                  <w:pPr>
                    <w:jc w:val="center"/>
                    <w:rPr>
                      <w:rFonts w:hint="eastAsia" w:ascii="Times New Roman" w:hAnsi="Times New Roman" w:eastAsia="宋体" w:cs="Times New Roman"/>
                      <w:color w:val="auto"/>
                      <w:sz w:val="21"/>
                      <w:szCs w:val="21"/>
                      <w:highlight w:val="none"/>
                      <w:lang w:eastAsia="zh-CN"/>
                    </w:rPr>
                  </w:pPr>
                </w:p>
              </w:tc>
              <w:tc>
                <w:tcPr>
                  <w:tcW w:w="780" w:type="dxa"/>
                  <w:tcBorders>
                    <w:top w:val="single" w:color="auto" w:sz="8" w:space="0"/>
                    <w:left w:val="single" w:color="auto" w:sz="8" w:space="0"/>
                    <w:bottom w:val="single" w:color="auto" w:sz="8" w:space="0"/>
                    <w:right w:val="single" w:color="auto" w:sz="8" w:space="0"/>
                  </w:tcBorders>
                  <w:vAlign w:val="center"/>
                </w:tcPr>
                <w:p w14:paraId="38791A5F">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62C609DF">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3B5089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1233E996">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058B93F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供电</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2F30B94D">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项目供电由乡镇供电系统供给</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0EEFA481">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3DFA0802">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2B99F9FF">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7457E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22830210">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1F5917D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供热</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499A2BA9">
                  <w:pPr>
                    <w:jc w:val="center"/>
                    <w:rPr>
                      <w:rFonts w:hint="default"/>
                      <w:color w:val="auto"/>
                      <w:highlight w:val="none"/>
                      <w:lang w:val="en-US" w:eastAsia="zh-CN"/>
                    </w:rPr>
                  </w:pPr>
                  <w:r>
                    <w:rPr>
                      <w:rFonts w:hint="eastAsia" w:cs="Times New Roman"/>
                      <w:color w:val="auto"/>
                      <w:kern w:val="2"/>
                      <w:sz w:val="21"/>
                      <w:szCs w:val="21"/>
                      <w:highlight w:val="none"/>
                      <w:lang w:val="en-US" w:eastAsia="zh-CN" w:bidi="ar-SA"/>
                    </w:rPr>
                    <w:t>本项目不设置锅炉房，采用电加热注水式推进式烫毛池进行烫毛。</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57525330">
                  <w:pPr>
                    <w:jc w:val="center"/>
                    <w:rPr>
                      <w:rFonts w:hint="eastAsia" w:ascii="Times New Roman" w:hAnsi="Times New Roman" w:eastAsia="宋体" w:cs="Times New Roman"/>
                      <w:color w:val="auto"/>
                      <w:sz w:val="21"/>
                      <w:szCs w:val="21"/>
                      <w:highlight w:val="none"/>
                      <w:lang w:val="en-US" w:eastAsia="zh-CN"/>
                    </w:rPr>
                  </w:pPr>
                </w:p>
              </w:tc>
              <w:tc>
                <w:tcPr>
                  <w:tcW w:w="780" w:type="dxa"/>
                  <w:tcBorders>
                    <w:top w:val="single" w:color="auto" w:sz="8" w:space="0"/>
                    <w:left w:val="single" w:color="auto" w:sz="8" w:space="0"/>
                    <w:bottom w:val="single" w:color="auto" w:sz="8" w:space="0"/>
                    <w:right w:val="single" w:color="auto" w:sz="8" w:space="0"/>
                  </w:tcBorders>
                  <w:vAlign w:val="center"/>
                </w:tcPr>
                <w:p w14:paraId="1012FC21">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766F63E3">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6527FC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335EF9AA">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3C4AF1F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w:t>
                  </w:r>
                </w:p>
              </w:tc>
              <w:tc>
                <w:tcPr>
                  <w:tcW w:w="4396" w:type="dxa"/>
                  <w:tcBorders>
                    <w:top w:val="single" w:color="auto" w:sz="8" w:space="0"/>
                    <w:left w:val="single" w:color="auto" w:sz="8" w:space="0"/>
                    <w:bottom w:val="single" w:color="auto" w:sz="8" w:space="0"/>
                    <w:right w:val="single" w:color="auto" w:sz="8" w:space="0"/>
                  </w:tcBorders>
                  <w:vAlign w:val="center"/>
                </w:tcPr>
                <w:p w14:paraId="7E2AA7F5">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排水系统实行清污分流、雨污分流制。生产废水和生活污水收集后，由自建</w:t>
                  </w:r>
                  <w:r>
                    <w:rPr>
                      <w:rFonts w:hint="eastAsia" w:cs="Times New Roman"/>
                      <w:color w:val="auto"/>
                      <w:sz w:val="21"/>
                      <w:szCs w:val="21"/>
                      <w:highlight w:val="none"/>
                      <w:lang w:val="en-US" w:eastAsia="zh-CN"/>
                    </w:rPr>
                    <w:t>的污水处理站</w:t>
                  </w:r>
                  <w:r>
                    <w:rPr>
                      <w:rFonts w:hint="default" w:ascii="Times New Roman" w:hAnsi="Times New Roman" w:eastAsia="宋体" w:cs="Times New Roman"/>
                      <w:color w:val="auto"/>
                      <w:sz w:val="21"/>
                      <w:szCs w:val="21"/>
                      <w:highlight w:val="none"/>
                    </w:rPr>
                    <w:t>（处理能力</w:t>
                  </w:r>
                  <w:r>
                    <w:rPr>
                      <w:rFonts w:hint="eastAsia" w:ascii="Times New Roman" w:hAns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d）处理满足标准后，</w:t>
                  </w:r>
                  <w:r>
                    <w:rPr>
                      <w:rFonts w:hint="eastAsia" w:cs="Times New Roman"/>
                      <w:color w:val="auto"/>
                      <w:sz w:val="21"/>
                      <w:szCs w:val="21"/>
                      <w:highlight w:val="none"/>
                      <w:lang w:val="en-US" w:eastAsia="zh-CN"/>
                    </w:rPr>
                    <w:t>由罐车拉到</w:t>
                  </w:r>
                  <w:r>
                    <w:rPr>
                      <w:rFonts w:hint="default" w:ascii="Times New Roman" w:hAnsi="Times New Roman" w:eastAsia="宋体" w:cs="Times New Roman"/>
                      <w:color w:val="auto"/>
                      <w:sz w:val="21"/>
                      <w:szCs w:val="21"/>
                      <w:highlight w:val="none"/>
                    </w:rPr>
                    <w:t>泸定县海螺沟磨西镇城市生活污水处理厂进一步处理，达标后排入燕子沟。</w:t>
                  </w:r>
                </w:p>
                <w:p w14:paraId="0A332443">
                  <w:pPr>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雨水</w:t>
                  </w:r>
                  <w:r>
                    <w:rPr>
                      <w:rFonts w:hint="default" w:ascii="Times New Roman" w:hAnsi="Times New Roman" w:eastAsia="宋体" w:cs="Times New Roman"/>
                      <w:color w:val="auto"/>
                      <w:sz w:val="21"/>
                      <w:szCs w:val="21"/>
                      <w:highlight w:val="none"/>
                    </w:rPr>
                    <w:t>通过雨水沟渠自然排放。</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5005D3F4">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071FAFD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46" w:type="dxa"/>
                  <w:tcBorders>
                    <w:top w:val="single" w:color="auto" w:sz="8" w:space="0"/>
                    <w:left w:val="single" w:color="auto" w:sz="8" w:space="0"/>
                    <w:bottom w:val="single" w:color="auto" w:sz="8" w:space="0"/>
                    <w:right w:val="nil"/>
                  </w:tcBorders>
                  <w:vAlign w:val="center"/>
                </w:tcPr>
                <w:p w14:paraId="631B424D">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34B7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348" w:type="dxa"/>
                  <w:vMerge w:val="restart"/>
                  <w:tcBorders>
                    <w:top w:val="single" w:color="auto" w:sz="8" w:space="0"/>
                    <w:left w:val="nil"/>
                    <w:bottom w:val="single" w:color="auto" w:sz="8" w:space="0"/>
                    <w:right w:val="single" w:color="auto" w:sz="8" w:space="0"/>
                  </w:tcBorders>
                  <w:vAlign w:val="center"/>
                </w:tcPr>
                <w:p w14:paraId="015B37A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仓储及其他</w:t>
                  </w: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1F9A015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原辅料储存</w:t>
                  </w:r>
                </w:p>
              </w:tc>
              <w:tc>
                <w:tcPr>
                  <w:tcW w:w="4396" w:type="dxa"/>
                  <w:tcBorders>
                    <w:top w:val="single" w:color="auto" w:sz="8" w:space="0"/>
                    <w:left w:val="single" w:color="auto" w:sz="8" w:space="0"/>
                    <w:bottom w:val="single" w:color="auto" w:sz="8" w:space="0"/>
                    <w:right w:val="single" w:color="auto" w:sz="8" w:space="0"/>
                  </w:tcBorders>
                  <w:vAlign w:val="center"/>
                </w:tcPr>
                <w:p w14:paraId="00EA6958">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在车间内东南侧设置1间原辅料贮存间，</w:t>
                  </w:r>
                  <w:r>
                    <w:rPr>
                      <w:rFonts w:hint="default" w:ascii="Times New Roman" w:hAnsi="Times New Roman" w:eastAsia="宋体" w:cs="Times New Roman"/>
                      <w:color w:val="auto"/>
                      <w:sz w:val="21"/>
                      <w:szCs w:val="21"/>
                      <w:highlight w:val="none"/>
                      <w:lang w:val="en-US" w:eastAsia="zh-CN"/>
                    </w:rPr>
                    <w:t>建筑面积</w:t>
                  </w:r>
                  <w:r>
                    <w:rPr>
                      <w:rFonts w:hint="eastAsia" w:cs="Times New Roman"/>
                      <w:color w:val="auto"/>
                      <w:sz w:val="21"/>
                      <w:szCs w:val="21"/>
                      <w:highlight w:val="none"/>
                      <w:lang w:val="en-US" w:eastAsia="zh-CN"/>
                    </w:rPr>
                    <w:t>均为5</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cs="Times New Roman"/>
                      <w:color w:val="auto"/>
                      <w:sz w:val="21"/>
                      <w:szCs w:val="21"/>
                      <w:highlight w:val="none"/>
                      <w:lang w:val="en-US" w:eastAsia="zh-CN"/>
                    </w:rPr>
                    <w:t>，用于储存</w:t>
                  </w:r>
                  <w:r>
                    <w:rPr>
                      <w:rFonts w:hint="default" w:ascii="Times New Roman" w:hAnsi="Times New Roman" w:eastAsia="宋体" w:cs="Times New Roman"/>
                      <w:color w:val="auto"/>
                      <w:sz w:val="21"/>
                      <w:szCs w:val="21"/>
                      <w:highlight w:val="none"/>
                      <w:lang w:val="en-US" w:eastAsia="zh-CN"/>
                    </w:rPr>
                    <w:t>污水处理试剂、消毒试剂</w:t>
                  </w:r>
                  <w:r>
                    <w:rPr>
                      <w:rFonts w:hint="eastAsia"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37DCD09">
                  <w:pPr>
                    <w:jc w:val="center"/>
                    <w:rPr>
                      <w:rFonts w:hint="eastAsia" w:ascii="Times New Roman" w:hAnsi="Times New Roman" w:eastAsia="宋体" w:cs="Times New Roman"/>
                      <w:color w:val="auto"/>
                      <w:sz w:val="21"/>
                      <w:szCs w:val="21"/>
                      <w:highlight w:val="none"/>
                      <w:lang w:val="en-US" w:eastAsia="zh-CN"/>
                    </w:rPr>
                  </w:pPr>
                </w:p>
              </w:tc>
              <w:tc>
                <w:tcPr>
                  <w:tcW w:w="780" w:type="dxa"/>
                  <w:vMerge w:val="restart"/>
                  <w:tcBorders>
                    <w:top w:val="single" w:color="auto" w:sz="8" w:space="0"/>
                    <w:left w:val="single" w:color="auto" w:sz="8" w:space="0"/>
                    <w:bottom w:val="single" w:color="auto" w:sz="8" w:space="0"/>
                    <w:right w:val="single" w:color="auto" w:sz="8" w:space="0"/>
                  </w:tcBorders>
                  <w:vAlign w:val="center"/>
                </w:tcPr>
                <w:p w14:paraId="4F2723A4">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1CFCC691">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6A0E3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48" w:type="dxa"/>
                  <w:vMerge w:val="continue"/>
                  <w:tcBorders>
                    <w:top w:val="single" w:color="auto" w:sz="8" w:space="0"/>
                    <w:left w:val="nil"/>
                    <w:bottom w:val="single" w:color="auto" w:sz="8" w:space="0"/>
                    <w:right w:val="single" w:color="auto" w:sz="8" w:space="0"/>
                  </w:tcBorders>
                  <w:vAlign w:val="center"/>
                </w:tcPr>
                <w:p w14:paraId="7C7E72D4">
                  <w:pPr>
                    <w:jc w:val="center"/>
                    <w:rPr>
                      <w:rFonts w:hint="default" w:ascii="Times New Roman" w:hAnsi="Times New Roman" w:eastAsia="宋体" w:cs="Times New Roman"/>
                      <w:color w:val="auto"/>
                      <w:sz w:val="21"/>
                      <w:szCs w:val="21"/>
                      <w:highlight w:val="none"/>
                      <w:lang w:val="en-US" w:eastAsia="zh-CN"/>
                    </w:rPr>
                  </w:pP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048309E9">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产品储存</w:t>
                  </w:r>
                </w:p>
              </w:tc>
              <w:tc>
                <w:tcPr>
                  <w:tcW w:w="4396" w:type="dxa"/>
                  <w:tcBorders>
                    <w:top w:val="single" w:color="auto" w:sz="8" w:space="0"/>
                    <w:left w:val="single" w:color="auto" w:sz="8" w:space="0"/>
                    <w:bottom w:val="single" w:color="auto" w:sz="8" w:space="0"/>
                    <w:right w:val="single" w:color="auto" w:sz="8" w:space="0"/>
                  </w:tcBorders>
                  <w:vAlign w:val="center"/>
                </w:tcPr>
                <w:p w14:paraId="28115F2E">
                  <w:pPr>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采用</w:t>
                  </w:r>
                  <w:r>
                    <w:rPr>
                      <w:rFonts w:hint="default" w:ascii="Times New Roman" w:hAnsi="Times New Roman" w:eastAsia="宋体" w:cs="Times New Roman"/>
                      <w:color w:val="auto"/>
                      <w:sz w:val="21"/>
                      <w:szCs w:val="21"/>
                      <w:highlight w:val="none"/>
                      <w:lang w:val="en-US" w:eastAsia="zh-CN"/>
                    </w:rPr>
                    <w:t>冻库和冷藏库</w:t>
                  </w:r>
                  <w:r>
                    <w:rPr>
                      <w:rFonts w:hint="eastAsia" w:cs="Times New Roman"/>
                      <w:color w:val="auto"/>
                      <w:sz w:val="21"/>
                      <w:szCs w:val="21"/>
                      <w:highlight w:val="none"/>
                      <w:lang w:val="en-US" w:eastAsia="zh-CN"/>
                    </w:rPr>
                    <w:t>进行</w:t>
                  </w:r>
                  <w:r>
                    <w:rPr>
                      <w:rFonts w:hint="default" w:ascii="Times New Roman" w:hAnsi="Times New Roman" w:eastAsia="宋体" w:cs="Times New Roman"/>
                      <w:color w:val="auto"/>
                      <w:sz w:val="21"/>
                      <w:szCs w:val="21"/>
                      <w:highlight w:val="none"/>
                    </w:rPr>
                    <w:t>生猪产品</w:t>
                  </w:r>
                  <w:r>
                    <w:rPr>
                      <w:rFonts w:hint="eastAsia" w:ascii="Times New Roman" w:hAnsi="Times New Roman" w:eastAsia="宋体" w:cs="Times New Roman"/>
                      <w:color w:val="auto"/>
                      <w:sz w:val="21"/>
                      <w:szCs w:val="21"/>
                      <w:highlight w:val="none"/>
                      <w:lang w:val="en-US" w:eastAsia="zh-CN"/>
                    </w:rPr>
                    <w:t>储存。</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0F54D5F8">
                  <w:pPr>
                    <w:jc w:val="center"/>
                    <w:rPr>
                      <w:rFonts w:hint="default" w:ascii="Times New Roman" w:hAnsi="Times New Roman" w:eastAsia="宋体" w:cs="Times New Roman"/>
                      <w:color w:val="auto"/>
                      <w:sz w:val="21"/>
                      <w:szCs w:val="21"/>
                      <w:highlight w:val="none"/>
                    </w:rPr>
                  </w:pPr>
                </w:p>
              </w:tc>
              <w:tc>
                <w:tcPr>
                  <w:tcW w:w="780" w:type="dxa"/>
                  <w:vMerge w:val="continue"/>
                  <w:tcBorders>
                    <w:top w:val="single" w:color="auto" w:sz="8" w:space="0"/>
                    <w:left w:val="single" w:color="auto" w:sz="8" w:space="0"/>
                    <w:bottom w:val="single" w:color="auto" w:sz="8" w:space="0"/>
                    <w:right w:val="single" w:color="auto" w:sz="8" w:space="0"/>
                  </w:tcBorders>
                  <w:vAlign w:val="center"/>
                </w:tcPr>
                <w:p w14:paraId="6899B938">
                  <w:pPr>
                    <w:jc w:val="center"/>
                    <w:rPr>
                      <w:rFonts w:hint="default" w:ascii="Times New Roman" w:hAnsi="Times New Roman" w:eastAsia="宋体" w:cs="Times New Roman"/>
                      <w:color w:val="auto"/>
                      <w:sz w:val="21"/>
                      <w:szCs w:val="21"/>
                      <w:highlight w:val="none"/>
                    </w:rPr>
                  </w:pPr>
                </w:p>
              </w:tc>
              <w:tc>
                <w:tcPr>
                  <w:tcW w:w="746" w:type="dxa"/>
                  <w:tcBorders>
                    <w:top w:val="single" w:color="auto" w:sz="8" w:space="0"/>
                    <w:left w:val="single" w:color="auto" w:sz="8" w:space="0"/>
                    <w:bottom w:val="single" w:color="auto" w:sz="8" w:space="0"/>
                    <w:right w:val="nil"/>
                  </w:tcBorders>
                  <w:vAlign w:val="center"/>
                </w:tcPr>
                <w:p w14:paraId="45CFE591">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207427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 w:hRule="atLeast"/>
              </w:trPr>
              <w:tc>
                <w:tcPr>
                  <w:tcW w:w="348" w:type="dxa"/>
                  <w:vMerge w:val="restart"/>
                  <w:tcBorders>
                    <w:top w:val="single" w:color="auto" w:sz="8" w:space="0"/>
                    <w:left w:val="nil"/>
                    <w:bottom w:val="single" w:color="auto" w:sz="8" w:space="0"/>
                    <w:right w:val="single" w:color="auto" w:sz="8" w:space="0"/>
                  </w:tcBorders>
                  <w:vAlign w:val="center"/>
                </w:tcPr>
                <w:p w14:paraId="612AC7D8">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350" w:type="dxa"/>
                  <w:gridSpan w:val="2"/>
                  <w:tcBorders>
                    <w:top w:val="single" w:color="auto" w:sz="8" w:space="0"/>
                    <w:left w:val="single" w:color="auto" w:sz="8" w:space="0"/>
                    <w:bottom w:val="single" w:color="auto" w:sz="8" w:space="0"/>
                    <w:right w:val="single" w:color="auto" w:sz="8" w:space="0"/>
                  </w:tcBorders>
                  <w:vAlign w:val="center"/>
                </w:tcPr>
                <w:p w14:paraId="42C560FD">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废水</w:t>
                  </w:r>
                </w:p>
              </w:tc>
              <w:tc>
                <w:tcPr>
                  <w:tcW w:w="811" w:type="dxa"/>
                  <w:gridSpan w:val="2"/>
                  <w:tcBorders>
                    <w:top w:val="single" w:color="auto" w:sz="8" w:space="0"/>
                    <w:left w:val="single" w:color="auto" w:sz="8" w:space="0"/>
                    <w:bottom w:val="single" w:color="auto" w:sz="8" w:space="0"/>
                    <w:right w:val="single" w:color="auto" w:sz="8" w:space="0"/>
                  </w:tcBorders>
                  <w:vAlign w:val="center"/>
                </w:tcPr>
                <w:p w14:paraId="07E14E53">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污水处理站</w:t>
                  </w:r>
                </w:p>
              </w:tc>
              <w:tc>
                <w:tcPr>
                  <w:tcW w:w="4396" w:type="dxa"/>
                  <w:tcBorders>
                    <w:top w:val="single" w:color="auto" w:sz="8" w:space="0"/>
                    <w:left w:val="single" w:color="auto" w:sz="8" w:space="0"/>
                    <w:bottom w:val="single" w:color="auto" w:sz="8" w:space="0"/>
                    <w:right w:val="single" w:color="auto" w:sz="8" w:space="0"/>
                  </w:tcBorders>
                  <w:vAlign w:val="center"/>
                </w:tcPr>
                <w:p w14:paraId="0453518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新建</w:t>
                  </w:r>
                  <w:r>
                    <w:rPr>
                      <w:rFonts w:hint="eastAsia" w:ascii="Times New Roman" w:hAns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/d的</w:t>
                  </w:r>
                  <w:r>
                    <w:rPr>
                      <w:rFonts w:hint="eastAsia" w:cs="Times New Roman"/>
                      <w:color w:val="auto"/>
                      <w:sz w:val="21"/>
                      <w:szCs w:val="21"/>
                      <w:highlight w:val="none"/>
                      <w:lang w:val="en-US" w:eastAsia="zh-CN"/>
                    </w:rPr>
                    <w:t>污水处理站</w:t>
                  </w:r>
                  <w:r>
                    <w:rPr>
                      <w:rFonts w:hint="default" w:ascii="Times New Roman" w:hAnsi="Times New Roman" w:eastAsia="宋体" w:cs="Times New Roman"/>
                      <w:color w:val="auto"/>
                      <w:sz w:val="21"/>
                      <w:szCs w:val="21"/>
                      <w:highlight w:val="none"/>
                    </w:rPr>
                    <w:t>一座，位于项目区</w:t>
                  </w:r>
                  <w:r>
                    <w:rPr>
                      <w:rFonts w:hint="default" w:ascii="Times New Roman" w:hAnsi="Times New Roman" w:eastAsia="宋体" w:cs="Times New Roman"/>
                      <w:color w:val="auto"/>
                      <w:sz w:val="21"/>
                      <w:szCs w:val="21"/>
                      <w:highlight w:val="none"/>
                      <w:lang w:val="en-US" w:eastAsia="zh-CN"/>
                    </w:rPr>
                    <w:t>东南</w:t>
                  </w:r>
                  <w:r>
                    <w:rPr>
                      <w:rFonts w:hint="default" w:ascii="Times New Roman" w:hAnsi="Times New Roman" w:eastAsia="宋体" w:cs="Times New Roman"/>
                      <w:color w:val="auto"/>
                      <w:sz w:val="21"/>
                      <w:szCs w:val="21"/>
                      <w:highlight w:val="none"/>
                    </w:rPr>
                    <w:t>，采用“格栅+隔油沉淀+调节池+一体化污水处理设施（厌氧+好氧+沉淀+消毒）”工艺，处理达标</w:t>
                  </w:r>
                  <w:r>
                    <w:rPr>
                      <w:rFonts w:hint="eastAsia" w:cs="Times New Roman"/>
                      <w:color w:val="auto"/>
                      <w:sz w:val="21"/>
                      <w:szCs w:val="21"/>
                      <w:highlight w:val="none"/>
                      <w:lang w:val="en-US" w:eastAsia="zh-CN"/>
                    </w:rPr>
                    <w:t>后</w:t>
                  </w:r>
                  <w:r>
                    <w:rPr>
                      <w:rFonts w:hint="default" w:ascii="Times New Roman" w:hAnsi="Times New Roman" w:eastAsia="宋体" w:cs="Times New Roman"/>
                      <w:color w:val="auto"/>
                      <w:sz w:val="21"/>
                      <w:szCs w:val="21"/>
                      <w:highlight w:val="none"/>
                      <w:lang w:eastAsia="zh-CN"/>
                    </w:rPr>
                    <w:t>，</w:t>
                  </w:r>
                  <w:r>
                    <w:rPr>
                      <w:rFonts w:hint="eastAsia" w:cs="Times New Roman"/>
                      <w:color w:val="auto"/>
                      <w:sz w:val="21"/>
                      <w:szCs w:val="21"/>
                      <w:highlight w:val="none"/>
                      <w:lang w:val="en-US" w:eastAsia="zh-CN"/>
                    </w:rPr>
                    <w:t>由罐车拉到</w:t>
                  </w:r>
                  <w:r>
                    <w:rPr>
                      <w:rFonts w:hint="default" w:ascii="Times New Roman" w:hAnsi="Times New Roman" w:eastAsia="宋体" w:cs="Times New Roman"/>
                      <w:color w:val="auto"/>
                      <w:sz w:val="21"/>
                      <w:szCs w:val="21"/>
                      <w:highlight w:val="none"/>
                    </w:rPr>
                    <w:t>泸定县海螺沟磨西镇城市生活污水处理厂进一步处理，达标后排入燕子沟。</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74AD7988">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003E154A">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35085387">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2A360B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695754D2">
                  <w:pPr>
                    <w:jc w:val="center"/>
                    <w:rPr>
                      <w:rFonts w:hint="default" w:ascii="Times New Roman" w:hAnsi="Times New Roman" w:eastAsia="宋体" w:cs="Times New Roman"/>
                      <w:color w:val="auto"/>
                      <w:sz w:val="21"/>
                      <w:szCs w:val="21"/>
                      <w:highlight w:val="none"/>
                    </w:rPr>
                  </w:pPr>
                </w:p>
              </w:tc>
              <w:tc>
                <w:tcPr>
                  <w:tcW w:w="348" w:type="dxa"/>
                  <w:vMerge w:val="restart"/>
                  <w:tcBorders>
                    <w:top w:val="single" w:color="auto" w:sz="8" w:space="0"/>
                    <w:left w:val="single" w:color="auto" w:sz="8" w:space="0"/>
                    <w:bottom w:val="single" w:color="auto" w:sz="8" w:space="0"/>
                    <w:right w:val="single" w:color="auto" w:sz="8" w:space="0"/>
                  </w:tcBorders>
                  <w:textDirection w:val="tbRlV"/>
                  <w:vAlign w:val="center"/>
                </w:tcPr>
                <w:p w14:paraId="2D079E33">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废气处理</w:t>
                  </w:r>
                </w:p>
              </w:tc>
              <w:tc>
                <w:tcPr>
                  <w:tcW w:w="813" w:type="dxa"/>
                  <w:gridSpan w:val="3"/>
                  <w:tcBorders>
                    <w:top w:val="single" w:color="auto" w:sz="8" w:space="0"/>
                    <w:left w:val="single" w:color="auto" w:sz="8" w:space="0"/>
                    <w:bottom w:val="single" w:color="auto" w:sz="8" w:space="0"/>
                    <w:right w:val="single" w:color="auto" w:sz="8" w:space="0"/>
                  </w:tcBorders>
                  <w:vAlign w:val="center"/>
                </w:tcPr>
                <w:p w14:paraId="2B3DD3A0">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屠宰恶臭</w:t>
                  </w:r>
                </w:p>
              </w:tc>
              <w:tc>
                <w:tcPr>
                  <w:tcW w:w="4396" w:type="dxa"/>
                  <w:tcBorders>
                    <w:top w:val="single" w:color="auto" w:sz="8" w:space="0"/>
                    <w:left w:val="single" w:color="auto" w:sz="8" w:space="0"/>
                    <w:bottom w:val="single" w:color="auto" w:sz="8" w:space="0"/>
                    <w:right w:val="single" w:color="auto" w:sz="8" w:space="0"/>
                  </w:tcBorders>
                  <w:vAlign w:val="center"/>
                </w:tcPr>
                <w:p w14:paraId="49BA74E6">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待宰</w:t>
                  </w:r>
                  <w:r>
                    <w:rPr>
                      <w:rFonts w:hint="eastAsia" w:cs="Times New Roman"/>
                      <w:color w:val="auto"/>
                      <w:sz w:val="21"/>
                      <w:szCs w:val="21"/>
                      <w:highlight w:val="none"/>
                      <w:lang w:val="en-US" w:eastAsia="zh-CN"/>
                    </w:rPr>
                    <w:t>区（含待宰圈、急宰间、隔离圈、冲淋间）、</w:t>
                  </w:r>
                  <w:r>
                    <w:rPr>
                      <w:rFonts w:hint="default" w:ascii="Times New Roman" w:hAnsi="Times New Roman" w:eastAsia="宋体" w:cs="Times New Roman"/>
                      <w:color w:val="auto"/>
                      <w:sz w:val="21"/>
                      <w:szCs w:val="21"/>
                      <w:highlight w:val="none"/>
                    </w:rPr>
                    <w:t>屠宰车间</w:t>
                  </w:r>
                  <w:r>
                    <w:rPr>
                      <w:rFonts w:hint="eastAsia" w:cs="Times New Roman"/>
                      <w:color w:val="auto"/>
                      <w:sz w:val="21"/>
                      <w:szCs w:val="21"/>
                      <w:highlight w:val="none"/>
                      <w:lang w:val="en-US" w:eastAsia="zh-CN"/>
                    </w:rPr>
                    <w:t>及分割车间进行密闭，产生的</w:t>
                  </w:r>
                  <w:r>
                    <w:rPr>
                      <w:rFonts w:hint="default" w:ascii="Times New Roman" w:hAnsi="Times New Roman" w:eastAsia="宋体" w:cs="Times New Roman"/>
                      <w:color w:val="auto"/>
                      <w:sz w:val="21"/>
                      <w:szCs w:val="21"/>
                      <w:highlight w:val="none"/>
                    </w:rPr>
                    <w:t>废气经“密闭负压收集+</w:t>
                  </w:r>
                  <w:r>
                    <w:rPr>
                      <w:rFonts w:hint="eastAsia" w:cs="Times New Roman"/>
                      <w:color w:val="auto"/>
                      <w:sz w:val="21"/>
                      <w:szCs w:val="21"/>
                      <w:highlight w:val="none"/>
                      <w:lang w:val="en-US" w:eastAsia="zh-CN"/>
                    </w:rPr>
                    <w:t>碱液</w:t>
                  </w:r>
                  <w:r>
                    <w:rPr>
                      <w:rFonts w:hint="default" w:ascii="Times New Roman" w:hAnsi="Times New Roman" w:eastAsia="宋体" w:cs="Times New Roman"/>
                      <w:color w:val="auto"/>
                      <w:sz w:val="21"/>
                      <w:szCs w:val="21"/>
                      <w:highlight w:val="none"/>
                    </w:rPr>
                    <w:t>喷淋塔+活性炭吸附”后由1根15m高排气筒（DA001）排放。</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C997F18">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7EB5E36A">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12CE1735">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7AA1D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348" w:type="dxa"/>
                  <w:vMerge w:val="continue"/>
                  <w:tcBorders>
                    <w:top w:val="single" w:color="auto" w:sz="8" w:space="0"/>
                    <w:left w:val="nil"/>
                    <w:bottom w:val="single" w:color="auto" w:sz="8" w:space="0"/>
                    <w:right w:val="single" w:color="auto" w:sz="8" w:space="0"/>
                  </w:tcBorders>
                  <w:textDirection w:val="tbRlV"/>
                  <w:vAlign w:val="center"/>
                </w:tcPr>
                <w:p w14:paraId="79C3F144">
                  <w:pPr>
                    <w:jc w:val="center"/>
                    <w:rPr>
                      <w:rFonts w:hint="default" w:ascii="Times New Roman" w:hAnsi="Times New Roman" w:eastAsia="宋体" w:cs="Times New Roman"/>
                      <w:color w:val="auto"/>
                      <w:sz w:val="21"/>
                      <w:szCs w:val="21"/>
                      <w:highlight w:val="none"/>
                    </w:rPr>
                  </w:pPr>
                </w:p>
              </w:tc>
              <w:tc>
                <w:tcPr>
                  <w:tcW w:w="348" w:type="dxa"/>
                  <w:vMerge w:val="continue"/>
                  <w:tcBorders>
                    <w:top w:val="single" w:color="auto" w:sz="8" w:space="0"/>
                    <w:left w:val="single" w:color="auto" w:sz="8" w:space="0"/>
                    <w:bottom w:val="single" w:color="auto" w:sz="8" w:space="0"/>
                    <w:right w:val="single" w:color="auto" w:sz="8" w:space="0"/>
                  </w:tcBorders>
                  <w:textDirection w:val="tbRlV"/>
                  <w:vAlign w:val="center"/>
                </w:tcPr>
                <w:p w14:paraId="545E69ED">
                  <w:pPr>
                    <w:jc w:val="center"/>
                    <w:rPr>
                      <w:rFonts w:hint="default" w:ascii="Times New Roman" w:hAnsi="Times New Roman" w:eastAsia="宋体" w:cs="Times New Roman"/>
                      <w:color w:val="auto"/>
                      <w:sz w:val="21"/>
                      <w:szCs w:val="21"/>
                      <w:highlight w:val="none"/>
                    </w:rPr>
                  </w:pPr>
                </w:p>
              </w:tc>
              <w:tc>
                <w:tcPr>
                  <w:tcW w:w="813" w:type="dxa"/>
                  <w:gridSpan w:val="3"/>
                  <w:tcBorders>
                    <w:top w:val="single" w:color="auto" w:sz="8" w:space="0"/>
                    <w:left w:val="single" w:color="auto" w:sz="8" w:space="0"/>
                    <w:bottom w:val="single" w:color="auto" w:sz="8" w:space="0"/>
                    <w:right w:val="single" w:color="auto" w:sz="8" w:space="0"/>
                  </w:tcBorders>
                  <w:vAlign w:val="center"/>
                </w:tcPr>
                <w:p w14:paraId="54F50207">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污水处理站恶臭、沼气</w:t>
                  </w:r>
                </w:p>
              </w:tc>
              <w:tc>
                <w:tcPr>
                  <w:tcW w:w="4396" w:type="dxa"/>
                  <w:tcBorders>
                    <w:top w:val="single" w:color="auto" w:sz="8" w:space="0"/>
                    <w:left w:val="single" w:color="auto" w:sz="8" w:space="0"/>
                    <w:bottom w:val="single" w:color="auto" w:sz="8" w:space="0"/>
                    <w:right w:val="single" w:color="auto" w:sz="8" w:space="0"/>
                  </w:tcBorders>
                  <w:vAlign w:val="center"/>
                </w:tcPr>
                <w:p w14:paraId="24CC5D1D">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本项目采用密闭式一体化污水处理设施，对污水处理间进行整体负压抽风，</w:t>
                  </w:r>
                  <w:r>
                    <w:rPr>
                      <w:rFonts w:hint="default" w:ascii="Times New Roman" w:hAnsi="Times New Roman" w:eastAsia="宋体" w:cs="Times New Roman"/>
                      <w:color w:val="auto"/>
                      <w:sz w:val="21"/>
                      <w:szCs w:val="21"/>
                      <w:highlight w:val="none"/>
                    </w:rPr>
                    <w:t>收集后的臭气</w:t>
                  </w:r>
                  <w:r>
                    <w:rPr>
                      <w:rFonts w:hint="default" w:ascii="Times New Roman" w:hAnsi="Times New Roman" w:eastAsia="宋体" w:cs="Times New Roman"/>
                      <w:color w:val="auto"/>
                      <w:sz w:val="21"/>
                      <w:szCs w:val="21"/>
                      <w:highlight w:val="none"/>
                      <w:lang w:val="en-US" w:eastAsia="zh-CN"/>
                    </w:rPr>
                    <w:t>与</w:t>
                  </w:r>
                  <w:r>
                    <w:rPr>
                      <w:rFonts w:hint="default" w:ascii="Times New Roman" w:hAnsi="Times New Roman" w:eastAsia="宋体" w:cs="Times New Roman"/>
                      <w:color w:val="auto"/>
                      <w:sz w:val="21"/>
                      <w:szCs w:val="21"/>
                      <w:highlight w:val="none"/>
                    </w:rPr>
                    <w:t>屠宰车间共用一套</w:t>
                  </w:r>
                  <w:r>
                    <w:rPr>
                      <w:rFonts w:hint="default" w:ascii="Times New Roman" w:hAnsi="Times New Roman" w:eastAsia="宋体" w:cs="Times New Roman"/>
                      <w:color w:val="auto"/>
                      <w:sz w:val="21"/>
                      <w:szCs w:val="21"/>
                      <w:highlight w:val="none"/>
                      <w:lang w:val="en-US" w:eastAsia="zh-CN"/>
                    </w:rPr>
                    <w:t>废气处理</w:t>
                  </w:r>
                  <w:r>
                    <w:rPr>
                      <w:rFonts w:hint="default" w:ascii="Times New Roman" w:hAnsi="Times New Roman" w:eastAsia="宋体" w:cs="Times New Roman"/>
                      <w:color w:val="auto"/>
                      <w:sz w:val="21"/>
                      <w:szCs w:val="21"/>
                      <w:highlight w:val="none"/>
                    </w:rPr>
                    <w:t>系统处理</w:t>
                  </w:r>
                  <w:r>
                    <w:rPr>
                      <w:rFonts w:hint="eastAsia" w:ascii="Times New Roman" w:hAnsi="Times New Roman" w:eastAsia="宋体" w:cs="Times New Roman"/>
                      <w:color w:val="auto"/>
                      <w:sz w:val="21"/>
                      <w:szCs w:val="21"/>
                      <w:highlight w:val="none"/>
                      <w:lang w:eastAsia="zh-CN"/>
                    </w:rPr>
                    <w:t>（</w:t>
                  </w:r>
                  <w:r>
                    <w:rPr>
                      <w:rFonts w:hint="eastAsia" w:cs="Times New Roman"/>
                      <w:color w:val="auto"/>
                      <w:sz w:val="21"/>
                      <w:szCs w:val="21"/>
                      <w:highlight w:val="none"/>
                      <w:lang w:val="en-US" w:eastAsia="zh-CN"/>
                    </w:rPr>
                    <w:t>碱液</w:t>
                  </w:r>
                  <w:r>
                    <w:rPr>
                      <w:rFonts w:hint="default" w:ascii="Times New Roman" w:hAnsi="Times New Roman" w:eastAsia="宋体" w:cs="Times New Roman"/>
                      <w:color w:val="auto"/>
                      <w:sz w:val="21"/>
                      <w:szCs w:val="21"/>
                      <w:highlight w:val="none"/>
                    </w:rPr>
                    <w:t>喷淋塔+活性炭吸附</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后由1根15m高排气筒（DA001）排放</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厌氧池沼气采用管道收集，与恶臭气体收集管路碰管后，一并送废气处理系统处理</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CC5CAA0">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662FC176">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544FC6DE">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0A5DB9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3" w:hRule="atLeast"/>
              </w:trPr>
              <w:tc>
                <w:tcPr>
                  <w:tcW w:w="348" w:type="dxa"/>
                  <w:vMerge w:val="continue"/>
                  <w:tcBorders>
                    <w:top w:val="single" w:color="auto" w:sz="8" w:space="0"/>
                    <w:left w:val="nil"/>
                    <w:bottom w:val="single" w:color="auto" w:sz="8" w:space="0"/>
                    <w:right w:val="single" w:color="auto" w:sz="8" w:space="0"/>
                  </w:tcBorders>
                  <w:vAlign w:val="center"/>
                </w:tcPr>
                <w:p w14:paraId="6F89485B">
                  <w:pPr>
                    <w:jc w:val="center"/>
                    <w:rPr>
                      <w:rFonts w:hint="default" w:ascii="Times New Roman" w:hAnsi="Times New Roman" w:eastAsia="宋体" w:cs="Times New Roman"/>
                      <w:color w:val="auto"/>
                      <w:sz w:val="21"/>
                      <w:szCs w:val="21"/>
                      <w:highlight w:val="none"/>
                    </w:rPr>
                  </w:pPr>
                </w:p>
              </w:tc>
              <w:tc>
                <w:tcPr>
                  <w:tcW w:w="348" w:type="dxa"/>
                  <w:vMerge w:val="continue"/>
                  <w:tcBorders>
                    <w:top w:val="single" w:color="auto" w:sz="8" w:space="0"/>
                    <w:left w:val="single" w:color="auto" w:sz="8" w:space="0"/>
                    <w:bottom w:val="single" w:color="auto" w:sz="8" w:space="0"/>
                    <w:right w:val="single" w:color="auto" w:sz="8" w:space="0"/>
                  </w:tcBorders>
                  <w:vAlign w:val="center"/>
                </w:tcPr>
                <w:p w14:paraId="229F0937">
                  <w:pPr>
                    <w:jc w:val="center"/>
                    <w:rPr>
                      <w:rFonts w:hint="default" w:ascii="Times New Roman" w:hAnsi="Times New Roman" w:eastAsia="宋体" w:cs="Times New Roman"/>
                      <w:color w:val="auto"/>
                      <w:sz w:val="21"/>
                      <w:szCs w:val="21"/>
                      <w:highlight w:val="none"/>
                    </w:rPr>
                  </w:pPr>
                </w:p>
              </w:tc>
              <w:tc>
                <w:tcPr>
                  <w:tcW w:w="813" w:type="dxa"/>
                  <w:gridSpan w:val="3"/>
                  <w:tcBorders>
                    <w:top w:val="single" w:color="auto" w:sz="8" w:space="0"/>
                    <w:left w:val="single" w:color="auto" w:sz="8" w:space="0"/>
                    <w:right w:val="single" w:color="auto" w:sz="8" w:space="0"/>
                  </w:tcBorders>
                  <w:shd w:val="clear" w:color="auto" w:fill="auto"/>
                  <w:vAlign w:val="center"/>
                </w:tcPr>
                <w:p w14:paraId="5942027A">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猪粪、猪毛、肠内容物暂存间，污泥暂存间</w:t>
                  </w:r>
                  <w:r>
                    <w:rPr>
                      <w:rFonts w:hint="eastAsia" w:cs="Times New Roman"/>
                      <w:color w:val="auto"/>
                      <w:sz w:val="21"/>
                      <w:szCs w:val="21"/>
                      <w:highlight w:val="none"/>
                      <w:lang w:val="en-US" w:eastAsia="zh-CN"/>
                    </w:rPr>
                    <w:t>恶臭</w:t>
                  </w:r>
                </w:p>
              </w:tc>
              <w:tc>
                <w:tcPr>
                  <w:tcW w:w="4396" w:type="dxa"/>
                  <w:tcBorders>
                    <w:top w:val="single" w:color="auto" w:sz="8" w:space="0"/>
                    <w:left w:val="single" w:color="auto" w:sz="8" w:space="0"/>
                    <w:right w:val="single" w:color="auto" w:sz="8" w:space="0"/>
                  </w:tcBorders>
                  <w:shd w:val="clear" w:color="auto" w:fill="auto"/>
                  <w:vAlign w:val="center"/>
                </w:tcPr>
                <w:p w14:paraId="271F547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猪粪、猪毛及肠内容物暂存间为密闭房间</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采用整体抽风的方式对臭气进行收集。收集后的臭气</w:t>
                  </w:r>
                  <w:r>
                    <w:rPr>
                      <w:rFonts w:hint="default" w:ascii="Times New Roman" w:hAnsi="Times New Roman" w:eastAsia="宋体" w:cs="Times New Roman"/>
                      <w:color w:val="auto"/>
                      <w:sz w:val="21"/>
                      <w:szCs w:val="21"/>
                      <w:highlight w:val="none"/>
                      <w:lang w:val="en-US" w:eastAsia="zh-CN"/>
                    </w:rPr>
                    <w:t>与</w:t>
                  </w:r>
                  <w:r>
                    <w:rPr>
                      <w:rFonts w:hint="default" w:ascii="Times New Roman" w:hAnsi="Times New Roman" w:eastAsia="宋体" w:cs="Times New Roman"/>
                      <w:color w:val="auto"/>
                      <w:sz w:val="21"/>
                      <w:szCs w:val="21"/>
                      <w:highlight w:val="none"/>
                    </w:rPr>
                    <w:t>屠宰车间共用一套</w:t>
                  </w:r>
                  <w:r>
                    <w:rPr>
                      <w:rFonts w:hint="default" w:ascii="Times New Roman" w:hAnsi="Times New Roman" w:eastAsia="宋体" w:cs="Times New Roman"/>
                      <w:color w:val="auto"/>
                      <w:sz w:val="21"/>
                      <w:szCs w:val="21"/>
                      <w:highlight w:val="none"/>
                      <w:lang w:val="en-US" w:eastAsia="zh-CN"/>
                    </w:rPr>
                    <w:t>废气处理</w:t>
                  </w:r>
                  <w:r>
                    <w:rPr>
                      <w:rFonts w:hint="default" w:ascii="Times New Roman" w:hAnsi="Times New Roman" w:eastAsia="宋体" w:cs="Times New Roman"/>
                      <w:color w:val="auto"/>
                      <w:sz w:val="21"/>
                      <w:szCs w:val="21"/>
                      <w:highlight w:val="none"/>
                    </w:rPr>
                    <w:t>系统处理</w:t>
                  </w:r>
                  <w:r>
                    <w:rPr>
                      <w:rFonts w:hint="eastAsia" w:ascii="Times New Roman" w:hAnsi="Times New Roman" w:eastAsia="宋体" w:cs="Times New Roman"/>
                      <w:color w:val="auto"/>
                      <w:sz w:val="21"/>
                      <w:szCs w:val="21"/>
                      <w:highlight w:val="none"/>
                      <w:lang w:eastAsia="zh-CN"/>
                    </w:rPr>
                    <w:t>（</w:t>
                  </w:r>
                  <w:r>
                    <w:rPr>
                      <w:rFonts w:hint="eastAsia" w:cs="Times New Roman"/>
                      <w:color w:val="auto"/>
                      <w:sz w:val="21"/>
                      <w:szCs w:val="21"/>
                      <w:highlight w:val="none"/>
                      <w:lang w:val="en-US" w:eastAsia="zh-CN"/>
                    </w:rPr>
                    <w:t>碱液</w:t>
                  </w:r>
                  <w:r>
                    <w:rPr>
                      <w:rFonts w:hint="default" w:ascii="Times New Roman" w:hAnsi="Times New Roman" w:eastAsia="宋体" w:cs="Times New Roman"/>
                      <w:color w:val="auto"/>
                      <w:sz w:val="21"/>
                      <w:szCs w:val="21"/>
                      <w:highlight w:val="none"/>
                    </w:rPr>
                    <w:t>喷淋塔+活性炭吸附</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后由1根15m高排气筒（DA001）排放。</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1C88ED7F">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right w:val="single" w:color="auto" w:sz="8" w:space="0"/>
                  </w:tcBorders>
                  <w:vAlign w:val="center"/>
                </w:tcPr>
                <w:p w14:paraId="053A1CF8">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78470052">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新建</w:t>
                  </w:r>
                </w:p>
              </w:tc>
            </w:tr>
            <w:tr w14:paraId="7891BE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48" w:type="dxa"/>
                  <w:vMerge w:val="continue"/>
                  <w:tcBorders>
                    <w:top w:val="single" w:color="auto" w:sz="8" w:space="0"/>
                    <w:left w:val="nil"/>
                    <w:bottom w:val="single" w:color="auto" w:sz="8" w:space="0"/>
                    <w:right w:val="single" w:color="auto" w:sz="8" w:space="0"/>
                  </w:tcBorders>
                  <w:vAlign w:val="center"/>
                </w:tcPr>
                <w:p w14:paraId="2932AAA2">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bottom w:val="single" w:color="auto" w:sz="8" w:space="0"/>
                    <w:right w:val="single" w:color="auto" w:sz="8" w:space="0"/>
                  </w:tcBorders>
                  <w:vAlign w:val="center"/>
                </w:tcPr>
                <w:p w14:paraId="084CF88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噪声治理</w:t>
                  </w:r>
                </w:p>
              </w:tc>
              <w:tc>
                <w:tcPr>
                  <w:tcW w:w="4396" w:type="dxa"/>
                  <w:tcBorders>
                    <w:top w:val="single" w:color="auto" w:sz="8" w:space="0"/>
                    <w:left w:val="single" w:color="auto" w:sz="8" w:space="0"/>
                    <w:bottom w:val="single" w:color="auto" w:sz="8" w:space="0"/>
                    <w:right w:val="single" w:color="auto" w:sz="8" w:space="0"/>
                  </w:tcBorders>
                  <w:vAlign w:val="center"/>
                </w:tcPr>
                <w:p w14:paraId="762DEF7D">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对噪声设备采取基础减振、消声、隔声及绿化降噪等措施</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43C78CB0">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639E0A0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46" w:type="dxa"/>
                  <w:tcBorders>
                    <w:top w:val="single" w:color="auto" w:sz="8" w:space="0"/>
                    <w:left w:val="single" w:color="auto" w:sz="8" w:space="0"/>
                    <w:bottom w:val="single" w:color="auto" w:sz="8" w:space="0"/>
                    <w:right w:val="nil"/>
                  </w:tcBorders>
                  <w:vAlign w:val="center"/>
                </w:tcPr>
                <w:p w14:paraId="3E27E58A">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08CB48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48" w:type="dxa"/>
                  <w:vMerge w:val="continue"/>
                  <w:tcBorders>
                    <w:top w:val="single" w:color="auto" w:sz="8" w:space="0"/>
                    <w:left w:val="nil"/>
                    <w:bottom w:val="single" w:color="auto" w:sz="8" w:space="0"/>
                    <w:right w:val="single" w:color="auto" w:sz="8" w:space="0"/>
                  </w:tcBorders>
                  <w:vAlign w:val="center"/>
                </w:tcPr>
                <w:p w14:paraId="65D7B422">
                  <w:pPr>
                    <w:jc w:val="center"/>
                    <w:rPr>
                      <w:rFonts w:hint="default" w:ascii="Times New Roman" w:hAnsi="Times New Roman" w:eastAsia="宋体" w:cs="Times New Roman"/>
                      <w:color w:val="auto"/>
                      <w:sz w:val="21"/>
                      <w:szCs w:val="21"/>
                      <w:highlight w:val="none"/>
                    </w:rPr>
                  </w:pPr>
                </w:p>
              </w:tc>
              <w:tc>
                <w:tcPr>
                  <w:tcW w:w="348" w:type="dxa"/>
                  <w:vMerge w:val="restart"/>
                  <w:tcBorders>
                    <w:top w:val="single" w:color="auto" w:sz="8" w:space="0"/>
                    <w:left w:val="single" w:color="auto" w:sz="8" w:space="0"/>
                    <w:right w:val="single" w:color="auto" w:sz="8" w:space="0"/>
                  </w:tcBorders>
                  <w:textDirection w:val="tbRlV"/>
                  <w:vAlign w:val="center"/>
                </w:tcPr>
                <w:p w14:paraId="122F0F8F">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813" w:type="dxa"/>
                  <w:gridSpan w:val="3"/>
                  <w:tcBorders>
                    <w:top w:val="single" w:color="auto" w:sz="8" w:space="0"/>
                    <w:left w:val="single" w:color="auto" w:sz="8" w:space="0"/>
                    <w:bottom w:val="single" w:color="auto" w:sz="8" w:space="0"/>
                    <w:right w:val="single" w:color="auto" w:sz="8" w:space="0"/>
                  </w:tcBorders>
                  <w:vAlign w:val="center"/>
                </w:tcPr>
                <w:p w14:paraId="4BCE398B">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猪粪</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猪毛、肠内容物暂存间</w:t>
                  </w:r>
                </w:p>
              </w:tc>
              <w:tc>
                <w:tcPr>
                  <w:tcW w:w="4396" w:type="dxa"/>
                  <w:tcBorders>
                    <w:top w:val="single" w:color="auto" w:sz="8" w:space="0"/>
                    <w:left w:val="single" w:color="auto" w:sz="8" w:space="0"/>
                    <w:bottom w:val="single" w:color="auto" w:sz="8" w:space="0"/>
                    <w:right w:val="single" w:color="auto" w:sz="8" w:space="0"/>
                  </w:tcBorders>
                  <w:vAlign w:val="center"/>
                </w:tcPr>
                <w:p w14:paraId="32A7350F">
                  <w:pPr>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rPr>
                    <w:t>污水处理站旁设置猪粪</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猪毛、肠内容物暂存间1座，面积约</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，待宰圈清运的粪便和屠宰过程中产生的肠胃内容物暂存于其中，定期袋装后由附近村民运走做肥料</w:t>
                  </w:r>
                  <w:r>
                    <w:rPr>
                      <w:rFonts w:hint="eastAsia" w:cs="Times New Roman"/>
                      <w:color w:val="auto"/>
                      <w:sz w:val="21"/>
                      <w:szCs w:val="21"/>
                      <w:highlight w:val="none"/>
                      <w:lang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4A14F2E">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28382286">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2C0A8B18">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11B607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48" w:type="dxa"/>
                  <w:vMerge w:val="continue"/>
                  <w:tcBorders>
                    <w:top w:val="single" w:color="auto" w:sz="8" w:space="0"/>
                    <w:left w:val="nil"/>
                    <w:bottom w:val="single" w:color="auto" w:sz="8" w:space="0"/>
                    <w:right w:val="single" w:color="auto" w:sz="8" w:space="0"/>
                  </w:tcBorders>
                  <w:vAlign w:val="center"/>
                </w:tcPr>
                <w:p w14:paraId="6F3EDC74">
                  <w:pPr>
                    <w:jc w:val="center"/>
                    <w:rPr>
                      <w:rFonts w:hint="default" w:ascii="Times New Roman" w:hAnsi="Times New Roman" w:eastAsia="宋体" w:cs="Times New Roman"/>
                      <w:color w:val="auto"/>
                      <w:sz w:val="21"/>
                      <w:szCs w:val="21"/>
                      <w:highlight w:val="none"/>
                    </w:rPr>
                  </w:pPr>
                </w:p>
              </w:tc>
              <w:tc>
                <w:tcPr>
                  <w:tcW w:w="348" w:type="dxa"/>
                  <w:vMerge w:val="continue"/>
                  <w:tcBorders>
                    <w:left w:val="single" w:color="auto" w:sz="8" w:space="0"/>
                    <w:right w:val="single" w:color="auto" w:sz="8" w:space="0"/>
                  </w:tcBorders>
                  <w:textDirection w:val="tbRlV"/>
                  <w:vAlign w:val="center"/>
                </w:tcPr>
                <w:p w14:paraId="2D6C9857">
                  <w:pPr>
                    <w:jc w:val="center"/>
                    <w:rPr>
                      <w:rFonts w:hint="default" w:ascii="Times New Roman" w:hAnsi="Times New Roman" w:eastAsia="宋体" w:cs="Times New Roman"/>
                      <w:color w:val="auto"/>
                      <w:sz w:val="21"/>
                      <w:szCs w:val="21"/>
                      <w:highlight w:val="none"/>
                    </w:rPr>
                  </w:pPr>
                </w:p>
              </w:tc>
              <w:tc>
                <w:tcPr>
                  <w:tcW w:w="813" w:type="dxa"/>
                  <w:gridSpan w:val="3"/>
                  <w:tcBorders>
                    <w:top w:val="single" w:color="auto" w:sz="8" w:space="0"/>
                    <w:left w:val="single" w:color="auto" w:sz="8" w:space="0"/>
                    <w:bottom w:val="single" w:color="auto" w:sz="8" w:space="0"/>
                    <w:right w:val="single" w:color="auto" w:sz="8" w:space="0"/>
                  </w:tcBorders>
                  <w:shd w:val="clear" w:color="auto" w:fill="auto"/>
                  <w:vAlign w:val="center"/>
                </w:tcPr>
                <w:p w14:paraId="05713E3D">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病体间</w:t>
                  </w:r>
                </w:p>
              </w:tc>
              <w:tc>
                <w:tcPr>
                  <w:tcW w:w="4396" w:type="dxa"/>
                  <w:tcBorders>
                    <w:top w:val="single" w:color="auto" w:sz="8" w:space="0"/>
                    <w:left w:val="single" w:color="auto" w:sz="8" w:space="0"/>
                    <w:bottom w:val="single" w:color="auto" w:sz="8" w:space="0"/>
                    <w:right w:val="single" w:color="auto" w:sz="8" w:space="0"/>
                  </w:tcBorders>
                  <w:shd w:val="clear" w:color="auto" w:fill="auto"/>
                  <w:vAlign w:val="center"/>
                </w:tcPr>
                <w:p w14:paraId="01569A81">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主要用于</w:t>
                  </w:r>
                  <w:r>
                    <w:rPr>
                      <w:rFonts w:hint="default" w:ascii="Times New Roman" w:hAnsi="Times New Roman" w:eastAsia="宋体" w:cs="Times New Roman"/>
                      <w:color w:val="auto"/>
                      <w:sz w:val="21"/>
                      <w:szCs w:val="21"/>
                      <w:highlight w:val="none"/>
                    </w:rPr>
                    <w:t>不合格胴体及内脏</w:t>
                  </w:r>
                  <w:r>
                    <w:rPr>
                      <w:rFonts w:hint="eastAsia" w:ascii="Times New Roman" w:hAnsi="Times New Roman" w:eastAsia="宋体" w:cs="Times New Roman"/>
                      <w:color w:val="auto"/>
                      <w:sz w:val="21"/>
                      <w:szCs w:val="21"/>
                      <w:highlight w:val="none"/>
                      <w:lang w:val="en-US" w:eastAsia="zh-CN"/>
                    </w:rPr>
                    <w:t>暂存，</w:t>
                  </w:r>
                  <w:r>
                    <w:rPr>
                      <w:rFonts w:hint="eastAsia" w:cs="Times New Roman"/>
                      <w:color w:val="auto"/>
                      <w:sz w:val="21"/>
                      <w:szCs w:val="21"/>
                      <w:highlight w:val="none"/>
                      <w:lang w:val="en-US" w:eastAsia="zh-CN"/>
                    </w:rPr>
                    <w:t>委托成都市科农动物无害化处置有限公司进行集中处置</w:t>
                  </w:r>
                  <w:r>
                    <w:rPr>
                      <w:rFonts w:hint="eastAsia" w:ascii="Times New Roman" w:hAnsi="Times New Roman" w:eastAsia="宋体" w:cs="Times New Roman"/>
                      <w:color w:val="auto"/>
                      <w:sz w:val="21"/>
                      <w:szCs w:val="21"/>
                      <w:highlight w:val="none"/>
                      <w:lang w:val="en-US" w:eastAsia="zh-CN"/>
                    </w:rPr>
                    <w:t>。</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5AFC126C">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42E21863">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26EC55CB">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1DAFE5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348" w:type="dxa"/>
                  <w:vMerge w:val="continue"/>
                  <w:tcBorders>
                    <w:top w:val="single" w:color="auto" w:sz="8" w:space="0"/>
                    <w:left w:val="nil"/>
                    <w:bottom w:val="single" w:color="auto" w:sz="8" w:space="0"/>
                    <w:right w:val="single" w:color="auto" w:sz="8" w:space="0"/>
                  </w:tcBorders>
                  <w:vAlign w:val="center"/>
                </w:tcPr>
                <w:p w14:paraId="7EE0B555">
                  <w:pPr>
                    <w:jc w:val="center"/>
                    <w:rPr>
                      <w:rFonts w:hint="default" w:ascii="Times New Roman" w:hAnsi="Times New Roman" w:eastAsia="宋体" w:cs="Times New Roman"/>
                      <w:color w:val="auto"/>
                      <w:sz w:val="21"/>
                      <w:szCs w:val="21"/>
                      <w:highlight w:val="none"/>
                    </w:rPr>
                  </w:pPr>
                </w:p>
              </w:tc>
              <w:tc>
                <w:tcPr>
                  <w:tcW w:w="348" w:type="dxa"/>
                  <w:vMerge w:val="continue"/>
                  <w:tcBorders>
                    <w:left w:val="single" w:color="auto" w:sz="8" w:space="0"/>
                    <w:bottom w:val="single" w:color="auto" w:sz="8" w:space="0"/>
                    <w:right w:val="single" w:color="auto" w:sz="8" w:space="0"/>
                  </w:tcBorders>
                  <w:textDirection w:val="tbRlV"/>
                  <w:vAlign w:val="center"/>
                </w:tcPr>
                <w:p w14:paraId="6A1AF393">
                  <w:pPr>
                    <w:jc w:val="center"/>
                    <w:rPr>
                      <w:rFonts w:hint="default" w:ascii="Times New Roman" w:hAnsi="Times New Roman" w:eastAsia="宋体" w:cs="Times New Roman"/>
                      <w:color w:val="auto"/>
                      <w:sz w:val="21"/>
                      <w:szCs w:val="21"/>
                      <w:highlight w:val="none"/>
                    </w:rPr>
                  </w:pPr>
                </w:p>
              </w:tc>
              <w:tc>
                <w:tcPr>
                  <w:tcW w:w="813" w:type="dxa"/>
                  <w:gridSpan w:val="3"/>
                  <w:tcBorders>
                    <w:top w:val="single" w:color="auto" w:sz="8" w:space="0"/>
                    <w:left w:val="single" w:color="auto" w:sz="8" w:space="0"/>
                    <w:bottom w:val="single" w:color="auto" w:sz="8" w:space="0"/>
                    <w:right w:val="single" w:color="auto" w:sz="8" w:space="0"/>
                  </w:tcBorders>
                  <w:vAlign w:val="center"/>
                </w:tcPr>
                <w:p w14:paraId="6574C83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危废暂存间</w:t>
                  </w:r>
                </w:p>
              </w:tc>
              <w:tc>
                <w:tcPr>
                  <w:tcW w:w="4396" w:type="dxa"/>
                  <w:tcBorders>
                    <w:top w:val="single" w:color="auto" w:sz="8" w:space="0"/>
                    <w:left w:val="single" w:color="auto" w:sz="8" w:space="0"/>
                    <w:bottom w:val="single" w:color="auto" w:sz="8" w:space="0"/>
                    <w:right w:val="single" w:color="auto" w:sz="8" w:space="0"/>
                  </w:tcBorders>
                  <w:vAlign w:val="center"/>
                </w:tcPr>
                <w:p w14:paraId="27F67248">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危险废物：废含油棉纱手套、废矿物油、焚烧炉飞灰、废活性炭、消毒剂废包装材料采用加盖密闭容器分类收集，暂存于危险废物贮存库，交由有危废处置资质的单位进行处理</w:t>
                  </w:r>
                </w:p>
              </w:tc>
              <w:tc>
                <w:tcPr>
                  <w:tcW w:w="960" w:type="dxa"/>
                  <w:vMerge w:val="continue"/>
                  <w:tcBorders>
                    <w:top w:val="single" w:color="auto" w:sz="8" w:space="0"/>
                    <w:left w:val="single" w:color="auto" w:sz="8" w:space="0"/>
                    <w:bottom w:val="single" w:color="auto" w:sz="8" w:space="0"/>
                    <w:right w:val="single" w:color="auto" w:sz="8" w:space="0"/>
                  </w:tcBorders>
                  <w:vAlign w:val="center"/>
                </w:tcPr>
                <w:p w14:paraId="641EC323">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8" w:space="0"/>
                    <w:right w:val="single" w:color="auto" w:sz="8" w:space="0"/>
                  </w:tcBorders>
                  <w:vAlign w:val="center"/>
                </w:tcPr>
                <w:p w14:paraId="5BCDEE8C">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8" w:space="0"/>
                    <w:right w:val="nil"/>
                  </w:tcBorders>
                  <w:vAlign w:val="center"/>
                </w:tcPr>
                <w:p w14:paraId="66EE287F">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380977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5" w:hRule="atLeast"/>
              </w:trPr>
              <w:tc>
                <w:tcPr>
                  <w:tcW w:w="348" w:type="dxa"/>
                  <w:vMerge w:val="continue"/>
                  <w:tcBorders>
                    <w:top w:val="single" w:color="auto" w:sz="12" w:space="0"/>
                    <w:left w:val="nil"/>
                    <w:bottom w:val="single" w:color="auto" w:sz="8" w:space="0"/>
                    <w:right w:val="single" w:color="auto" w:sz="8" w:space="0"/>
                  </w:tcBorders>
                  <w:vAlign w:val="center"/>
                </w:tcPr>
                <w:p w14:paraId="4ED96F23">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12" w:space="0"/>
                    <w:left w:val="single" w:color="auto" w:sz="8" w:space="0"/>
                    <w:bottom w:val="single" w:color="auto" w:sz="8" w:space="0"/>
                    <w:right w:val="single" w:color="auto" w:sz="8" w:space="0"/>
                  </w:tcBorders>
                  <w:vAlign w:val="center"/>
                </w:tcPr>
                <w:p w14:paraId="1F27D499">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地下水保护</w:t>
                  </w:r>
                </w:p>
              </w:tc>
              <w:tc>
                <w:tcPr>
                  <w:tcW w:w="4396" w:type="dxa"/>
                  <w:tcBorders>
                    <w:top w:val="single" w:color="auto" w:sz="12" w:space="0"/>
                    <w:left w:val="single" w:color="auto" w:sz="8" w:space="0"/>
                    <w:bottom w:val="single" w:color="auto" w:sz="8" w:space="0"/>
                    <w:right w:val="single" w:color="auto" w:sz="8" w:space="0"/>
                  </w:tcBorders>
                  <w:vAlign w:val="center"/>
                </w:tcPr>
                <w:p w14:paraId="439AC574">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场区进行分区防渗：划分重点防渗区、一般防渗区、简单防渗区：</w:t>
                  </w:r>
                </w:p>
                <w:p w14:paraId="54C2DE7C">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重点防渗区：污水处理站、</w:t>
                  </w:r>
                  <w:r>
                    <w:rPr>
                      <w:rFonts w:hint="eastAsia" w:cs="Times New Roman"/>
                      <w:color w:val="auto"/>
                      <w:sz w:val="21"/>
                      <w:szCs w:val="21"/>
                      <w:highlight w:val="none"/>
                      <w:lang w:val="en-US" w:eastAsia="zh-CN"/>
                    </w:rPr>
                    <w:t>危废暂存间、病体间、</w:t>
                  </w:r>
                  <w:r>
                    <w:rPr>
                      <w:rFonts w:hint="default" w:ascii="Times New Roman" w:hAnsi="Times New Roman" w:eastAsia="宋体" w:cs="Times New Roman"/>
                      <w:color w:val="auto"/>
                      <w:sz w:val="21"/>
                      <w:szCs w:val="21"/>
                      <w:highlight w:val="none"/>
                    </w:rPr>
                    <w:t>猪粪</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猪毛、肠内容物暂存间</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事故应急池</w:t>
                  </w:r>
                  <w:r>
                    <w:rPr>
                      <w:rFonts w:hint="default" w:ascii="Times New Roman" w:hAnsi="Times New Roman" w:eastAsia="宋体" w:cs="Times New Roman"/>
                      <w:color w:val="auto"/>
                      <w:sz w:val="21"/>
                      <w:szCs w:val="21"/>
                      <w:highlight w:val="none"/>
                    </w:rPr>
                    <w:t>；</w:t>
                  </w:r>
                </w:p>
                <w:p w14:paraId="58B41416">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一般防渗区：屠</w:t>
                  </w:r>
                  <w:r>
                    <w:rPr>
                      <w:rFonts w:hint="eastAsia" w:ascii="Times New Roman" w:hAnsi="Times New Roman" w:eastAsia="宋体" w:cs="Times New Roman"/>
                      <w:color w:val="auto"/>
                      <w:sz w:val="21"/>
                      <w:szCs w:val="21"/>
                      <w:highlight w:val="none"/>
                      <w:lang w:val="en-US" w:eastAsia="zh-CN"/>
                    </w:rPr>
                    <w:t>生产区</w:t>
                  </w:r>
                  <w:r>
                    <w:rPr>
                      <w:rFonts w:hint="eastAsia" w:cs="Times New Roman"/>
                      <w:color w:val="auto"/>
                      <w:sz w:val="21"/>
                      <w:szCs w:val="21"/>
                      <w:highlight w:val="none"/>
                      <w:lang w:val="en-US" w:eastAsia="zh-CN"/>
                    </w:rPr>
                    <w:t>等</w:t>
                  </w:r>
                  <w:r>
                    <w:rPr>
                      <w:rFonts w:hint="default" w:ascii="Times New Roman" w:hAnsi="Times New Roman" w:eastAsia="宋体" w:cs="Times New Roman"/>
                      <w:color w:val="auto"/>
                      <w:sz w:val="21"/>
                      <w:szCs w:val="21"/>
                      <w:highlight w:val="none"/>
                    </w:rPr>
                    <w:t>；</w:t>
                  </w:r>
                </w:p>
                <w:p w14:paraId="26671653">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简单防渗区：其余区域，地面硬化处理。</w:t>
                  </w:r>
                </w:p>
              </w:tc>
              <w:tc>
                <w:tcPr>
                  <w:tcW w:w="960" w:type="dxa"/>
                  <w:vMerge w:val="continue"/>
                  <w:tcBorders>
                    <w:top w:val="single" w:color="auto" w:sz="12" w:space="0"/>
                    <w:left w:val="single" w:color="auto" w:sz="8" w:space="0"/>
                    <w:right w:val="single" w:color="auto" w:sz="8" w:space="0"/>
                  </w:tcBorders>
                  <w:vAlign w:val="center"/>
                </w:tcPr>
                <w:p w14:paraId="60815E72">
                  <w:pPr>
                    <w:jc w:val="center"/>
                    <w:rPr>
                      <w:rFonts w:hint="default" w:ascii="Times New Roman" w:hAnsi="Times New Roman" w:eastAsia="宋体" w:cs="Times New Roman"/>
                      <w:color w:val="auto"/>
                      <w:sz w:val="21"/>
                      <w:szCs w:val="21"/>
                      <w:highlight w:val="none"/>
                    </w:rPr>
                  </w:pPr>
                </w:p>
              </w:tc>
              <w:tc>
                <w:tcPr>
                  <w:tcW w:w="780" w:type="dxa"/>
                  <w:tcBorders>
                    <w:top w:val="single" w:color="auto" w:sz="12" w:space="0"/>
                    <w:left w:val="single" w:color="auto" w:sz="8" w:space="0"/>
                    <w:bottom w:val="single" w:color="auto" w:sz="8" w:space="0"/>
                    <w:right w:val="single" w:color="auto" w:sz="8" w:space="0"/>
                  </w:tcBorders>
                  <w:vAlign w:val="center"/>
                </w:tcPr>
                <w:p w14:paraId="447A214E">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12" w:space="0"/>
                    <w:left w:val="single" w:color="auto" w:sz="8" w:space="0"/>
                    <w:bottom w:val="single" w:color="auto" w:sz="8" w:space="0"/>
                    <w:right w:val="nil"/>
                  </w:tcBorders>
                  <w:vAlign w:val="center"/>
                </w:tcPr>
                <w:p w14:paraId="1D5078C5">
                  <w:pPr>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新建</w:t>
                  </w:r>
                </w:p>
              </w:tc>
            </w:tr>
            <w:tr w14:paraId="7BED8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348" w:type="dxa"/>
                  <w:vMerge w:val="continue"/>
                  <w:tcBorders>
                    <w:top w:val="single" w:color="auto" w:sz="8" w:space="0"/>
                    <w:left w:val="nil"/>
                    <w:bottom w:val="single" w:color="auto" w:sz="12" w:space="0"/>
                    <w:right w:val="single" w:color="auto" w:sz="8" w:space="0"/>
                  </w:tcBorders>
                  <w:vAlign w:val="center"/>
                </w:tcPr>
                <w:p w14:paraId="7B2163C1">
                  <w:pPr>
                    <w:jc w:val="center"/>
                    <w:rPr>
                      <w:rFonts w:hint="default" w:ascii="Times New Roman" w:hAnsi="Times New Roman" w:eastAsia="宋体" w:cs="Times New Roman"/>
                      <w:color w:val="auto"/>
                      <w:sz w:val="21"/>
                      <w:szCs w:val="21"/>
                      <w:highlight w:val="none"/>
                    </w:rPr>
                  </w:pPr>
                </w:p>
              </w:tc>
              <w:tc>
                <w:tcPr>
                  <w:tcW w:w="1161" w:type="dxa"/>
                  <w:gridSpan w:val="4"/>
                  <w:tcBorders>
                    <w:top w:val="single" w:color="auto" w:sz="8" w:space="0"/>
                    <w:left w:val="single" w:color="auto" w:sz="8" w:space="0"/>
                    <w:bottom w:val="single" w:color="auto" w:sz="12" w:space="0"/>
                    <w:right w:val="single" w:color="auto" w:sz="8" w:space="0"/>
                  </w:tcBorders>
                  <w:vAlign w:val="center"/>
                </w:tcPr>
                <w:p w14:paraId="370D3A57">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风险防范措施</w:t>
                  </w:r>
                </w:p>
              </w:tc>
              <w:tc>
                <w:tcPr>
                  <w:tcW w:w="4396" w:type="dxa"/>
                  <w:tcBorders>
                    <w:top w:val="single" w:color="auto" w:sz="8" w:space="0"/>
                    <w:left w:val="single" w:color="auto" w:sz="8" w:space="0"/>
                    <w:bottom w:val="single" w:color="auto" w:sz="12" w:space="0"/>
                    <w:right w:val="single" w:color="auto" w:sz="8" w:space="0"/>
                  </w:tcBorders>
                  <w:vAlign w:val="center"/>
                </w:tcPr>
                <w:p w14:paraId="45D57A94">
                  <w:pPr>
                    <w:keepNext w:val="0"/>
                    <w:keepLines w:val="0"/>
                    <w:widowControl/>
                    <w:suppressLineNumbers w:val="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eastAsia" w:cs="Times New Roman"/>
                      <w:color w:val="auto"/>
                      <w:sz w:val="21"/>
                      <w:szCs w:val="21"/>
                      <w:highlight w:val="none"/>
                      <w:lang w:val="en-US" w:eastAsia="zh-CN"/>
                    </w:rPr>
                    <w:t>事故应急池有效容积不小于</w:t>
                  </w:r>
                  <w:r>
                    <w:rPr>
                      <w:rFonts w:hint="default" w:ascii="Times New Roman" w:hAnsi="Times New Roman" w:eastAsia="宋体" w:cs="Times New Roman"/>
                      <w:color w:val="auto"/>
                      <w:sz w:val="21"/>
                      <w:szCs w:val="21"/>
                      <w:highlight w:val="none"/>
                    </w:rPr>
                    <w:t>4</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位于危废间和粪污间下方</w:t>
                  </w:r>
                  <w:r>
                    <w:rPr>
                      <w:rFonts w:hint="default" w:ascii="Times New Roman" w:hAnsi="Times New Roman" w:eastAsia="宋体" w:cs="Times New Roman"/>
                      <w:color w:val="auto"/>
                      <w:sz w:val="21"/>
                      <w:szCs w:val="21"/>
                      <w:highlight w:val="none"/>
                    </w:rPr>
                    <w:t>；制定完善的风险防范措施及应急预案。</w:t>
                  </w:r>
                </w:p>
              </w:tc>
              <w:tc>
                <w:tcPr>
                  <w:tcW w:w="960" w:type="dxa"/>
                  <w:vMerge w:val="continue"/>
                  <w:tcBorders>
                    <w:left w:val="single" w:color="auto" w:sz="8" w:space="0"/>
                    <w:bottom w:val="single" w:color="auto" w:sz="12" w:space="0"/>
                    <w:right w:val="single" w:color="auto" w:sz="8" w:space="0"/>
                  </w:tcBorders>
                  <w:vAlign w:val="center"/>
                </w:tcPr>
                <w:p w14:paraId="18DB6B73">
                  <w:pPr>
                    <w:jc w:val="center"/>
                    <w:rPr>
                      <w:rFonts w:hint="default" w:ascii="Times New Roman" w:hAnsi="Times New Roman" w:eastAsia="宋体" w:cs="Times New Roman"/>
                      <w:color w:val="auto"/>
                      <w:sz w:val="21"/>
                      <w:szCs w:val="21"/>
                      <w:highlight w:val="none"/>
                    </w:rPr>
                  </w:pPr>
                </w:p>
              </w:tc>
              <w:tc>
                <w:tcPr>
                  <w:tcW w:w="780" w:type="dxa"/>
                  <w:tcBorders>
                    <w:top w:val="single" w:color="auto" w:sz="8" w:space="0"/>
                    <w:left w:val="single" w:color="auto" w:sz="8" w:space="0"/>
                    <w:bottom w:val="single" w:color="auto" w:sz="12" w:space="0"/>
                    <w:right w:val="single" w:color="auto" w:sz="8" w:space="0"/>
                  </w:tcBorders>
                  <w:vAlign w:val="center"/>
                </w:tcPr>
                <w:p w14:paraId="38D01B7C">
                  <w:pPr>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w:t>
                  </w:r>
                </w:p>
              </w:tc>
              <w:tc>
                <w:tcPr>
                  <w:tcW w:w="746" w:type="dxa"/>
                  <w:tcBorders>
                    <w:top w:val="single" w:color="auto" w:sz="8" w:space="0"/>
                    <w:left w:val="single" w:color="auto" w:sz="8" w:space="0"/>
                    <w:bottom w:val="single" w:color="auto" w:sz="12" w:space="0"/>
                    <w:right w:val="nil"/>
                  </w:tcBorders>
                  <w:vAlign w:val="center"/>
                </w:tcPr>
                <w:p w14:paraId="7CC50BBD">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新建</w:t>
                  </w:r>
                </w:p>
              </w:tc>
            </w:tr>
          </w:tbl>
          <w:p w14:paraId="0910131F">
            <w:pPr>
              <w:pStyle w:val="15"/>
              <w:spacing w:line="360" w:lineRule="auto"/>
              <w:ind w:left="0" w:right="0" w:firstLine="482" w:firstLineChars="200"/>
              <w:jc w:val="left"/>
              <w:rPr>
                <w:rFonts w:hint="default" w:ascii="Times New Roman" w:hAnsi="Times New Roman" w:eastAsia="宋体" w:cs="Times New Roman"/>
                <w:bCs/>
                <w:color w:val="auto"/>
                <w:sz w:val="24"/>
                <w:szCs w:val="24"/>
                <w:highlight w:val="none"/>
              </w:rPr>
            </w:pPr>
            <w:r>
              <w:rPr>
                <w:rFonts w:hint="eastAsia" w:cs="Times New Roman"/>
                <w:bCs/>
                <w:color w:val="auto"/>
                <w:sz w:val="24"/>
                <w:szCs w:val="24"/>
                <w:highlight w:val="none"/>
                <w:lang w:val="en-US" w:eastAsia="zh-CN"/>
              </w:rPr>
              <w:t>5</w:t>
            </w:r>
            <w:r>
              <w:rPr>
                <w:rFonts w:hint="default" w:ascii="Times New Roman" w:hAnsi="Times New Roman" w:eastAsia="宋体" w:cs="Times New Roman"/>
                <w:bCs/>
                <w:color w:val="auto"/>
                <w:sz w:val="24"/>
                <w:szCs w:val="24"/>
                <w:highlight w:val="none"/>
              </w:rPr>
              <w:t>、主要设备及原辅料</w:t>
            </w:r>
          </w:p>
          <w:p w14:paraId="6328C2F2">
            <w:pPr>
              <w:pStyle w:val="15"/>
              <w:spacing w:line="360" w:lineRule="auto"/>
              <w:ind w:left="0" w:right="0" w:firstLine="480" w:firstLineChars="200"/>
              <w:jc w:val="left"/>
              <w:rPr>
                <w:rFonts w:hint="default" w:ascii="Times New Roman" w:hAnsi="Times New Roman" w:eastAsia="宋体" w:cs="Times New Roman"/>
                <w:b w:val="0"/>
                <w:color w:val="auto"/>
                <w:sz w:val="24"/>
                <w:szCs w:val="24"/>
                <w:highlight w:val="none"/>
              </w:rPr>
            </w:pPr>
            <w:r>
              <w:rPr>
                <w:rFonts w:hint="default" w:ascii="Times New Roman" w:hAnsi="Times New Roman" w:eastAsia="宋体" w:cs="Times New Roman"/>
                <w:b w:val="0"/>
                <w:color w:val="auto"/>
                <w:sz w:val="24"/>
                <w:szCs w:val="24"/>
                <w:highlight w:val="none"/>
              </w:rPr>
              <w:t>(1</w:t>
            </w:r>
            <w:r>
              <w:rPr>
                <w:rFonts w:hint="eastAsia" w:cs="Times New Roman"/>
                <w:b w:val="0"/>
                <w:color w:val="auto"/>
                <w:sz w:val="24"/>
                <w:szCs w:val="24"/>
                <w:highlight w:val="none"/>
                <w:lang w:eastAsia="zh-CN"/>
              </w:rPr>
              <w:t>）</w:t>
            </w:r>
            <w:r>
              <w:rPr>
                <w:rFonts w:hint="default" w:ascii="Times New Roman" w:hAnsi="Times New Roman" w:eastAsia="宋体" w:cs="Times New Roman"/>
                <w:b w:val="0"/>
                <w:color w:val="auto"/>
                <w:sz w:val="24"/>
                <w:szCs w:val="24"/>
                <w:highlight w:val="none"/>
              </w:rPr>
              <w:t>主要生产设备</w:t>
            </w:r>
          </w:p>
          <w:p w14:paraId="14CD16B3">
            <w:pPr>
              <w:pStyle w:val="15"/>
              <w:spacing w:line="360" w:lineRule="auto"/>
              <w:ind w:left="0" w:right="0" w:firstLine="480" w:firstLineChars="200"/>
              <w:jc w:val="left"/>
              <w:rPr>
                <w:rFonts w:hint="default" w:ascii="Times New Roman" w:hAnsi="Times New Roman" w:eastAsia="宋体" w:cs="Times New Roman"/>
                <w:b w:val="0"/>
                <w:color w:val="auto"/>
                <w:sz w:val="24"/>
                <w:szCs w:val="24"/>
                <w:highlight w:val="none"/>
              </w:rPr>
            </w:pPr>
            <w:r>
              <w:rPr>
                <w:rFonts w:hint="default" w:ascii="Times New Roman" w:hAnsi="Times New Roman" w:eastAsia="宋体" w:cs="Times New Roman"/>
                <w:b w:val="0"/>
                <w:color w:val="auto"/>
                <w:sz w:val="24"/>
                <w:szCs w:val="24"/>
                <w:highlight w:val="none"/>
              </w:rPr>
              <w:t>本项目主要生产设备见下表。</w:t>
            </w:r>
          </w:p>
          <w:p w14:paraId="665139B2">
            <w:pPr>
              <w:pStyle w:val="15"/>
              <w:numPr>
                <w:ilvl w:val="0"/>
                <w:numId w:val="7"/>
              </w:numPr>
              <w:ind w:left="425" w:leftChars="0" w:hanging="425" w:firstLineChars="0"/>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项目主要生产设备一览表</w:t>
            </w:r>
          </w:p>
          <w:tbl>
            <w:tblPr>
              <w:tblStyle w:val="32"/>
              <w:tblW w:w="830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971"/>
              <w:gridCol w:w="2303"/>
              <w:gridCol w:w="798"/>
              <w:gridCol w:w="798"/>
              <w:gridCol w:w="1722"/>
            </w:tblGrid>
            <w:tr w14:paraId="30C20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636BA2FE">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1971" w:type="dxa"/>
                  <w:noWrap w:val="0"/>
                  <w:vAlign w:val="center"/>
                </w:tcPr>
                <w:p w14:paraId="33FA0126">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设备名称</w:t>
                  </w:r>
                </w:p>
              </w:tc>
              <w:tc>
                <w:tcPr>
                  <w:tcW w:w="2303" w:type="dxa"/>
                  <w:noWrap w:val="0"/>
                  <w:vAlign w:val="center"/>
                </w:tcPr>
                <w:p w14:paraId="1AC5843E">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型号</w:t>
                  </w:r>
                </w:p>
              </w:tc>
              <w:tc>
                <w:tcPr>
                  <w:tcW w:w="798" w:type="dxa"/>
                  <w:noWrap w:val="0"/>
                  <w:vAlign w:val="center"/>
                </w:tcPr>
                <w:p w14:paraId="07E2D766">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单位</w:t>
                  </w:r>
                </w:p>
              </w:tc>
              <w:tc>
                <w:tcPr>
                  <w:tcW w:w="798" w:type="dxa"/>
                  <w:noWrap w:val="0"/>
                  <w:vAlign w:val="center"/>
                </w:tcPr>
                <w:p w14:paraId="458CB5BC">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数量</w:t>
                  </w:r>
                </w:p>
              </w:tc>
              <w:tc>
                <w:tcPr>
                  <w:tcW w:w="1722" w:type="dxa"/>
                  <w:noWrap w:val="0"/>
                  <w:vAlign w:val="center"/>
                </w:tcPr>
                <w:p w14:paraId="287CE2B3">
                  <w:pPr>
                    <w:adjustRightInd w:val="0"/>
                    <w:snapToGrid w:val="0"/>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布设位置</w:t>
                  </w:r>
                </w:p>
              </w:tc>
            </w:tr>
            <w:tr w14:paraId="3F445E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303" w:type="dxa"/>
                  <w:gridSpan w:val="6"/>
                  <w:noWrap w:val="0"/>
                  <w:vAlign w:val="center"/>
                </w:tcPr>
                <w:p w14:paraId="04031C33">
                  <w:pPr>
                    <w:adjustRightInd w:val="0"/>
                    <w:snapToGrid w:val="0"/>
                    <w:jc w:val="center"/>
                    <w:rPr>
                      <w:rFonts w:hint="default"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一、生产设备</w:t>
                  </w:r>
                </w:p>
              </w:tc>
            </w:tr>
            <w:tr w14:paraId="39C38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7CF43C1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1971" w:type="dxa"/>
                  <w:noWrap w:val="0"/>
                  <w:vAlign w:val="center"/>
                </w:tcPr>
                <w:p w14:paraId="2059870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新式毛猪托胸活挂机</w:t>
                  </w:r>
                </w:p>
              </w:tc>
              <w:tc>
                <w:tcPr>
                  <w:tcW w:w="2303" w:type="dxa"/>
                  <w:noWrap w:val="0"/>
                  <w:vAlign w:val="center"/>
                </w:tcPr>
                <w:p w14:paraId="52B6E31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外型尺寸：5800×1200×1650(长×宽×高</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装机功率：3kw</w:t>
                  </w:r>
                </w:p>
              </w:tc>
              <w:tc>
                <w:tcPr>
                  <w:tcW w:w="798" w:type="dxa"/>
                  <w:noWrap w:val="0"/>
                  <w:vAlign w:val="center"/>
                </w:tcPr>
                <w:p w14:paraId="2DAAA6E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台</w:t>
                  </w:r>
                </w:p>
              </w:tc>
              <w:tc>
                <w:tcPr>
                  <w:tcW w:w="798" w:type="dxa"/>
                  <w:noWrap w:val="0"/>
                  <w:vAlign w:val="center"/>
                </w:tcPr>
                <w:p w14:paraId="3DED0C4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22" w:type="dxa"/>
                  <w:noWrap w:val="0"/>
                  <w:vAlign w:val="center"/>
                </w:tcPr>
                <w:p w14:paraId="11F1A15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222F0F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1B03E01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971" w:type="dxa"/>
                  <w:noWrap w:val="0"/>
                  <w:vAlign w:val="center"/>
                </w:tcPr>
                <w:p w14:paraId="7F276B4D">
                  <w:pPr>
                    <w:adjustRightInd w:val="0"/>
                    <w:snapToGrid w:val="0"/>
                    <w:jc w:val="center"/>
                    <w:rPr>
                      <w:rFonts w:hint="default" w:ascii="Times New Roman" w:hAnsi="Times New Roman" w:eastAsia="宋体" w:cs="Times New Roman"/>
                      <w:color w:val="auto"/>
                      <w:sz w:val="21"/>
                      <w:szCs w:val="21"/>
                      <w:highlight w:val="none"/>
                      <w:lang w:val="en-US" w:eastAsia="zh-CN"/>
                    </w:rPr>
                  </w:pPr>
                  <w:r>
                    <w:rPr>
                      <w:color w:val="auto"/>
                      <w:spacing w:val="2"/>
                      <w:sz w:val="21"/>
                      <w:szCs w:val="21"/>
                      <w:highlight w:val="none"/>
                    </w:rPr>
                    <w:t>毛猪放血自动线</w:t>
                  </w:r>
                </w:p>
              </w:tc>
              <w:tc>
                <w:tcPr>
                  <w:tcW w:w="2303" w:type="dxa"/>
                  <w:noWrap w:val="0"/>
                  <w:vAlign w:val="center"/>
                </w:tcPr>
                <w:p w14:paraId="4FB4602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新式模锻链</w:t>
                  </w:r>
                </w:p>
              </w:tc>
              <w:tc>
                <w:tcPr>
                  <w:tcW w:w="798" w:type="dxa"/>
                  <w:noWrap w:val="0"/>
                  <w:vAlign w:val="center"/>
                </w:tcPr>
                <w:p w14:paraId="4B400F8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米</w:t>
                  </w:r>
                </w:p>
              </w:tc>
              <w:tc>
                <w:tcPr>
                  <w:tcW w:w="798" w:type="dxa"/>
                  <w:noWrap w:val="0"/>
                  <w:vAlign w:val="center"/>
                </w:tcPr>
                <w:p w14:paraId="2D653DE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35</w:t>
                  </w:r>
                </w:p>
              </w:tc>
              <w:tc>
                <w:tcPr>
                  <w:tcW w:w="1722" w:type="dxa"/>
                  <w:noWrap w:val="0"/>
                  <w:vAlign w:val="center"/>
                </w:tcPr>
                <w:p w14:paraId="6F3E900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22500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45FF5E2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971" w:type="dxa"/>
                  <w:noWrap w:val="0"/>
                  <w:vAlign w:val="center"/>
                </w:tcPr>
                <w:p w14:paraId="1DD27D2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动力系统</w:t>
                  </w:r>
                </w:p>
              </w:tc>
              <w:tc>
                <w:tcPr>
                  <w:tcW w:w="2303" w:type="dxa"/>
                  <w:noWrap w:val="0"/>
                  <w:vAlign w:val="center"/>
                </w:tcPr>
                <w:p w14:paraId="6D70412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22277C4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032E07A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22" w:type="dxa"/>
                  <w:noWrap w:val="0"/>
                  <w:vAlign w:val="center"/>
                </w:tcPr>
                <w:p w14:paraId="417B0E6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3D229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1637D9B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1971" w:type="dxa"/>
                  <w:noWrap w:val="0"/>
                  <w:vAlign w:val="center"/>
                </w:tcPr>
                <w:p w14:paraId="3849B76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涨紧装置</w:t>
                  </w:r>
                </w:p>
              </w:tc>
              <w:tc>
                <w:tcPr>
                  <w:tcW w:w="2303" w:type="dxa"/>
                  <w:noWrap w:val="0"/>
                  <w:vAlign w:val="center"/>
                </w:tcPr>
                <w:p w14:paraId="6DCA6E9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511A44E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34B0594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22" w:type="dxa"/>
                  <w:noWrap w:val="0"/>
                  <w:vAlign w:val="center"/>
                </w:tcPr>
                <w:p w14:paraId="7CA6E49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0AFA1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6612693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971" w:type="dxa"/>
                  <w:shd w:val="clear" w:color="auto" w:fill="auto"/>
                  <w:noWrap w:val="0"/>
                  <w:vAlign w:val="top"/>
                </w:tcPr>
                <w:p w14:paraId="64C00CC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导向装置</w:t>
                  </w:r>
                </w:p>
              </w:tc>
              <w:tc>
                <w:tcPr>
                  <w:tcW w:w="2303" w:type="dxa"/>
                  <w:noWrap w:val="0"/>
                  <w:vAlign w:val="center"/>
                </w:tcPr>
                <w:p w14:paraId="1BF9E84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07E617D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385C9FA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1722" w:type="dxa"/>
                  <w:noWrap w:val="0"/>
                  <w:vAlign w:val="center"/>
                </w:tcPr>
                <w:p w14:paraId="2CFEF92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790A6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5F71222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1971" w:type="dxa"/>
                  <w:shd w:val="clear" w:color="auto" w:fill="auto"/>
                  <w:noWrap w:val="0"/>
                  <w:vAlign w:val="top"/>
                </w:tcPr>
                <w:p w14:paraId="4EB3115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毛猪清洗机</w:t>
                  </w:r>
                </w:p>
              </w:tc>
              <w:tc>
                <w:tcPr>
                  <w:tcW w:w="2303" w:type="dxa"/>
                  <w:noWrap w:val="0"/>
                  <w:vAlign w:val="center"/>
                </w:tcPr>
                <w:p w14:paraId="2DD9382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7249DA9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07CC555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22" w:type="dxa"/>
                  <w:noWrap w:val="0"/>
                  <w:vAlign w:val="center"/>
                </w:tcPr>
                <w:p w14:paraId="59030FC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7D0AD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6620E24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1971" w:type="dxa"/>
                  <w:shd w:val="clear" w:color="auto" w:fill="auto"/>
                  <w:noWrap w:val="0"/>
                  <w:vAlign w:val="top"/>
                </w:tcPr>
                <w:p w14:paraId="201C937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气动落猪器</w:t>
                  </w:r>
                </w:p>
              </w:tc>
              <w:tc>
                <w:tcPr>
                  <w:tcW w:w="2303" w:type="dxa"/>
                  <w:noWrap w:val="0"/>
                  <w:vAlign w:val="center"/>
                </w:tcPr>
                <w:p w14:paraId="794AAD8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7E2EE24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76355BD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22" w:type="dxa"/>
                  <w:noWrap w:val="0"/>
                  <w:vAlign w:val="center"/>
                </w:tcPr>
                <w:p w14:paraId="3D68535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6CA74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6DB6FBC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1971" w:type="dxa"/>
                  <w:shd w:val="clear" w:color="auto" w:fill="auto"/>
                  <w:noWrap w:val="0"/>
                  <w:vAlign w:val="top"/>
                </w:tcPr>
                <w:p w14:paraId="3DBE11E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接猪台</w:t>
                  </w:r>
                </w:p>
              </w:tc>
              <w:tc>
                <w:tcPr>
                  <w:tcW w:w="2303" w:type="dxa"/>
                  <w:noWrap w:val="0"/>
                  <w:vAlign w:val="center"/>
                </w:tcPr>
                <w:p w14:paraId="78E6BC1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4FC638B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46704C1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722" w:type="dxa"/>
                  <w:noWrap w:val="0"/>
                  <w:vAlign w:val="center"/>
                </w:tcPr>
                <w:p w14:paraId="4C7AEDF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32633F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15E3E4A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1971" w:type="dxa"/>
                  <w:shd w:val="clear" w:color="auto" w:fill="auto"/>
                  <w:noWrap w:val="0"/>
                  <w:vAlign w:val="top"/>
                </w:tcPr>
                <w:p w14:paraId="3A0BE22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封闭式摇烫池</w:t>
                  </w:r>
                </w:p>
              </w:tc>
              <w:tc>
                <w:tcPr>
                  <w:tcW w:w="2303" w:type="dxa"/>
                  <w:noWrap w:val="0"/>
                  <w:vAlign w:val="center"/>
                </w:tcPr>
                <w:p w14:paraId="4A0877A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12ED86C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1D95D8A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noWrap w:val="0"/>
                  <w:vAlign w:val="center"/>
                </w:tcPr>
                <w:p w14:paraId="3AB53BD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1FC43E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4539C88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1971" w:type="dxa"/>
                  <w:noWrap w:val="0"/>
                  <w:vAlign w:val="top"/>
                </w:tcPr>
                <w:p w14:paraId="6587082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400型液压创毛机</w:t>
                  </w:r>
                </w:p>
              </w:tc>
              <w:tc>
                <w:tcPr>
                  <w:tcW w:w="2303" w:type="dxa"/>
                  <w:noWrap w:val="0"/>
                  <w:vAlign w:val="center"/>
                </w:tcPr>
                <w:p w14:paraId="5C3435B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功率：25.5Kw</w:t>
                  </w:r>
                </w:p>
              </w:tc>
              <w:tc>
                <w:tcPr>
                  <w:tcW w:w="798" w:type="dxa"/>
                  <w:noWrap w:val="0"/>
                  <w:vAlign w:val="center"/>
                </w:tcPr>
                <w:p w14:paraId="420319F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32E9C99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noWrap w:val="0"/>
                  <w:vAlign w:val="center"/>
                </w:tcPr>
                <w:p w14:paraId="0EF4A52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4C7F0F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1228F94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w:t>
                  </w:r>
                </w:p>
              </w:tc>
              <w:tc>
                <w:tcPr>
                  <w:tcW w:w="1971" w:type="dxa"/>
                  <w:noWrap w:val="0"/>
                  <w:vAlign w:val="top"/>
                </w:tcPr>
                <w:p w14:paraId="3853F61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清水池</w:t>
                  </w:r>
                </w:p>
              </w:tc>
              <w:tc>
                <w:tcPr>
                  <w:tcW w:w="2303" w:type="dxa"/>
                  <w:noWrap w:val="0"/>
                  <w:vAlign w:val="center"/>
                </w:tcPr>
                <w:p w14:paraId="3B55C7C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5000*1800mm</w:t>
                  </w:r>
                </w:p>
              </w:tc>
              <w:tc>
                <w:tcPr>
                  <w:tcW w:w="798" w:type="dxa"/>
                  <w:noWrap w:val="0"/>
                  <w:vAlign w:val="center"/>
                </w:tcPr>
                <w:p w14:paraId="1D51AE5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台</w:t>
                  </w:r>
                </w:p>
              </w:tc>
              <w:tc>
                <w:tcPr>
                  <w:tcW w:w="798" w:type="dxa"/>
                  <w:noWrap w:val="0"/>
                  <w:vAlign w:val="center"/>
                </w:tcPr>
                <w:p w14:paraId="64F812B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noWrap w:val="0"/>
                  <w:vAlign w:val="center"/>
                </w:tcPr>
                <w:p w14:paraId="43C8E9F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34A05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582AB3A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w:t>
                  </w:r>
                </w:p>
              </w:tc>
              <w:tc>
                <w:tcPr>
                  <w:tcW w:w="1971" w:type="dxa"/>
                  <w:noWrap w:val="0"/>
                  <w:vAlign w:val="top"/>
                </w:tcPr>
                <w:p w14:paraId="02E2226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白条提升机</w:t>
                  </w:r>
                </w:p>
              </w:tc>
              <w:tc>
                <w:tcPr>
                  <w:tcW w:w="2303" w:type="dxa"/>
                  <w:noWrap w:val="0"/>
                  <w:vAlign w:val="center"/>
                </w:tcPr>
                <w:p w14:paraId="3ECF344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封闭步进链条驱动结构，N=2.2kw</w:t>
                  </w:r>
                </w:p>
              </w:tc>
              <w:tc>
                <w:tcPr>
                  <w:tcW w:w="798" w:type="dxa"/>
                  <w:noWrap w:val="0"/>
                  <w:vAlign w:val="center"/>
                </w:tcPr>
                <w:p w14:paraId="2D52E26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台</w:t>
                  </w:r>
                </w:p>
              </w:tc>
              <w:tc>
                <w:tcPr>
                  <w:tcW w:w="798" w:type="dxa"/>
                  <w:noWrap w:val="0"/>
                  <w:vAlign w:val="center"/>
                </w:tcPr>
                <w:p w14:paraId="003845E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noWrap w:val="0"/>
                  <w:vAlign w:val="center"/>
                </w:tcPr>
                <w:p w14:paraId="5F02A67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屠宰车间</w:t>
                  </w:r>
                </w:p>
              </w:tc>
            </w:tr>
            <w:tr w14:paraId="07ABFF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711" w:type="dxa"/>
                  <w:noWrap w:val="0"/>
                  <w:vAlign w:val="center"/>
                </w:tcPr>
                <w:p w14:paraId="5C794A3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w:t>
                  </w:r>
                </w:p>
              </w:tc>
              <w:tc>
                <w:tcPr>
                  <w:tcW w:w="1971" w:type="dxa"/>
                  <w:noWrap w:val="0"/>
                  <w:vAlign w:val="top"/>
                </w:tcPr>
                <w:p w14:paraId="30CD054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同步卫检线</w:t>
                  </w:r>
                </w:p>
              </w:tc>
              <w:tc>
                <w:tcPr>
                  <w:tcW w:w="2303" w:type="dxa"/>
                  <w:noWrap w:val="0"/>
                  <w:vAlign w:val="center"/>
                </w:tcPr>
                <w:p w14:paraId="6726F43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N=3kw。</w:t>
                  </w:r>
                </w:p>
              </w:tc>
              <w:tc>
                <w:tcPr>
                  <w:tcW w:w="798" w:type="dxa"/>
                  <w:noWrap w:val="0"/>
                  <w:vAlign w:val="center"/>
                </w:tcPr>
                <w:p w14:paraId="6473FD5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米</w:t>
                  </w:r>
                </w:p>
              </w:tc>
              <w:tc>
                <w:tcPr>
                  <w:tcW w:w="798" w:type="dxa"/>
                  <w:noWrap w:val="0"/>
                  <w:vAlign w:val="center"/>
                </w:tcPr>
                <w:p w14:paraId="399FB3B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1722" w:type="dxa"/>
                  <w:noWrap w:val="0"/>
                  <w:vAlign w:val="center"/>
                </w:tcPr>
                <w:p w14:paraId="01CCDC4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324044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noWrap w:val="0"/>
                  <w:vAlign w:val="center"/>
                </w:tcPr>
                <w:p w14:paraId="6AB9F66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w:t>
                  </w:r>
                </w:p>
              </w:tc>
              <w:tc>
                <w:tcPr>
                  <w:tcW w:w="1971" w:type="dxa"/>
                  <w:noWrap w:val="0"/>
                  <w:vAlign w:val="top"/>
                </w:tcPr>
                <w:p w14:paraId="28743C0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驱动装置</w:t>
                  </w:r>
                </w:p>
              </w:tc>
              <w:tc>
                <w:tcPr>
                  <w:tcW w:w="2303" w:type="dxa"/>
                  <w:noWrap w:val="0"/>
                  <w:vAlign w:val="center"/>
                </w:tcPr>
                <w:p w14:paraId="6CDF4DB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noWrap w:val="0"/>
                  <w:vAlign w:val="center"/>
                </w:tcPr>
                <w:p w14:paraId="0339E093">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noWrap w:val="0"/>
                  <w:vAlign w:val="center"/>
                </w:tcPr>
                <w:p w14:paraId="2D822B0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noWrap w:val="0"/>
                  <w:vAlign w:val="center"/>
                </w:tcPr>
                <w:p w14:paraId="30E8F53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1628F9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2DF2A14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15</w:t>
                  </w:r>
                </w:p>
              </w:tc>
              <w:tc>
                <w:tcPr>
                  <w:tcW w:w="1971" w:type="dxa"/>
                  <w:shd w:val="clear" w:color="auto" w:fill="auto"/>
                  <w:noWrap w:val="0"/>
                  <w:vAlign w:val="top"/>
                </w:tcPr>
                <w:p w14:paraId="06E312B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涨紧装置</w:t>
                  </w:r>
                </w:p>
              </w:tc>
              <w:tc>
                <w:tcPr>
                  <w:tcW w:w="2303" w:type="dxa"/>
                  <w:shd w:val="clear" w:color="auto" w:fill="auto"/>
                  <w:noWrap w:val="0"/>
                  <w:vAlign w:val="center"/>
                </w:tcPr>
                <w:p w14:paraId="1F0F6BC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2ABF635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台</w:t>
                  </w:r>
                </w:p>
              </w:tc>
              <w:tc>
                <w:tcPr>
                  <w:tcW w:w="798" w:type="dxa"/>
                  <w:shd w:val="clear" w:color="auto" w:fill="auto"/>
                  <w:noWrap w:val="0"/>
                  <w:vAlign w:val="center"/>
                </w:tcPr>
                <w:p w14:paraId="7BADDEE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446EBC9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4EBE8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4F4660C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16</w:t>
                  </w:r>
                </w:p>
              </w:tc>
              <w:tc>
                <w:tcPr>
                  <w:tcW w:w="1971" w:type="dxa"/>
                  <w:shd w:val="clear" w:color="auto" w:fill="auto"/>
                  <w:noWrap w:val="0"/>
                  <w:vAlign w:val="top"/>
                </w:tcPr>
                <w:p w14:paraId="002E69A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白条双轨线</w:t>
                  </w:r>
                </w:p>
              </w:tc>
              <w:tc>
                <w:tcPr>
                  <w:tcW w:w="2303" w:type="dxa"/>
                  <w:shd w:val="clear" w:color="auto" w:fill="auto"/>
                  <w:noWrap w:val="0"/>
                  <w:vAlign w:val="center"/>
                </w:tcPr>
                <w:p w14:paraId="42BFDAE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05C11C7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米</w:t>
                  </w:r>
                </w:p>
              </w:tc>
              <w:tc>
                <w:tcPr>
                  <w:tcW w:w="798" w:type="dxa"/>
                  <w:shd w:val="clear" w:color="auto" w:fill="auto"/>
                  <w:noWrap w:val="0"/>
                  <w:vAlign w:val="center"/>
                </w:tcPr>
                <w:p w14:paraId="6B7E031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87</w:t>
                  </w:r>
                </w:p>
              </w:tc>
              <w:tc>
                <w:tcPr>
                  <w:tcW w:w="1722" w:type="dxa"/>
                  <w:shd w:val="clear" w:color="auto" w:fill="auto"/>
                  <w:noWrap w:val="0"/>
                  <w:vAlign w:val="center"/>
                </w:tcPr>
                <w:p w14:paraId="5D09CD6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36F106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70BF66B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17</w:t>
                  </w:r>
                </w:p>
              </w:tc>
              <w:tc>
                <w:tcPr>
                  <w:tcW w:w="1971" w:type="dxa"/>
                  <w:shd w:val="clear" w:color="auto" w:fill="auto"/>
                  <w:noWrap w:val="0"/>
                  <w:vAlign w:val="top"/>
                </w:tcPr>
                <w:p w14:paraId="12ECB22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劈半锯</w:t>
                  </w:r>
                </w:p>
              </w:tc>
              <w:tc>
                <w:tcPr>
                  <w:tcW w:w="2303" w:type="dxa"/>
                  <w:shd w:val="clear" w:color="auto" w:fill="auto"/>
                  <w:noWrap w:val="0"/>
                  <w:vAlign w:val="center"/>
                </w:tcPr>
                <w:p w14:paraId="7101C7D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2B5AABB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08C3519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24401C4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31373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3811F7E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w:t>
                  </w:r>
                </w:p>
              </w:tc>
              <w:tc>
                <w:tcPr>
                  <w:tcW w:w="1971" w:type="dxa"/>
                  <w:shd w:val="clear" w:color="auto" w:fill="auto"/>
                  <w:noWrap w:val="0"/>
                  <w:vAlign w:val="top"/>
                </w:tcPr>
                <w:p w14:paraId="2A0DD8A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平衡</w:t>
                  </w:r>
                  <w:r>
                    <w:rPr>
                      <w:rFonts w:hint="default" w:ascii="Times New Roman" w:hAnsi="Times New Roman" w:eastAsia="宋体" w:cs="Times New Roman"/>
                      <w:color w:val="auto"/>
                      <w:sz w:val="21"/>
                      <w:szCs w:val="21"/>
                      <w:highlight w:val="none"/>
                      <w:lang w:val="en-US" w:eastAsia="zh-CN"/>
                    </w:rPr>
                    <w:t>器</w:t>
                  </w:r>
                </w:p>
              </w:tc>
              <w:tc>
                <w:tcPr>
                  <w:tcW w:w="2303" w:type="dxa"/>
                  <w:shd w:val="clear" w:color="auto" w:fill="auto"/>
                  <w:noWrap w:val="0"/>
                  <w:vAlign w:val="center"/>
                </w:tcPr>
                <w:p w14:paraId="3F2715F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125F40A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台</w:t>
                  </w:r>
                </w:p>
              </w:tc>
              <w:tc>
                <w:tcPr>
                  <w:tcW w:w="798" w:type="dxa"/>
                  <w:shd w:val="clear" w:color="auto" w:fill="auto"/>
                  <w:noWrap w:val="0"/>
                  <w:vAlign w:val="center"/>
                </w:tcPr>
                <w:p w14:paraId="63B9A31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6DD3C53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679387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1D407AA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19</w:t>
                  </w:r>
                </w:p>
              </w:tc>
              <w:tc>
                <w:tcPr>
                  <w:tcW w:w="1971" w:type="dxa"/>
                  <w:shd w:val="clear" w:color="auto" w:fill="auto"/>
                  <w:noWrap w:val="0"/>
                  <w:vAlign w:val="top"/>
                </w:tcPr>
                <w:p w14:paraId="2F452D4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滑轮</w:t>
                  </w:r>
                </w:p>
              </w:tc>
              <w:tc>
                <w:tcPr>
                  <w:tcW w:w="2303" w:type="dxa"/>
                  <w:shd w:val="clear" w:color="auto" w:fill="auto"/>
                  <w:noWrap w:val="0"/>
                  <w:vAlign w:val="center"/>
                </w:tcPr>
                <w:p w14:paraId="4E4EA6E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131579C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个</w:t>
                  </w:r>
                </w:p>
              </w:tc>
              <w:tc>
                <w:tcPr>
                  <w:tcW w:w="798" w:type="dxa"/>
                  <w:shd w:val="clear" w:color="auto" w:fill="auto"/>
                  <w:noWrap w:val="0"/>
                  <w:vAlign w:val="center"/>
                </w:tcPr>
                <w:p w14:paraId="080DAB1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c>
                <w:tcPr>
                  <w:tcW w:w="1722" w:type="dxa"/>
                  <w:shd w:val="clear" w:color="auto" w:fill="auto"/>
                  <w:noWrap w:val="0"/>
                  <w:vAlign w:val="center"/>
                </w:tcPr>
                <w:p w14:paraId="3CA3028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45EB64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0BA8351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1971" w:type="dxa"/>
                  <w:shd w:val="clear" w:color="auto" w:fill="auto"/>
                  <w:noWrap w:val="0"/>
                  <w:vAlign w:val="top"/>
                </w:tcPr>
                <w:p w14:paraId="1B40019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W钩</w:t>
                  </w:r>
                </w:p>
              </w:tc>
              <w:tc>
                <w:tcPr>
                  <w:tcW w:w="2303" w:type="dxa"/>
                  <w:shd w:val="clear" w:color="auto" w:fill="auto"/>
                  <w:noWrap w:val="0"/>
                  <w:vAlign w:val="center"/>
                </w:tcPr>
                <w:p w14:paraId="2FF1290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048B4EC4">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个</w:t>
                  </w:r>
                </w:p>
              </w:tc>
              <w:tc>
                <w:tcPr>
                  <w:tcW w:w="798" w:type="dxa"/>
                  <w:shd w:val="clear" w:color="auto" w:fill="auto"/>
                  <w:noWrap w:val="0"/>
                  <w:vAlign w:val="center"/>
                </w:tcPr>
                <w:p w14:paraId="0ADABFC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c>
                <w:tcPr>
                  <w:tcW w:w="1722" w:type="dxa"/>
                  <w:shd w:val="clear" w:color="auto" w:fill="auto"/>
                  <w:noWrap w:val="0"/>
                  <w:vAlign w:val="center"/>
                </w:tcPr>
                <w:p w14:paraId="538E42F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66313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2E232FE6">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w:t>
                  </w:r>
                </w:p>
              </w:tc>
              <w:tc>
                <w:tcPr>
                  <w:tcW w:w="1971" w:type="dxa"/>
                  <w:shd w:val="clear" w:color="auto" w:fill="auto"/>
                  <w:noWrap w:val="0"/>
                  <w:vAlign w:val="top"/>
                </w:tcPr>
                <w:p w14:paraId="7776689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单项道</w:t>
                  </w:r>
                  <w:r>
                    <w:rPr>
                      <w:rFonts w:hint="eastAsia" w:ascii="Times New Roman" w:hAnsi="Times New Roman" w:eastAsia="宋体" w:cs="Times New Roman"/>
                      <w:color w:val="auto"/>
                      <w:sz w:val="21"/>
                      <w:szCs w:val="21"/>
                      <w:highlight w:val="none"/>
                      <w:lang w:val="en-US" w:eastAsia="zh-CN"/>
                    </w:rPr>
                    <w:t>岔</w:t>
                  </w:r>
                </w:p>
              </w:tc>
              <w:tc>
                <w:tcPr>
                  <w:tcW w:w="2303" w:type="dxa"/>
                  <w:shd w:val="clear" w:color="auto" w:fill="auto"/>
                  <w:noWrap w:val="0"/>
                  <w:vAlign w:val="center"/>
                </w:tcPr>
                <w:p w14:paraId="4E84BE1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3B68807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338AAD6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722" w:type="dxa"/>
                  <w:shd w:val="clear" w:color="auto" w:fill="auto"/>
                  <w:noWrap w:val="0"/>
                  <w:vAlign w:val="center"/>
                </w:tcPr>
                <w:p w14:paraId="751E63B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43195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788BCED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w:t>
                  </w:r>
                </w:p>
              </w:tc>
              <w:tc>
                <w:tcPr>
                  <w:tcW w:w="1971" w:type="dxa"/>
                  <w:shd w:val="clear" w:color="auto" w:fill="auto"/>
                  <w:noWrap w:val="0"/>
                  <w:vAlign w:val="center"/>
                </w:tcPr>
                <w:p w14:paraId="3268480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三项道岔</w:t>
                  </w:r>
                </w:p>
              </w:tc>
              <w:tc>
                <w:tcPr>
                  <w:tcW w:w="2303" w:type="dxa"/>
                  <w:shd w:val="clear" w:color="auto" w:fill="auto"/>
                  <w:noWrap w:val="0"/>
                  <w:vAlign w:val="center"/>
                </w:tcPr>
                <w:p w14:paraId="6228943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37C25E9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2036568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1722" w:type="dxa"/>
                  <w:shd w:val="clear" w:color="auto" w:fill="auto"/>
                  <w:noWrap w:val="0"/>
                  <w:vAlign w:val="center"/>
                </w:tcPr>
                <w:p w14:paraId="668C7EC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2C090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21BFFC2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w:t>
                  </w:r>
                </w:p>
              </w:tc>
              <w:tc>
                <w:tcPr>
                  <w:tcW w:w="1971" w:type="dxa"/>
                  <w:shd w:val="clear" w:color="auto" w:fill="auto"/>
                  <w:noWrap w:val="0"/>
                  <w:vAlign w:val="center"/>
                </w:tcPr>
                <w:p w14:paraId="2A764114">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内外翻弯轨</w:t>
                  </w:r>
                </w:p>
              </w:tc>
              <w:tc>
                <w:tcPr>
                  <w:tcW w:w="2303" w:type="dxa"/>
                  <w:shd w:val="clear" w:color="auto" w:fill="auto"/>
                  <w:noWrap w:val="0"/>
                  <w:vAlign w:val="center"/>
                </w:tcPr>
                <w:p w14:paraId="69E7E36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378B0CF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34215F0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722" w:type="dxa"/>
                  <w:shd w:val="clear" w:color="auto" w:fill="auto"/>
                  <w:noWrap w:val="0"/>
                  <w:vAlign w:val="center"/>
                </w:tcPr>
                <w:p w14:paraId="14F8229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6279C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2F58F7E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24</w:t>
                  </w:r>
                </w:p>
              </w:tc>
              <w:tc>
                <w:tcPr>
                  <w:tcW w:w="1971" w:type="dxa"/>
                  <w:shd w:val="clear" w:color="auto" w:fill="auto"/>
                  <w:noWrap w:val="0"/>
                  <w:vAlign w:val="center"/>
                </w:tcPr>
                <w:p w14:paraId="1ADE94AA">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电子轨道称</w:t>
                  </w:r>
                </w:p>
              </w:tc>
              <w:tc>
                <w:tcPr>
                  <w:tcW w:w="2303" w:type="dxa"/>
                  <w:shd w:val="clear" w:color="auto" w:fill="auto"/>
                  <w:noWrap w:val="0"/>
                  <w:vAlign w:val="center"/>
                </w:tcPr>
                <w:p w14:paraId="4591B95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2729112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7C690F9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683A158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1B90B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0CC6FD0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w:t>
                  </w:r>
                </w:p>
              </w:tc>
              <w:tc>
                <w:tcPr>
                  <w:tcW w:w="1971" w:type="dxa"/>
                  <w:shd w:val="clear" w:color="auto" w:fill="auto"/>
                  <w:noWrap w:val="0"/>
                  <w:vAlign w:val="center"/>
                </w:tcPr>
                <w:p w14:paraId="02505D4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扣脚链</w:t>
                  </w:r>
                </w:p>
              </w:tc>
              <w:tc>
                <w:tcPr>
                  <w:tcW w:w="2303" w:type="dxa"/>
                  <w:shd w:val="clear" w:color="auto" w:fill="auto"/>
                  <w:noWrap w:val="0"/>
                  <w:vAlign w:val="center"/>
                </w:tcPr>
                <w:p w14:paraId="347B2B2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40C0DB3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6A312A5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722" w:type="dxa"/>
                  <w:shd w:val="clear" w:color="auto" w:fill="auto"/>
                  <w:noWrap w:val="0"/>
                  <w:vAlign w:val="center"/>
                </w:tcPr>
                <w:p w14:paraId="49FAB27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分割车间</w:t>
                  </w:r>
                </w:p>
              </w:tc>
            </w:tr>
            <w:tr w14:paraId="2E1E41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303" w:type="dxa"/>
                  <w:gridSpan w:val="6"/>
                  <w:tcBorders>
                    <w:left w:val="single" w:color="auto" w:sz="4" w:space="0"/>
                  </w:tcBorders>
                  <w:noWrap w:val="0"/>
                  <w:vAlign w:val="center"/>
                </w:tcPr>
                <w:p w14:paraId="02DDA40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二、</w:t>
                  </w:r>
                  <w:r>
                    <w:rPr>
                      <w:rFonts w:hint="eastAsia" w:cs="Times New Roman"/>
                      <w:b/>
                      <w:bCs/>
                      <w:color w:val="auto"/>
                      <w:sz w:val="21"/>
                      <w:szCs w:val="21"/>
                      <w:highlight w:val="none"/>
                      <w:lang w:val="en-US" w:eastAsia="zh-CN"/>
                    </w:rPr>
                    <w:t>公辅及环保设备</w:t>
                  </w:r>
                </w:p>
              </w:tc>
            </w:tr>
            <w:tr w14:paraId="544BA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07ABA35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971" w:type="dxa"/>
                  <w:shd w:val="clear" w:color="auto" w:fill="auto"/>
                  <w:noWrap w:val="0"/>
                  <w:vAlign w:val="center"/>
                </w:tcPr>
                <w:p w14:paraId="0E4A930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一体化污水处理设施</w:t>
                  </w:r>
                </w:p>
              </w:tc>
              <w:tc>
                <w:tcPr>
                  <w:tcW w:w="2303" w:type="dxa"/>
                  <w:shd w:val="clear" w:color="auto" w:fill="auto"/>
                  <w:noWrap w:val="0"/>
                  <w:vAlign w:val="center"/>
                </w:tcPr>
                <w:p w14:paraId="0341A78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15m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/d</w:t>
                  </w:r>
                </w:p>
              </w:tc>
              <w:tc>
                <w:tcPr>
                  <w:tcW w:w="798" w:type="dxa"/>
                  <w:shd w:val="clear" w:color="auto" w:fill="auto"/>
                  <w:noWrap w:val="0"/>
                  <w:vAlign w:val="center"/>
                </w:tcPr>
                <w:p w14:paraId="6B6ECA0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2E44FE44">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2C7B25EC">
                  <w:pPr>
                    <w:adjustRightInd w:val="0"/>
                    <w:snapToGrid w:val="0"/>
                    <w:jc w:val="both"/>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污水处理</w:t>
                  </w:r>
                </w:p>
              </w:tc>
            </w:tr>
            <w:tr w14:paraId="4B4B5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1F2F144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971" w:type="dxa"/>
                  <w:shd w:val="clear" w:color="auto" w:fill="auto"/>
                  <w:noWrap w:val="0"/>
                  <w:vAlign w:val="center"/>
                </w:tcPr>
                <w:p w14:paraId="2AB60E87">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废气处理设施</w:t>
                  </w:r>
                </w:p>
              </w:tc>
              <w:tc>
                <w:tcPr>
                  <w:tcW w:w="2303" w:type="dxa"/>
                  <w:shd w:val="clear" w:color="auto" w:fill="auto"/>
                  <w:noWrap w:val="0"/>
                  <w:vAlign w:val="center"/>
                </w:tcPr>
                <w:p w14:paraId="4A72BC9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碱喷淋+活性炭</w:t>
                  </w:r>
                </w:p>
              </w:tc>
              <w:tc>
                <w:tcPr>
                  <w:tcW w:w="798" w:type="dxa"/>
                  <w:shd w:val="clear" w:color="auto" w:fill="auto"/>
                  <w:noWrap w:val="0"/>
                  <w:vAlign w:val="center"/>
                </w:tcPr>
                <w:p w14:paraId="1C4FB648">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1222A7F6">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27F25143">
                  <w:pPr>
                    <w:adjustRightInd w:val="0"/>
                    <w:snapToGrid w:val="0"/>
                    <w:jc w:val="both"/>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污水处理站旁</w:t>
                  </w:r>
                </w:p>
              </w:tc>
            </w:tr>
            <w:tr w14:paraId="0A5AE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33381E9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1971" w:type="dxa"/>
                  <w:shd w:val="clear" w:color="auto" w:fill="auto"/>
                  <w:noWrap w:val="0"/>
                  <w:vAlign w:val="center"/>
                </w:tcPr>
                <w:p w14:paraId="7F924AE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废气风机</w:t>
                  </w:r>
                </w:p>
              </w:tc>
              <w:tc>
                <w:tcPr>
                  <w:tcW w:w="2303" w:type="dxa"/>
                  <w:shd w:val="clear" w:color="auto" w:fill="auto"/>
                  <w:noWrap w:val="0"/>
                  <w:vAlign w:val="center"/>
                </w:tcPr>
                <w:p w14:paraId="65E60A77">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12000m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/h</w:t>
                  </w:r>
                </w:p>
              </w:tc>
              <w:tc>
                <w:tcPr>
                  <w:tcW w:w="798" w:type="dxa"/>
                  <w:shd w:val="clear" w:color="auto" w:fill="auto"/>
                  <w:noWrap w:val="0"/>
                  <w:vAlign w:val="center"/>
                </w:tcPr>
                <w:p w14:paraId="1A40C4E2">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台</w:t>
                  </w:r>
                </w:p>
              </w:tc>
              <w:tc>
                <w:tcPr>
                  <w:tcW w:w="798" w:type="dxa"/>
                  <w:shd w:val="clear" w:color="auto" w:fill="auto"/>
                  <w:noWrap w:val="0"/>
                  <w:vAlign w:val="center"/>
                </w:tcPr>
                <w:p w14:paraId="01B8CDCB">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1722" w:type="dxa"/>
                  <w:shd w:val="clear" w:color="auto" w:fill="auto"/>
                  <w:noWrap w:val="0"/>
                  <w:vAlign w:val="center"/>
                </w:tcPr>
                <w:p w14:paraId="4A065CCD">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污水处理站旁</w:t>
                  </w:r>
                </w:p>
              </w:tc>
            </w:tr>
            <w:tr w14:paraId="246CB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0F70F9C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w:t>
                  </w:r>
                </w:p>
              </w:tc>
              <w:tc>
                <w:tcPr>
                  <w:tcW w:w="1971" w:type="dxa"/>
                  <w:shd w:val="clear" w:color="auto" w:fill="auto"/>
                  <w:noWrap w:val="0"/>
                  <w:vAlign w:val="center"/>
                </w:tcPr>
                <w:p w14:paraId="02B7476B">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制冷系统</w:t>
                  </w:r>
                </w:p>
              </w:tc>
              <w:tc>
                <w:tcPr>
                  <w:tcW w:w="2303" w:type="dxa"/>
                  <w:shd w:val="clear" w:color="auto" w:fill="auto"/>
                  <w:noWrap w:val="0"/>
                  <w:vAlign w:val="center"/>
                </w:tcPr>
                <w:p w14:paraId="09D420F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2B419B89">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套</w:t>
                  </w:r>
                </w:p>
              </w:tc>
              <w:tc>
                <w:tcPr>
                  <w:tcW w:w="798" w:type="dxa"/>
                  <w:shd w:val="clear" w:color="auto" w:fill="auto"/>
                  <w:noWrap w:val="0"/>
                  <w:vAlign w:val="center"/>
                </w:tcPr>
                <w:p w14:paraId="6359A9EA">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1722" w:type="dxa"/>
                  <w:shd w:val="clear" w:color="auto" w:fill="auto"/>
                  <w:noWrap w:val="0"/>
                  <w:vAlign w:val="center"/>
                </w:tcPr>
                <w:p w14:paraId="04F645EE">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r>
            <w:tr w14:paraId="2F4D9D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1" w:type="dxa"/>
                  <w:tcBorders>
                    <w:left w:val="single" w:color="auto" w:sz="4" w:space="0"/>
                  </w:tcBorders>
                  <w:noWrap w:val="0"/>
                  <w:vAlign w:val="center"/>
                </w:tcPr>
                <w:p w14:paraId="64A0495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p>
              </w:tc>
              <w:tc>
                <w:tcPr>
                  <w:tcW w:w="1971" w:type="dxa"/>
                  <w:shd w:val="clear" w:color="auto" w:fill="auto"/>
                  <w:noWrap w:val="0"/>
                  <w:vAlign w:val="center"/>
                </w:tcPr>
                <w:p w14:paraId="6EB8B18C">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空压机</w:t>
                  </w:r>
                </w:p>
              </w:tc>
              <w:tc>
                <w:tcPr>
                  <w:tcW w:w="2303" w:type="dxa"/>
                  <w:shd w:val="clear" w:color="auto" w:fill="auto"/>
                  <w:noWrap w:val="0"/>
                  <w:vAlign w:val="center"/>
                </w:tcPr>
                <w:p w14:paraId="4163F5EB">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798" w:type="dxa"/>
                  <w:shd w:val="clear" w:color="auto" w:fill="auto"/>
                  <w:noWrap w:val="0"/>
                  <w:vAlign w:val="center"/>
                </w:tcPr>
                <w:p w14:paraId="31398EA6">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台</w:t>
                  </w:r>
                </w:p>
              </w:tc>
              <w:tc>
                <w:tcPr>
                  <w:tcW w:w="798" w:type="dxa"/>
                  <w:shd w:val="clear" w:color="auto" w:fill="auto"/>
                  <w:noWrap w:val="0"/>
                  <w:vAlign w:val="center"/>
                </w:tcPr>
                <w:p w14:paraId="29A9CDE2">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p>
              </w:tc>
              <w:tc>
                <w:tcPr>
                  <w:tcW w:w="1722" w:type="dxa"/>
                  <w:shd w:val="clear" w:color="auto" w:fill="auto"/>
                  <w:noWrap w:val="0"/>
                  <w:vAlign w:val="center"/>
                </w:tcPr>
                <w:p w14:paraId="0803B98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r>
          </w:tbl>
          <w:p w14:paraId="09F21C4D">
            <w:pPr>
              <w:pStyle w:val="15"/>
              <w:spacing w:line="360" w:lineRule="auto"/>
              <w:ind w:left="0" w:right="0" w:firstLine="480" w:firstLineChars="200"/>
              <w:jc w:val="left"/>
              <w:rPr>
                <w:rFonts w:hint="default" w:ascii="Times New Roman" w:hAnsi="Times New Roman" w:eastAsia="宋体" w:cs="Times New Roman"/>
                <w:b w:val="0"/>
                <w:color w:val="auto"/>
                <w:sz w:val="24"/>
                <w:szCs w:val="24"/>
                <w:highlight w:val="none"/>
              </w:rPr>
            </w:pPr>
            <w:r>
              <w:rPr>
                <w:rFonts w:hint="default" w:ascii="Times New Roman" w:hAnsi="Times New Roman" w:eastAsia="宋体" w:cs="Times New Roman"/>
                <w:b w:val="0"/>
                <w:color w:val="auto"/>
                <w:sz w:val="24"/>
                <w:szCs w:val="24"/>
                <w:highlight w:val="none"/>
              </w:rPr>
              <w:t>(2</w:t>
            </w:r>
            <w:r>
              <w:rPr>
                <w:rFonts w:hint="eastAsia" w:cs="Times New Roman"/>
                <w:b w:val="0"/>
                <w:color w:val="auto"/>
                <w:sz w:val="24"/>
                <w:szCs w:val="24"/>
                <w:highlight w:val="none"/>
                <w:lang w:eastAsia="zh-CN"/>
              </w:rPr>
              <w:t>）</w:t>
            </w:r>
            <w:r>
              <w:rPr>
                <w:rFonts w:hint="default" w:ascii="Times New Roman" w:hAnsi="Times New Roman" w:eastAsia="宋体" w:cs="Times New Roman"/>
                <w:b w:val="0"/>
                <w:color w:val="auto"/>
                <w:sz w:val="24"/>
                <w:szCs w:val="24"/>
                <w:highlight w:val="none"/>
              </w:rPr>
              <w:t>主要原辅料</w:t>
            </w:r>
          </w:p>
          <w:p w14:paraId="64F5D143">
            <w:pPr>
              <w:pStyle w:val="15"/>
              <w:spacing w:line="360" w:lineRule="auto"/>
              <w:ind w:left="0" w:right="0" w:firstLine="480" w:firstLineChars="200"/>
              <w:jc w:val="left"/>
              <w:rPr>
                <w:rFonts w:hint="default" w:ascii="Times New Roman" w:hAnsi="Times New Roman" w:eastAsia="宋体" w:cs="Times New Roman"/>
                <w:b w:val="0"/>
                <w:color w:val="auto"/>
                <w:sz w:val="24"/>
                <w:szCs w:val="24"/>
                <w:highlight w:val="none"/>
              </w:rPr>
            </w:pPr>
            <w:r>
              <w:rPr>
                <w:rFonts w:hint="default" w:ascii="Times New Roman" w:hAnsi="Times New Roman" w:eastAsia="宋体" w:cs="Times New Roman"/>
                <w:b w:val="0"/>
                <w:color w:val="auto"/>
                <w:sz w:val="24"/>
                <w:szCs w:val="24"/>
                <w:highlight w:val="none"/>
              </w:rPr>
              <w:t>本项目主要原辅材料见下表。</w:t>
            </w:r>
          </w:p>
          <w:p w14:paraId="19755CC1">
            <w:pPr>
              <w:pStyle w:val="15"/>
              <w:numPr>
                <w:ilvl w:val="0"/>
                <w:numId w:val="7"/>
              </w:numPr>
              <w:ind w:left="425" w:leftChars="0" w:hanging="425" w:firstLineChars="0"/>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项目主要原辅料</w:t>
            </w:r>
          </w:p>
          <w:tbl>
            <w:tblPr>
              <w:tblStyle w:val="32"/>
              <w:tblW w:w="4997"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521"/>
              <w:gridCol w:w="1252"/>
              <w:gridCol w:w="1070"/>
              <w:gridCol w:w="1365"/>
              <w:gridCol w:w="1460"/>
              <w:gridCol w:w="924"/>
              <w:gridCol w:w="893"/>
              <w:gridCol w:w="894"/>
            </w:tblGrid>
            <w:tr w14:paraId="0F2B868F">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 w:type="pct"/>
                  <w:tcBorders>
                    <w:top w:val="single" w:color="auto" w:sz="12" w:space="0"/>
                    <w:left w:val="nil"/>
                    <w:bottom w:val="single" w:color="auto" w:sz="8" w:space="0"/>
                    <w:right w:val="single" w:color="auto" w:sz="8" w:space="0"/>
                  </w:tcBorders>
                  <w:noWrap w:val="0"/>
                  <w:vAlign w:val="center"/>
                </w:tcPr>
                <w:p w14:paraId="3BA335C2">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分类</w:t>
                  </w:r>
                </w:p>
              </w:tc>
              <w:tc>
                <w:tcPr>
                  <w:tcW w:w="747" w:type="pct"/>
                  <w:tcBorders>
                    <w:top w:val="single" w:color="auto" w:sz="12" w:space="0"/>
                    <w:left w:val="single" w:color="auto" w:sz="8" w:space="0"/>
                    <w:bottom w:val="single" w:color="auto" w:sz="8" w:space="0"/>
                    <w:right w:val="single" w:color="auto" w:sz="8" w:space="0"/>
                  </w:tcBorders>
                  <w:noWrap w:val="0"/>
                  <w:vAlign w:val="center"/>
                </w:tcPr>
                <w:p w14:paraId="7EADE2FB">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名称</w:t>
                  </w:r>
                </w:p>
              </w:tc>
              <w:tc>
                <w:tcPr>
                  <w:tcW w:w="638" w:type="pct"/>
                  <w:tcBorders>
                    <w:top w:val="single" w:color="auto" w:sz="12" w:space="0"/>
                    <w:left w:val="single" w:color="auto" w:sz="8" w:space="0"/>
                    <w:bottom w:val="single" w:color="auto" w:sz="8" w:space="0"/>
                    <w:right w:val="single" w:color="auto" w:sz="8" w:space="0"/>
                  </w:tcBorders>
                  <w:noWrap w:val="0"/>
                  <w:vAlign w:val="center"/>
                </w:tcPr>
                <w:p w14:paraId="316600E8">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年使用量（t/a）</w:t>
                  </w:r>
                </w:p>
              </w:tc>
              <w:tc>
                <w:tcPr>
                  <w:tcW w:w="814" w:type="pct"/>
                  <w:tcBorders>
                    <w:top w:val="single" w:color="auto" w:sz="12" w:space="0"/>
                    <w:left w:val="single" w:color="auto" w:sz="8" w:space="0"/>
                    <w:bottom w:val="single" w:color="auto" w:sz="8" w:space="0"/>
                    <w:right w:val="single" w:color="auto" w:sz="8" w:space="0"/>
                  </w:tcBorders>
                  <w:noWrap w:val="0"/>
                  <w:vAlign w:val="center"/>
                </w:tcPr>
                <w:p w14:paraId="591017DF">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规格</w:t>
                  </w:r>
                </w:p>
              </w:tc>
              <w:tc>
                <w:tcPr>
                  <w:tcW w:w="871" w:type="pct"/>
                  <w:tcBorders>
                    <w:top w:val="single" w:color="auto" w:sz="12" w:space="0"/>
                    <w:left w:val="single" w:color="auto" w:sz="8" w:space="0"/>
                    <w:bottom w:val="single" w:color="auto" w:sz="8" w:space="0"/>
                    <w:right w:val="single" w:color="auto" w:sz="8" w:space="0"/>
                  </w:tcBorders>
                  <w:noWrap w:val="0"/>
                  <w:vAlign w:val="center"/>
                </w:tcPr>
                <w:p w14:paraId="2EFEE8D9">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成分</w:t>
                  </w:r>
                </w:p>
              </w:tc>
              <w:tc>
                <w:tcPr>
                  <w:tcW w:w="551" w:type="pct"/>
                  <w:tcBorders>
                    <w:top w:val="single" w:color="auto" w:sz="12" w:space="0"/>
                    <w:left w:val="single" w:color="auto" w:sz="8" w:space="0"/>
                    <w:bottom w:val="single" w:color="auto" w:sz="8" w:space="0"/>
                    <w:right w:val="single" w:color="auto" w:sz="8" w:space="0"/>
                  </w:tcBorders>
                  <w:noWrap w:val="0"/>
                  <w:vAlign w:val="center"/>
                </w:tcPr>
                <w:p w14:paraId="27C51796">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最大储</w:t>
                  </w:r>
                </w:p>
                <w:p w14:paraId="5F7A5A2F">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存量（t）</w:t>
                  </w:r>
                </w:p>
              </w:tc>
              <w:tc>
                <w:tcPr>
                  <w:tcW w:w="533" w:type="pct"/>
                  <w:tcBorders>
                    <w:top w:val="single" w:color="auto" w:sz="12" w:space="0"/>
                    <w:left w:val="single" w:color="auto" w:sz="8" w:space="0"/>
                    <w:bottom w:val="single" w:color="auto" w:sz="8" w:space="0"/>
                    <w:right w:val="single" w:color="auto" w:sz="8" w:space="0"/>
                  </w:tcBorders>
                  <w:noWrap w:val="0"/>
                  <w:vAlign w:val="center"/>
                </w:tcPr>
                <w:p w14:paraId="162B450B">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储存位置</w:t>
                  </w:r>
                </w:p>
              </w:tc>
              <w:tc>
                <w:tcPr>
                  <w:tcW w:w="533" w:type="pct"/>
                  <w:tcBorders>
                    <w:top w:val="single" w:color="auto" w:sz="12" w:space="0"/>
                    <w:left w:val="single" w:color="auto" w:sz="8" w:space="0"/>
                    <w:bottom w:val="single" w:color="auto" w:sz="8" w:space="0"/>
                    <w:right w:val="nil"/>
                  </w:tcBorders>
                  <w:noWrap w:val="0"/>
                  <w:vAlign w:val="center"/>
                </w:tcPr>
                <w:p w14:paraId="286270AF">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来源</w:t>
                  </w:r>
                </w:p>
              </w:tc>
            </w:tr>
            <w:tr w14:paraId="46BF06B5">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tcBorders>
                    <w:top w:val="single" w:color="auto" w:sz="8" w:space="0"/>
                    <w:left w:val="nil"/>
                    <w:bottom w:val="single" w:color="auto" w:sz="8" w:space="0"/>
                    <w:right w:val="single" w:color="auto" w:sz="8" w:space="0"/>
                  </w:tcBorders>
                  <w:shd w:val="clear" w:color="auto" w:fill="auto"/>
                  <w:noWrap w:val="0"/>
                  <w:vAlign w:val="center"/>
                </w:tcPr>
                <w:p w14:paraId="5FEEDE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原料</w:t>
                  </w: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602571B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生猪</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5E6C2DA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7300头</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7D68C4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7B39C3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059B29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20头</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5ABACC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待宰圈</w:t>
                  </w:r>
                </w:p>
              </w:tc>
              <w:tc>
                <w:tcPr>
                  <w:tcW w:w="533" w:type="pct"/>
                  <w:tcBorders>
                    <w:top w:val="single" w:color="auto" w:sz="8" w:space="0"/>
                    <w:left w:val="single" w:color="auto" w:sz="8" w:space="0"/>
                    <w:bottom w:val="single" w:color="auto" w:sz="8" w:space="0"/>
                    <w:right w:val="nil"/>
                  </w:tcBorders>
                  <w:noWrap w:val="0"/>
                  <w:vAlign w:val="center"/>
                </w:tcPr>
                <w:p w14:paraId="41DD34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来源于周边区县的规模养殖场</w:t>
                  </w:r>
                </w:p>
              </w:tc>
            </w:tr>
            <w:tr w14:paraId="027177F8">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restart"/>
                  <w:tcBorders>
                    <w:top w:val="single" w:color="auto" w:sz="8" w:space="0"/>
                    <w:left w:val="nil"/>
                    <w:bottom w:val="single" w:color="auto" w:sz="8" w:space="0"/>
                    <w:right w:val="single" w:color="auto" w:sz="8" w:space="0"/>
                  </w:tcBorders>
                  <w:shd w:val="clear" w:color="auto" w:fill="auto"/>
                  <w:noWrap w:val="0"/>
                  <w:vAlign w:val="center"/>
                </w:tcPr>
                <w:p w14:paraId="661FB2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辅料</w:t>
                  </w:r>
                </w:p>
                <w:p w14:paraId="725930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5F2DFE1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次氯酸钠</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3D637A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0.037</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34ADA2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固态粉末，桶装，10kg/桶</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07EF3033">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NaClO</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4F7E92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0.0037</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389908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原辅</w:t>
                  </w:r>
                </w:p>
                <w:p w14:paraId="3B44B8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料间</w:t>
                  </w:r>
                </w:p>
              </w:tc>
              <w:tc>
                <w:tcPr>
                  <w:tcW w:w="533" w:type="pct"/>
                  <w:tcBorders>
                    <w:top w:val="single" w:color="auto" w:sz="8" w:space="0"/>
                    <w:left w:val="single" w:color="auto" w:sz="8" w:space="0"/>
                    <w:bottom w:val="single" w:color="auto" w:sz="8" w:space="0"/>
                    <w:right w:val="nil"/>
                  </w:tcBorders>
                  <w:noWrap w:val="0"/>
                  <w:vAlign w:val="center"/>
                </w:tcPr>
                <w:p w14:paraId="4E5E40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4484277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343F9D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4F30635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20%浓戊二醛溶液</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756B3F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0.015</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253C7D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液态，桶装，25kg/桶</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14ACD3F3">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戊二醛</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23437F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0.0015</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2ADFE2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原辅</w:t>
                  </w:r>
                </w:p>
                <w:p w14:paraId="7F64D3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料间</w:t>
                  </w:r>
                </w:p>
              </w:tc>
              <w:tc>
                <w:tcPr>
                  <w:tcW w:w="533" w:type="pct"/>
                  <w:tcBorders>
                    <w:top w:val="single" w:color="auto" w:sz="8" w:space="0"/>
                    <w:left w:val="single" w:color="auto" w:sz="8" w:space="0"/>
                    <w:bottom w:val="single" w:color="auto" w:sz="8" w:space="0"/>
                    <w:right w:val="nil"/>
                  </w:tcBorders>
                  <w:noWrap w:val="0"/>
                  <w:vAlign w:val="center"/>
                </w:tcPr>
                <w:p w14:paraId="49F78E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17B7DC10">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2AD280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3DF37A5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片碱</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29026C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0.044</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33869D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固态，袋装，25kg/袋</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220DB0F1">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NaOH</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7E77F8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0.0044</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625ECD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原辅</w:t>
                  </w:r>
                </w:p>
                <w:p w14:paraId="333A54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料间</w:t>
                  </w:r>
                </w:p>
              </w:tc>
              <w:tc>
                <w:tcPr>
                  <w:tcW w:w="533" w:type="pct"/>
                  <w:tcBorders>
                    <w:top w:val="single" w:color="auto" w:sz="8" w:space="0"/>
                    <w:left w:val="single" w:color="auto" w:sz="8" w:space="0"/>
                    <w:bottom w:val="single" w:color="auto" w:sz="8" w:space="0"/>
                    <w:right w:val="nil"/>
                  </w:tcBorders>
                  <w:noWrap w:val="0"/>
                  <w:vAlign w:val="center"/>
                </w:tcPr>
                <w:p w14:paraId="0A8D74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4578E05C">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16995A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27AE62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柴油</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381276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0.867</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523209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液态，桶装，</w:t>
                  </w:r>
                </w:p>
                <w:p w14:paraId="0196EA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200L/桶</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78A05CD0">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烯烃、二烯烃</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409D6C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0.0867</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1D96FC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原辅</w:t>
                  </w:r>
                </w:p>
                <w:p w14:paraId="740EF0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料间</w:t>
                  </w:r>
                </w:p>
              </w:tc>
              <w:tc>
                <w:tcPr>
                  <w:tcW w:w="533" w:type="pct"/>
                  <w:tcBorders>
                    <w:top w:val="single" w:color="auto" w:sz="8" w:space="0"/>
                    <w:left w:val="single" w:color="auto" w:sz="8" w:space="0"/>
                    <w:bottom w:val="single" w:color="auto" w:sz="8" w:space="0"/>
                    <w:right w:val="nil"/>
                  </w:tcBorders>
                  <w:noWrap w:val="0"/>
                  <w:vAlign w:val="center"/>
                </w:tcPr>
                <w:p w14:paraId="22F5AD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138B2FE1">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6CA2BD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63C76D8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检疫试剂</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1A5F63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0.007</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0829DC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59B739CC">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各种酶、抗体</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3D0F36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0.0007</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4AC4C6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化验室</w:t>
                  </w:r>
                </w:p>
              </w:tc>
              <w:tc>
                <w:tcPr>
                  <w:tcW w:w="533" w:type="pct"/>
                  <w:tcBorders>
                    <w:top w:val="single" w:color="auto" w:sz="8" w:space="0"/>
                    <w:left w:val="single" w:color="auto" w:sz="8" w:space="0"/>
                    <w:bottom w:val="single" w:color="auto" w:sz="8" w:space="0"/>
                    <w:right w:val="nil"/>
                  </w:tcBorders>
                  <w:noWrap w:val="0"/>
                  <w:vAlign w:val="center"/>
                </w:tcPr>
                <w:p w14:paraId="31474D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7E4434E3">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3E99E7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50680D3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制冷剂（R404A）</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646EF5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0.08</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1A586790">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罐装，10.9kg/瓶</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567DDECC">
                  <w:pPr>
                    <w:keepNext w:val="0"/>
                    <w:keepLines w:val="0"/>
                    <w:pageBreakBefore w:val="0"/>
                    <w:widowControl/>
                    <w:suppressLineNumbers w:val="0"/>
                    <w:kinsoku/>
                    <w:wordWrap/>
                    <w:overflowPunct/>
                    <w:topLinePunct w:val="0"/>
                    <w:autoSpaceDE/>
                    <w:autoSpaceDN/>
                    <w:bidi w:val="0"/>
                    <w:adjustRightInd/>
                    <w:snapToGrid/>
                    <w:ind w:left="-72" w:leftChars="-30" w:right="-72" w:rightChars="-3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44%HFC-125、4% HFC-134a和52%HFC-143a</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0402AB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0.08</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0300BD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冷库</w:t>
                  </w:r>
                </w:p>
              </w:tc>
              <w:tc>
                <w:tcPr>
                  <w:tcW w:w="533" w:type="pct"/>
                  <w:tcBorders>
                    <w:top w:val="single" w:color="auto" w:sz="8" w:space="0"/>
                    <w:left w:val="single" w:color="auto" w:sz="8" w:space="0"/>
                    <w:bottom w:val="single" w:color="auto" w:sz="8" w:space="0"/>
                    <w:right w:val="nil"/>
                  </w:tcBorders>
                  <w:noWrap w:val="0"/>
                  <w:vAlign w:val="center"/>
                </w:tcPr>
                <w:p w14:paraId="137C74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初次添加后续仅在泄漏后进行添加</w:t>
                  </w:r>
                </w:p>
              </w:tc>
            </w:tr>
            <w:tr w14:paraId="7AA90B45">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3ACBDF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25C532D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废水处理药剂（PAC）</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6CCB34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0.08</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53FF607A">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固态颗粒，袋装，25kg/袋</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7B775E65">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聚合氯化铝</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200FA2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0.008</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752329B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原辅</w:t>
                  </w:r>
                </w:p>
                <w:p w14:paraId="64EA33A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料间</w:t>
                  </w:r>
                </w:p>
              </w:tc>
              <w:tc>
                <w:tcPr>
                  <w:tcW w:w="533" w:type="pct"/>
                  <w:tcBorders>
                    <w:top w:val="single" w:color="auto" w:sz="8" w:space="0"/>
                    <w:left w:val="single" w:color="auto" w:sz="8" w:space="0"/>
                    <w:bottom w:val="single" w:color="auto" w:sz="8" w:space="0"/>
                    <w:right w:val="nil"/>
                  </w:tcBorders>
                  <w:noWrap w:val="0"/>
                  <w:vAlign w:val="center"/>
                </w:tcPr>
                <w:p w14:paraId="19EAF6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0ADADC9D">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2424305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1F3586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植物液除臭剂</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609919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0.14</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1ECDA935">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25kg/桶</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2CC19B58">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薄荷油、香茅、茶多酚、桉叶油、艾叶和除臭草等</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4E3519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0.014</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352B63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原辅</w:t>
                  </w:r>
                </w:p>
                <w:p w14:paraId="4C1E26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料间</w:t>
                  </w:r>
                </w:p>
              </w:tc>
              <w:tc>
                <w:tcPr>
                  <w:tcW w:w="533" w:type="pct"/>
                  <w:tcBorders>
                    <w:top w:val="single" w:color="auto" w:sz="8" w:space="0"/>
                    <w:left w:val="single" w:color="auto" w:sz="8" w:space="0"/>
                    <w:bottom w:val="single" w:color="auto" w:sz="8" w:space="0"/>
                    <w:right w:val="nil"/>
                  </w:tcBorders>
                  <w:noWrap w:val="0"/>
                  <w:vAlign w:val="center"/>
                </w:tcPr>
                <w:p w14:paraId="2F42B2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57A58F9F">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8" w:space="0"/>
                    <w:right w:val="single" w:color="auto" w:sz="8" w:space="0"/>
                  </w:tcBorders>
                  <w:shd w:val="clear" w:color="auto" w:fill="auto"/>
                  <w:noWrap w:val="0"/>
                  <w:vAlign w:val="center"/>
                </w:tcPr>
                <w:p w14:paraId="10FFCC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166F964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活性炭</w:t>
                  </w:r>
                </w:p>
              </w:tc>
              <w:tc>
                <w:tcPr>
                  <w:tcW w:w="638" w:type="pct"/>
                  <w:tcBorders>
                    <w:top w:val="single" w:color="auto" w:sz="8" w:space="0"/>
                    <w:left w:val="single" w:color="auto" w:sz="8" w:space="0"/>
                    <w:bottom w:val="single" w:color="auto" w:sz="8" w:space="0"/>
                    <w:right w:val="single" w:color="auto" w:sz="8" w:space="0"/>
                  </w:tcBorders>
                  <w:noWrap w:val="0"/>
                  <w:vAlign w:val="center"/>
                </w:tcPr>
                <w:p w14:paraId="645375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6.05</w:t>
                  </w:r>
                </w:p>
              </w:tc>
              <w:tc>
                <w:tcPr>
                  <w:tcW w:w="814" w:type="pct"/>
                  <w:tcBorders>
                    <w:top w:val="single" w:color="auto" w:sz="8" w:space="0"/>
                    <w:left w:val="single" w:color="auto" w:sz="8" w:space="0"/>
                    <w:bottom w:val="single" w:color="auto" w:sz="8" w:space="0"/>
                    <w:right w:val="single" w:color="auto" w:sz="8" w:space="0"/>
                  </w:tcBorders>
                  <w:noWrap w:val="0"/>
                  <w:vAlign w:val="center"/>
                </w:tcPr>
                <w:p w14:paraId="1EC9EC13">
                  <w:pPr>
                    <w:keepNext w:val="0"/>
                    <w:keepLines w:val="0"/>
                    <w:pageBreakBefore w:val="0"/>
                    <w:widowControl/>
                    <w:suppressLineNumbers w:val="0"/>
                    <w:kinsoku/>
                    <w:wordWrap/>
                    <w:overflowPunct/>
                    <w:topLinePunct w:val="0"/>
                    <w:autoSpaceDE/>
                    <w:autoSpaceDN/>
                    <w:bidi w:val="0"/>
                    <w:adjustRightInd/>
                    <w:snapToGrid/>
                    <w:ind w:left="-48" w:leftChars="-20" w:right="-48" w:rightChars="-2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散装</w:t>
                  </w:r>
                </w:p>
              </w:tc>
              <w:tc>
                <w:tcPr>
                  <w:tcW w:w="871" w:type="pct"/>
                  <w:tcBorders>
                    <w:top w:val="single" w:color="auto" w:sz="8" w:space="0"/>
                    <w:left w:val="single" w:color="auto" w:sz="8" w:space="0"/>
                    <w:bottom w:val="single" w:color="auto" w:sz="8" w:space="0"/>
                    <w:right w:val="single" w:color="auto" w:sz="8" w:space="0"/>
                  </w:tcBorders>
                  <w:noWrap w:val="0"/>
                  <w:vAlign w:val="center"/>
                </w:tcPr>
                <w:p w14:paraId="0AAA7F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C</w:t>
                  </w:r>
                </w:p>
              </w:tc>
              <w:tc>
                <w:tcPr>
                  <w:tcW w:w="551" w:type="pct"/>
                  <w:tcBorders>
                    <w:top w:val="single" w:color="auto" w:sz="8" w:space="0"/>
                    <w:left w:val="single" w:color="auto" w:sz="8" w:space="0"/>
                    <w:bottom w:val="single" w:color="auto" w:sz="8" w:space="0"/>
                    <w:right w:val="single" w:color="auto" w:sz="8" w:space="0"/>
                  </w:tcBorders>
                  <w:noWrap w:val="0"/>
                  <w:vAlign w:val="center"/>
                </w:tcPr>
                <w:p w14:paraId="49E074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1.51</w:t>
                  </w:r>
                </w:p>
              </w:tc>
              <w:tc>
                <w:tcPr>
                  <w:tcW w:w="533" w:type="pct"/>
                  <w:tcBorders>
                    <w:top w:val="single" w:color="auto" w:sz="8" w:space="0"/>
                    <w:left w:val="single" w:color="auto" w:sz="8" w:space="0"/>
                    <w:bottom w:val="single" w:color="auto" w:sz="8" w:space="0"/>
                    <w:right w:val="single" w:color="auto" w:sz="8" w:space="0"/>
                  </w:tcBorders>
                  <w:noWrap w:val="0"/>
                  <w:vAlign w:val="center"/>
                </w:tcPr>
                <w:p w14:paraId="1DBF29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3" w:type="pct"/>
                  <w:tcBorders>
                    <w:top w:val="single" w:color="auto" w:sz="8" w:space="0"/>
                    <w:left w:val="single" w:color="auto" w:sz="8" w:space="0"/>
                    <w:bottom w:val="single" w:color="auto" w:sz="8" w:space="0"/>
                    <w:right w:val="nil"/>
                  </w:tcBorders>
                  <w:noWrap w:val="0"/>
                  <w:vAlign w:val="center"/>
                </w:tcPr>
                <w:p w14:paraId="34D10FA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外购</w:t>
                  </w:r>
                </w:p>
              </w:tc>
            </w:tr>
            <w:tr w14:paraId="726E56FA">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11" w:type="pct"/>
                  <w:vMerge w:val="restart"/>
                  <w:tcBorders>
                    <w:top w:val="single" w:color="auto" w:sz="8" w:space="0"/>
                    <w:left w:val="nil"/>
                    <w:bottom w:val="single" w:color="auto" w:sz="8" w:space="0"/>
                    <w:right w:val="single" w:color="auto" w:sz="8" w:space="0"/>
                  </w:tcBorders>
                  <w:shd w:val="clear" w:color="auto" w:fill="auto"/>
                  <w:noWrap w:val="0"/>
                  <w:vAlign w:val="center"/>
                </w:tcPr>
                <w:p w14:paraId="739602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能耗</w:t>
                  </w:r>
                </w:p>
                <w:p w14:paraId="56C5D6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right w:val="single" w:color="auto" w:sz="8" w:space="0"/>
                  </w:tcBorders>
                  <w:shd w:val="clear" w:color="auto" w:fill="auto"/>
                  <w:noWrap w:val="0"/>
                  <w:vAlign w:val="center"/>
                </w:tcPr>
                <w:p w14:paraId="5D79CE0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自来水（m</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/a）</w:t>
                  </w:r>
                </w:p>
              </w:tc>
              <w:tc>
                <w:tcPr>
                  <w:tcW w:w="638" w:type="pct"/>
                  <w:tcBorders>
                    <w:top w:val="single" w:color="auto" w:sz="8" w:space="0"/>
                    <w:left w:val="single" w:color="auto" w:sz="8" w:space="0"/>
                    <w:right w:val="single" w:color="auto" w:sz="8" w:space="0"/>
                  </w:tcBorders>
                  <w:noWrap w:val="0"/>
                  <w:vAlign w:val="center"/>
                </w:tcPr>
                <w:p w14:paraId="15CA929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4921.5</w:t>
                  </w:r>
                </w:p>
              </w:tc>
              <w:tc>
                <w:tcPr>
                  <w:tcW w:w="814" w:type="pct"/>
                  <w:tcBorders>
                    <w:top w:val="single" w:color="auto" w:sz="8" w:space="0"/>
                    <w:left w:val="single" w:color="auto" w:sz="8" w:space="0"/>
                    <w:right w:val="single" w:color="auto" w:sz="8" w:space="0"/>
                  </w:tcBorders>
                  <w:noWrap w:val="0"/>
                  <w:vAlign w:val="center"/>
                </w:tcPr>
                <w:p w14:paraId="645B82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71" w:type="pct"/>
                  <w:tcBorders>
                    <w:top w:val="single" w:color="auto" w:sz="8" w:space="0"/>
                    <w:left w:val="single" w:color="auto" w:sz="8" w:space="0"/>
                    <w:right w:val="single" w:color="auto" w:sz="8" w:space="0"/>
                  </w:tcBorders>
                  <w:noWrap w:val="0"/>
                  <w:vAlign w:val="center"/>
                </w:tcPr>
                <w:p w14:paraId="3E4B04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51" w:type="pct"/>
                  <w:tcBorders>
                    <w:top w:val="single" w:color="auto" w:sz="8" w:space="0"/>
                    <w:left w:val="single" w:color="auto" w:sz="8" w:space="0"/>
                    <w:right w:val="single" w:color="auto" w:sz="8" w:space="0"/>
                  </w:tcBorders>
                  <w:noWrap w:val="0"/>
                  <w:vAlign w:val="center"/>
                </w:tcPr>
                <w:p w14:paraId="755304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3" w:type="pct"/>
                  <w:tcBorders>
                    <w:top w:val="single" w:color="auto" w:sz="8" w:space="0"/>
                    <w:left w:val="single" w:color="auto" w:sz="8" w:space="0"/>
                    <w:right w:val="single" w:color="auto" w:sz="8" w:space="0"/>
                  </w:tcBorders>
                  <w:noWrap w:val="0"/>
                  <w:vAlign w:val="center"/>
                </w:tcPr>
                <w:p w14:paraId="5ABDC1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3" w:type="pct"/>
                  <w:tcBorders>
                    <w:top w:val="single" w:color="auto" w:sz="8" w:space="0"/>
                    <w:left w:val="single" w:color="auto" w:sz="8" w:space="0"/>
                    <w:bottom w:val="single" w:color="auto" w:sz="8" w:space="0"/>
                    <w:right w:val="nil"/>
                  </w:tcBorders>
                  <w:noWrap w:val="0"/>
                  <w:vAlign w:val="center"/>
                </w:tcPr>
                <w:p w14:paraId="400F9C9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乡镇</w:t>
                  </w:r>
                </w:p>
                <w:p w14:paraId="2868F2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管网</w:t>
                  </w:r>
                </w:p>
              </w:tc>
            </w:tr>
            <w:tr w14:paraId="2B534067">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311" w:type="pct"/>
                  <w:vMerge w:val="continue"/>
                  <w:tcBorders>
                    <w:top w:val="single" w:color="auto" w:sz="8" w:space="0"/>
                    <w:left w:val="nil"/>
                    <w:bottom w:val="single" w:color="auto" w:sz="12" w:space="0"/>
                    <w:right w:val="single" w:color="auto" w:sz="8" w:space="0"/>
                  </w:tcBorders>
                  <w:shd w:val="clear" w:color="auto" w:fill="auto"/>
                  <w:noWrap w:val="0"/>
                  <w:vAlign w:val="center"/>
                </w:tcPr>
                <w:p w14:paraId="6D8F53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47" w:type="pct"/>
                  <w:tcBorders>
                    <w:top w:val="single" w:color="auto" w:sz="8" w:space="0"/>
                    <w:left w:val="single" w:color="auto" w:sz="8" w:space="0"/>
                    <w:bottom w:val="single" w:color="auto" w:sz="12" w:space="0"/>
                    <w:right w:val="single" w:color="auto" w:sz="8" w:space="0"/>
                  </w:tcBorders>
                  <w:shd w:val="clear" w:color="auto" w:fill="auto"/>
                  <w:noWrap w:val="0"/>
                  <w:vAlign w:val="center"/>
                </w:tcPr>
                <w:p w14:paraId="7E6E9EF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电（万kwh/a）</w:t>
                  </w:r>
                </w:p>
              </w:tc>
              <w:tc>
                <w:tcPr>
                  <w:tcW w:w="638" w:type="pct"/>
                  <w:tcBorders>
                    <w:top w:val="single" w:color="auto" w:sz="8" w:space="0"/>
                    <w:left w:val="single" w:color="auto" w:sz="8" w:space="0"/>
                    <w:bottom w:val="single" w:color="auto" w:sz="12" w:space="0"/>
                    <w:right w:val="single" w:color="auto" w:sz="8" w:space="0"/>
                  </w:tcBorders>
                  <w:noWrap w:val="0"/>
                  <w:vAlign w:val="center"/>
                </w:tcPr>
                <w:p w14:paraId="3A791A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4.38</w:t>
                  </w:r>
                </w:p>
              </w:tc>
              <w:tc>
                <w:tcPr>
                  <w:tcW w:w="814" w:type="pct"/>
                  <w:tcBorders>
                    <w:top w:val="single" w:color="auto" w:sz="8" w:space="0"/>
                    <w:left w:val="single" w:color="auto" w:sz="8" w:space="0"/>
                    <w:bottom w:val="single" w:color="auto" w:sz="12" w:space="0"/>
                    <w:right w:val="single" w:color="auto" w:sz="8" w:space="0"/>
                  </w:tcBorders>
                  <w:noWrap w:val="0"/>
                  <w:vAlign w:val="center"/>
                </w:tcPr>
                <w:p w14:paraId="003627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871" w:type="pct"/>
                  <w:tcBorders>
                    <w:top w:val="single" w:color="auto" w:sz="8" w:space="0"/>
                    <w:left w:val="single" w:color="auto" w:sz="8" w:space="0"/>
                    <w:bottom w:val="single" w:color="auto" w:sz="12" w:space="0"/>
                    <w:right w:val="single" w:color="auto" w:sz="8" w:space="0"/>
                  </w:tcBorders>
                  <w:noWrap w:val="0"/>
                  <w:vAlign w:val="center"/>
                </w:tcPr>
                <w:p w14:paraId="3119F2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51" w:type="pct"/>
                  <w:tcBorders>
                    <w:top w:val="single" w:color="auto" w:sz="8" w:space="0"/>
                    <w:left w:val="single" w:color="auto" w:sz="8" w:space="0"/>
                    <w:bottom w:val="single" w:color="auto" w:sz="12" w:space="0"/>
                    <w:right w:val="single" w:color="auto" w:sz="8" w:space="0"/>
                  </w:tcBorders>
                  <w:noWrap w:val="0"/>
                  <w:vAlign w:val="center"/>
                </w:tcPr>
                <w:p w14:paraId="10084A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3" w:type="pct"/>
                  <w:tcBorders>
                    <w:top w:val="single" w:color="auto" w:sz="8" w:space="0"/>
                    <w:left w:val="single" w:color="auto" w:sz="8" w:space="0"/>
                    <w:bottom w:val="single" w:color="auto" w:sz="12" w:space="0"/>
                    <w:right w:val="single" w:color="auto" w:sz="8" w:space="0"/>
                  </w:tcBorders>
                  <w:noWrap w:val="0"/>
                  <w:vAlign w:val="center"/>
                </w:tcPr>
                <w:p w14:paraId="518645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533" w:type="pct"/>
                  <w:tcBorders>
                    <w:top w:val="single" w:color="auto" w:sz="8" w:space="0"/>
                    <w:left w:val="single" w:color="auto" w:sz="8" w:space="0"/>
                    <w:bottom w:val="single" w:color="auto" w:sz="12" w:space="0"/>
                    <w:right w:val="nil"/>
                  </w:tcBorders>
                  <w:noWrap w:val="0"/>
                  <w:vAlign w:val="center"/>
                </w:tcPr>
                <w:p w14:paraId="6789AB0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市政电网</w:t>
                  </w:r>
                </w:p>
              </w:tc>
            </w:tr>
          </w:tbl>
          <w:p w14:paraId="0B5C9C60">
            <w:pPr>
              <w:snapToGrid w:val="0"/>
              <w:spacing w:line="360" w:lineRule="auto"/>
              <w:ind w:firstLine="482" w:firstLineChars="200"/>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主要原辅料的理化性质：</w:t>
            </w:r>
          </w:p>
          <w:p w14:paraId="7BB02038">
            <w:pPr>
              <w:snapToGrid w:val="0"/>
              <w:spacing w:line="360" w:lineRule="auto"/>
              <w:ind w:firstLine="482"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次氯酸钠</w:t>
            </w:r>
            <w:r>
              <w:rPr>
                <w:rFonts w:hint="default" w:ascii="Times New Roman" w:hAnsi="Times New Roman" w:eastAsia="宋体" w:cs="Times New Roman"/>
                <w:color w:val="auto"/>
                <w:kern w:val="2"/>
                <w:sz w:val="24"/>
                <w:szCs w:val="24"/>
                <w:highlight w:val="none"/>
                <w:lang w:val="en-US" w:eastAsia="zh-CN" w:bidi="ar-SA"/>
              </w:rPr>
              <w:t>：钠的次氯酸盐，化学式为NaCIO，微黄色溶液，有似氯气的气味，有非常刺鼻的气味，极不稳定，是化工业中经常使用的化学用品。次氯酸钠溶液适用于消毒、杀菌及水处理。本项目作为废水消毒试剂。</w:t>
            </w:r>
          </w:p>
          <w:p w14:paraId="3D3336F4">
            <w:pPr>
              <w:snapToGrid w:val="0"/>
              <w:spacing w:line="360" w:lineRule="auto"/>
              <w:ind w:firstLine="482"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20%浓戊二醛溶液：</w:t>
            </w:r>
            <w:r>
              <w:rPr>
                <w:rFonts w:hint="default" w:ascii="Times New Roman" w:hAnsi="Times New Roman" w:eastAsia="宋体" w:cs="Times New Roman"/>
                <w:color w:val="auto"/>
                <w:kern w:val="2"/>
                <w:sz w:val="24"/>
                <w:szCs w:val="24"/>
                <w:highlight w:val="none"/>
                <w:lang w:val="en-US" w:eastAsia="zh-CN" w:bidi="ar-SA"/>
              </w:rPr>
              <w:t>常温下为无色或淡黄色澄清液体，有刺激性特臭。戊二醛具有高效和速成的消毒作用，对革兰氏阳性和革兰氏阴性细菌均有迅速杀菌作用，对细菌繁殖体、芽孢、病毒、</w:t>
            </w:r>
            <w:r>
              <w:rPr>
                <w:rFonts w:hint="eastAsia" w:cs="Times New Roman"/>
                <w:color w:val="auto"/>
                <w:kern w:val="2"/>
                <w:sz w:val="24"/>
                <w:szCs w:val="24"/>
                <w:highlight w:val="none"/>
                <w:lang w:val="en-US" w:eastAsia="zh-CN" w:bidi="ar-SA"/>
              </w:rPr>
              <w:t>结核分枝杆菌</w:t>
            </w:r>
            <w:r>
              <w:rPr>
                <w:rFonts w:hint="default" w:ascii="Times New Roman" w:hAnsi="Times New Roman" w:eastAsia="宋体" w:cs="Times New Roman"/>
                <w:color w:val="auto"/>
                <w:kern w:val="2"/>
                <w:sz w:val="24"/>
                <w:szCs w:val="24"/>
                <w:highlight w:val="none"/>
                <w:lang w:val="en-US" w:eastAsia="zh-CN" w:bidi="ar-SA"/>
              </w:rPr>
              <w:t>和真菌等均有很好的杀灭作用。水溶液在pH值7.5-8.5时，抗菌效果最佳。注意避免接触皮肤和黏膜。</w:t>
            </w:r>
          </w:p>
          <w:p w14:paraId="08FDD76D">
            <w:pPr>
              <w:snapToGrid w:val="0"/>
              <w:spacing w:line="360" w:lineRule="auto"/>
              <w:ind w:firstLine="482"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片碱（氢氧化钠）</w:t>
            </w:r>
            <w:r>
              <w:rPr>
                <w:rFonts w:hint="default" w:ascii="Times New Roman" w:hAnsi="Times New Roman" w:eastAsia="宋体" w:cs="Times New Roman"/>
                <w:b w:val="0"/>
                <w:bCs w:val="0"/>
                <w:color w:val="auto"/>
                <w:kern w:val="2"/>
                <w:sz w:val="24"/>
                <w:szCs w:val="24"/>
                <w:highlight w:val="none"/>
                <w:lang w:val="en-US" w:eastAsia="zh-CN" w:bidi="ar-SA"/>
              </w:rPr>
              <w:t>：白色半透明片状固体，基本化工原料，纯品为无色透明晶体，相对密度2.130，熔点318.4℃，沸点1390℃。不溶于丙酮、乙醚。腐蚀性极强，对纤维、皮肤、玻璃、陶瓷等有腐蚀作用。</w:t>
            </w:r>
          </w:p>
          <w:p w14:paraId="32F2C7E8">
            <w:pPr>
              <w:snapToGrid w:val="0"/>
              <w:spacing w:line="360" w:lineRule="auto"/>
              <w:ind w:firstLine="482"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制冷剂R404A：</w:t>
            </w:r>
            <w:r>
              <w:rPr>
                <w:rFonts w:hint="default" w:ascii="Times New Roman" w:hAnsi="Times New Roman" w:eastAsia="宋体" w:cs="Times New Roman"/>
                <w:color w:val="auto"/>
                <w:kern w:val="2"/>
                <w:sz w:val="24"/>
                <w:szCs w:val="24"/>
                <w:highlight w:val="none"/>
                <w:lang w:val="en-US" w:eastAsia="zh-CN" w:bidi="ar-SA"/>
              </w:rPr>
              <w:t>R404A是一种不含氯的非共沸混合制冷剂，主要成分为三氟乙烷/五氟乙烷/四氟乙烷，常温常压下为无色气体贮存在钢瓶内是被压缩的液化气体，其破坏臭氧潜能值（ODP</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为0，是一种不会破坏大气臭氧层的环保制冷剂，主要用于替代R22和R502，具有清洁、低毒、不燃、制冷效果好等特点，大量用于中低温冷冻系统。在自身压力下为无色透明液体，属于HFC型非共沸环保制冷剂（完全不含破坏臭氧层的CFC、HCFC），不在《蒙特利尔议定书》规定的受控物质名单之内。R404A适用于中低温的新型商用制冷设备、交通运输制冷设备或更新设备。最接近于R502的运作，甚至可以达到15℉（-9.4℃）或更冷，该制冷剂适用于所有R-502可正常运作的环境。广泛应用于中低温制冷剂，常应用于冷库、食品冷冻设备、船用制冷设备、工业低温制冷、商业低温制冷、交通运输制冷设备、超市陈列展示柜等制冷设备。</w:t>
            </w:r>
          </w:p>
          <w:p w14:paraId="033BF430">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Cs/>
                <w:color w:val="auto"/>
                <w:sz w:val="21"/>
                <w:szCs w:val="21"/>
                <w:highlight w:val="none"/>
                <w:lang w:val="en-US" w:eastAsia="zh-CN"/>
              </w:rPr>
              <w:t xml:space="preserve">R404A </w:t>
            </w:r>
            <w:r>
              <w:rPr>
                <w:rFonts w:hint="eastAsia" w:ascii="Times New Roman" w:hAnsi="Times New Roman" w:eastAsia="宋体" w:cs="Times New Roman"/>
                <w:bCs/>
                <w:color w:val="auto"/>
                <w:sz w:val="21"/>
                <w:szCs w:val="21"/>
                <w:highlight w:val="none"/>
                <w:lang w:val="en-US" w:eastAsia="zh-CN"/>
              </w:rPr>
              <w:t>理化性质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1"/>
              <w:gridCol w:w="4202"/>
            </w:tblGrid>
            <w:tr w14:paraId="20CCE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12" w:space="0"/>
                    <w:bottom w:val="single" w:color="auto" w:sz="8" w:space="0"/>
                    <w:right w:val="single" w:color="auto" w:sz="8" w:space="0"/>
                  </w:tcBorders>
                  <w:vAlign w:val="center"/>
                </w:tcPr>
                <w:p w14:paraId="5370994B">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冷媒名称</w:t>
                  </w:r>
                </w:p>
              </w:tc>
              <w:tc>
                <w:tcPr>
                  <w:tcW w:w="4202" w:type="dxa"/>
                  <w:tcBorders>
                    <w:top w:val="single" w:color="auto" w:sz="12" w:space="0"/>
                    <w:left w:val="single" w:color="auto" w:sz="8" w:space="0"/>
                    <w:bottom w:val="single" w:color="auto" w:sz="8" w:space="0"/>
                    <w:right w:val="nil"/>
                  </w:tcBorders>
                  <w:vAlign w:val="center"/>
                </w:tcPr>
                <w:p w14:paraId="319D9B10">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R404a</w:t>
                  </w:r>
                </w:p>
              </w:tc>
            </w:tr>
            <w:tr w14:paraId="35DDA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3D6D93E5">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分子式</w:t>
                  </w:r>
                </w:p>
              </w:tc>
              <w:tc>
                <w:tcPr>
                  <w:tcW w:w="4202" w:type="dxa"/>
                  <w:tcBorders>
                    <w:top w:val="single" w:color="auto" w:sz="8" w:space="0"/>
                    <w:left w:val="single" w:color="auto" w:sz="8" w:space="0"/>
                    <w:bottom w:val="single" w:color="auto" w:sz="8" w:space="0"/>
                    <w:right w:val="nil"/>
                  </w:tcBorders>
                  <w:vAlign w:val="center"/>
                </w:tcPr>
                <w:p w14:paraId="721BA06E">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CHF2CF3/CF3CH2F/CH3CF3</w:t>
                  </w:r>
                </w:p>
              </w:tc>
            </w:tr>
            <w:tr w14:paraId="33197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78609808">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分子量</w:t>
                  </w:r>
                </w:p>
              </w:tc>
              <w:tc>
                <w:tcPr>
                  <w:tcW w:w="4202" w:type="dxa"/>
                  <w:tcBorders>
                    <w:top w:val="single" w:color="auto" w:sz="8" w:space="0"/>
                    <w:left w:val="single" w:color="auto" w:sz="8" w:space="0"/>
                    <w:bottom w:val="single" w:color="auto" w:sz="8" w:space="0"/>
                    <w:right w:val="nil"/>
                  </w:tcBorders>
                  <w:vAlign w:val="center"/>
                </w:tcPr>
                <w:p w14:paraId="675D7914">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97.6</w:t>
                  </w:r>
                </w:p>
              </w:tc>
            </w:tr>
            <w:tr w14:paraId="1962C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2BA52034">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沸点，℃</w:t>
                  </w:r>
                </w:p>
              </w:tc>
              <w:tc>
                <w:tcPr>
                  <w:tcW w:w="4202" w:type="dxa"/>
                  <w:tcBorders>
                    <w:top w:val="single" w:color="auto" w:sz="8" w:space="0"/>
                    <w:left w:val="single" w:color="auto" w:sz="8" w:space="0"/>
                    <w:bottom w:val="single" w:color="auto" w:sz="8" w:space="0"/>
                    <w:right w:val="nil"/>
                  </w:tcBorders>
                  <w:vAlign w:val="center"/>
                </w:tcPr>
                <w:p w14:paraId="42A6DC36">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-46.8</w:t>
                  </w:r>
                </w:p>
              </w:tc>
            </w:tr>
            <w:tr w14:paraId="1F094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17B93F24">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临界温度，℃</w:t>
                  </w:r>
                </w:p>
              </w:tc>
              <w:tc>
                <w:tcPr>
                  <w:tcW w:w="4202" w:type="dxa"/>
                  <w:tcBorders>
                    <w:top w:val="single" w:color="auto" w:sz="8" w:space="0"/>
                    <w:left w:val="single" w:color="auto" w:sz="8" w:space="0"/>
                    <w:bottom w:val="single" w:color="auto" w:sz="8" w:space="0"/>
                    <w:right w:val="nil"/>
                  </w:tcBorders>
                  <w:vAlign w:val="center"/>
                </w:tcPr>
                <w:p w14:paraId="68B9F31F">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72.1</w:t>
                  </w:r>
                </w:p>
              </w:tc>
            </w:tr>
            <w:tr w14:paraId="751B9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4FF48854">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临界压力，kpa</w:t>
                  </w:r>
                </w:p>
              </w:tc>
              <w:tc>
                <w:tcPr>
                  <w:tcW w:w="4202" w:type="dxa"/>
                  <w:tcBorders>
                    <w:top w:val="single" w:color="auto" w:sz="8" w:space="0"/>
                    <w:left w:val="single" w:color="auto" w:sz="8" w:space="0"/>
                    <w:bottom w:val="single" w:color="auto" w:sz="8" w:space="0"/>
                    <w:right w:val="nil"/>
                  </w:tcBorders>
                  <w:vAlign w:val="center"/>
                </w:tcPr>
                <w:p w14:paraId="241F5D1C">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3733</w:t>
                  </w:r>
                </w:p>
              </w:tc>
            </w:tr>
            <w:tr w14:paraId="4C65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7BDD5BD3">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饱和蒸汽压（25℃），kpa</w:t>
                  </w:r>
                </w:p>
              </w:tc>
              <w:tc>
                <w:tcPr>
                  <w:tcW w:w="4202" w:type="dxa"/>
                  <w:tcBorders>
                    <w:top w:val="single" w:color="auto" w:sz="8" w:space="0"/>
                    <w:left w:val="single" w:color="auto" w:sz="8" w:space="0"/>
                    <w:bottom w:val="single" w:color="auto" w:sz="8" w:space="0"/>
                    <w:right w:val="nil"/>
                  </w:tcBorders>
                  <w:vAlign w:val="center"/>
                </w:tcPr>
                <w:p w14:paraId="02634B55">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1255</w:t>
                  </w:r>
                </w:p>
              </w:tc>
            </w:tr>
            <w:tr w14:paraId="79675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7FDFBBAD">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汽化热/蒸发潜热（沸点下，1atm</w:t>
                  </w:r>
                  <w:r>
                    <w:rPr>
                      <w:rFonts w:hint="eastAsia" w:cs="Times New Roman"/>
                      <w:color w:val="auto"/>
                      <w:kern w:val="2"/>
                      <w:sz w:val="21"/>
                      <w:szCs w:val="21"/>
                      <w:highlight w:val="none"/>
                      <w:vertAlign w:val="baseline"/>
                      <w:lang w:val="en-US" w:eastAsia="zh-CN" w:bidi="ar-SA"/>
                    </w:rPr>
                    <w:t>）</w:t>
                  </w:r>
                  <w:r>
                    <w:rPr>
                      <w:rFonts w:hint="default" w:ascii="Times New Roman" w:hAnsi="Times New Roman" w:eastAsia="宋体" w:cs="Times New Roman"/>
                      <w:color w:val="auto"/>
                      <w:kern w:val="2"/>
                      <w:sz w:val="21"/>
                      <w:szCs w:val="21"/>
                      <w:highlight w:val="none"/>
                      <w:vertAlign w:val="baseline"/>
                      <w:lang w:val="en-US" w:eastAsia="zh-CN" w:bidi="ar-SA"/>
                    </w:rPr>
                    <w:t>，kJ/kg</w:t>
                  </w:r>
                </w:p>
              </w:tc>
              <w:tc>
                <w:tcPr>
                  <w:tcW w:w="4202" w:type="dxa"/>
                  <w:tcBorders>
                    <w:top w:val="single" w:color="auto" w:sz="8" w:space="0"/>
                    <w:left w:val="single" w:color="auto" w:sz="8" w:space="0"/>
                    <w:bottom w:val="single" w:color="auto" w:sz="8" w:space="0"/>
                    <w:right w:val="nil"/>
                  </w:tcBorders>
                  <w:vAlign w:val="center"/>
                </w:tcPr>
                <w:p w14:paraId="392CD752">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207</w:t>
                  </w:r>
                </w:p>
              </w:tc>
            </w:tr>
            <w:tr w14:paraId="28AF6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43F35546">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破坏臭氧潜能值（ODP</w:t>
                  </w:r>
                  <w:r>
                    <w:rPr>
                      <w:rFonts w:hint="eastAsia" w:cs="Times New Roman"/>
                      <w:color w:val="auto"/>
                      <w:kern w:val="2"/>
                      <w:sz w:val="21"/>
                      <w:szCs w:val="21"/>
                      <w:highlight w:val="none"/>
                      <w:vertAlign w:val="baseline"/>
                      <w:lang w:val="en-US" w:eastAsia="zh-CN" w:bidi="ar-SA"/>
                    </w:rPr>
                    <w:t>）</w:t>
                  </w:r>
                </w:p>
              </w:tc>
              <w:tc>
                <w:tcPr>
                  <w:tcW w:w="4202" w:type="dxa"/>
                  <w:tcBorders>
                    <w:top w:val="single" w:color="auto" w:sz="8" w:space="0"/>
                    <w:left w:val="single" w:color="auto" w:sz="8" w:space="0"/>
                    <w:bottom w:val="single" w:color="auto" w:sz="8" w:space="0"/>
                    <w:right w:val="nil"/>
                  </w:tcBorders>
                  <w:vAlign w:val="center"/>
                </w:tcPr>
                <w:p w14:paraId="78685E4C">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0</w:t>
                  </w:r>
                </w:p>
              </w:tc>
            </w:tr>
            <w:tr w14:paraId="5AFDE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8" w:space="0"/>
                    <w:right w:val="single" w:color="auto" w:sz="8" w:space="0"/>
                  </w:tcBorders>
                  <w:vAlign w:val="center"/>
                </w:tcPr>
                <w:p w14:paraId="44EEFC3C">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全球变暖潜能值（GWP，100yr</w:t>
                  </w:r>
                  <w:r>
                    <w:rPr>
                      <w:rFonts w:hint="eastAsia" w:cs="Times New Roman"/>
                      <w:color w:val="auto"/>
                      <w:kern w:val="2"/>
                      <w:sz w:val="21"/>
                      <w:szCs w:val="21"/>
                      <w:highlight w:val="none"/>
                      <w:vertAlign w:val="baseline"/>
                      <w:lang w:val="en-US" w:eastAsia="zh-CN" w:bidi="ar-SA"/>
                    </w:rPr>
                    <w:t>）</w:t>
                  </w:r>
                </w:p>
              </w:tc>
              <w:tc>
                <w:tcPr>
                  <w:tcW w:w="4202" w:type="dxa"/>
                  <w:tcBorders>
                    <w:top w:val="single" w:color="auto" w:sz="8" w:space="0"/>
                    <w:left w:val="single" w:color="auto" w:sz="8" w:space="0"/>
                    <w:bottom w:val="single" w:color="auto" w:sz="8" w:space="0"/>
                    <w:right w:val="nil"/>
                  </w:tcBorders>
                  <w:vAlign w:val="center"/>
                </w:tcPr>
                <w:p w14:paraId="62D48DA3">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kern w:val="2"/>
                      <w:sz w:val="21"/>
                      <w:szCs w:val="21"/>
                      <w:highlight w:val="none"/>
                      <w:vertAlign w:val="baseline"/>
                      <w:lang w:val="en-US" w:eastAsia="zh-CN" w:bidi="ar-SA"/>
                    </w:rPr>
                    <w:t>3088</w:t>
                  </w:r>
                </w:p>
              </w:tc>
            </w:tr>
            <w:tr w14:paraId="7039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1" w:type="dxa"/>
                  <w:tcBorders>
                    <w:top w:val="single" w:color="auto" w:sz="8" w:space="0"/>
                    <w:left w:val="nil"/>
                    <w:bottom w:val="single" w:color="auto" w:sz="12" w:space="0"/>
                    <w:right w:val="single" w:color="auto" w:sz="8" w:space="0"/>
                  </w:tcBorders>
                  <w:vAlign w:val="center"/>
                </w:tcPr>
                <w:p w14:paraId="6F22C3DE">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ASHRAE 安全级别</w:t>
                  </w:r>
                </w:p>
              </w:tc>
              <w:tc>
                <w:tcPr>
                  <w:tcW w:w="4202" w:type="dxa"/>
                  <w:tcBorders>
                    <w:top w:val="single" w:color="auto" w:sz="8" w:space="0"/>
                    <w:left w:val="single" w:color="auto" w:sz="8" w:space="0"/>
                    <w:bottom w:val="single" w:color="auto" w:sz="12" w:space="0"/>
                    <w:right w:val="nil"/>
                  </w:tcBorders>
                  <w:vAlign w:val="center"/>
                </w:tcPr>
                <w:p w14:paraId="5A84F44F">
                  <w:pPr>
                    <w:snapToGrid w:val="0"/>
                    <w:spacing w:line="36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A1 (无毒不可燃）</w:t>
                  </w:r>
                </w:p>
              </w:tc>
            </w:tr>
          </w:tbl>
          <w:p w14:paraId="1B823D73">
            <w:pPr>
              <w:snapToGrid w:val="0"/>
              <w:spacing w:line="360" w:lineRule="auto"/>
              <w:ind w:firstLine="482"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highlight w:val="none"/>
                <w:lang w:val="en-US" w:eastAsia="zh-CN"/>
              </w:rPr>
              <w:t>PAC:</w:t>
            </w:r>
            <w:r>
              <w:rPr>
                <w:rFonts w:hint="default" w:ascii="Times New Roman" w:hAnsi="Times New Roman" w:eastAsia="宋体" w:cs="Times New Roman"/>
                <w:color w:val="auto"/>
                <w:highlight w:val="none"/>
              </w:rPr>
              <w:t>聚合氯化铝：聚合氯化铝也称碱式氧化铝，代号PAC。通常也称作净水剂或者混凝剂，它是介于Al(OH)3之间的一种水溶性无机高分子聚合物，化学通式为［Al(OH)nC16-n］m，其中m代表聚合程度，n表示PAC产品的中性程度。聚合氯化铝与其他混凝剂相比，具有以下优点：应用范围广，适应水性广泛。易快速形成大的矾花，沉淀性能好。适宜的pH值范围较宽（5-9之间），且处理后水的pH值和碱度下降小。水温低时，仍可保持稳定的沉淀效果。碱化度比其他铝盐、铁盐高，对设备侵蚀作用小。</w:t>
            </w:r>
          </w:p>
          <w:p w14:paraId="49827C2F">
            <w:pPr>
              <w:snapToGrid w:val="0"/>
              <w:spacing w:line="360" w:lineRule="auto"/>
              <w:ind w:firstLine="482" w:firstLineChars="200"/>
              <w:rPr>
                <w:rFonts w:hint="default" w:ascii="Times New Roman" w:hAnsi="Times New Roman" w:eastAsia="宋体" w:cs="Times New Roman"/>
                <w:b/>
                <w:bCs w:val="0"/>
                <w:color w:val="auto"/>
                <w:sz w:val="24"/>
                <w:szCs w:val="24"/>
                <w:highlight w:val="none"/>
              </w:rPr>
            </w:pPr>
            <w:r>
              <w:rPr>
                <w:rFonts w:hint="eastAsia" w:cs="Times New Roman"/>
                <w:b/>
                <w:bCs w:val="0"/>
                <w:color w:val="auto"/>
                <w:sz w:val="24"/>
                <w:szCs w:val="24"/>
                <w:highlight w:val="none"/>
                <w:lang w:val="en-US" w:eastAsia="zh-CN"/>
              </w:rPr>
              <w:t>6</w:t>
            </w:r>
            <w:r>
              <w:rPr>
                <w:rFonts w:hint="default" w:ascii="Times New Roman" w:hAnsi="Times New Roman" w:eastAsia="宋体" w:cs="Times New Roman"/>
                <w:b/>
                <w:bCs w:val="0"/>
                <w:color w:val="auto"/>
                <w:sz w:val="24"/>
                <w:szCs w:val="24"/>
                <w:highlight w:val="none"/>
              </w:rPr>
              <w:t>、公用工程及公辅设施</w:t>
            </w:r>
          </w:p>
          <w:p w14:paraId="05746A01">
            <w:pPr>
              <w:pStyle w:val="45"/>
              <w:rPr>
                <w:rFonts w:hint="default"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lang w:eastAsia="zh-CN"/>
              </w:rPr>
              <w:t>（</w:t>
            </w: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b/>
                <w:bCs/>
                <w:color w:val="auto"/>
                <w:highlight w:val="none"/>
                <w:lang w:eastAsia="zh-CN"/>
              </w:rPr>
              <w:t>）</w:t>
            </w:r>
            <w:r>
              <w:rPr>
                <w:rFonts w:hint="default" w:ascii="Times New Roman" w:hAnsi="Times New Roman" w:eastAsia="宋体" w:cs="Times New Roman"/>
                <w:b/>
                <w:bCs/>
                <w:color w:val="auto"/>
                <w:highlight w:val="none"/>
              </w:rPr>
              <w:t>供水</w:t>
            </w:r>
          </w:p>
          <w:p w14:paraId="6C199172">
            <w:pPr>
              <w:spacing w:before="109" w:line="353" w:lineRule="auto"/>
              <w:ind w:left="20" w:right="221" w:firstLine="482"/>
              <w:rPr>
                <w:rFonts w:ascii="宋体" w:hAnsi="宋体" w:eastAsia="宋体" w:cs="宋体"/>
                <w:color w:val="auto"/>
                <w:sz w:val="24"/>
                <w:szCs w:val="24"/>
                <w:highlight w:val="none"/>
              </w:rPr>
            </w:pPr>
            <w:r>
              <w:rPr>
                <w:rFonts w:ascii="宋体" w:hAnsi="宋体" w:eastAsia="宋体" w:cs="宋体"/>
                <w:color w:val="auto"/>
                <w:sz w:val="24"/>
                <w:szCs w:val="24"/>
                <w:highlight w:val="none"/>
              </w:rPr>
              <w:t>本项目生产、生活、消防用水均由</w:t>
            </w:r>
            <w:r>
              <w:rPr>
                <w:rFonts w:hint="eastAsia" w:ascii="宋体" w:hAnsi="宋体" w:eastAsia="宋体" w:cs="宋体"/>
                <w:color w:val="auto"/>
                <w:sz w:val="24"/>
                <w:szCs w:val="24"/>
                <w:highlight w:val="none"/>
                <w:lang w:val="en-US" w:eastAsia="zh-CN"/>
              </w:rPr>
              <w:t>乡镇</w:t>
            </w:r>
            <w:r>
              <w:rPr>
                <w:rFonts w:ascii="宋体" w:hAnsi="宋体" w:eastAsia="宋体" w:cs="宋体"/>
                <w:color w:val="auto"/>
                <w:sz w:val="24"/>
                <w:szCs w:val="24"/>
                <w:highlight w:val="none"/>
              </w:rPr>
              <w:t>给水管</w:t>
            </w:r>
            <w:r>
              <w:rPr>
                <w:rFonts w:ascii="宋体" w:hAnsi="宋体" w:eastAsia="宋体" w:cs="宋体"/>
                <w:color w:val="auto"/>
                <w:spacing w:val="-1"/>
                <w:sz w:val="24"/>
                <w:szCs w:val="24"/>
                <w:highlight w:val="none"/>
              </w:rPr>
              <w:t>网统一供给，厂区内给水设</w:t>
            </w:r>
            <w:r>
              <w:rPr>
                <w:rFonts w:ascii="宋体" w:hAnsi="宋体" w:eastAsia="宋体" w:cs="宋体"/>
                <w:color w:val="auto"/>
                <w:sz w:val="24"/>
                <w:szCs w:val="24"/>
                <w:highlight w:val="none"/>
              </w:rPr>
              <w:t>置环状管网，生产车间及附属建筑物内设置枝状给水管线</w:t>
            </w:r>
            <w:r>
              <w:rPr>
                <w:rFonts w:ascii="宋体" w:hAnsi="宋体" w:eastAsia="宋体" w:cs="宋体"/>
                <w:color w:val="auto"/>
                <w:spacing w:val="-1"/>
                <w:sz w:val="24"/>
                <w:szCs w:val="24"/>
                <w:highlight w:val="none"/>
              </w:rPr>
              <w:t>。项目用水包括生活</w:t>
            </w:r>
            <w:r>
              <w:rPr>
                <w:rFonts w:ascii="宋体" w:hAnsi="宋体" w:eastAsia="宋体" w:cs="宋体"/>
                <w:color w:val="auto"/>
                <w:sz w:val="24"/>
                <w:szCs w:val="24"/>
                <w:highlight w:val="none"/>
              </w:rPr>
              <w:t>用水、生产用水和绿化用水，</w:t>
            </w:r>
            <w:r>
              <w:rPr>
                <w:rFonts w:ascii="宋体" w:hAnsi="宋体" w:eastAsia="宋体" w:cs="宋体"/>
                <w:color w:val="auto"/>
                <w:spacing w:val="-1"/>
                <w:sz w:val="24"/>
                <w:szCs w:val="24"/>
                <w:highlight w:val="none"/>
              </w:rPr>
              <w:t>生产用水包括畜禽饮用水、屠宰过程用水、</w:t>
            </w:r>
            <w:r>
              <w:rPr>
                <w:rFonts w:hint="eastAsia" w:ascii="宋体" w:hAnsi="宋体" w:eastAsia="宋体" w:cs="宋体"/>
                <w:color w:val="auto"/>
                <w:spacing w:val="-1"/>
                <w:sz w:val="24"/>
                <w:szCs w:val="24"/>
                <w:highlight w:val="none"/>
                <w:lang w:val="en-US" w:eastAsia="zh-CN"/>
              </w:rPr>
              <w:t>废气喷淋塔用水、检疫用水</w:t>
            </w:r>
            <w:r>
              <w:rPr>
                <w:rFonts w:ascii="宋体" w:hAnsi="宋体" w:eastAsia="宋体" w:cs="宋体"/>
                <w:color w:val="auto"/>
                <w:spacing w:val="-1"/>
                <w:sz w:val="24"/>
                <w:szCs w:val="24"/>
                <w:highlight w:val="none"/>
              </w:rPr>
              <w:t>。</w:t>
            </w:r>
          </w:p>
          <w:p w14:paraId="5A8148BC">
            <w:pPr>
              <w:pStyle w:val="45"/>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生活用水</w:t>
            </w:r>
          </w:p>
          <w:p w14:paraId="259DC30F">
            <w:pPr>
              <w:pStyle w:val="45"/>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本项目劳动定员</w:t>
            </w:r>
            <w:r>
              <w:rPr>
                <w:rFonts w:hint="eastAsia" w:ascii="Times New Roman" w:hAnsi="Times New Roman" w:eastAsia="宋体" w:cs="Times New Roman"/>
                <w:color w:val="auto"/>
                <w:highlight w:val="none"/>
                <w:lang w:val="en-US" w:eastAsia="zh-CN"/>
              </w:rPr>
              <w:t>10</w:t>
            </w:r>
            <w:r>
              <w:rPr>
                <w:rFonts w:hint="default" w:ascii="Times New Roman" w:hAnsi="Times New Roman" w:eastAsia="宋体" w:cs="Times New Roman"/>
                <w:color w:val="auto"/>
                <w:highlight w:val="none"/>
              </w:rPr>
              <w:t>人，年工作</w:t>
            </w:r>
            <w:r>
              <w:rPr>
                <w:rFonts w:hint="eastAsia" w:cs="Times New Roman"/>
                <w:color w:val="auto"/>
                <w:highlight w:val="none"/>
                <w:lang w:val="en-US" w:eastAsia="zh-CN"/>
              </w:rPr>
              <w:t>365</w:t>
            </w:r>
            <w:r>
              <w:rPr>
                <w:rFonts w:hint="default" w:ascii="Times New Roman" w:hAnsi="Times New Roman" w:eastAsia="宋体" w:cs="Times New Roman"/>
                <w:color w:val="auto"/>
                <w:highlight w:val="none"/>
                <w:lang w:eastAsia="zh-CN"/>
              </w:rPr>
              <w:t>天</w:t>
            </w:r>
            <w:r>
              <w:rPr>
                <w:rFonts w:hint="default" w:ascii="Times New Roman" w:hAnsi="Times New Roman" w:eastAsia="宋体" w:cs="Times New Roman"/>
                <w:color w:val="auto"/>
                <w:highlight w:val="none"/>
              </w:rPr>
              <w:t>，每天工作</w:t>
            </w:r>
            <w:r>
              <w:rPr>
                <w:rFonts w:hint="eastAsia" w:cs="Times New Roman"/>
                <w:color w:val="auto"/>
                <w:highlight w:val="none"/>
                <w:lang w:val="en-US" w:eastAsia="zh-CN"/>
              </w:rPr>
              <w:t>8</w:t>
            </w:r>
            <w:r>
              <w:rPr>
                <w:rFonts w:hint="default" w:ascii="Times New Roman" w:hAnsi="Times New Roman" w:eastAsia="宋体" w:cs="Times New Roman"/>
                <w:color w:val="auto"/>
                <w:highlight w:val="none"/>
                <w:lang w:eastAsia="zh-CN"/>
              </w:rPr>
              <w:t>h</w:t>
            </w:r>
            <w:r>
              <w:rPr>
                <w:rFonts w:hint="default" w:ascii="Times New Roman" w:hAnsi="Times New Roman" w:eastAsia="宋体" w:cs="Times New Roman"/>
                <w:color w:val="auto"/>
                <w:highlight w:val="none"/>
              </w:rPr>
              <w:t>，不提供食堂</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住宿。根据《四川省用水定额》</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川府函〔2021〕8号</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，生活用水按60L/人·d计，则办公人员生活用水量为</w:t>
            </w:r>
            <w:r>
              <w:rPr>
                <w:rFonts w:hint="eastAsia" w:ascii="Times New Roman" w:hAnsi="Times New Roman" w:eastAsia="宋体" w:cs="Times New Roman"/>
                <w:color w:val="auto"/>
                <w:highlight w:val="none"/>
                <w:lang w:val="en-US" w:eastAsia="zh-CN"/>
              </w:rPr>
              <w:t>0.6</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w:t>
            </w:r>
            <w:r>
              <w:rPr>
                <w:rFonts w:hint="eastAsia" w:cs="Times New Roman"/>
                <w:color w:val="auto"/>
                <w:highlight w:val="none"/>
                <w:lang w:val="en-US" w:eastAsia="zh-CN"/>
              </w:rPr>
              <w:t>219</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/a，排污系数按0.85计，则排水量为</w:t>
            </w:r>
            <w:r>
              <w:rPr>
                <w:rFonts w:hint="eastAsia" w:ascii="Times New Roman" w:hAnsi="Times New Roman" w:eastAsia="宋体" w:cs="Times New Roman"/>
                <w:color w:val="auto"/>
                <w:highlight w:val="none"/>
                <w:lang w:val="en-US" w:eastAsia="zh-CN"/>
              </w:rPr>
              <w:t>0.51</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w:t>
            </w:r>
            <w:r>
              <w:rPr>
                <w:rFonts w:hint="eastAsia" w:cs="Times New Roman"/>
                <w:color w:val="auto"/>
                <w:highlight w:val="none"/>
                <w:lang w:val="en-US" w:eastAsia="zh-CN"/>
              </w:rPr>
              <w:t>186.15</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w:t>
            </w:r>
          </w:p>
          <w:p w14:paraId="04A3E3C1">
            <w:pPr>
              <w:numPr>
                <w:ilvl w:val="0"/>
                <w:numId w:val="9"/>
              </w:num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生产用水</w:t>
            </w:r>
          </w:p>
          <w:p w14:paraId="6F1E6F30">
            <w:pPr>
              <w:spacing w:line="360" w:lineRule="auto"/>
              <w:ind w:firstLine="480" w:firstLineChars="200"/>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1</w:t>
            </w:r>
            <w:r>
              <w:rPr>
                <w:rFonts w:hint="eastAsia" w:ascii="Times New Roman" w:hAnsi="Times New Roman" w:eastAsia="宋体"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屠宰用水</w:t>
            </w:r>
          </w:p>
          <w:p w14:paraId="5BE4F15C">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因屠宰受市场需求量影响，分为屠宰淡季和屠宰旺季，由于磨西镇属于旅游重镇，故淡季为11月~次年3月、旺季一般为4月~10月，结合业主生产时间，折算淡季为151天，旺季为214天。根据建设单位预计，旺季屠宰量较日均屠宰量系数取1.13计，日均屠宰量为20头，则旺季屠宰量为22.6头。本项目分别对年平均值和</w:t>
            </w:r>
            <w:r>
              <w:rPr>
                <w:rFonts w:hint="eastAsia" w:ascii="Times New Roman" w:hAnsi="Times New Roman" w:eastAsia="宋体" w:cs="Times New Roman"/>
                <w:color w:val="auto"/>
                <w:sz w:val="24"/>
                <w:szCs w:val="24"/>
                <w:highlight w:val="none"/>
                <w:lang w:val="en-US" w:eastAsia="zh-CN"/>
              </w:rPr>
              <w:t>淡、</w:t>
            </w:r>
            <w:r>
              <w:rPr>
                <w:rFonts w:hint="default" w:ascii="Times New Roman" w:hAnsi="Times New Roman" w:eastAsia="宋体" w:cs="Times New Roman"/>
                <w:color w:val="auto"/>
                <w:sz w:val="24"/>
                <w:szCs w:val="24"/>
                <w:highlight w:val="none"/>
                <w:lang w:val="en-US" w:eastAsia="zh-CN"/>
              </w:rPr>
              <w:t>旺季峰值进行水平衡计算，其中生活、办公及辅助设施用水均以最大规模计算、无差异，仅屠宰加工用水有较大变化。</w:t>
            </w:r>
          </w:p>
          <w:p w14:paraId="514E39F5">
            <w:pPr>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sz w:val="24"/>
                <w:szCs w:val="24"/>
                <w:highlight w:val="none"/>
                <w:lang w:val="en-US" w:eastAsia="zh-CN"/>
              </w:rPr>
              <w:t>根据《屠宰与肉类加工废水治理工程技术规范》（</w:t>
            </w:r>
            <w:r>
              <w:rPr>
                <w:rFonts w:hint="default" w:ascii="Times New Roman" w:hAnsi="Times New Roman" w:eastAsia="宋体" w:cs="Times New Roman"/>
                <w:color w:val="auto"/>
                <w:sz w:val="24"/>
                <w:szCs w:val="24"/>
                <w:highlight w:val="none"/>
                <w:lang w:val="en-US" w:eastAsia="zh-CN"/>
              </w:rPr>
              <w:t>HJ 2004-201</w:t>
            </w:r>
            <w:r>
              <w:rPr>
                <w:rFonts w:hint="default" w:ascii="Times New Roman" w:hAnsi="Times New Roman" w:eastAsia="宋体" w:cs="Times New Roman"/>
                <w:color w:val="auto"/>
                <w:highlight w:val="none"/>
                <w:lang w:val="en-US" w:eastAsia="zh-CN"/>
              </w:rPr>
              <w:t>0</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3.3-3.4</w:t>
            </w:r>
            <w:r>
              <w:rPr>
                <w:rFonts w:hint="eastAsia" w:ascii="Times New Roman" w:hAnsi="Times New Roman" w:eastAsia="宋体" w:cs="Times New Roman"/>
                <w:color w:val="auto"/>
                <w:highlight w:val="none"/>
                <w:lang w:val="en-US" w:eastAsia="zh-CN"/>
              </w:rPr>
              <w:t>章节可知：屠宰过程指屠宰时进行的圈栏冲洗（含生猪尿液）、宰前淋洗、宰后烫毛或剥皮、开腔、劈半、解体、内脏洗涤及车间冲洗等过程。屠宰废水指屠宰过程中产生的废水。因此，屠宰用水主要包括待宰圈冲洗（含生猪饮水）、宰前淋洗、宰后烫毛或开腔、劈半、解体、内脏洗涤及屠宰车间地面和设备冲洗等清洗废水。</w:t>
            </w:r>
          </w:p>
          <w:p w14:paraId="69768A55">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本项目生猪年屠宰量总设计规模为7300头，根据《屠宰与肉类加工废水治理工程技术规范》（HJ 2001-2010），生猪屠宰废水产生量为0.5~0.7m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/头，同时结合《四川省用水定额》（川府函〔2021〕8号）表7农副食品加工业用水定额表-C1351猪屠宰加工，用水定额通用值为0.6m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/头，生猪屠宰用水定额取0.</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/头；参考《屠宰与肉类加工废水治理工程技术规范》（HJ2004-2010）“4.2.3按全厂用水量估算总废水排放量时，废水量宜取全厂用水量的80%-90%”，因此生猪屠宰废水排放系数取85%，屠宰用水情况见下表。</w:t>
            </w:r>
          </w:p>
          <w:p w14:paraId="592507E3">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本项目年屠宰用水量一览表</w:t>
            </w:r>
          </w:p>
          <w:tbl>
            <w:tblPr>
              <w:tblStyle w:val="33"/>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1328"/>
              <w:gridCol w:w="1362"/>
              <w:gridCol w:w="1045"/>
              <w:gridCol w:w="1079"/>
              <w:gridCol w:w="1104"/>
              <w:gridCol w:w="1020"/>
            </w:tblGrid>
            <w:tr w14:paraId="05B0C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vMerge w:val="restart"/>
                  <w:tcBorders>
                    <w:top w:val="single" w:color="auto" w:sz="12" w:space="0"/>
                    <w:left w:val="nil"/>
                    <w:bottom w:val="single" w:color="auto" w:sz="8" w:space="0"/>
                    <w:right w:val="single" w:color="auto" w:sz="8" w:space="0"/>
                  </w:tcBorders>
                  <w:vAlign w:val="center"/>
                </w:tcPr>
                <w:p w14:paraId="753EAFA4">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屠宰类型</w:t>
                  </w:r>
                </w:p>
              </w:tc>
              <w:tc>
                <w:tcPr>
                  <w:tcW w:w="1328" w:type="dxa"/>
                  <w:vMerge w:val="restart"/>
                  <w:tcBorders>
                    <w:top w:val="single" w:color="auto" w:sz="12" w:space="0"/>
                    <w:left w:val="single" w:color="auto" w:sz="8" w:space="0"/>
                    <w:bottom w:val="single" w:color="auto" w:sz="8" w:space="0"/>
                    <w:right w:val="single" w:color="auto" w:sz="8" w:space="0"/>
                  </w:tcBorders>
                  <w:vAlign w:val="center"/>
                </w:tcPr>
                <w:p w14:paraId="4B180049">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屠宰规模</w:t>
                  </w:r>
                </w:p>
              </w:tc>
              <w:tc>
                <w:tcPr>
                  <w:tcW w:w="1362" w:type="dxa"/>
                  <w:vMerge w:val="restart"/>
                  <w:tcBorders>
                    <w:top w:val="single" w:color="auto" w:sz="12" w:space="0"/>
                    <w:left w:val="single" w:color="auto" w:sz="8" w:space="0"/>
                    <w:bottom w:val="single" w:color="auto" w:sz="8" w:space="0"/>
                    <w:right w:val="single" w:color="auto" w:sz="8" w:space="0"/>
                  </w:tcBorders>
                  <w:vAlign w:val="center"/>
                </w:tcPr>
                <w:p w14:paraId="55030292">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用水系数</w:t>
                  </w:r>
                </w:p>
              </w:tc>
              <w:tc>
                <w:tcPr>
                  <w:tcW w:w="2124" w:type="dxa"/>
                  <w:gridSpan w:val="2"/>
                  <w:tcBorders>
                    <w:top w:val="single" w:color="auto" w:sz="12" w:space="0"/>
                    <w:left w:val="single" w:color="auto" w:sz="8" w:space="0"/>
                    <w:bottom w:val="single" w:color="auto" w:sz="8" w:space="0"/>
                    <w:right w:val="single" w:color="auto" w:sz="8" w:space="0"/>
                  </w:tcBorders>
                  <w:vAlign w:val="center"/>
                </w:tcPr>
                <w:p w14:paraId="3D5D8739">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用水量</w:t>
                  </w:r>
                </w:p>
              </w:tc>
              <w:tc>
                <w:tcPr>
                  <w:tcW w:w="2124" w:type="dxa"/>
                  <w:gridSpan w:val="2"/>
                  <w:tcBorders>
                    <w:top w:val="single" w:color="auto" w:sz="12" w:space="0"/>
                    <w:left w:val="single" w:color="auto" w:sz="8" w:space="0"/>
                    <w:bottom w:val="single" w:color="auto" w:sz="8" w:space="0"/>
                    <w:right w:val="nil"/>
                  </w:tcBorders>
                  <w:vAlign w:val="center"/>
                </w:tcPr>
                <w:p w14:paraId="074DFF6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排水量</w:t>
                  </w:r>
                </w:p>
              </w:tc>
            </w:tr>
            <w:tr w14:paraId="5E3A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vMerge w:val="continue"/>
                  <w:tcBorders>
                    <w:top w:val="single" w:color="auto" w:sz="8" w:space="0"/>
                    <w:left w:val="nil"/>
                    <w:bottom w:val="single" w:color="auto" w:sz="8" w:space="0"/>
                    <w:right w:val="single" w:color="auto" w:sz="8" w:space="0"/>
                  </w:tcBorders>
                  <w:vAlign w:val="center"/>
                </w:tcPr>
                <w:p w14:paraId="1F8FC947">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1328" w:type="dxa"/>
                  <w:vMerge w:val="continue"/>
                  <w:tcBorders>
                    <w:top w:val="single" w:color="auto" w:sz="8" w:space="0"/>
                    <w:left w:val="single" w:color="auto" w:sz="8" w:space="0"/>
                    <w:bottom w:val="single" w:color="auto" w:sz="8" w:space="0"/>
                    <w:right w:val="single" w:color="auto" w:sz="8" w:space="0"/>
                  </w:tcBorders>
                  <w:vAlign w:val="center"/>
                </w:tcPr>
                <w:p w14:paraId="1FCCF1B0">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362" w:type="dxa"/>
                  <w:vMerge w:val="continue"/>
                  <w:tcBorders>
                    <w:top w:val="single" w:color="auto" w:sz="8" w:space="0"/>
                    <w:left w:val="single" w:color="auto" w:sz="8" w:space="0"/>
                    <w:bottom w:val="single" w:color="auto" w:sz="8" w:space="0"/>
                    <w:right w:val="single" w:color="auto" w:sz="8" w:space="0"/>
                  </w:tcBorders>
                  <w:vAlign w:val="center"/>
                </w:tcPr>
                <w:p w14:paraId="62F3AAFF">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045" w:type="dxa"/>
                  <w:tcBorders>
                    <w:top w:val="single" w:color="auto" w:sz="8" w:space="0"/>
                    <w:left w:val="single" w:color="auto" w:sz="8" w:space="0"/>
                    <w:bottom w:val="single" w:color="auto" w:sz="8" w:space="0"/>
                    <w:right w:val="single" w:color="auto" w:sz="8" w:space="0"/>
                  </w:tcBorders>
                  <w:vAlign w:val="center"/>
                </w:tcPr>
                <w:p w14:paraId="11FAF44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1079" w:type="dxa"/>
                  <w:tcBorders>
                    <w:top w:val="single" w:color="auto" w:sz="8" w:space="0"/>
                    <w:left w:val="single" w:color="auto" w:sz="8" w:space="0"/>
                    <w:bottom w:val="single" w:color="auto" w:sz="8" w:space="0"/>
                    <w:right w:val="single" w:color="auto" w:sz="8" w:space="0"/>
                  </w:tcBorders>
                  <w:vAlign w:val="center"/>
                </w:tcPr>
                <w:p w14:paraId="64CB786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104" w:type="dxa"/>
                  <w:tcBorders>
                    <w:top w:val="single" w:color="auto" w:sz="8" w:space="0"/>
                    <w:left w:val="single" w:color="auto" w:sz="8" w:space="0"/>
                    <w:bottom w:val="single" w:color="auto" w:sz="8" w:space="0"/>
                    <w:right w:val="single" w:color="auto" w:sz="8" w:space="0"/>
                  </w:tcBorders>
                  <w:vAlign w:val="center"/>
                </w:tcPr>
                <w:p w14:paraId="07B4EA37">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1020" w:type="dxa"/>
                  <w:tcBorders>
                    <w:top w:val="single" w:color="auto" w:sz="8" w:space="0"/>
                    <w:left w:val="single" w:color="auto" w:sz="8" w:space="0"/>
                    <w:bottom w:val="single" w:color="auto" w:sz="8" w:space="0"/>
                    <w:right w:val="nil"/>
                  </w:tcBorders>
                  <w:vAlign w:val="center"/>
                </w:tcPr>
                <w:p w14:paraId="5106BA6B">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r>
            <w:tr w14:paraId="243E3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8" w:space="0"/>
                    <w:left w:val="nil"/>
                    <w:bottom w:val="single" w:color="auto" w:sz="12" w:space="0"/>
                    <w:right w:val="single" w:color="auto" w:sz="8" w:space="0"/>
                  </w:tcBorders>
                  <w:vAlign w:val="center"/>
                </w:tcPr>
                <w:p w14:paraId="01383F5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猪</w:t>
                  </w:r>
                </w:p>
              </w:tc>
              <w:tc>
                <w:tcPr>
                  <w:tcW w:w="1328" w:type="dxa"/>
                  <w:tcBorders>
                    <w:top w:val="single" w:color="auto" w:sz="8" w:space="0"/>
                    <w:left w:val="single" w:color="auto" w:sz="8" w:space="0"/>
                    <w:bottom w:val="single" w:color="auto" w:sz="12" w:space="0"/>
                    <w:right w:val="single" w:color="auto" w:sz="8" w:space="0"/>
                  </w:tcBorders>
                  <w:vAlign w:val="center"/>
                </w:tcPr>
                <w:p w14:paraId="02F6376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7300头/年</w:t>
                  </w:r>
                </w:p>
              </w:tc>
              <w:tc>
                <w:tcPr>
                  <w:tcW w:w="1362" w:type="dxa"/>
                  <w:tcBorders>
                    <w:top w:val="single" w:color="auto" w:sz="8" w:space="0"/>
                    <w:left w:val="single" w:color="auto" w:sz="8" w:space="0"/>
                    <w:bottom w:val="single" w:color="auto" w:sz="12" w:space="0"/>
                    <w:right w:val="single" w:color="auto" w:sz="8" w:space="0"/>
                  </w:tcBorders>
                  <w:vAlign w:val="center"/>
                </w:tcPr>
                <w:p w14:paraId="134775E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0.6m</w:t>
                  </w:r>
                  <w:r>
                    <w:rPr>
                      <w:rFonts w:hint="eastAsia" w:ascii="Times New Roman" w:hAnsi="Times New Roman" w:eastAsia="宋体" w:cs="Times New Roman"/>
                      <w:color w:val="auto"/>
                      <w:kern w:val="0"/>
                      <w:sz w:val="21"/>
                      <w:szCs w:val="21"/>
                      <w:highlight w:val="none"/>
                      <w:u w:val="none"/>
                      <w:vertAlign w:val="superscript"/>
                      <w:lang w:val="en-US" w:eastAsia="zh-CN" w:bidi="ar"/>
                    </w:rPr>
                    <w:t>3</w:t>
                  </w:r>
                  <w:r>
                    <w:rPr>
                      <w:rFonts w:hint="eastAsia" w:ascii="Times New Roman" w:hAnsi="Times New Roman" w:eastAsia="宋体" w:cs="Times New Roman"/>
                      <w:color w:val="auto"/>
                      <w:kern w:val="0"/>
                      <w:sz w:val="21"/>
                      <w:szCs w:val="21"/>
                      <w:highlight w:val="none"/>
                      <w:u w:val="none"/>
                      <w:lang w:val="en-US" w:eastAsia="zh-CN" w:bidi="ar"/>
                    </w:rPr>
                    <w:t>/头</w:t>
                  </w:r>
                </w:p>
              </w:tc>
              <w:tc>
                <w:tcPr>
                  <w:tcW w:w="1045" w:type="dxa"/>
                  <w:tcBorders>
                    <w:top w:val="single" w:color="auto" w:sz="8" w:space="0"/>
                    <w:left w:val="single" w:color="auto" w:sz="8" w:space="0"/>
                    <w:bottom w:val="single" w:color="auto" w:sz="12" w:space="0"/>
                    <w:right w:val="single" w:color="auto" w:sz="8" w:space="0"/>
                  </w:tcBorders>
                  <w:vAlign w:val="center"/>
                </w:tcPr>
                <w:p w14:paraId="7406CD9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4380</w:t>
                  </w:r>
                </w:p>
              </w:tc>
              <w:tc>
                <w:tcPr>
                  <w:tcW w:w="1079" w:type="dxa"/>
                  <w:tcBorders>
                    <w:top w:val="single" w:color="auto" w:sz="8" w:space="0"/>
                    <w:left w:val="single" w:color="auto" w:sz="8" w:space="0"/>
                    <w:bottom w:val="single" w:color="auto" w:sz="12" w:space="0"/>
                    <w:right w:val="single" w:color="auto" w:sz="8" w:space="0"/>
                  </w:tcBorders>
                  <w:vAlign w:val="center"/>
                </w:tcPr>
                <w:p w14:paraId="6BD5200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1104" w:type="dxa"/>
                  <w:tcBorders>
                    <w:top w:val="single" w:color="auto" w:sz="8" w:space="0"/>
                    <w:left w:val="single" w:color="auto" w:sz="8" w:space="0"/>
                    <w:bottom w:val="single" w:color="auto" w:sz="12" w:space="0"/>
                    <w:right w:val="single" w:color="auto" w:sz="8" w:space="0"/>
                  </w:tcBorders>
                  <w:vAlign w:val="center"/>
                </w:tcPr>
                <w:p w14:paraId="05C55EF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3723</w:t>
                  </w:r>
                </w:p>
              </w:tc>
              <w:tc>
                <w:tcPr>
                  <w:tcW w:w="1020" w:type="dxa"/>
                  <w:tcBorders>
                    <w:top w:val="single" w:color="auto" w:sz="8" w:space="0"/>
                    <w:left w:val="single" w:color="auto" w:sz="8" w:space="0"/>
                    <w:bottom w:val="single" w:color="auto" w:sz="12" w:space="0"/>
                    <w:right w:val="nil"/>
                  </w:tcBorders>
                  <w:vAlign w:val="center"/>
                </w:tcPr>
                <w:p w14:paraId="2E7531E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r>
          </w:tbl>
          <w:p w14:paraId="73429FD0">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本项目淡季、旺季屠宰用水量一览表</w:t>
            </w:r>
          </w:p>
          <w:tbl>
            <w:tblPr>
              <w:tblStyle w:val="33"/>
              <w:tblW w:w="83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1328"/>
              <w:gridCol w:w="1362"/>
              <w:gridCol w:w="1045"/>
              <w:gridCol w:w="1079"/>
              <w:gridCol w:w="1104"/>
              <w:gridCol w:w="1020"/>
            </w:tblGrid>
            <w:tr w14:paraId="6C4B0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vMerge w:val="restart"/>
                  <w:tcBorders>
                    <w:top w:val="single" w:color="auto" w:sz="12" w:space="0"/>
                    <w:left w:val="nil"/>
                    <w:bottom w:val="single" w:color="auto" w:sz="8" w:space="0"/>
                    <w:right w:val="single" w:color="auto" w:sz="8" w:space="0"/>
                  </w:tcBorders>
                  <w:vAlign w:val="center"/>
                </w:tcPr>
                <w:p w14:paraId="5EB78662">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屠宰类型</w:t>
                  </w:r>
                </w:p>
              </w:tc>
              <w:tc>
                <w:tcPr>
                  <w:tcW w:w="1328" w:type="dxa"/>
                  <w:vMerge w:val="restart"/>
                  <w:tcBorders>
                    <w:top w:val="single" w:color="auto" w:sz="12" w:space="0"/>
                    <w:left w:val="single" w:color="auto" w:sz="8" w:space="0"/>
                    <w:bottom w:val="single" w:color="auto" w:sz="8" w:space="0"/>
                    <w:right w:val="single" w:color="auto" w:sz="8" w:space="0"/>
                  </w:tcBorders>
                  <w:vAlign w:val="center"/>
                </w:tcPr>
                <w:p w14:paraId="552F852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屠宰规模</w:t>
                  </w:r>
                </w:p>
              </w:tc>
              <w:tc>
                <w:tcPr>
                  <w:tcW w:w="1362" w:type="dxa"/>
                  <w:vMerge w:val="restart"/>
                  <w:tcBorders>
                    <w:top w:val="single" w:color="auto" w:sz="12" w:space="0"/>
                    <w:left w:val="single" w:color="auto" w:sz="8" w:space="0"/>
                    <w:bottom w:val="single" w:color="auto" w:sz="8" w:space="0"/>
                    <w:right w:val="single" w:color="auto" w:sz="8" w:space="0"/>
                  </w:tcBorders>
                  <w:vAlign w:val="center"/>
                </w:tcPr>
                <w:p w14:paraId="606BB85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用水系数</w:t>
                  </w:r>
                </w:p>
              </w:tc>
              <w:tc>
                <w:tcPr>
                  <w:tcW w:w="2124" w:type="dxa"/>
                  <w:gridSpan w:val="2"/>
                  <w:tcBorders>
                    <w:top w:val="single" w:color="auto" w:sz="12" w:space="0"/>
                    <w:left w:val="single" w:color="auto" w:sz="8" w:space="0"/>
                    <w:bottom w:val="single" w:color="auto" w:sz="8" w:space="0"/>
                    <w:right w:val="single" w:color="auto" w:sz="8" w:space="0"/>
                  </w:tcBorders>
                  <w:vAlign w:val="center"/>
                </w:tcPr>
                <w:p w14:paraId="69FD86B4">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用水量</w:t>
                  </w:r>
                </w:p>
              </w:tc>
              <w:tc>
                <w:tcPr>
                  <w:tcW w:w="2124" w:type="dxa"/>
                  <w:gridSpan w:val="2"/>
                  <w:tcBorders>
                    <w:top w:val="single" w:color="auto" w:sz="12" w:space="0"/>
                    <w:left w:val="single" w:color="auto" w:sz="8" w:space="0"/>
                    <w:bottom w:val="single" w:color="auto" w:sz="8" w:space="0"/>
                    <w:right w:val="nil"/>
                  </w:tcBorders>
                  <w:vAlign w:val="center"/>
                </w:tcPr>
                <w:p w14:paraId="241A31D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排水量</w:t>
                  </w:r>
                </w:p>
              </w:tc>
            </w:tr>
            <w:tr w14:paraId="6732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vMerge w:val="continue"/>
                  <w:tcBorders>
                    <w:top w:val="single" w:color="auto" w:sz="8" w:space="0"/>
                    <w:left w:val="nil"/>
                    <w:bottom w:val="single" w:color="auto" w:sz="8" w:space="0"/>
                    <w:right w:val="single" w:color="auto" w:sz="8" w:space="0"/>
                  </w:tcBorders>
                  <w:vAlign w:val="center"/>
                </w:tcPr>
                <w:p w14:paraId="2461098C">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1328" w:type="dxa"/>
                  <w:vMerge w:val="continue"/>
                  <w:tcBorders>
                    <w:top w:val="single" w:color="auto" w:sz="8" w:space="0"/>
                    <w:left w:val="single" w:color="auto" w:sz="8" w:space="0"/>
                    <w:bottom w:val="single" w:color="auto" w:sz="8" w:space="0"/>
                    <w:right w:val="single" w:color="auto" w:sz="8" w:space="0"/>
                  </w:tcBorders>
                  <w:vAlign w:val="center"/>
                </w:tcPr>
                <w:p w14:paraId="21569149">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362" w:type="dxa"/>
                  <w:vMerge w:val="continue"/>
                  <w:tcBorders>
                    <w:top w:val="single" w:color="auto" w:sz="8" w:space="0"/>
                    <w:left w:val="single" w:color="auto" w:sz="8" w:space="0"/>
                    <w:bottom w:val="single" w:color="auto" w:sz="8" w:space="0"/>
                    <w:right w:val="single" w:color="auto" w:sz="8" w:space="0"/>
                  </w:tcBorders>
                  <w:vAlign w:val="center"/>
                </w:tcPr>
                <w:p w14:paraId="2158D660">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045" w:type="dxa"/>
                  <w:tcBorders>
                    <w:top w:val="single" w:color="auto" w:sz="8" w:space="0"/>
                    <w:left w:val="single" w:color="auto" w:sz="8" w:space="0"/>
                    <w:bottom w:val="single" w:color="auto" w:sz="8" w:space="0"/>
                    <w:right w:val="single" w:color="auto" w:sz="8" w:space="0"/>
                  </w:tcBorders>
                  <w:vAlign w:val="center"/>
                </w:tcPr>
                <w:p w14:paraId="7BDF1DDE">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淡季（m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079" w:type="dxa"/>
                  <w:tcBorders>
                    <w:top w:val="single" w:color="auto" w:sz="8" w:space="0"/>
                    <w:left w:val="single" w:color="auto" w:sz="8" w:space="0"/>
                    <w:bottom w:val="single" w:color="auto" w:sz="8" w:space="0"/>
                    <w:right w:val="single" w:color="auto" w:sz="8" w:space="0"/>
                  </w:tcBorders>
                  <w:vAlign w:val="center"/>
                </w:tcPr>
                <w:p w14:paraId="219E2D5D">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旺季（m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104" w:type="dxa"/>
                  <w:tcBorders>
                    <w:top w:val="single" w:color="auto" w:sz="8" w:space="0"/>
                    <w:left w:val="single" w:color="auto" w:sz="8" w:space="0"/>
                    <w:bottom w:val="single" w:color="auto" w:sz="8" w:space="0"/>
                    <w:right w:val="single" w:color="auto" w:sz="8" w:space="0"/>
                  </w:tcBorders>
                  <w:vAlign w:val="center"/>
                </w:tcPr>
                <w:p w14:paraId="738159A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淡季（m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020" w:type="dxa"/>
                  <w:tcBorders>
                    <w:top w:val="single" w:color="auto" w:sz="8" w:space="0"/>
                    <w:left w:val="single" w:color="auto" w:sz="8" w:space="0"/>
                    <w:bottom w:val="single" w:color="auto" w:sz="8" w:space="0"/>
                    <w:right w:val="nil"/>
                  </w:tcBorders>
                  <w:vAlign w:val="center"/>
                </w:tcPr>
                <w:p w14:paraId="0C4C43B3">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旺季（m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r>
            <w:tr w14:paraId="4E0B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8" w:space="0"/>
                    <w:left w:val="nil"/>
                    <w:bottom w:val="single" w:color="auto" w:sz="8" w:space="0"/>
                    <w:right w:val="single" w:color="auto" w:sz="8" w:space="0"/>
                  </w:tcBorders>
                  <w:vAlign w:val="center"/>
                </w:tcPr>
                <w:p w14:paraId="436D7ED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猪</w:t>
                  </w:r>
                </w:p>
              </w:tc>
              <w:tc>
                <w:tcPr>
                  <w:tcW w:w="1328" w:type="dxa"/>
                  <w:tcBorders>
                    <w:top w:val="single" w:color="auto" w:sz="8" w:space="0"/>
                    <w:left w:val="single" w:color="auto" w:sz="8" w:space="0"/>
                    <w:bottom w:val="single" w:color="auto" w:sz="8" w:space="0"/>
                    <w:right w:val="single" w:color="auto" w:sz="8" w:space="0"/>
                  </w:tcBorders>
                  <w:vAlign w:val="center"/>
                </w:tcPr>
                <w:p w14:paraId="256C525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7300头/年</w:t>
                  </w:r>
                </w:p>
              </w:tc>
              <w:tc>
                <w:tcPr>
                  <w:tcW w:w="1362" w:type="dxa"/>
                  <w:tcBorders>
                    <w:top w:val="single" w:color="auto" w:sz="8" w:space="0"/>
                    <w:left w:val="single" w:color="auto" w:sz="8" w:space="0"/>
                    <w:bottom w:val="single" w:color="auto" w:sz="8" w:space="0"/>
                    <w:right w:val="single" w:color="auto" w:sz="8" w:space="0"/>
                  </w:tcBorders>
                  <w:vAlign w:val="center"/>
                </w:tcPr>
                <w:p w14:paraId="1AC89EA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0.6m</w:t>
                  </w:r>
                  <w:r>
                    <w:rPr>
                      <w:rFonts w:hint="eastAsia" w:ascii="Times New Roman" w:hAnsi="Times New Roman" w:eastAsia="宋体" w:cs="Times New Roman"/>
                      <w:color w:val="auto"/>
                      <w:kern w:val="0"/>
                      <w:sz w:val="21"/>
                      <w:szCs w:val="21"/>
                      <w:highlight w:val="none"/>
                      <w:u w:val="none"/>
                      <w:vertAlign w:val="superscript"/>
                      <w:lang w:val="en-US" w:eastAsia="zh-CN" w:bidi="ar"/>
                    </w:rPr>
                    <w:t>3</w:t>
                  </w:r>
                  <w:r>
                    <w:rPr>
                      <w:rFonts w:hint="eastAsia" w:ascii="Times New Roman" w:hAnsi="Times New Roman" w:eastAsia="宋体" w:cs="Times New Roman"/>
                      <w:color w:val="auto"/>
                      <w:kern w:val="0"/>
                      <w:sz w:val="21"/>
                      <w:szCs w:val="21"/>
                      <w:highlight w:val="none"/>
                      <w:u w:val="none"/>
                      <w:lang w:val="en-US" w:eastAsia="zh-CN" w:bidi="ar"/>
                    </w:rPr>
                    <w:t>/头</w:t>
                  </w:r>
                </w:p>
              </w:tc>
              <w:tc>
                <w:tcPr>
                  <w:tcW w:w="1045" w:type="dxa"/>
                  <w:tcBorders>
                    <w:top w:val="single" w:color="auto" w:sz="8" w:space="0"/>
                    <w:left w:val="single" w:color="auto" w:sz="8" w:space="0"/>
                    <w:bottom w:val="single" w:color="auto" w:sz="8" w:space="0"/>
                    <w:right w:val="single" w:color="auto" w:sz="8" w:space="0"/>
                  </w:tcBorders>
                  <w:vAlign w:val="center"/>
                </w:tcPr>
                <w:p w14:paraId="2E859DE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9.45 </w:t>
                  </w:r>
                </w:p>
              </w:tc>
              <w:tc>
                <w:tcPr>
                  <w:tcW w:w="1079" w:type="dxa"/>
                  <w:tcBorders>
                    <w:top w:val="single" w:color="auto" w:sz="8" w:space="0"/>
                    <w:left w:val="single" w:color="auto" w:sz="8" w:space="0"/>
                    <w:bottom w:val="single" w:color="auto" w:sz="8" w:space="0"/>
                    <w:right w:val="single" w:color="auto" w:sz="8" w:space="0"/>
                  </w:tcBorders>
                  <w:vAlign w:val="center"/>
                </w:tcPr>
                <w:p w14:paraId="63ACB60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13.8</w:t>
                  </w:r>
                </w:p>
              </w:tc>
              <w:tc>
                <w:tcPr>
                  <w:tcW w:w="1104" w:type="dxa"/>
                  <w:tcBorders>
                    <w:top w:val="single" w:color="auto" w:sz="8" w:space="0"/>
                    <w:left w:val="single" w:color="auto" w:sz="8" w:space="0"/>
                    <w:bottom w:val="single" w:color="auto" w:sz="8" w:space="0"/>
                    <w:right w:val="single" w:color="auto" w:sz="8" w:space="0"/>
                  </w:tcBorders>
                  <w:vAlign w:val="center"/>
                </w:tcPr>
                <w:p w14:paraId="29CF40A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8.03 </w:t>
                  </w:r>
                </w:p>
              </w:tc>
              <w:tc>
                <w:tcPr>
                  <w:tcW w:w="1020" w:type="dxa"/>
                  <w:tcBorders>
                    <w:top w:val="single" w:color="auto" w:sz="8" w:space="0"/>
                    <w:left w:val="single" w:color="auto" w:sz="8" w:space="0"/>
                    <w:bottom w:val="single" w:color="auto" w:sz="8" w:space="0"/>
                    <w:right w:val="nil"/>
                  </w:tcBorders>
                  <w:vAlign w:val="center"/>
                </w:tcPr>
                <w:p w14:paraId="26A56FB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11.73</w:t>
                  </w:r>
                </w:p>
              </w:tc>
            </w:tr>
            <w:tr w14:paraId="0BC92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8" w:space="0"/>
                    <w:left w:val="nil"/>
                    <w:bottom w:val="single" w:color="auto" w:sz="12" w:space="0"/>
                    <w:right w:val="single" w:color="auto" w:sz="8" w:space="0"/>
                  </w:tcBorders>
                  <w:vAlign w:val="center"/>
                </w:tcPr>
                <w:p w14:paraId="500CEC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cs="Times New Roman"/>
                      <w:color w:val="auto"/>
                      <w:kern w:val="0"/>
                      <w:sz w:val="21"/>
                      <w:szCs w:val="21"/>
                      <w:highlight w:val="none"/>
                      <w:u w:val="none"/>
                      <w:lang w:val="en-US" w:eastAsia="zh-CN" w:bidi="ar"/>
                    </w:rPr>
                    <w:t>备注</w:t>
                  </w:r>
                </w:p>
              </w:tc>
              <w:tc>
                <w:tcPr>
                  <w:tcW w:w="6938" w:type="dxa"/>
                  <w:gridSpan w:val="6"/>
                  <w:tcBorders>
                    <w:top w:val="single" w:color="auto" w:sz="8" w:space="0"/>
                    <w:left w:val="single" w:color="auto" w:sz="8" w:space="0"/>
                    <w:bottom w:val="single" w:color="auto" w:sz="12" w:space="0"/>
                    <w:right w:val="nil"/>
                  </w:tcBorders>
                  <w:vAlign w:val="center"/>
                </w:tcPr>
                <w:p w14:paraId="100396C9">
                  <w:pPr>
                    <w:keepNext w:val="0"/>
                    <w:keepLines w:val="0"/>
                    <w:widowControl/>
                    <w:suppressLineNumbers w:val="0"/>
                    <w:jc w:val="center"/>
                    <w:textAlignment w:val="center"/>
                    <w:rPr>
                      <w:rFonts w:hint="default"/>
                      <w:color w:val="auto"/>
                      <w:highlight w:val="none"/>
                      <w:lang w:val="en-US" w:eastAsia="zh-CN"/>
                    </w:rPr>
                  </w:pPr>
                  <w:r>
                    <w:rPr>
                      <w:rFonts w:hint="eastAsia" w:cs="Times New Roman"/>
                      <w:i w:val="0"/>
                      <w:iCs w:val="0"/>
                      <w:color w:val="auto"/>
                      <w:kern w:val="0"/>
                      <w:sz w:val="21"/>
                      <w:szCs w:val="21"/>
                      <w:highlight w:val="none"/>
                      <w:u w:val="none"/>
                      <w:lang w:val="en-US" w:eastAsia="zh-CN" w:bidi="ar"/>
                    </w:rPr>
                    <w:t>淡季屠宰量约为16头/d，旺季屠宰量约为23头/d</w:t>
                  </w:r>
                </w:p>
              </w:tc>
            </w:tr>
          </w:tbl>
          <w:p w14:paraId="03A88BEF">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 xml:space="preserve">2、车辆清洗用水 </w:t>
            </w:r>
          </w:p>
          <w:p w14:paraId="4CE7B74C">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本项目设置</w:t>
            </w:r>
            <w:r>
              <w:rPr>
                <w:rFonts w:hint="default"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处洗车区和1处厂区车轮消毒池，用于生猪运输车辆冲洗和消毒，产品和副产品运输车辆均不在厂内清洗。查阅相关资料，生猪运输量按</w:t>
            </w:r>
            <w:r>
              <w:rPr>
                <w:rFonts w:hint="eastAsia" w:cs="Times New Roman"/>
                <w:color w:val="auto"/>
                <w:sz w:val="24"/>
                <w:szCs w:val="24"/>
                <w:highlight w:val="none"/>
                <w:lang w:val="en-US" w:eastAsia="zh-CN"/>
              </w:rPr>
              <w:t>20</w:t>
            </w:r>
            <w:r>
              <w:rPr>
                <w:rFonts w:hint="eastAsia" w:ascii="Times New Roman" w:hAnsi="Times New Roman" w:eastAsia="宋体" w:cs="Times New Roman"/>
                <w:color w:val="auto"/>
                <w:sz w:val="24"/>
                <w:szCs w:val="24"/>
                <w:highlight w:val="none"/>
                <w:lang w:val="en-US" w:eastAsia="zh-CN"/>
              </w:rPr>
              <w:t>头</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车·次，车辆每次冲洗水量约</w:t>
            </w:r>
            <w:r>
              <w:rPr>
                <w:rFonts w:hint="default" w:ascii="Times New Roman" w:hAnsi="Times New Roman" w:eastAsia="宋体"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车次，产污率以</w:t>
            </w:r>
            <w:r>
              <w:rPr>
                <w:rFonts w:hint="default" w:ascii="Times New Roman" w:hAnsi="Times New Roman" w:eastAsia="宋体" w:cs="Times New Roman"/>
                <w:color w:val="auto"/>
                <w:sz w:val="24"/>
                <w:szCs w:val="24"/>
                <w:highlight w:val="none"/>
                <w:lang w:val="en-US" w:eastAsia="zh-CN"/>
              </w:rPr>
              <w:t>0.8</w:t>
            </w:r>
            <w:r>
              <w:rPr>
                <w:rFonts w:hint="eastAsia" w:ascii="Times New Roman" w:hAnsi="Times New Roman" w:eastAsia="宋体" w:cs="Times New Roman"/>
                <w:color w:val="auto"/>
                <w:sz w:val="24"/>
                <w:szCs w:val="24"/>
                <w:highlight w:val="none"/>
                <w:lang w:val="en-US" w:eastAsia="zh-CN"/>
              </w:rPr>
              <w:t>计，车辆冲洗消毒用水情况见下表。</w:t>
            </w:r>
          </w:p>
          <w:p w14:paraId="79502F02">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本项目车辆清洗用水量一览表</w:t>
            </w:r>
          </w:p>
          <w:tbl>
            <w:tblPr>
              <w:tblStyle w:val="33"/>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060"/>
              <w:gridCol w:w="1087"/>
              <w:gridCol w:w="1695"/>
              <w:gridCol w:w="834"/>
              <w:gridCol w:w="862"/>
              <w:gridCol w:w="881"/>
              <w:gridCol w:w="815"/>
            </w:tblGrid>
            <w:tr w14:paraId="3227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9" w:type="dxa"/>
                  <w:vMerge w:val="restart"/>
                  <w:tcBorders>
                    <w:top w:val="single" w:color="auto" w:sz="12" w:space="0"/>
                    <w:left w:val="nil"/>
                    <w:bottom w:val="single" w:color="auto" w:sz="8" w:space="0"/>
                    <w:right w:val="single" w:color="auto" w:sz="8" w:space="0"/>
                  </w:tcBorders>
                  <w:vAlign w:val="center"/>
                </w:tcPr>
                <w:p w14:paraId="5105AF02">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类型</w:t>
                  </w:r>
                </w:p>
              </w:tc>
              <w:tc>
                <w:tcPr>
                  <w:tcW w:w="1060" w:type="dxa"/>
                  <w:vMerge w:val="restart"/>
                  <w:tcBorders>
                    <w:top w:val="single" w:color="auto" w:sz="12" w:space="0"/>
                    <w:left w:val="single" w:color="auto" w:sz="8" w:space="0"/>
                    <w:bottom w:val="single" w:color="auto" w:sz="8" w:space="0"/>
                    <w:right w:val="single" w:color="auto" w:sz="8" w:space="0"/>
                  </w:tcBorders>
                  <w:vAlign w:val="center"/>
                </w:tcPr>
                <w:p w14:paraId="3E0CDF35">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屠宰规模</w:t>
                  </w:r>
                </w:p>
              </w:tc>
              <w:tc>
                <w:tcPr>
                  <w:tcW w:w="1087" w:type="dxa"/>
                  <w:vMerge w:val="restart"/>
                  <w:tcBorders>
                    <w:top w:val="single" w:color="auto" w:sz="12" w:space="0"/>
                    <w:left w:val="single" w:color="auto" w:sz="8" w:space="0"/>
                    <w:bottom w:val="single" w:color="auto" w:sz="8" w:space="0"/>
                    <w:right w:val="single" w:color="auto" w:sz="8" w:space="0"/>
                  </w:tcBorders>
                  <w:vAlign w:val="center"/>
                </w:tcPr>
                <w:p w14:paraId="0339EAB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运输次数</w:t>
                  </w:r>
                </w:p>
              </w:tc>
              <w:tc>
                <w:tcPr>
                  <w:tcW w:w="1695" w:type="dxa"/>
                  <w:vMerge w:val="restart"/>
                  <w:tcBorders>
                    <w:top w:val="single" w:color="auto" w:sz="12" w:space="0"/>
                    <w:left w:val="single" w:color="auto" w:sz="8" w:space="0"/>
                    <w:right w:val="single" w:color="auto" w:sz="8" w:space="0"/>
                  </w:tcBorders>
                  <w:vAlign w:val="center"/>
                </w:tcPr>
                <w:p w14:paraId="6D6A635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用水系数</w:t>
                  </w:r>
                </w:p>
              </w:tc>
              <w:tc>
                <w:tcPr>
                  <w:tcW w:w="1696" w:type="dxa"/>
                  <w:gridSpan w:val="2"/>
                  <w:tcBorders>
                    <w:top w:val="single" w:color="auto" w:sz="12" w:space="0"/>
                    <w:left w:val="single" w:color="auto" w:sz="8" w:space="0"/>
                    <w:bottom w:val="single" w:color="auto" w:sz="8" w:space="0"/>
                    <w:right w:val="single" w:color="auto" w:sz="8" w:space="0"/>
                  </w:tcBorders>
                  <w:vAlign w:val="center"/>
                </w:tcPr>
                <w:p w14:paraId="3993B37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用水量</w:t>
                  </w:r>
                </w:p>
              </w:tc>
              <w:tc>
                <w:tcPr>
                  <w:tcW w:w="1696" w:type="dxa"/>
                  <w:gridSpan w:val="2"/>
                  <w:tcBorders>
                    <w:top w:val="single" w:color="auto" w:sz="12" w:space="0"/>
                    <w:left w:val="single" w:color="auto" w:sz="8" w:space="0"/>
                    <w:bottom w:val="single" w:color="auto" w:sz="8" w:space="0"/>
                    <w:right w:val="nil"/>
                  </w:tcBorders>
                  <w:vAlign w:val="center"/>
                </w:tcPr>
                <w:p w14:paraId="54DCBA8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排水量</w:t>
                  </w:r>
                </w:p>
              </w:tc>
            </w:tr>
            <w:tr w14:paraId="69943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9" w:type="dxa"/>
                  <w:vMerge w:val="continue"/>
                  <w:tcBorders>
                    <w:top w:val="single" w:color="auto" w:sz="8" w:space="0"/>
                    <w:left w:val="nil"/>
                    <w:bottom w:val="single" w:color="auto" w:sz="8" w:space="0"/>
                    <w:right w:val="single" w:color="auto" w:sz="8" w:space="0"/>
                  </w:tcBorders>
                  <w:vAlign w:val="center"/>
                </w:tcPr>
                <w:p w14:paraId="2D9BEC4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1060" w:type="dxa"/>
                  <w:vMerge w:val="continue"/>
                  <w:tcBorders>
                    <w:top w:val="single" w:color="auto" w:sz="8" w:space="0"/>
                    <w:left w:val="single" w:color="auto" w:sz="8" w:space="0"/>
                    <w:bottom w:val="single" w:color="auto" w:sz="8" w:space="0"/>
                    <w:right w:val="single" w:color="auto" w:sz="8" w:space="0"/>
                  </w:tcBorders>
                  <w:vAlign w:val="center"/>
                </w:tcPr>
                <w:p w14:paraId="737D9398">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087" w:type="dxa"/>
                  <w:vMerge w:val="continue"/>
                  <w:tcBorders>
                    <w:top w:val="single" w:color="auto" w:sz="8" w:space="0"/>
                    <w:left w:val="single" w:color="auto" w:sz="8" w:space="0"/>
                    <w:bottom w:val="single" w:color="auto" w:sz="8" w:space="0"/>
                    <w:right w:val="single" w:color="auto" w:sz="8" w:space="0"/>
                  </w:tcBorders>
                  <w:vAlign w:val="center"/>
                </w:tcPr>
                <w:p w14:paraId="040E687B">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695" w:type="dxa"/>
                  <w:vMerge w:val="continue"/>
                  <w:tcBorders>
                    <w:left w:val="single" w:color="auto" w:sz="8" w:space="0"/>
                    <w:bottom w:val="single" w:color="auto" w:sz="8" w:space="0"/>
                    <w:right w:val="single" w:color="auto" w:sz="8" w:space="0"/>
                  </w:tcBorders>
                  <w:vAlign w:val="center"/>
                </w:tcPr>
                <w:p w14:paraId="74EE50B0">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834" w:type="dxa"/>
                  <w:tcBorders>
                    <w:top w:val="single" w:color="auto" w:sz="8" w:space="0"/>
                    <w:left w:val="single" w:color="auto" w:sz="8" w:space="0"/>
                    <w:bottom w:val="single" w:color="auto" w:sz="8" w:space="0"/>
                    <w:right w:val="single" w:color="auto" w:sz="8" w:space="0"/>
                  </w:tcBorders>
                  <w:vAlign w:val="center"/>
                </w:tcPr>
                <w:p w14:paraId="5FD525EE">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862" w:type="dxa"/>
                  <w:tcBorders>
                    <w:top w:val="single" w:color="auto" w:sz="8" w:space="0"/>
                    <w:left w:val="single" w:color="auto" w:sz="8" w:space="0"/>
                    <w:bottom w:val="single" w:color="auto" w:sz="8" w:space="0"/>
                    <w:right w:val="single" w:color="auto" w:sz="8" w:space="0"/>
                  </w:tcBorders>
                  <w:vAlign w:val="center"/>
                </w:tcPr>
                <w:p w14:paraId="4096D5B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881" w:type="dxa"/>
                  <w:tcBorders>
                    <w:top w:val="single" w:color="auto" w:sz="8" w:space="0"/>
                    <w:left w:val="single" w:color="auto" w:sz="8" w:space="0"/>
                    <w:bottom w:val="single" w:color="auto" w:sz="8" w:space="0"/>
                    <w:right w:val="single" w:color="auto" w:sz="8" w:space="0"/>
                  </w:tcBorders>
                  <w:vAlign w:val="center"/>
                </w:tcPr>
                <w:p w14:paraId="4FA583A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815" w:type="dxa"/>
                  <w:tcBorders>
                    <w:top w:val="single" w:color="auto" w:sz="8" w:space="0"/>
                    <w:left w:val="single" w:color="auto" w:sz="8" w:space="0"/>
                    <w:bottom w:val="single" w:color="auto" w:sz="8" w:space="0"/>
                    <w:right w:val="nil"/>
                  </w:tcBorders>
                  <w:vAlign w:val="center"/>
                </w:tcPr>
                <w:p w14:paraId="254D5341">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r>
            <w:tr w14:paraId="7E618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9" w:type="dxa"/>
                  <w:tcBorders>
                    <w:top w:val="single" w:color="auto" w:sz="8" w:space="0"/>
                    <w:left w:val="nil"/>
                    <w:bottom w:val="single" w:color="auto" w:sz="12" w:space="0"/>
                    <w:right w:val="single" w:color="auto" w:sz="8" w:space="0"/>
                  </w:tcBorders>
                  <w:vAlign w:val="center"/>
                </w:tcPr>
                <w:p w14:paraId="480502F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生猪运输</w:t>
                  </w:r>
                </w:p>
              </w:tc>
              <w:tc>
                <w:tcPr>
                  <w:tcW w:w="1060" w:type="dxa"/>
                  <w:tcBorders>
                    <w:top w:val="single" w:color="auto" w:sz="8" w:space="0"/>
                    <w:left w:val="single" w:color="auto" w:sz="8" w:space="0"/>
                    <w:bottom w:val="single" w:color="auto" w:sz="12" w:space="0"/>
                    <w:right w:val="single" w:color="auto" w:sz="8" w:space="0"/>
                  </w:tcBorders>
                  <w:vAlign w:val="center"/>
                </w:tcPr>
                <w:p w14:paraId="6DFA790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7300头/年</w:t>
                  </w:r>
                </w:p>
              </w:tc>
              <w:tc>
                <w:tcPr>
                  <w:tcW w:w="1087" w:type="dxa"/>
                  <w:tcBorders>
                    <w:top w:val="single" w:color="auto" w:sz="8" w:space="0"/>
                    <w:left w:val="single" w:color="auto" w:sz="8" w:space="0"/>
                    <w:bottom w:val="single" w:color="auto" w:sz="12" w:space="0"/>
                    <w:right w:val="single" w:color="auto" w:sz="8" w:space="0"/>
                  </w:tcBorders>
                  <w:vAlign w:val="center"/>
                </w:tcPr>
                <w:p w14:paraId="68FDD35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365次/年</w:t>
                  </w:r>
                </w:p>
              </w:tc>
              <w:tc>
                <w:tcPr>
                  <w:tcW w:w="1695" w:type="dxa"/>
                  <w:tcBorders>
                    <w:top w:val="single" w:color="auto" w:sz="8" w:space="0"/>
                    <w:left w:val="single" w:color="auto" w:sz="8" w:space="0"/>
                    <w:bottom w:val="single" w:color="auto" w:sz="12" w:space="0"/>
                    <w:right w:val="single" w:color="auto" w:sz="8" w:space="0"/>
                  </w:tcBorders>
                  <w:vAlign w:val="center"/>
                </w:tcPr>
                <w:p w14:paraId="674A979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0.2</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车次</w:t>
                  </w:r>
                </w:p>
              </w:tc>
              <w:tc>
                <w:tcPr>
                  <w:tcW w:w="834" w:type="dxa"/>
                  <w:tcBorders>
                    <w:top w:val="single" w:color="auto" w:sz="8" w:space="0"/>
                    <w:left w:val="single" w:color="auto" w:sz="8" w:space="0"/>
                    <w:bottom w:val="single" w:color="auto" w:sz="12" w:space="0"/>
                    <w:right w:val="single" w:color="auto" w:sz="8" w:space="0"/>
                  </w:tcBorders>
                  <w:vAlign w:val="center"/>
                </w:tcPr>
                <w:p w14:paraId="4D4F861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w:t>
                  </w:r>
                </w:p>
              </w:tc>
              <w:tc>
                <w:tcPr>
                  <w:tcW w:w="862" w:type="dxa"/>
                  <w:tcBorders>
                    <w:top w:val="single" w:color="auto" w:sz="8" w:space="0"/>
                    <w:left w:val="single" w:color="auto" w:sz="8" w:space="0"/>
                    <w:bottom w:val="single" w:color="auto" w:sz="12" w:space="0"/>
                    <w:right w:val="single" w:color="auto" w:sz="8" w:space="0"/>
                  </w:tcBorders>
                  <w:vAlign w:val="center"/>
                </w:tcPr>
                <w:p w14:paraId="371BEDE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0.2</w:t>
                  </w:r>
                </w:p>
              </w:tc>
              <w:tc>
                <w:tcPr>
                  <w:tcW w:w="881" w:type="dxa"/>
                  <w:tcBorders>
                    <w:top w:val="single" w:color="auto" w:sz="8" w:space="0"/>
                    <w:left w:val="single" w:color="auto" w:sz="8" w:space="0"/>
                    <w:bottom w:val="single" w:color="auto" w:sz="12" w:space="0"/>
                    <w:right w:val="single" w:color="auto" w:sz="8" w:space="0"/>
                  </w:tcBorders>
                  <w:vAlign w:val="center"/>
                </w:tcPr>
                <w:p w14:paraId="714C9FD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58.4</w:t>
                  </w:r>
                </w:p>
              </w:tc>
              <w:tc>
                <w:tcPr>
                  <w:tcW w:w="815" w:type="dxa"/>
                  <w:tcBorders>
                    <w:top w:val="single" w:color="auto" w:sz="8" w:space="0"/>
                    <w:left w:val="single" w:color="auto" w:sz="8" w:space="0"/>
                    <w:bottom w:val="single" w:color="auto" w:sz="12" w:space="0"/>
                    <w:right w:val="nil"/>
                  </w:tcBorders>
                  <w:vAlign w:val="center"/>
                </w:tcPr>
                <w:p w14:paraId="5C30340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0.16</w:t>
                  </w:r>
                </w:p>
              </w:tc>
            </w:tr>
          </w:tbl>
          <w:p w14:paraId="06CEC39B">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3、喷淋塔用水 </w:t>
            </w:r>
          </w:p>
          <w:p w14:paraId="163B7037">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本项目废气处理设施配套建设有一级碱液喷淋塔，塔内有循环水，碱液喷淋塔中添加片碱。本项目设置有1套恶臭废气处理装置，喷淋塔循环水量为2</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/h</w:t>
            </w:r>
            <w:r>
              <w:rPr>
                <w:rFonts w:hint="eastAsia" w:ascii="Times New Roman" w:hAnsi="Times New Roman" w:eastAsia="宋体" w:cs="Times New Roman"/>
                <w:color w:val="auto"/>
                <w:highlight w:val="none"/>
                <w:lang w:val="en-US" w:eastAsia="zh-CN"/>
              </w:rPr>
              <w:t>，根据《工业循环冷却水处理设计规范》（</w:t>
            </w:r>
            <w:r>
              <w:rPr>
                <w:rFonts w:hint="default" w:ascii="Times New Roman" w:hAnsi="Times New Roman" w:eastAsia="宋体" w:cs="Times New Roman"/>
                <w:color w:val="auto"/>
                <w:highlight w:val="none"/>
                <w:lang w:val="en-US" w:eastAsia="zh-CN"/>
              </w:rPr>
              <w:t>GB/T50050-2017</w:t>
            </w:r>
            <w:r>
              <w:rPr>
                <w:rFonts w:hint="eastAsia" w:ascii="Times New Roman" w:hAnsi="Times New Roman" w:eastAsia="宋体" w:cs="Times New Roman"/>
                <w:color w:val="auto"/>
                <w:highlight w:val="none"/>
                <w:lang w:val="en-US" w:eastAsia="zh-CN"/>
              </w:rPr>
              <w:t>）“5.0.7封闭系统的补充水量不宜大于循环水量的1</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”。故本次补充水量按循环水量的</w:t>
            </w: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，经计算约补充水量0.0048</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（17.472</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），每个月排放一次，排放量为2</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次，排水量为2</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次（24</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），并补充2</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次新鲜水（24</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），则喷淋塔用水量为41.472</w:t>
            </w:r>
            <w:r>
              <w:rPr>
                <w:rFonts w:hint="default" w:ascii="Times New Roman" w:hAnsi="Times New Roman" w:eastAsia="宋体" w:cs="Times New Roman"/>
                <w:color w:val="auto"/>
                <w:highlight w:val="none"/>
                <w:lang w:val="en-US" w:eastAsia="zh-CN"/>
              </w:rPr>
              <w:t>m3/a</w:t>
            </w:r>
            <w:r>
              <w:rPr>
                <w:rFonts w:hint="eastAsia" w:ascii="Times New Roman" w:hAnsi="Times New Roman" w:eastAsia="宋体" w:cs="Times New Roman"/>
                <w:color w:val="auto"/>
                <w:highlight w:val="none"/>
                <w:lang w:val="en-US" w:eastAsia="zh-CN"/>
              </w:rPr>
              <w:t>（0.1136</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w:t>
            </w:r>
          </w:p>
          <w:p w14:paraId="0C0DB688">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4、生猪待宰饮用水</w:t>
            </w:r>
          </w:p>
          <w:p w14:paraId="6773FD33">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为了生猪宰杀后胴体达到尸僵时降低</w:t>
            </w:r>
            <w:r>
              <w:rPr>
                <w:rFonts w:hint="default" w:ascii="Times New Roman" w:hAnsi="Times New Roman" w:eastAsia="宋体" w:cs="Times New Roman"/>
                <w:color w:val="auto"/>
                <w:highlight w:val="none"/>
                <w:lang w:val="en-US" w:eastAsia="zh-CN"/>
              </w:rPr>
              <w:t>pH</w:t>
            </w:r>
            <w:r>
              <w:rPr>
                <w:rFonts w:hint="eastAsia" w:ascii="Times New Roman" w:hAnsi="Times New Roman" w:eastAsia="宋体" w:cs="Times New Roman"/>
                <w:color w:val="auto"/>
                <w:highlight w:val="none"/>
                <w:lang w:val="en-US" w:eastAsia="zh-CN"/>
              </w:rPr>
              <w:t>值，在生猪待宰静养期间只进水不进食。用水量参考《四川省用水定额》（川府函</w:t>
            </w:r>
            <w:r>
              <w:rPr>
                <w:rFonts w:hint="eastAsia" w:ascii="微软雅黑" w:hAnsi="微软雅黑" w:eastAsia="微软雅黑" w:cs="微软雅黑"/>
                <w:color w:val="auto"/>
                <w:highlight w:val="none"/>
                <w:lang w:val="en-US" w:eastAsia="zh-CN"/>
              </w:rPr>
              <w:t>〔</w:t>
            </w:r>
            <w:r>
              <w:rPr>
                <w:rFonts w:hint="eastAsia" w:ascii="Times New Roman" w:hAnsi="Times New Roman" w:eastAsia="宋体" w:cs="Times New Roman"/>
                <w:color w:val="auto"/>
                <w:highlight w:val="none"/>
                <w:lang w:val="en-US" w:eastAsia="zh-CN"/>
              </w:rPr>
              <w:t>2021</w:t>
            </w:r>
            <w:r>
              <w:rPr>
                <w:rFonts w:hint="eastAsia" w:ascii="微软雅黑" w:hAnsi="微软雅黑" w:eastAsia="微软雅黑" w:cs="微软雅黑"/>
                <w:color w:val="auto"/>
                <w:highlight w:val="none"/>
                <w:lang w:val="en-US" w:eastAsia="zh-CN"/>
              </w:rPr>
              <w:t>〕</w:t>
            </w:r>
            <w:r>
              <w:rPr>
                <w:rFonts w:hint="default" w:ascii="Times New Roman" w:hAnsi="Times New Roman" w:eastAsia="宋体" w:cs="Times New Roman"/>
                <w:color w:val="auto"/>
                <w:highlight w:val="none"/>
                <w:lang w:val="en-US" w:eastAsia="zh-CN"/>
              </w:rPr>
              <w:t>8</w:t>
            </w:r>
            <w:r>
              <w:rPr>
                <w:rFonts w:hint="eastAsia" w:ascii="Times New Roman" w:hAnsi="Times New Roman" w:eastAsia="宋体" w:cs="Times New Roman"/>
                <w:color w:val="auto"/>
                <w:highlight w:val="none"/>
                <w:lang w:val="en-US" w:eastAsia="zh-CN"/>
              </w:rPr>
              <w:t>号）畜牧饲养中生猪用水定额，由于本项目只在屠宰前</w:t>
            </w:r>
            <w:r>
              <w:rPr>
                <w:rFonts w:hint="default"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个小时内供应生猪饮用水，因此生猪待宰饮用水取值为</w:t>
            </w:r>
            <w:r>
              <w:rPr>
                <w:rFonts w:hint="default" w:ascii="Times New Roman" w:hAnsi="Times New Roman" w:eastAsia="宋体" w:cs="Times New Roman"/>
                <w:color w:val="auto"/>
                <w:highlight w:val="none"/>
                <w:lang w:val="en-US" w:eastAsia="zh-CN"/>
              </w:rPr>
              <w:t>3.5L/</w:t>
            </w:r>
            <w:r>
              <w:rPr>
                <w:rFonts w:hint="eastAsia" w:ascii="Times New Roman" w:hAnsi="Times New Roman" w:eastAsia="宋体" w:cs="Times New Roman"/>
                <w:color w:val="auto"/>
                <w:highlight w:val="none"/>
                <w:lang w:val="en-US" w:eastAsia="zh-CN"/>
              </w:rPr>
              <w:t>（头</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）。生猪饮用水量见下表。猪只饮水部分被代谢吸收，部分以尿液形式排出，纳入屠宰废水中。</w:t>
            </w:r>
          </w:p>
          <w:p w14:paraId="079DE624">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本项目生猪待宰饮用水水量一览表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1330"/>
              <w:gridCol w:w="1330"/>
              <w:gridCol w:w="2129"/>
              <w:gridCol w:w="1047"/>
              <w:gridCol w:w="1084"/>
            </w:tblGrid>
            <w:tr w14:paraId="0B26C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Merge w:val="restart"/>
                  <w:tcBorders>
                    <w:top w:val="single" w:color="auto" w:sz="12" w:space="0"/>
                    <w:left w:val="nil"/>
                    <w:bottom w:val="single" w:color="auto" w:sz="8" w:space="0"/>
                    <w:right w:val="single" w:color="auto" w:sz="8" w:space="0"/>
                  </w:tcBorders>
                  <w:vAlign w:val="center"/>
                </w:tcPr>
                <w:p w14:paraId="3255DA0C">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类型</w:t>
                  </w:r>
                </w:p>
              </w:tc>
              <w:tc>
                <w:tcPr>
                  <w:tcW w:w="794" w:type="pct"/>
                  <w:vMerge w:val="restart"/>
                  <w:tcBorders>
                    <w:top w:val="single" w:color="auto" w:sz="12" w:space="0"/>
                    <w:left w:val="single" w:color="auto" w:sz="8" w:space="0"/>
                    <w:bottom w:val="single" w:color="auto" w:sz="8" w:space="0"/>
                    <w:right w:val="single" w:color="auto" w:sz="8" w:space="0"/>
                  </w:tcBorders>
                  <w:vAlign w:val="center"/>
                </w:tcPr>
                <w:p w14:paraId="1F31C53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时期</w:t>
                  </w:r>
                </w:p>
              </w:tc>
              <w:tc>
                <w:tcPr>
                  <w:tcW w:w="794" w:type="pct"/>
                  <w:vMerge w:val="restart"/>
                  <w:tcBorders>
                    <w:top w:val="single" w:color="auto" w:sz="12" w:space="0"/>
                    <w:left w:val="single" w:color="auto" w:sz="8" w:space="0"/>
                    <w:bottom w:val="single" w:color="auto" w:sz="8" w:space="0"/>
                    <w:right w:val="single" w:color="auto" w:sz="8" w:space="0"/>
                  </w:tcBorders>
                  <w:vAlign w:val="center"/>
                </w:tcPr>
                <w:p w14:paraId="0F82D451">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暂存规模</w:t>
                  </w:r>
                </w:p>
              </w:tc>
              <w:tc>
                <w:tcPr>
                  <w:tcW w:w="1271" w:type="pct"/>
                  <w:vMerge w:val="restart"/>
                  <w:tcBorders>
                    <w:top w:val="single" w:color="auto" w:sz="12" w:space="0"/>
                    <w:left w:val="single" w:color="auto" w:sz="8" w:space="0"/>
                    <w:bottom w:val="single" w:color="auto" w:sz="8" w:space="0"/>
                    <w:right w:val="single" w:color="auto" w:sz="8" w:space="0"/>
                  </w:tcBorders>
                  <w:vAlign w:val="center"/>
                </w:tcPr>
                <w:p w14:paraId="61F43A9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用水系数</w:t>
                  </w:r>
                </w:p>
              </w:tc>
              <w:tc>
                <w:tcPr>
                  <w:tcW w:w="1272" w:type="pct"/>
                  <w:gridSpan w:val="2"/>
                  <w:tcBorders>
                    <w:top w:val="single" w:color="auto" w:sz="12" w:space="0"/>
                    <w:left w:val="single" w:color="auto" w:sz="8" w:space="0"/>
                    <w:bottom w:val="single" w:color="auto" w:sz="8" w:space="0"/>
                    <w:right w:val="nil"/>
                  </w:tcBorders>
                  <w:vAlign w:val="center"/>
                </w:tcPr>
                <w:p w14:paraId="0C37482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用水量</w:t>
                  </w:r>
                </w:p>
              </w:tc>
            </w:tr>
            <w:tr w14:paraId="126A3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Merge w:val="continue"/>
                  <w:tcBorders>
                    <w:top w:val="single" w:color="auto" w:sz="8" w:space="0"/>
                    <w:left w:val="nil"/>
                    <w:bottom w:val="single" w:color="auto" w:sz="8" w:space="0"/>
                    <w:right w:val="single" w:color="auto" w:sz="8" w:space="0"/>
                  </w:tcBorders>
                  <w:vAlign w:val="center"/>
                </w:tcPr>
                <w:p w14:paraId="5EF897A4">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794" w:type="pct"/>
                  <w:vMerge w:val="continue"/>
                  <w:tcBorders>
                    <w:top w:val="single" w:color="auto" w:sz="8" w:space="0"/>
                    <w:left w:val="single" w:color="auto" w:sz="8" w:space="0"/>
                    <w:bottom w:val="single" w:color="auto" w:sz="8" w:space="0"/>
                    <w:right w:val="single" w:color="auto" w:sz="8" w:space="0"/>
                  </w:tcBorders>
                  <w:vAlign w:val="center"/>
                </w:tcPr>
                <w:p w14:paraId="311DD1B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794" w:type="pct"/>
                  <w:vMerge w:val="continue"/>
                  <w:tcBorders>
                    <w:top w:val="single" w:color="auto" w:sz="8" w:space="0"/>
                    <w:left w:val="single" w:color="auto" w:sz="8" w:space="0"/>
                    <w:bottom w:val="single" w:color="auto" w:sz="8" w:space="0"/>
                    <w:right w:val="single" w:color="auto" w:sz="8" w:space="0"/>
                  </w:tcBorders>
                  <w:vAlign w:val="center"/>
                </w:tcPr>
                <w:p w14:paraId="0AC743B9">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271" w:type="pct"/>
                  <w:vMerge w:val="continue"/>
                  <w:tcBorders>
                    <w:top w:val="single" w:color="auto" w:sz="8" w:space="0"/>
                    <w:left w:val="single" w:color="auto" w:sz="8" w:space="0"/>
                    <w:bottom w:val="single" w:color="auto" w:sz="8" w:space="0"/>
                    <w:right w:val="single" w:color="auto" w:sz="8" w:space="0"/>
                  </w:tcBorders>
                  <w:vAlign w:val="center"/>
                </w:tcPr>
                <w:p w14:paraId="1F0E7D13">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625" w:type="pct"/>
                  <w:tcBorders>
                    <w:top w:val="single" w:color="auto" w:sz="8" w:space="0"/>
                    <w:left w:val="single" w:color="auto" w:sz="8" w:space="0"/>
                    <w:bottom w:val="single" w:color="auto" w:sz="8" w:space="0"/>
                    <w:right w:val="single" w:color="auto" w:sz="8" w:space="0"/>
                  </w:tcBorders>
                  <w:vAlign w:val="center"/>
                </w:tcPr>
                <w:p w14:paraId="50D1B038">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647" w:type="pct"/>
                  <w:tcBorders>
                    <w:top w:val="single" w:color="auto" w:sz="8" w:space="0"/>
                    <w:left w:val="single" w:color="auto" w:sz="8" w:space="0"/>
                    <w:bottom w:val="single" w:color="auto" w:sz="8" w:space="0"/>
                    <w:right w:val="nil"/>
                  </w:tcBorders>
                  <w:vAlign w:val="center"/>
                </w:tcPr>
                <w:p w14:paraId="053E0E6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r>
            <w:tr w14:paraId="41F2E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Merge w:val="restart"/>
                  <w:tcBorders>
                    <w:top w:val="single" w:color="auto" w:sz="8" w:space="0"/>
                    <w:left w:val="nil"/>
                    <w:bottom w:val="single" w:color="auto" w:sz="8" w:space="0"/>
                    <w:right w:val="single" w:color="auto" w:sz="8" w:space="0"/>
                  </w:tcBorders>
                  <w:vAlign w:val="center"/>
                </w:tcPr>
                <w:p w14:paraId="4F96775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生猪</w:t>
                  </w:r>
                </w:p>
              </w:tc>
              <w:tc>
                <w:tcPr>
                  <w:tcW w:w="794" w:type="pct"/>
                  <w:tcBorders>
                    <w:top w:val="single" w:color="auto" w:sz="8" w:space="0"/>
                    <w:left w:val="single" w:color="auto" w:sz="8" w:space="0"/>
                    <w:bottom w:val="single" w:color="auto" w:sz="8" w:space="0"/>
                    <w:right w:val="single" w:color="auto" w:sz="8" w:space="0"/>
                  </w:tcBorders>
                  <w:vAlign w:val="center"/>
                </w:tcPr>
                <w:p w14:paraId="10F3AB6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年平均</w:t>
                  </w:r>
                </w:p>
              </w:tc>
              <w:tc>
                <w:tcPr>
                  <w:tcW w:w="794" w:type="pct"/>
                  <w:tcBorders>
                    <w:top w:val="single" w:color="auto" w:sz="8" w:space="0"/>
                    <w:left w:val="single" w:color="auto" w:sz="8" w:space="0"/>
                    <w:bottom w:val="single" w:color="auto" w:sz="8" w:space="0"/>
                    <w:right w:val="single" w:color="auto" w:sz="8" w:space="0"/>
                  </w:tcBorders>
                  <w:vAlign w:val="center"/>
                </w:tcPr>
                <w:p w14:paraId="4533C97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20头</w:t>
                  </w:r>
                </w:p>
              </w:tc>
              <w:tc>
                <w:tcPr>
                  <w:tcW w:w="1271" w:type="pct"/>
                  <w:vMerge w:val="restart"/>
                  <w:tcBorders>
                    <w:top w:val="single" w:color="auto" w:sz="8" w:space="0"/>
                    <w:left w:val="single" w:color="auto" w:sz="8" w:space="0"/>
                    <w:bottom w:val="single" w:color="auto" w:sz="8" w:space="0"/>
                    <w:right w:val="single" w:color="auto" w:sz="8" w:space="0"/>
                  </w:tcBorders>
                  <w:vAlign w:val="center"/>
                </w:tcPr>
                <w:p w14:paraId="74F0EC1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3.5</w:t>
                  </w:r>
                  <w:r>
                    <w:rPr>
                      <w:rFonts w:hint="default" w:ascii="Times New Roman" w:hAnsi="Times New Roman" w:eastAsia="宋体" w:cs="Times New Roman"/>
                      <w:color w:val="auto"/>
                      <w:highlight w:val="none"/>
                      <w:lang w:val="en-US" w:eastAsia="zh-CN"/>
                    </w:rPr>
                    <w:t>L/</w:t>
                  </w:r>
                  <w:r>
                    <w:rPr>
                      <w:rFonts w:hint="eastAsia" w:ascii="Times New Roman" w:hAnsi="Times New Roman" w:eastAsia="宋体" w:cs="Times New Roman"/>
                      <w:color w:val="auto"/>
                      <w:highlight w:val="none"/>
                      <w:lang w:val="en-US" w:eastAsia="zh-CN"/>
                    </w:rPr>
                    <w:t>（头</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w:t>
                  </w:r>
                </w:p>
              </w:tc>
              <w:tc>
                <w:tcPr>
                  <w:tcW w:w="625" w:type="pct"/>
                  <w:tcBorders>
                    <w:top w:val="single" w:color="auto" w:sz="8" w:space="0"/>
                    <w:left w:val="single" w:color="auto" w:sz="8" w:space="0"/>
                    <w:bottom w:val="single" w:color="auto" w:sz="8" w:space="0"/>
                    <w:right w:val="single" w:color="auto" w:sz="8" w:space="0"/>
                  </w:tcBorders>
                  <w:vAlign w:val="center"/>
                </w:tcPr>
                <w:p w14:paraId="53BA002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25.55</w:t>
                  </w:r>
                </w:p>
              </w:tc>
              <w:tc>
                <w:tcPr>
                  <w:tcW w:w="647" w:type="pct"/>
                  <w:tcBorders>
                    <w:top w:val="single" w:color="auto" w:sz="8" w:space="0"/>
                    <w:left w:val="single" w:color="auto" w:sz="8" w:space="0"/>
                    <w:bottom w:val="single" w:color="auto" w:sz="8" w:space="0"/>
                    <w:right w:val="nil"/>
                  </w:tcBorders>
                  <w:vAlign w:val="center"/>
                </w:tcPr>
                <w:p w14:paraId="5884E89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0.07</w:t>
                  </w:r>
                </w:p>
              </w:tc>
            </w:tr>
            <w:tr w14:paraId="5AA9A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Merge w:val="continue"/>
                  <w:tcBorders>
                    <w:top w:val="single" w:color="auto" w:sz="8" w:space="0"/>
                    <w:left w:val="nil"/>
                    <w:bottom w:val="single" w:color="auto" w:sz="8" w:space="0"/>
                    <w:right w:val="single" w:color="auto" w:sz="8" w:space="0"/>
                  </w:tcBorders>
                  <w:vAlign w:val="center"/>
                </w:tcPr>
                <w:p w14:paraId="41982A72">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794" w:type="pct"/>
                  <w:tcBorders>
                    <w:top w:val="single" w:color="auto" w:sz="8" w:space="0"/>
                    <w:left w:val="single" w:color="auto" w:sz="8" w:space="0"/>
                    <w:bottom w:val="single" w:color="auto" w:sz="8" w:space="0"/>
                    <w:right w:val="single" w:color="auto" w:sz="8" w:space="0"/>
                  </w:tcBorders>
                  <w:vAlign w:val="center"/>
                </w:tcPr>
                <w:p w14:paraId="68E37B7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旺季</w:t>
                  </w:r>
                </w:p>
              </w:tc>
              <w:tc>
                <w:tcPr>
                  <w:tcW w:w="794" w:type="pct"/>
                  <w:tcBorders>
                    <w:top w:val="single" w:color="auto" w:sz="8" w:space="0"/>
                    <w:left w:val="single" w:color="auto" w:sz="8" w:space="0"/>
                    <w:bottom w:val="single" w:color="auto" w:sz="8" w:space="0"/>
                    <w:right w:val="single" w:color="auto" w:sz="8" w:space="0"/>
                  </w:tcBorders>
                  <w:vAlign w:val="center"/>
                </w:tcPr>
                <w:p w14:paraId="7F5A78C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约23头</w:t>
                  </w:r>
                </w:p>
              </w:tc>
              <w:tc>
                <w:tcPr>
                  <w:tcW w:w="1271" w:type="pct"/>
                  <w:vMerge w:val="continue"/>
                  <w:tcBorders>
                    <w:top w:val="single" w:color="auto" w:sz="8" w:space="0"/>
                    <w:left w:val="single" w:color="auto" w:sz="8" w:space="0"/>
                    <w:bottom w:val="single" w:color="auto" w:sz="8" w:space="0"/>
                    <w:right w:val="single" w:color="auto" w:sz="8" w:space="0"/>
                  </w:tcBorders>
                  <w:vAlign w:val="center"/>
                </w:tcPr>
                <w:p w14:paraId="1BB6FE9A">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625" w:type="pct"/>
                  <w:tcBorders>
                    <w:top w:val="single" w:color="auto" w:sz="8" w:space="0"/>
                    <w:left w:val="single" w:color="auto" w:sz="8" w:space="0"/>
                    <w:bottom w:val="single" w:color="auto" w:sz="8" w:space="0"/>
                    <w:right w:val="single" w:color="auto" w:sz="8" w:space="0"/>
                  </w:tcBorders>
                  <w:vAlign w:val="center"/>
                </w:tcPr>
                <w:p w14:paraId="09D73DF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647" w:type="pct"/>
                  <w:tcBorders>
                    <w:top w:val="single" w:color="auto" w:sz="8" w:space="0"/>
                    <w:left w:val="single" w:color="auto" w:sz="8" w:space="0"/>
                    <w:bottom w:val="single" w:color="auto" w:sz="8" w:space="0"/>
                    <w:right w:val="nil"/>
                  </w:tcBorders>
                  <w:vAlign w:val="center"/>
                </w:tcPr>
                <w:p w14:paraId="48922A4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0.0805</w:t>
                  </w:r>
                </w:p>
              </w:tc>
            </w:tr>
            <w:tr w14:paraId="527E9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Merge w:val="continue"/>
                  <w:tcBorders>
                    <w:top w:val="single" w:color="auto" w:sz="8" w:space="0"/>
                    <w:left w:val="nil"/>
                    <w:bottom w:val="single" w:color="auto" w:sz="12" w:space="0"/>
                    <w:right w:val="single" w:color="auto" w:sz="8" w:space="0"/>
                  </w:tcBorders>
                  <w:vAlign w:val="center"/>
                </w:tcPr>
                <w:p w14:paraId="3BB8C9C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794" w:type="pct"/>
                  <w:tcBorders>
                    <w:top w:val="single" w:color="auto" w:sz="8" w:space="0"/>
                    <w:left w:val="single" w:color="auto" w:sz="8" w:space="0"/>
                    <w:bottom w:val="single" w:color="auto" w:sz="12" w:space="0"/>
                    <w:right w:val="single" w:color="auto" w:sz="8" w:space="0"/>
                  </w:tcBorders>
                  <w:vAlign w:val="center"/>
                </w:tcPr>
                <w:p w14:paraId="4E4FEAA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淡季</w:t>
                  </w:r>
                </w:p>
              </w:tc>
              <w:tc>
                <w:tcPr>
                  <w:tcW w:w="794" w:type="pct"/>
                  <w:tcBorders>
                    <w:top w:val="single" w:color="auto" w:sz="8" w:space="0"/>
                    <w:left w:val="single" w:color="auto" w:sz="8" w:space="0"/>
                    <w:bottom w:val="single" w:color="auto" w:sz="12" w:space="0"/>
                    <w:right w:val="single" w:color="auto" w:sz="8" w:space="0"/>
                  </w:tcBorders>
                  <w:vAlign w:val="center"/>
                </w:tcPr>
                <w:p w14:paraId="02CB68E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约16头</w:t>
                  </w:r>
                </w:p>
              </w:tc>
              <w:tc>
                <w:tcPr>
                  <w:tcW w:w="1271" w:type="pct"/>
                  <w:vMerge w:val="continue"/>
                  <w:tcBorders>
                    <w:top w:val="single" w:color="auto" w:sz="8" w:space="0"/>
                    <w:left w:val="single" w:color="auto" w:sz="8" w:space="0"/>
                    <w:bottom w:val="single" w:color="auto" w:sz="12" w:space="0"/>
                    <w:right w:val="single" w:color="auto" w:sz="8" w:space="0"/>
                  </w:tcBorders>
                  <w:vAlign w:val="center"/>
                </w:tcPr>
                <w:p w14:paraId="4E7CE99D">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625" w:type="pct"/>
                  <w:tcBorders>
                    <w:top w:val="single" w:color="auto" w:sz="8" w:space="0"/>
                    <w:left w:val="single" w:color="auto" w:sz="8" w:space="0"/>
                    <w:bottom w:val="single" w:color="auto" w:sz="12" w:space="0"/>
                    <w:right w:val="single" w:color="auto" w:sz="8" w:space="0"/>
                  </w:tcBorders>
                  <w:vAlign w:val="center"/>
                </w:tcPr>
                <w:p w14:paraId="6EA6452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647" w:type="pct"/>
                  <w:tcBorders>
                    <w:top w:val="single" w:color="auto" w:sz="8" w:space="0"/>
                    <w:left w:val="single" w:color="auto" w:sz="8" w:space="0"/>
                    <w:bottom w:val="single" w:color="auto" w:sz="12" w:space="0"/>
                    <w:right w:val="nil"/>
                  </w:tcBorders>
                  <w:vAlign w:val="center"/>
                </w:tcPr>
                <w:p w14:paraId="6B4854E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0.055</w:t>
                  </w:r>
                </w:p>
              </w:tc>
            </w:tr>
          </w:tbl>
          <w:p w14:paraId="24B208D3">
            <w:pPr>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5、检疫用水</w:t>
            </w:r>
          </w:p>
          <w:p w14:paraId="52127E13">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设有检疫室，对内脏及胴体等进行检疫。根据业主提供资料，检疫主要对内脏、胴体切片进行显微观察，检疫以视检为主，不涉及细菌培养，理化检验。检疫室用水由地面清洁用水和显微镜玻片清洗组成，耗水量约0.5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（182.5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），产污率以</w:t>
            </w:r>
            <w:r>
              <w:rPr>
                <w:rFonts w:hint="default" w:ascii="Times New Roman" w:hAnsi="Times New Roman" w:eastAsia="宋体" w:cs="Times New Roman"/>
                <w:color w:val="auto"/>
                <w:highlight w:val="none"/>
                <w:lang w:val="en-US" w:eastAsia="zh-CN"/>
              </w:rPr>
              <w:t>0.9</w:t>
            </w:r>
            <w:r>
              <w:rPr>
                <w:rFonts w:hint="eastAsia" w:ascii="Times New Roman" w:hAnsi="Times New Roman" w:eastAsia="宋体" w:cs="Times New Roman"/>
                <w:color w:val="auto"/>
                <w:highlight w:val="none"/>
                <w:lang w:val="en-US" w:eastAsia="zh-CN"/>
              </w:rPr>
              <w:t>计，则废水产生量为0.45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（164.25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w:t>
            </w:r>
          </w:p>
          <w:p w14:paraId="3535CD40">
            <w:pPr>
              <w:pStyle w:val="45"/>
              <w:rPr>
                <w:rFonts w:hint="eastAsia" w:ascii="Times New Roman" w:hAnsi="Times New Roman" w:eastAsia="宋体" w:cs="Times New Roman"/>
                <w:b/>
                <w:bCs/>
                <w:color w:val="auto"/>
                <w:highlight w:val="none"/>
                <w:lang w:eastAsia="zh-CN"/>
              </w:rPr>
            </w:pPr>
            <w:r>
              <w:rPr>
                <w:rFonts w:hint="eastAsia" w:ascii="Times New Roman" w:hAnsi="Times New Roman" w:eastAsia="宋体" w:cs="Times New Roman"/>
                <w:b/>
                <w:bCs/>
                <w:color w:val="auto"/>
                <w:highlight w:val="none"/>
                <w:lang w:eastAsia="zh-CN"/>
              </w:rPr>
              <w:t>（</w:t>
            </w:r>
            <w:r>
              <w:rPr>
                <w:rFonts w:hint="eastAsia" w:ascii="Times New Roman" w:hAnsi="Times New Roman" w:eastAsia="宋体" w:cs="Times New Roman"/>
                <w:b/>
                <w:bCs/>
                <w:color w:val="auto"/>
                <w:highlight w:val="none"/>
                <w:lang w:val="en-US" w:eastAsia="zh-CN"/>
              </w:rPr>
              <w:t>2</w:t>
            </w:r>
            <w:r>
              <w:rPr>
                <w:rFonts w:hint="eastAsia" w:ascii="Times New Roman" w:hAnsi="Times New Roman" w:eastAsia="宋体" w:cs="Times New Roman"/>
                <w:b/>
                <w:bCs/>
                <w:color w:val="auto"/>
                <w:highlight w:val="none"/>
                <w:lang w:eastAsia="zh-CN"/>
              </w:rPr>
              <w:t>）</w:t>
            </w:r>
            <w:r>
              <w:rPr>
                <w:rFonts w:hint="eastAsia" w:ascii="Times New Roman" w:hAnsi="Times New Roman" w:eastAsia="宋体" w:cs="Times New Roman"/>
                <w:b/>
                <w:bCs/>
                <w:color w:val="auto"/>
                <w:highlight w:val="none"/>
                <w:lang w:val="en-US" w:eastAsia="zh-CN"/>
              </w:rPr>
              <w:t>排水</w:t>
            </w:r>
          </w:p>
          <w:p w14:paraId="38027D41">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场区拟采取雨污分流制，雨水经沟渠进入周边环境</w:t>
            </w:r>
            <w:r>
              <w:rPr>
                <w:rFonts w:hint="eastAsia" w:ascii="宋体" w:hAnsi="宋体" w:eastAsia="宋体" w:cs="宋体"/>
                <w:color w:val="auto"/>
                <w:sz w:val="24"/>
                <w:szCs w:val="24"/>
                <w:highlight w:val="none"/>
                <w:lang w:eastAsia="zh-CN"/>
              </w:rPr>
              <w:t>。</w:t>
            </w:r>
          </w:p>
          <w:p w14:paraId="7629F8D5">
            <w:pPr>
              <w:spacing w:line="360" w:lineRule="auto"/>
              <w:ind w:firstLine="480" w:firstLineChars="200"/>
              <w:rPr>
                <w:rFonts w:hint="eastAsia" w:ascii="Times New Roman" w:hAnsi="Times New Roman" w:eastAsia="宋体" w:cs="Times New Roman"/>
                <w:color w:val="auto"/>
                <w:highlight w:val="none"/>
                <w:lang w:val="en-US" w:eastAsia="zh-CN"/>
              </w:rPr>
            </w:pPr>
            <w:r>
              <w:rPr>
                <w:rFonts w:ascii="宋体" w:hAnsi="宋体" w:eastAsia="宋体" w:cs="宋体"/>
                <w:color w:val="auto"/>
                <w:sz w:val="24"/>
                <w:szCs w:val="24"/>
                <w:highlight w:val="none"/>
              </w:rPr>
              <w:t>本项目所有废水全部进入厂区自建</w:t>
            </w:r>
            <w:r>
              <w:rPr>
                <w:rFonts w:hint="eastAsia" w:ascii="宋体" w:hAnsi="宋体" w:eastAsia="宋体" w:cs="宋体"/>
                <w:color w:val="auto"/>
                <w:sz w:val="24"/>
                <w:szCs w:val="24"/>
                <w:highlight w:val="none"/>
                <w:lang w:val="en-US" w:eastAsia="zh-CN"/>
              </w:rPr>
              <w:t>污水处理站处理</w:t>
            </w:r>
            <w:r>
              <w:rPr>
                <w:rFonts w:ascii="宋体" w:hAnsi="宋体" w:eastAsia="宋体" w:cs="宋体"/>
                <w:color w:val="auto"/>
                <w:sz w:val="24"/>
                <w:szCs w:val="24"/>
                <w:highlight w:val="none"/>
              </w:rPr>
              <w:t>达《肉类加工工业水污染</w:t>
            </w:r>
            <w:r>
              <w:rPr>
                <w:rFonts w:ascii="宋体" w:hAnsi="宋体" w:eastAsia="宋体" w:cs="宋体"/>
                <w:color w:val="auto"/>
                <w:spacing w:val="-4"/>
                <w:sz w:val="24"/>
                <w:szCs w:val="24"/>
                <w:highlight w:val="none"/>
              </w:rPr>
              <w:t>物排放标准》（</w:t>
            </w:r>
            <w:r>
              <w:rPr>
                <w:rFonts w:ascii="Times New Roman" w:hAnsi="Times New Roman" w:eastAsia="Times New Roman" w:cs="Times New Roman"/>
                <w:color w:val="auto"/>
                <w:spacing w:val="-4"/>
                <w:sz w:val="24"/>
                <w:szCs w:val="24"/>
                <w:highlight w:val="none"/>
              </w:rPr>
              <w:t>GB</w:t>
            </w:r>
            <w:r>
              <w:rPr>
                <w:rFonts w:ascii="Times New Roman" w:hAnsi="Times New Roman" w:eastAsia="Times New Roman" w:cs="Times New Roman"/>
                <w:color w:val="auto"/>
                <w:spacing w:val="29"/>
                <w:w w:val="101"/>
                <w:sz w:val="24"/>
                <w:szCs w:val="24"/>
                <w:highlight w:val="none"/>
              </w:rPr>
              <w:t xml:space="preserve"> </w:t>
            </w:r>
            <w:r>
              <w:rPr>
                <w:rFonts w:ascii="Times New Roman" w:hAnsi="Times New Roman" w:eastAsia="Times New Roman" w:cs="Times New Roman"/>
                <w:color w:val="auto"/>
                <w:spacing w:val="-4"/>
                <w:sz w:val="24"/>
                <w:szCs w:val="24"/>
                <w:highlight w:val="none"/>
              </w:rPr>
              <w:t>13457-92</w:t>
            </w:r>
            <w:r>
              <w:rPr>
                <w:rFonts w:ascii="宋体" w:hAnsi="宋体" w:eastAsia="宋体" w:cs="宋体"/>
                <w:color w:val="auto"/>
                <w:spacing w:val="-4"/>
                <w:sz w:val="24"/>
                <w:szCs w:val="24"/>
                <w:highlight w:val="none"/>
              </w:rPr>
              <w:t>）表</w:t>
            </w:r>
            <w:r>
              <w:rPr>
                <w:rFonts w:ascii="宋体" w:hAnsi="宋体" w:eastAsia="宋体" w:cs="宋体"/>
                <w:color w:val="auto"/>
                <w:spacing w:val="-50"/>
                <w:sz w:val="24"/>
                <w:szCs w:val="24"/>
                <w:highlight w:val="none"/>
              </w:rPr>
              <w:t xml:space="preserve"> </w:t>
            </w:r>
            <w:r>
              <w:rPr>
                <w:rFonts w:ascii="Times New Roman" w:hAnsi="Times New Roman" w:eastAsia="Times New Roman" w:cs="Times New Roman"/>
                <w:color w:val="auto"/>
                <w:spacing w:val="-4"/>
                <w:sz w:val="24"/>
                <w:szCs w:val="24"/>
                <w:highlight w:val="none"/>
              </w:rPr>
              <w:t>3</w:t>
            </w:r>
            <w:r>
              <w:rPr>
                <w:rFonts w:ascii="宋体" w:hAnsi="宋体" w:eastAsia="宋体" w:cs="宋体"/>
                <w:color w:val="auto"/>
                <w:spacing w:val="-4"/>
                <w:sz w:val="24"/>
                <w:szCs w:val="24"/>
                <w:highlight w:val="none"/>
              </w:rPr>
              <w:t>中畜</w:t>
            </w:r>
            <w:r>
              <w:rPr>
                <w:rFonts w:ascii="宋体" w:hAnsi="宋体" w:eastAsia="宋体" w:cs="宋体"/>
                <w:color w:val="auto"/>
                <w:spacing w:val="-5"/>
                <w:sz w:val="24"/>
                <w:szCs w:val="24"/>
                <w:highlight w:val="none"/>
              </w:rPr>
              <w:t>类屠宰加工三级标准后</w:t>
            </w:r>
            <w:r>
              <w:rPr>
                <w:rFonts w:hint="eastAsia" w:ascii="宋体" w:hAnsi="宋体" w:cs="宋体"/>
                <w:color w:val="auto"/>
                <w:spacing w:val="-5"/>
                <w:sz w:val="24"/>
                <w:szCs w:val="24"/>
                <w:highlight w:val="none"/>
                <w:lang w:eastAsia="zh-CN"/>
              </w:rPr>
              <w:t>，</w:t>
            </w:r>
            <w:r>
              <w:rPr>
                <w:rFonts w:hint="eastAsia" w:ascii="宋体" w:hAnsi="宋体" w:eastAsia="宋体" w:cs="宋体"/>
                <w:color w:val="auto"/>
                <w:sz w:val="24"/>
                <w:szCs w:val="24"/>
                <w:highlight w:val="none"/>
                <w:lang w:val="en-US" w:eastAsia="zh-CN"/>
              </w:rPr>
              <w:t>由罐车运至海螺沟磨西镇城市生活污水处理厂</w:t>
            </w:r>
            <w:r>
              <w:rPr>
                <w:rFonts w:ascii="宋体" w:hAnsi="宋体" w:eastAsia="宋体" w:cs="宋体"/>
                <w:color w:val="auto"/>
                <w:sz w:val="24"/>
                <w:szCs w:val="24"/>
                <w:highlight w:val="none"/>
              </w:rPr>
              <w:t>处理达到</w:t>
            </w:r>
            <w:r>
              <w:rPr>
                <w:rFonts w:ascii="Times New Roman" w:hAnsi="Times New Roman" w:cs="Times New Roman"/>
                <w:color w:val="auto"/>
                <w:highlight w:val="none"/>
              </w:rPr>
              <w:t>《城镇污水处理厂污染物排放标准》（GB18918-2002）一级标准的</w:t>
            </w:r>
            <w:r>
              <w:rPr>
                <w:rFonts w:hint="eastAsia" w:cs="Times New Roman"/>
                <w:color w:val="auto"/>
                <w:highlight w:val="none"/>
                <w:lang w:eastAsia="zh-CN"/>
              </w:rPr>
              <w:t>A标准</w:t>
            </w:r>
            <w:r>
              <w:rPr>
                <w:rFonts w:ascii="宋体" w:hAnsi="宋体" w:eastAsia="宋体" w:cs="宋体"/>
                <w:color w:val="auto"/>
                <w:sz w:val="24"/>
                <w:szCs w:val="24"/>
                <w:highlight w:val="none"/>
              </w:rPr>
              <w:t>后，排入</w:t>
            </w:r>
            <w:r>
              <w:rPr>
                <w:rFonts w:hint="eastAsia" w:ascii="宋体" w:hAnsi="宋体" w:eastAsia="宋体" w:cs="宋体"/>
                <w:color w:val="auto"/>
                <w:sz w:val="24"/>
                <w:szCs w:val="24"/>
                <w:highlight w:val="none"/>
                <w:lang w:val="en-US" w:eastAsia="zh-CN"/>
              </w:rPr>
              <w:t>燕子沟</w:t>
            </w:r>
            <w:r>
              <w:rPr>
                <w:rFonts w:ascii="宋体" w:hAnsi="宋体" w:eastAsia="宋体" w:cs="宋体"/>
                <w:color w:val="auto"/>
                <w:spacing w:val="-1"/>
                <w:sz w:val="24"/>
                <w:szCs w:val="24"/>
                <w:highlight w:val="none"/>
              </w:rPr>
              <w:t>。</w:t>
            </w:r>
          </w:p>
          <w:p w14:paraId="7E8DF2A3">
            <w:pPr>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根据现场调查，项目所在区域暂无市政污水管网覆盖。为实施本项目，建设单位已</w:t>
            </w:r>
            <w:r>
              <w:rPr>
                <w:rFonts w:hint="eastAsia" w:ascii="宋体" w:hAnsi="宋体" w:eastAsia="宋体" w:cs="宋体"/>
                <w:color w:val="auto"/>
                <w:sz w:val="24"/>
                <w:szCs w:val="24"/>
                <w:highlight w:val="none"/>
                <w:lang w:val="en-US" w:eastAsia="zh-CN"/>
              </w:rPr>
              <w:t>与海螺沟磨西镇城市生活污水处理厂签订协议（附件7 污水清运协议），由罐车运至污水处理厂进行处理。</w:t>
            </w:r>
          </w:p>
          <w:p w14:paraId="3E98D0CC">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本项目用排水量见下表。</w:t>
            </w:r>
          </w:p>
          <w:p w14:paraId="0D54E470">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本项目年平均用水量一览表</w:t>
            </w:r>
          </w:p>
          <w:tbl>
            <w:tblPr>
              <w:tblStyle w:val="33"/>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800"/>
              <w:gridCol w:w="871"/>
              <w:gridCol w:w="1004"/>
              <w:gridCol w:w="899"/>
              <w:gridCol w:w="1004"/>
              <w:gridCol w:w="689"/>
              <w:gridCol w:w="1231"/>
              <w:gridCol w:w="1089"/>
            </w:tblGrid>
            <w:tr w14:paraId="37D2A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Merge w:val="restart"/>
                  <w:tcBorders>
                    <w:top w:val="single" w:color="auto" w:sz="12" w:space="0"/>
                    <w:left w:val="nil"/>
                    <w:bottom w:val="single" w:color="auto" w:sz="8" w:space="0"/>
                    <w:right w:val="single" w:color="auto" w:sz="8" w:space="0"/>
                  </w:tcBorders>
                  <w:vAlign w:val="center"/>
                </w:tcPr>
                <w:p w14:paraId="58234E37">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项目</w:t>
                  </w:r>
                </w:p>
              </w:tc>
              <w:tc>
                <w:tcPr>
                  <w:tcW w:w="800" w:type="dxa"/>
                  <w:vMerge w:val="restart"/>
                  <w:tcBorders>
                    <w:top w:val="single" w:color="auto" w:sz="12" w:space="0"/>
                    <w:left w:val="single" w:color="auto" w:sz="8" w:space="0"/>
                    <w:bottom w:val="single" w:color="auto" w:sz="8" w:space="0"/>
                    <w:right w:val="single" w:color="auto" w:sz="8" w:space="0"/>
                  </w:tcBorders>
                  <w:vAlign w:val="center"/>
                </w:tcPr>
                <w:p w14:paraId="340A3B2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规模/次数</w:t>
                  </w:r>
                </w:p>
              </w:tc>
              <w:tc>
                <w:tcPr>
                  <w:tcW w:w="871" w:type="dxa"/>
                  <w:vMerge w:val="restart"/>
                  <w:tcBorders>
                    <w:top w:val="single" w:color="auto" w:sz="12" w:space="0"/>
                    <w:left w:val="single" w:color="auto" w:sz="8" w:space="0"/>
                    <w:bottom w:val="single" w:color="auto" w:sz="8" w:space="0"/>
                    <w:right w:val="single" w:color="auto" w:sz="8" w:space="0"/>
                  </w:tcBorders>
                  <w:vAlign w:val="center"/>
                </w:tcPr>
                <w:p w14:paraId="237468FE">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用水系数</w:t>
                  </w:r>
                </w:p>
              </w:tc>
              <w:tc>
                <w:tcPr>
                  <w:tcW w:w="1903" w:type="dxa"/>
                  <w:gridSpan w:val="2"/>
                  <w:tcBorders>
                    <w:top w:val="single" w:color="auto" w:sz="12" w:space="0"/>
                    <w:left w:val="single" w:color="auto" w:sz="8" w:space="0"/>
                    <w:bottom w:val="single" w:color="auto" w:sz="8" w:space="0"/>
                    <w:right w:val="single" w:color="auto" w:sz="8" w:space="0"/>
                  </w:tcBorders>
                  <w:vAlign w:val="center"/>
                </w:tcPr>
                <w:p w14:paraId="2EBF866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用水量</w:t>
                  </w:r>
                </w:p>
              </w:tc>
              <w:tc>
                <w:tcPr>
                  <w:tcW w:w="1693" w:type="dxa"/>
                  <w:gridSpan w:val="2"/>
                  <w:tcBorders>
                    <w:top w:val="single" w:color="auto" w:sz="12" w:space="0"/>
                    <w:left w:val="single" w:color="auto" w:sz="8" w:space="0"/>
                    <w:bottom w:val="single" w:color="auto" w:sz="8" w:space="0"/>
                    <w:right w:val="single" w:color="auto" w:sz="8" w:space="0"/>
                  </w:tcBorders>
                  <w:vAlign w:val="center"/>
                </w:tcPr>
                <w:p w14:paraId="1F46B02C">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排水量</w:t>
                  </w:r>
                </w:p>
              </w:tc>
              <w:tc>
                <w:tcPr>
                  <w:tcW w:w="1231" w:type="dxa"/>
                  <w:vMerge w:val="restart"/>
                  <w:tcBorders>
                    <w:top w:val="single" w:color="auto" w:sz="12" w:space="0"/>
                    <w:left w:val="single" w:color="auto" w:sz="8" w:space="0"/>
                    <w:right w:val="nil"/>
                  </w:tcBorders>
                  <w:vAlign w:val="center"/>
                </w:tcPr>
                <w:p w14:paraId="4C60C5E4">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去向</w:t>
                  </w:r>
                </w:p>
              </w:tc>
              <w:tc>
                <w:tcPr>
                  <w:tcW w:w="1089" w:type="dxa"/>
                  <w:vMerge w:val="restart"/>
                  <w:tcBorders>
                    <w:top w:val="single" w:color="auto" w:sz="12" w:space="0"/>
                    <w:left w:val="single" w:color="auto" w:sz="8" w:space="0"/>
                    <w:bottom w:val="single" w:color="auto" w:sz="8" w:space="0"/>
                    <w:right w:val="nil"/>
                  </w:tcBorders>
                  <w:vAlign w:val="center"/>
                </w:tcPr>
                <w:p w14:paraId="3AA86E37">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备注</w:t>
                  </w:r>
                </w:p>
              </w:tc>
            </w:tr>
            <w:tr w14:paraId="6C383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vMerge w:val="continue"/>
                  <w:tcBorders>
                    <w:top w:val="single" w:color="auto" w:sz="8" w:space="0"/>
                    <w:left w:val="nil"/>
                    <w:bottom w:val="single" w:color="auto" w:sz="8" w:space="0"/>
                    <w:right w:val="single" w:color="auto" w:sz="8" w:space="0"/>
                  </w:tcBorders>
                  <w:vAlign w:val="center"/>
                </w:tcPr>
                <w:p w14:paraId="51DFDA8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800" w:type="dxa"/>
                  <w:vMerge w:val="continue"/>
                  <w:tcBorders>
                    <w:top w:val="single" w:color="auto" w:sz="8" w:space="0"/>
                    <w:left w:val="single" w:color="auto" w:sz="8" w:space="0"/>
                    <w:bottom w:val="single" w:color="auto" w:sz="8" w:space="0"/>
                    <w:right w:val="single" w:color="auto" w:sz="8" w:space="0"/>
                  </w:tcBorders>
                  <w:vAlign w:val="center"/>
                </w:tcPr>
                <w:p w14:paraId="57C9A409">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871" w:type="dxa"/>
                  <w:vMerge w:val="continue"/>
                  <w:tcBorders>
                    <w:top w:val="single" w:color="auto" w:sz="8" w:space="0"/>
                    <w:left w:val="single" w:color="auto" w:sz="8" w:space="0"/>
                    <w:bottom w:val="single" w:color="auto" w:sz="8" w:space="0"/>
                    <w:right w:val="single" w:color="auto" w:sz="8" w:space="0"/>
                  </w:tcBorders>
                  <w:vAlign w:val="center"/>
                </w:tcPr>
                <w:p w14:paraId="0B8ABB15">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004" w:type="dxa"/>
                  <w:tcBorders>
                    <w:top w:val="single" w:color="auto" w:sz="8" w:space="0"/>
                    <w:left w:val="single" w:color="auto" w:sz="8" w:space="0"/>
                    <w:bottom w:val="single" w:color="auto" w:sz="8" w:space="0"/>
                    <w:right w:val="single" w:color="auto" w:sz="8" w:space="0"/>
                  </w:tcBorders>
                  <w:vAlign w:val="center"/>
                </w:tcPr>
                <w:p w14:paraId="6E3106D2">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899" w:type="dxa"/>
                  <w:tcBorders>
                    <w:top w:val="single" w:color="auto" w:sz="8" w:space="0"/>
                    <w:left w:val="single" w:color="auto" w:sz="8" w:space="0"/>
                    <w:bottom w:val="single" w:color="auto" w:sz="8" w:space="0"/>
                    <w:right w:val="single" w:color="auto" w:sz="8" w:space="0"/>
                  </w:tcBorders>
                  <w:vAlign w:val="center"/>
                </w:tcPr>
                <w:p w14:paraId="2752F5CD">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004" w:type="dxa"/>
                  <w:tcBorders>
                    <w:top w:val="single" w:color="auto" w:sz="8" w:space="0"/>
                    <w:left w:val="single" w:color="auto" w:sz="8" w:space="0"/>
                    <w:bottom w:val="single" w:color="auto" w:sz="8" w:space="0"/>
                    <w:right w:val="single" w:color="auto" w:sz="8" w:space="0"/>
                  </w:tcBorders>
                  <w:vAlign w:val="center"/>
                </w:tcPr>
                <w:p w14:paraId="7EF96FF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/a</w:t>
                  </w:r>
                </w:p>
              </w:tc>
              <w:tc>
                <w:tcPr>
                  <w:tcW w:w="689" w:type="dxa"/>
                  <w:tcBorders>
                    <w:top w:val="single" w:color="auto" w:sz="8" w:space="0"/>
                    <w:left w:val="single" w:color="auto" w:sz="8" w:space="0"/>
                    <w:bottom w:val="single" w:color="auto" w:sz="8" w:space="0"/>
                    <w:right w:val="single" w:color="auto" w:sz="8" w:space="0"/>
                  </w:tcBorders>
                  <w:vAlign w:val="center"/>
                </w:tcPr>
                <w:p w14:paraId="5A12E7B1">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231" w:type="dxa"/>
                  <w:vMerge w:val="continue"/>
                  <w:tcBorders>
                    <w:left w:val="single" w:color="auto" w:sz="8" w:space="0"/>
                    <w:bottom w:val="single" w:color="auto" w:sz="8" w:space="0"/>
                    <w:right w:val="nil"/>
                  </w:tcBorders>
                  <w:vAlign w:val="center"/>
                </w:tcPr>
                <w:p w14:paraId="71D79978">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1089" w:type="dxa"/>
                  <w:vMerge w:val="continue"/>
                  <w:tcBorders>
                    <w:top w:val="single" w:color="auto" w:sz="8" w:space="0"/>
                    <w:left w:val="single" w:color="auto" w:sz="8" w:space="0"/>
                    <w:bottom w:val="single" w:color="auto" w:sz="8" w:space="0"/>
                    <w:right w:val="nil"/>
                  </w:tcBorders>
                  <w:vAlign w:val="center"/>
                </w:tcPr>
                <w:p w14:paraId="472E1C90">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r>
            <w:tr w14:paraId="336B0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Borders>
                    <w:top w:val="single" w:color="auto" w:sz="8" w:space="0"/>
                    <w:left w:val="nil"/>
                    <w:bottom w:val="single" w:color="auto" w:sz="8" w:space="0"/>
                    <w:right w:val="single" w:color="auto" w:sz="8" w:space="0"/>
                  </w:tcBorders>
                  <w:vAlign w:val="center"/>
                </w:tcPr>
                <w:p w14:paraId="1AF301D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屠宰用水</w:t>
                  </w:r>
                </w:p>
              </w:tc>
              <w:tc>
                <w:tcPr>
                  <w:tcW w:w="800" w:type="dxa"/>
                  <w:tcBorders>
                    <w:top w:val="single" w:color="auto" w:sz="8" w:space="0"/>
                    <w:left w:val="single" w:color="auto" w:sz="8" w:space="0"/>
                    <w:bottom w:val="single" w:color="auto" w:sz="8" w:space="0"/>
                    <w:right w:val="single" w:color="auto" w:sz="8" w:space="0"/>
                  </w:tcBorders>
                  <w:vAlign w:val="center"/>
                </w:tcPr>
                <w:p w14:paraId="0BF52F9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7300头/年</w:t>
                  </w:r>
                </w:p>
              </w:tc>
              <w:tc>
                <w:tcPr>
                  <w:tcW w:w="871" w:type="dxa"/>
                  <w:tcBorders>
                    <w:top w:val="single" w:color="auto" w:sz="8" w:space="0"/>
                    <w:left w:val="single" w:color="auto" w:sz="8" w:space="0"/>
                    <w:bottom w:val="single" w:color="auto" w:sz="8" w:space="0"/>
                    <w:right w:val="single" w:color="auto" w:sz="8" w:space="0"/>
                  </w:tcBorders>
                  <w:vAlign w:val="center"/>
                </w:tcPr>
                <w:p w14:paraId="21D28BD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0.6m</w:t>
                  </w:r>
                  <w:r>
                    <w:rPr>
                      <w:rFonts w:hint="eastAsia" w:ascii="Times New Roman" w:hAnsi="Times New Roman" w:eastAsia="宋体" w:cs="Times New Roman"/>
                      <w:color w:val="auto"/>
                      <w:kern w:val="0"/>
                      <w:sz w:val="21"/>
                      <w:szCs w:val="21"/>
                      <w:highlight w:val="none"/>
                      <w:u w:val="none"/>
                      <w:vertAlign w:val="superscript"/>
                      <w:lang w:val="en-US" w:eastAsia="zh-CN" w:bidi="ar"/>
                    </w:rPr>
                    <w:t>3</w:t>
                  </w:r>
                  <w:r>
                    <w:rPr>
                      <w:rFonts w:hint="eastAsia" w:ascii="Times New Roman" w:hAnsi="Times New Roman" w:eastAsia="宋体" w:cs="Times New Roman"/>
                      <w:color w:val="auto"/>
                      <w:kern w:val="0"/>
                      <w:sz w:val="21"/>
                      <w:szCs w:val="21"/>
                      <w:highlight w:val="none"/>
                      <w:u w:val="none"/>
                      <w:lang w:val="en-US" w:eastAsia="zh-CN" w:bidi="ar"/>
                    </w:rPr>
                    <w:t>/头</w:t>
                  </w:r>
                </w:p>
              </w:tc>
              <w:tc>
                <w:tcPr>
                  <w:tcW w:w="1004" w:type="dxa"/>
                  <w:tcBorders>
                    <w:top w:val="single" w:color="auto" w:sz="8" w:space="0"/>
                    <w:left w:val="single" w:color="auto" w:sz="8" w:space="0"/>
                    <w:bottom w:val="single" w:color="auto" w:sz="8" w:space="0"/>
                    <w:right w:val="single" w:color="auto" w:sz="8" w:space="0"/>
                  </w:tcBorders>
                  <w:vAlign w:val="center"/>
                </w:tcPr>
                <w:p w14:paraId="496A620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4380</w:t>
                  </w:r>
                </w:p>
              </w:tc>
              <w:tc>
                <w:tcPr>
                  <w:tcW w:w="899" w:type="dxa"/>
                  <w:tcBorders>
                    <w:top w:val="single" w:color="auto" w:sz="8" w:space="0"/>
                    <w:left w:val="single" w:color="auto" w:sz="8" w:space="0"/>
                    <w:bottom w:val="single" w:color="auto" w:sz="8" w:space="0"/>
                    <w:right w:val="single" w:color="auto" w:sz="8" w:space="0"/>
                  </w:tcBorders>
                  <w:vAlign w:val="center"/>
                </w:tcPr>
                <w:p w14:paraId="46973C7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w:t>
                  </w:r>
                </w:p>
              </w:tc>
              <w:tc>
                <w:tcPr>
                  <w:tcW w:w="1004" w:type="dxa"/>
                  <w:tcBorders>
                    <w:top w:val="single" w:color="auto" w:sz="8" w:space="0"/>
                    <w:left w:val="single" w:color="auto" w:sz="8" w:space="0"/>
                    <w:bottom w:val="single" w:color="auto" w:sz="8" w:space="0"/>
                    <w:right w:val="single" w:color="auto" w:sz="8" w:space="0"/>
                  </w:tcBorders>
                  <w:vAlign w:val="center"/>
                </w:tcPr>
                <w:p w14:paraId="28801F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3723</w:t>
                  </w:r>
                </w:p>
              </w:tc>
              <w:tc>
                <w:tcPr>
                  <w:tcW w:w="689" w:type="dxa"/>
                  <w:tcBorders>
                    <w:top w:val="single" w:color="auto" w:sz="8" w:space="0"/>
                    <w:left w:val="single" w:color="auto" w:sz="8" w:space="0"/>
                    <w:bottom w:val="single" w:color="auto" w:sz="8" w:space="0"/>
                    <w:right w:val="single" w:color="auto" w:sz="8" w:space="0"/>
                  </w:tcBorders>
                  <w:vAlign w:val="center"/>
                </w:tcPr>
                <w:p w14:paraId="0670AC2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10.2</w:t>
                  </w:r>
                </w:p>
              </w:tc>
              <w:tc>
                <w:tcPr>
                  <w:tcW w:w="1231" w:type="dxa"/>
                  <w:vMerge w:val="restart"/>
                  <w:tcBorders>
                    <w:top w:val="single" w:color="auto" w:sz="8" w:space="0"/>
                    <w:left w:val="single" w:color="auto" w:sz="8" w:space="0"/>
                    <w:right w:val="nil"/>
                  </w:tcBorders>
                  <w:vAlign w:val="center"/>
                </w:tcPr>
                <w:p w14:paraId="74E9D0F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本项目所有废水全部进入厂区自建污水处理站处理达《肉类加工工业水污染物排放标准》（GB 13457-92）表 3中畜类屠宰加工三级标准后由罐车运至污水处理厂进行处理。</w:t>
                  </w:r>
                </w:p>
              </w:tc>
              <w:tc>
                <w:tcPr>
                  <w:tcW w:w="1089" w:type="dxa"/>
                  <w:tcBorders>
                    <w:top w:val="single" w:color="auto" w:sz="8" w:space="0"/>
                    <w:left w:val="single" w:color="auto" w:sz="8" w:space="0"/>
                    <w:bottom w:val="single" w:color="auto" w:sz="8" w:space="0"/>
                    <w:right w:val="nil"/>
                  </w:tcBorders>
                  <w:vAlign w:val="center"/>
                </w:tcPr>
                <w:p w14:paraId="7E64D78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3225F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Borders>
                    <w:top w:val="single" w:color="auto" w:sz="8" w:space="0"/>
                    <w:left w:val="nil"/>
                    <w:bottom w:val="single" w:color="auto" w:sz="8" w:space="0"/>
                    <w:right w:val="single" w:color="auto" w:sz="8" w:space="0"/>
                  </w:tcBorders>
                  <w:vAlign w:val="center"/>
                </w:tcPr>
                <w:p w14:paraId="6094984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车辆清洗用水</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EE476DA">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365次/年</w:t>
                  </w:r>
                </w:p>
              </w:tc>
              <w:tc>
                <w:tcPr>
                  <w:tcW w:w="871" w:type="dxa"/>
                  <w:tcBorders>
                    <w:top w:val="single" w:color="auto" w:sz="8" w:space="0"/>
                    <w:left w:val="single" w:color="auto" w:sz="8" w:space="0"/>
                    <w:bottom w:val="single" w:color="auto" w:sz="8" w:space="0"/>
                    <w:right w:val="single" w:color="auto" w:sz="8" w:space="0"/>
                  </w:tcBorders>
                  <w:shd w:val="clear" w:color="auto" w:fill="auto"/>
                  <w:vAlign w:val="center"/>
                </w:tcPr>
                <w:p w14:paraId="5D1BD07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0.2</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车次</w:t>
                  </w:r>
                </w:p>
              </w:tc>
              <w:tc>
                <w:tcPr>
                  <w:tcW w:w="1004" w:type="dxa"/>
                  <w:tcBorders>
                    <w:top w:val="single" w:color="auto" w:sz="8" w:space="0"/>
                    <w:left w:val="single" w:color="auto" w:sz="8" w:space="0"/>
                    <w:bottom w:val="single" w:color="auto" w:sz="8" w:space="0"/>
                    <w:right w:val="single" w:color="auto" w:sz="8" w:space="0"/>
                  </w:tcBorders>
                  <w:vAlign w:val="center"/>
                </w:tcPr>
                <w:p w14:paraId="3E06ECB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w:t>
                  </w:r>
                </w:p>
              </w:tc>
              <w:tc>
                <w:tcPr>
                  <w:tcW w:w="899" w:type="dxa"/>
                  <w:tcBorders>
                    <w:top w:val="single" w:color="auto" w:sz="8" w:space="0"/>
                    <w:left w:val="single" w:color="auto" w:sz="8" w:space="0"/>
                    <w:bottom w:val="single" w:color="auto" w:sz="8" w:space="0"/>
                    <w:right w:val="single" w:color="auto" w:sz="8" w:space="0"/>
                  </w:tcBorders>
                  <w:vAlign w:val="center"/>
                </w:tcPr>
                <w:p w14:paraId="6610085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0.2</w:t>
                  </w:r>
                </w:p>
              </w:tc>
              <w:tc>
                <w:tcPr>
                  <w:tcW w:w="1004" w:type="dxa"/>
                  <w:tcBorders>
                    <w:top w:val="single" w:color="auto" w:sz="8" w:space="0"/>
                    <w:left w:val="single" w:color="auto" w:sz="8" w:space="0"/>
                    <w:bottom w:val="single" w:color="auto" w:sz="8" w:space="0"/>
                    <w:right w:val="single" w:color="auto" w:sz="8" w:space="0"/>
                  </w:tcBorders>
                  <w:vAlign w:val="center"/>
                </w:tcPr>
                <w:p w14:paraId="40FCCF60">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58.4</w:t>
                  </w:r>
                </w:p>
              </w:tc>
              <w:tc>
                <w:tcPr>
                  <w:tcW w:w="689" w:type="dxa"/>
                  <w:tcBorders>
                    <w:top w:val="single" w:color="auto" w:sz="8" w:space="0"/>
                    <w:left w:val="single" w:color="auto" w:sz="8" w:space="0"/>
                    <w:bottom w:val="single" w:color="auto" w:sz="8" w:space="0"/>
                    <w:right w:val="single" w:color="auto" w:sz="8" w:space="0"/>
                  </w:tcBorders>
                  <w:vAlign w:val="center"/>
                </w:tcPr>
                <w:p w14:paraId="666FED98">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0.16</w:t>
                  </w:r>
                </w:p>
              </w:tc>
              <w:tc>
                <w:tcPr>
                  <w:tcW w:w="1231" w:type="dxa"/>
                  <w:vMerge w:val="continue"/>
                  <w:tcBorders>
                    <w:left w:val="single" w:color="auto" w:sz="8" w:space="0"/>
                    <w:right w:val="nil"/>
                  </w:tcBorders>
                  <w:vAlign w:val="center"/>
                </w:tcPr>
                <w:p w14:paraId="399487B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1089" w:type="dxa"/>
                  <w:tcBorders>
                    <w:top w:val="single" w:color="auto" w:sz="8" w:space="0"/>
                    <w:left w:val="single" w:color="auto" w:sz="8" w:space="0"/>
                    <w:bottom w:val="single" w:color="auto" w:sz="8" w:space="0"/>
                    <w:right w:val="nil"/>
                  </w:tcBorders>
                  <w:vAlign w:val="center"/>
                </w:tcPr>
                <w:p w14:paraId="4F02129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14FB4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Borders>
                    <w:top w:val="single" w:color="auto" w:sz="8" w:space="0"/>
                    <w:left w:val="nil"/>
                    <w:bottom w:val="single" w:color="auto" w:sz="8" w:space="0"/>
                    <w:right w:val="single" w:color="auto" w:sz="8" w:space="0"/>
                  </w:tcBorders>
                  <w:vAlign w:val="center"/>
                </w:tcPr>
                <w:p w14:paraId="287B045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 xml:space="preserve">喷淋塔用水 </w:t>
                  </w:r>
                </w:p>
              </w:tc>
              <w:tc>
                <w:tcPr>
                  <w:tcW w:w="800" w:type="dxa"/>
                  <w:tcBorders>
                    <w:top w:val="single" w:color="auto" w:sz="8" w:space="0"/>
                    <w:left w:val="single" w:color="auto" w:sz="8" w:space="0"/>
                    <w:bottom w:val="single" w:color="auto" w:sz="8" w:space="0"/>
                    <w:right w:val="single" w:color="auto" w:sz="8" w:space="0"/>
                  </w:tcBorders>
                  <w:vAlign w:val="center"/>
                </w:tcPr>
                <w:p w14:paraId="69DB8B6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871" w:type="dxa"/>
                  <w:tcBorders>
                    <w:top w:val="single" w:color="auto" w:sz="8" w:space="0"/>
                    <w:left w:val="single" w:color="auto" w:sz="8" w:space="0"/>
                    <w:bottom w:val="single" w:color="auto" w:sz="8" w:space="0"/>
                    <w:right w:val="single" w:color="auto" w:sz="8" w:space="0"/>
                  </w:tcBorders>
                  <w:vAlign w:val="center"/>
                </w:tcPr>
                <w:p w14:paraId="64B401B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1004" w:type="dxa"/>
                  <w:tcBorders>
                    <w:top w:val="single" w:color="auto" w:sz="8" w:space="0"/>
                    <w:left w:val="single" w:color="auto" w:sz="8" w:space="0"/>
                    <w:bottom w:val="single" w:color="auto" w:sz="8" w:space="0"/>
                    <w:right w:val="single" w:color="auto" w:sz="8" w:space="0"/>
                  </w:tcBorders>
                  <w:vAlign w:val="center"/>
                </w:tcPr>
                <w:p w14:paraId="720F044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41.472</w:t>
                  </w:r>
                </w:p>
              </w:tc>
              <w:tc>
                <w:tcPr>
                  <w:tcW w:w="899" w:type="dxa"/>
                  <w:tcBorders>
                    <w:top w:val="single" w:color="auto" w:sz="8" w:space="0"/>
                    <w:left w:val="single" w:color="auto" w:sz="8" w:space="0"/>
                    <w:bottom w:val="single" w:color="auto" w:sz="8" w:space="0"/>
                    <w:right w:val="single" w:color="auto" w:sz="8" w:space="0"/>
                  </w:tcBorders>
                  <w:vAlign w:val="center"/>
                </w:tcPr>
                <w:p w14:paraId="7FC64A0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0.1136</w:t>
                  </w:r>
                </w:p>
              </w:tc>
              <w:tc>
                <w:tcPr>
                  <w:tcW w:w="1004" w:type="dxa"/>
                  <w:tcBorders>
                    <w:top w:val="single" w:color="auto" w:sz="8" w:space="0"/>
                    <w:left w:val="single" w:color="auto" w:sz="8" w:space="0"/>
                    <w:bottom w:val="single" w:color="auto" w:sz="8" w:space="0"/>
                    <w:right w:val="single" w:color="auto" w:sz="8" w:space="0"/>
                  </w:tcBorders>
                  <w:vAlign w:val="center"/>
                </w:tcPr>
                <w:p w14:paraId="7746971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24</w:t>
                  </w:r>
                </w:p>
              </w:tc>
              <w:tc>
                <w:tcPr>
                  <w:tcW w:w="689" w:type="dxa"/>
                  <w:tcBorders>
                    <w:top w:val="single" w:color="auto" w:sz="8" w:space="0"/>
                    <w:left w:val="single" w:color="auto" w:sz="8" w:space="0"/>
                    <w:bottom w:val="single" w:color="auto" w:sz="8" w:space="0"/>
                    <w:right w:val="single" w:color="auto" w:sz="8" w:space="0"/>
                  </w:tcBorders>
                  <w:vAlign w:val="center"/>
                </w:tcPr>
                <w:p w14:paraId="256EE0A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0.066</w:t>
                  </w:r>
                </w:p>
              </w:tc>
              <w:tc>
                <w:tcPr>
                  <w:tcW w:w="1231" w:type="dxa"/>
                  <w:vMerge w:val="continue"/>
                  <w:tcBorders>
                    <w:left w:val="single" w:color="auto" w:sz="8" w:space="0"/>
                    <w:right w:val="nil"/>
                  </w:tcBorders>
                  <w:vAlign w:val="center"/>
                </w:tcPr>
                <w:p w14:paraId="06565DC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1089" w:type="dxa"/>
                  <w:tcBorders>
                    <w:top w:val="single" w:color="auto" w:sz="8" w:space="0"/>
                    <w:left w:val="single" w:color="auto" w:sz="8" w:space="0"/>
                    <w:bottom w:val="single" w:color="auto" w:sz="8" w:space="0"/>
                    <w:right w:val="nil"/>
                  </w:tcBorders>
                  <w:vAlign w:val="center"/>
                </w:tcPr>
                <w:p w14:paraId="637694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68535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Borders>
                    <w:top w:val="single" w:color="auto" w:sz="8" w:space="0"/>
                    <w:left w:val="nil"/>
                    <w:bottom w:val="single" w:color="auto" w:sz="8" w:space="0"/>
                    <w:right w:val="single" w:color="auto" w:sz="8" w:space="0"/>
                  </w:tcBorders>
                  <w:vAlign w:val="center"/>
                </w:tcPr>
                <w:p w14:paraId="41ECB25C">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生猪待宰饮用水</w:t>
                  </w:r>
                </w:p>
              </w:tc>
              <w:tc>
                <w:tcPr>
                  <w:tcW w:w="800" w:type="dxa"/>
                  <w:tcBorders>
                    <w:top w:val="single" w:color="auto" w:sz="8" w:space="0"/>
                    <w:left w:val="single" w:color="auto" w:sz="8" w:space="0"/>
                    <w:bottom w:val="single" w:color="auto" w:sz="8" w:space="0"/>
                    <w:right w:val="single" w:color="auto" w:sz="8" w:space="0"/>
                  </w:tcBorders>
                  <w:vAlign w:val="center"/>
                </w:tcPr>
                <w:p w14:paraId="5F962D4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7300头/年</w:t>
                  </w:r>
                </w:p>
              </w:tc>
              <w:tc>
                <w:tcPr>
                  <w:tcW w:w="871" w:type="dxa"/>
                  <w:tcBorders>
                    <w:top w:val="single" w:color="auto" w:sz="8" w:space="0"/>
                    <w:left w:val="single" w:color="auto" w:sz="8" w:space="0"/>
                    <w:bottom w:val="single" w:color="auto" w:sz="8" w:space="0"/>
                    <w:right w:val="single" w:color="auto" w:sz="8" w:space="0"/>
                  </w:tcBorders>
                  <w:vAlign w:val="center"/>
                </w:tcPr>
                <w:p w14:paraId="27523390">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3.5L/（头/d）</w:t>
                  </w:r>
                </w:p>
              </w:tc>
              <w:tc>
                <w:tcPr>
                  <w:tcW w:w="1004" w:type="dxa"/>
                  <w:tcBorders>
                    <w:top w:val="single" w:color="auto" w:sz="8" w:space="0"/>
                    <w:left w:val="single" w:color="auto" w:sz="8" w:space="0"/>
                    <w:bottom w:val="single" w:color="auto" w:sz="8" w:space="0"/>
                    <w:right w:val="single" w:color="auto" w:sz="8" w:space="0"/>
                  </w:tcBorders>
                  <w:vAlign w:val="center"/>
                </w:tcPr>
                <w:p w14:paraId="462E777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25.55</w:t>
                  </w:r>
                </w:p>
              </w:tc>
              <w:tc>
                <w:tcPr>
                  <w:tcW w:w="899" w:type="dxa"/>
                  <w:tcBorders>
                    <w:top w:val="single" w:color="auto" w:sz="8" w:space="0"/>
                    <w:left w:val="single" w:color="auto" w:sz="8" w:space="0"/>
                    <w:bottom w:val="single" w:color="auto" w:sz="8" w:space="0"/>
                    <w:right w:val="single" w:color="auto" w:sz="8" w:space="0"/>
                  </w:tcBorders>
                  <w:vAlign w:val="center"/>
                </w:tcPr>
                <w:p w14:paraId="2FCFAF1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0.07</w:t>
                  </w:r>
                </w:p>
              </w:tc>
              <w:tc>
                <w:tcPr>
                  <w:tcW w:w="1004" w:type="dxa"/>
                  <w:tcBorders>
                    <w:top w:val="single" w:color="auto" w:sz="8" w:space="0"/>
                    <w:left w:val="single" w:color="auto" w:sz="8" w:space="0"/>
                    <w:bottom w:val="single" w:color="auto" w:sz="8" w:space="0"/>
                    <w:right w:val="single" w:color="auto" w:sz="8" w:space="0"/>
                  </w:tcBorders>
                  <w:vAlign w:val="center"/>
                </w:tcPr>
                <w:p w14:paraId="27C9D26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689" w:type="dxa"/>
                  <w:tcBorders>
                    <w:top w:val="single" w:color="auto" w:sz="8" w:space="0"/>
                    <w:left w:val="single" w:color="auto" w:sz="8" w:space="0"/>
                    <w:bottom w:val="single" w:color="auto" w:sz="8" w:space="0"/>
                    <w:right w:val="single" w:color="auto" w:sz="8" w:space="0"/>
                  </w:tcBorders>
                  <w:vAlign w:val="center"/>
                </w:tcPr>
                <w:p w14:paraId="50EADD3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1231" w:type="dxa"/>
                  <w:vMerge w:val="continue"/>
                  <w:tcBorders>
                    <w:left w:val="single" w:color="auto" w:sz="8" w:space="0"/>
                    <w:right w:val="nil"/>
                  </w:tcBorders>
                  <w:vAlign w:val="center"/>
                </w:tcPr>
                <w:p w14:paraId="6C66785A">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1089" w:type="dxa"/>
                  <w:tcBorders>
                    <w:top w:val="single" w:color="auto" w:sz="8" w:space="0"/>
                    <w:left w:val="single" w:color="auto" w:sz="8" w:space="0"/>
                    <w:bottom w:val="single" w:color="auto" w:sz="8" w:space="0"/>
                    <w:right w:val="nil"/>
                  </w:tcBorders>
                  <w:vAlign w:val="center"/>
                </w:tcPr>
                <w:p w14:paraId="5CEA97F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排水纳入屠宰废水中</w:t>
                  </w:r>
                </w:p>
              </w:tc>
            </w:tr>
            <w:tr w14:paraId="79138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Borders>
                    <w:top w:val="single" w:color="auto" w:sz="8" w:space="0"/>
                    <w:left w:val="nil"/>
                    <w:bottom w:val="single" w:color="auto" w:sz="8" w:space="0"/>
                    <w:right w:val="single" w:color="auto" w:sz="8" w:space="0"/>
                  </w:tcBorders>
                  <w:vAlign w:val="center"/>
                </w:tcPr>
                <w:p w14:paraId="05703B7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检疫用水</w:t>
                  </w:r>
                </w:p>
              </w:tc>
              <w:tc>
                <w:tcPr>
                  <w:tcW w:w="800" w:type="dxa"/>
                  <w:tcBorders>
                    <w:top w:val="single" w:color="auto" w:sz="8" w:space="0"/>
                    <w:left w:val="single" w:color="auto" w:sz="8" w:space="0"/>
                    <w:bottom w:val="single" w:color="auto" w:sz="8" w:space="0"/>
                    <w:right w:val="single" w:color="auto" w:sz="8" w:space="0"/>
                  </w:tcBorders>
                  <w:vAlign w:val="center"/>
                </w:tcPr>
                <w:p w14:paraId="6511FA3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871" w:type="dxa"/>
                  <w:tcBorders>
                    <w:top w:val="single" w:color="auto" w:sz="8" w:space="0"/>
                    <w:left w:val="single" w:color="auto" w:sz="8" w:space="0"/>
                    <w:bottom w:val="single" w:color="auto" w:sz="8" w:space="0"/>
                    <w:right w:val="single" w:color="auto" w:sz="8" w:space="0"/>
                  </w:tcBorders>
                  <w:vAlign w:val="center"/>
                </w:tcPr>
                <w:p w14:paraId="6818A15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1004" w:type="dxa"/>
                  <w:tcBorders>
                    <w:top w:val="single" w:color="auto" w:sz="8" w:space="0"/>
                    <w:left w:val="single" w:color="auto" w:sz="8" w:space="0"/>
                    <w:bottom w:val="single" w:color="auto" w:sz="8" w:space="0"/>
                    <w:right w:val="single" w:color="auto" w:sz="8" w:space="0"/>
                  </w:tcBorders>
                  <w:vAlign w:val="center"/>
                </w:tcPr>
                <w:p w14:paraId="3655BC0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182.5</w:t>
                  </w:r>
                </w:p>
              </w:tc>
              <w:tc>
                <w:tcPr>
                  <w:tcW w:w="899" w:type="dxa"/>
                  <w:tcBorders>
                    <w:top w:val="single" w:color="auto" w:sz="8" w:space="0"/>
                    <w:left w:val="single" w:color="auto" w:sz="8" w:space="0"/>
                    <w:bottom w:val="single" w:color="auto" w:sz="8" w:space="0"/>
                    <w:right w:val="single" w:color="auto" w:sz="8" w:space="0"/>
                  </w:tcBorders>
                  <w:vAlign w:val="center"/>
                </w:tcPr>
                <w:p w14:paraId="42DEF07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0.5</w:t>
                  </w:r>
                </w:p>
              </w:tc>
              <w:tc>
                <w:tcPr>
                  <w:tcW w:w="1004" w:type="dxa"/>
                  <w:tcBorders>
                    <w:top w:val="single" w:color="auto" w:sz="8" w:space="0"/>
                    <w:left w:val="single" w:color="auto" w:sz="8" w:space="0"/>
                    <w:bottom w:val="single" w:color="auto" w:sz="8" w:space="0"/>
                    <w:right w:val="single" w:color="auto" w:sz="8" w:space="0"/>
                  </w:tcBorders>
                  <w:vAlign w:val="center"/>
                </w:tcPr>
                <w:p w14:paraId="494D629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164.25</w:t>
                  </w:r>
                </w:p>
              </w:tc>
              <w:tc>
                <w:tcPr>
                  <w:tcW w:w="689" w:type="dxa"/>
                  <w:tcBorders>
                    <w:top w:val="single" w:color="auto" w:sz="8" w:space="0"/>
                    <w:left w:val="single" w:color="auto" w:sz="8" w:space="0"/>
                    <w:bottom w:val="single" w:color="auto" w:sz="8" w:space="0"/>
                    <w:right w:val="single" w:color="auto" w:sz="8" w:space="0"/>
                  </w:tcBorders>
                  <w:vAlign w:val="center"/>
                </w:tcPr>
                <w:p w14:paraId="68C3B77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0.45</w:t>
                  </w:r>
                </w:p>
              </w:tc>
              <w:tc>
                <w:tcPr>
                  <w:tcW w:w="1231" w:type="dxa"/>
                  <w:vMerge w:val="continue"/>
                  <w:tcBorders>
                    <w:left w:val="single" w:color="auto" w:sz="8" w:space="0"/>
                    <w:right w:val="nil"/>
                  </w:tcBorders>
                  <w:vAlign w:val="center"/>
                </w:tcPr>
                <w:p w14:paraId="21DBF0F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1089" w:type="dxa"/>
                  <w:tcBorders>
                    <w:top w:val="single" w:color="auto" w:sz="8" w:space="0"/>
                    <w:left w:val="single" w:color="auto" w:sz="8" w:space="0"/>
                    <w:bottom w:val="single" w:color="auto" w:sz="8" w:space="0"/>
                    <w:right w:val="nil"/>
                  </w:tcBorders>
                  <w:vAlign w:val="center"/>
                </w:tcPr>
                <w:p w14:paraId="24989D4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60D77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dxa"/>
                  <w:tcBorders>
                    <w:top w:val="single" w:color="auto" w:sz="8" w:space="0"/>
                    <w:left w:val="nil"/>
                    <w:bottom w:val="single" w:color="auto" w:sz="8" w:space="0"/>
                    <w:right w:val="single" w:color="auto" w:sz="8" w:space="0"/>
                  </w:tcBorders>
                  <w:vAlign w:val="center"/>
                </w:tcPr>
                <w:p w14:paraId="29C6761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生活用水</w:t>
                  </w:r>
                </w:p>
              </w:tc>
              <w:tc>
                <w:tcPr>
                  <w:tcW w:w="800" w:type="dxa"/>
                  <w:tcBorders>
                    <w:top w:val="single" w:color="auto" w:sz="8" w:space="0"/>
                    <w:left w:val="single" w:color="auto" w:sz="8" w:space="0"/>
                    <w:bottom w:val="single" w:color="auto" w:sz="8" w:space="0"/>
                    <w:right w:val="single" w:color="auto" w:sz="8" w:space="0"/>
                  </w:tcBorders>
                  <w:vAlign w:val="center"/>
                </w:tcPr>
                <w:p w14:paraId="2DA6CCA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10人</w:t>
                  </w:r>
                </w:p>
              </w:tc>
              <w:tc>
                <w:tcPr>
                  <w:tcW w:w="871" w:type="dxa"/>
                  <w:tcBorders>
                    <w:top w:val="single" w:color="auto" w:sz="8" w:space="0"/>
                    <w:left w:val="single" w:color="auto" w:sz="8" w:space="0"/>
                    <w:bottom w:val="single" w:color="auto" w:sz="8" w:space="0"/>
                    <w:right w:val="single" w:color="auto" w:sz="8" w:space="0"/>
                  </w:tcBorders>
                  <w:vAlign w:val="center"/>
                </w:tcPr>
                <w:p w14:paraId="0EF5C62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60L/人·d</w:t>
                  </w:r>
                </w:p>
              </w:tc>
              <w:tc>
                <w:tcPr>
                  <w:tcW w:w="1004" w:type="dxa"/>
                  <w:tcBorders>
                    <w:top w:val="single" w:color="auto" w:sz="8" w:space="0"/>
                    <w:left w:val="single" w:color="auto" w:sz="8" w:space="0"/>
                    <w:bottom w:val="single" w:color="auto" w:sz="8" w:space="0"/>
                    <w:right w:val="single" w:color="auto" w:sz="8" w:space="0"/>
                  </w:tcBorders>
                  <w:vAlign w:val="center"/>
                </w:tcPr>
                <w:p w14:paraId="6937A6E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219</w:t>
                  </w:r>
                </w:p>
              </w:tc>
              <w:tc>
                <w:tcPr>
                  <w:tcW w:w="899" w:type="dxa"/>
                  <w:tcBorders>
                    <w:top w:val="single" w:color="auto" w:sz="8" w:space="0"/>
                    <w:left w:val="single" w:color="auto" w:sz="8" w:space="0"/>
                    <w:bottom w:val="single" w:color="auto" w:sz="8" w:space="0"/>
                    <w:right w:val="single" w:color="auto" w:sz="8" w:space="0"/>
                  </w:tcBorders>
                  <w:vAlign w:val="center"/>
                </w:tcPr>
                <w:p w14:paraId="45C3730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0.6</w:t>
                  </w:r>
                </w:p>
              </w:tc>
              <w:tc>
                <w:tcPr>
                  <w:tcW w:w="1004" w:type="dxa"/>
                  <w:tcBorders>
                    <w:top w:val="single" w:color="auto" w:sz="8" w:space="0"/>
                    <w:left w:val="single" w:color="auto" w:sz="8" w:space="0"/>
                    <w:bottom w:val="single" w:color="auto" w:sz="8" w:space="0"/>
                    <w:right w:val="single" w:color="auto" w:sz="8" w:space="0"/>
                  </w:tcBorders>
                  <w:vAlign w:val="center"/>
                </w:tcPr>
                <w:p w14:paraId="3B1D640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186.15</w:t>
                  </w:r>
                </w:p>
              </w:tc>
              <w:tc>
                <w:tcPr>
                  <w:tcW w:w="689" w:type="dxa"/>
                  <w:tcBorders>
                    <w:top w:val="single" w:color="auto" w:sz="8" w:space="0"/>
                    <w:left w:val="single" w:color="auto" w:sz="8" w:space="0"/>
                    <w:bottom w:val="single" w:color="auto" w:sz="8" w:space="0"/>
                    <w:right w:val="single" w:color="auto" w:sz="8" w:space="0"/>
                  </w:tcBorders>
                  <w:vAlign w:val="center"/>
                </w:tcPr>
                <w:p w14:paraId="5B8B42F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0.51</w:t>
                  </w:r>
                </w:p>
              </w:tc>
              <w:tc>
                <w:tcPr>
                  <w:tcW w:w="1231" w:type="dxa"/>
                  <w:vMerge w:val="continue"/>
                  <w:tcBorders>
                    <w:left w:val="single" w:color="auto" w:sz="8" w:space="0"/>
                    <w:bottom w:val="single" w:color="auto" w:sz="8" w:space="0"/>
                    <w:right w:val="nil"/>
                  </w:tcBorders>
                  <w:vAlign w:val="center"/>
                </w:tcPr>
                <w:p w14:paraId="53D8A792">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1089" w:type="dxa"/>
                  <w:tcBorders>
                    <w:top w:val="single" w:color="auto" w:sz="8" w:space="0"/>
                    <w:left w:val="single" w:color="auto" w:sz="8" w:space="0"/>
                    <w:bottom w:val="single" w:color="auto" w:sz="8" w:space="0"/>
                    <w:right w:val="nil"/>
                  </w:tcBorders>
                  <w:vAlign w:val="center"/>
                </w:tcPr>
                <w:p w14:paraId="7CF83F2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2F0D3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gridSpan w:val="3"/>
                  <w:tcBorders>
                    <w:top w:val="single" w:color="auto" w:sz="8" w:space="0"/>
                    <w:left w:val="nil"/>
                    <w:bottom w:val="single" w:color="auto" w:sz="12" w:space="0"/>
                    <w:right w:val="single" w:color="auto" w:sz="8" w:space="0"/>
                  </w:tcBorders>
                  <w:vAlign w:val="center"/>
                </w:tcPr>
                <w:p w14:paraId="6F99AA50">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合计</w:t>
                  </w:r>
                </w:p>
              </w:tc>
              <w:tc>
                <w:tcPr>
                  <w:tcW w:w="1004" w:type="dxa"/>
                  <w:tcBorders>
                    <w:top w:val="single" w:color="auto" w:sz="8" w:space="0"/>
                    <w:left w:val="single" w:color="auto" w:sz="8" w:space="0"/>
                    <w:bottom w:val="single" w:color="auto" w:sz="12" w:space="0"/>
                    <w:right w:val="single" w:color="auto" w:sz="8" w:space="0"/>
                  </w:tcBorders>
                  <w:vAlign w:val="center"/>
                </w:tcPr>
                <w:p w14:paraId="09159BB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4921.522</w:t>
                  </w:r>
                </w:p>
              </w:tc>
              <w:tc>
                <w:tcPr>
                  <w:tcW w:w="899" w:type="dxa"/>
                  <w:tcBorders>
                    <w:top w:val="single" w:color="auto" w:sz="8" w:space="0"/>
                    <w:left w:val="single" w:color="auto" w:sz="8" w:space="0"/>
                    <w:bottom w:val="single" w:color="auto" w:sz="12" w:space="0"/>
                    <w:right w:val="single" w:color="auto" w:sz="8" w:space="0"/>
                  </w:tcBorders>
                  <w:vAlign w:val="center"/>
                </w:tcPr>
                <w:p w14:paraId="5681C47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13.4836</w:t>
                  </w:r>
                </w:p>
              </w:tc>
              <w:tc>
                <w:tcPr>
                  <w:tcW w:w="1004" w:type="dxa"/>
                  <w:tcBorders>
                    <w:top w:val="single" w:color="auto" w:sz="8" w:space="0"/>
                    <w:left w:val="single" w:color="auto" w:sz="8" w:space="0"/>
                    <w:bottom w:val="single" w:color="auto" w:sz="12" w:space="0"/>
                    <w:right w:val="single" w:color="auto" w:sz="8" w:space="0"/>
                  </w:tcBorders>
                  <w:vAlign w:val="center"/>
                </w:tcPr>
                <w:p w14:paraId="20DE899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4155.8</w:t>
                  </w:r>
                </w:p>
              </w:tc>
              <w:tc>
                <w:tcPr>
                  <w:tcW w:w="689" w:type="dxa"/>
                  <w:tcBorders>
                    <w:top w:val="single" w:color="auto" w:sz="8" w:space="0"/>
                    <w:left w:val="single" w:color="auto" w:sz="8" w:space="0"/>
                    <w:bottom w:val="single" w:color="auto" w:sz="12" w:space="0"/>
                    <w:right w:val="single" w:color="auto" w:sz="8" w:space="0"/>
                  </w:tcBorders>
                  <w:vAlign w:val="center"/>
                </w:tcPr>
                <w:p w14:paraId="710FB36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11.386</w:t>
                  </w:r>
                </w:p>
              </w:tc>
              <w:tc>
                <w:tcPr>
                  <w:tcW w:w="1231" w:type="dxa"/>
                  <w:tcBorders>
                    <w:top w:val="single" w:color="auto" w:sz="8" w:space="0"/>
                    <w:left w:val="single" w:color="auto" w:sz="8" w:space="0"/>
                    <w:bottom w:val="single" w:color="auto" w:sz="12" w:space="0"/>
                    <w:right w:val="nil"/>
                  </w:tcBorders>
                  <w:vAlign w:val="center"/>
                </w:tcPr>
                <w:p w14:paraId="343510B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1089" w:type="dxa"/>
                  <w:tcBorders>
                    <w:top w:val="single" w:color="auto" w:sz="8" w:space="0"/>
                    <w:left w:val="single" w:color="auto" w:sz="8" w:space="0"/>
                    <w:bottom w:val="single" w:color="auto" w:sz="12" w:space="0"/>
                    <w:right w:val="nil"/>
                  </w:tcBorders>
                  <w:vAlign w:val="center"/>
                </w:tcPr>
                <w:p w14:paraId="3FE83A4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bl>
          <w:p w14:paraId="2E5385EE">
            <w:pPr>
              <w:pStyle w:val="15"/>
              <w:numPr>
                <w:ilvl w:val="0"/>
                <w:numId w:val="7"/>
              </w:numPr>
              <w:ind w:left="425" w:leftChars="0" w:hanging="425" w:firstLineChars="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Cs/>
                <w:color w:val="auto"/>
                <w:sz w:val="21"/>
                <w:szCs w:val="21"/>
                <w:highlight w:val="none"/>
                <w:lang w:val="en-US" w:eastAsia="zh-CN"/>
              </w:rPr>
              <w:t>本项目旺季、淡季用水量一览表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580"/>
              <w:gridCol w:w="1417"/>
              <w:gridCol w:w="1275"/>
              <w:gridCol w:w="2421"/>
            </w:tblGrid>
            <w:tr w14:paraId="5B8FA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pct"/>
                  <w:vMerge w:val="restart"/>
                  <w:tcBorders>
                    <w:top w:val="single" w:color="auto" w:sz="12" w:space="0"/>
                    <w:left w:val="nil"/>
                    <w:bottom w:val="single" w:color="auto" w:sz="8" w:space="0"/>
                    <w:right w:val="single" w:color="auto" w:sz="8" w:space="0"/>
                  </w:tcBorders>
                  <w:vAlign w:val="center"/>
                </w:tcPr>
                <w:p w14:paraId="4738F01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项目</w:t>
                  </w:r>
                </w:p>
              </w:tc>
              <w:tc>
                <w:tcPr>
                  <w:tcW w:w="943" w:type="pct"/>
                  <w:vMerge w:val="restart"/>
                  <w:tcBorders>
                    <w:top w:val="single" w:color="auto" w:sz="12" w:space="0"/>
                    <w:left w:val="single" w:color="auto" w:sz="8" w:space="0"/>
                    <w:bottom w:val="single" w:color="auto" w:sz="8" w:space="0"/>
                    <w:right w:val="single" w:color="auto" w:sz="8" w:space="0"/>
                  </w:tcBorders>
                  <w:vAlign w:val="center"/>
                </w:tcPr>
                <w:p w14:paraId="01F76F57">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时期</w:t>
                  </w:r>
                </w:p>
              </w:tc>
              <w:tc>
                <w:tcPr>
                  <w:tcW w:w="846" w:type="pct"/>
                  <w:tcBorders>
                    <w:top w:val="single" w:color="auto" w:sz="12" w:space="0"/>
                    <w:left w:val="single" w:color="000000" w:sz="8" w:space="0"/>
                    <w:bottom w:val="single" w:color="auto" w:sz="8" w:space="0"/>
                    <w:right w:val="single" w:color="auto" w:sz="8" w:space="0"/>
                  </w:tcBorders>
                  <w:vAlign w:val="center"/>
                </w:tcPr>
                <w:p w14:paraId="0E5F4F28">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用水量</w:t>
                  </w:r>
                </w:p>
              </w:tc>
              <w:tc>
                <w:tcPr>
                  <w:tcW w:w="761" w:type="pct"/>
                  <w:tcBorders>
                    <w:top w:val="single" w:color="auto" w:sz="12" w:space="0"/>
                    <w:left w:val="single" w:color="000000" w:sz="8" w:space="0"/>
                    <w:bottom w:val="single" w:color="auto" w:sz="8" w:space="0"/>
                    <w:right w:val="single" w:color="auto" w:sz="8" w:space="0"/>
                  </w:tcBorders>
                  <w:vAlign w:val="center"/>
                </w:tcPr>
                <w:p w14:paraId="469355A6">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排水量</w:t>
                  </w:r>
                </w:p>
              </w:tc>
              <w:tc>
                <w:tcPr>
                  <w:tcW w:w="1445" w:type="pct"/>
                  <w:vMerge w:val="restart"/>
                  <w:tcBorders>
                    <w:top w:val="single" w:color="auto" w:sz="12" w:space="0"/>
                    <w:left w:val="single" w:color="auto" w:sz="8" w:space="0"/>
                    <w:bottom w:val="single" w:color="auto" w:sz="8" w:space="0"/>
                    <w:right w:val="nil"/>
                  </w:tcBorders>
                  <w:vAlign w:val="center"/>
                </w:tcPr>
                <w:p w14:paraId="71B00C5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备注</w:t>
                  </w:r>
                </w:p>
              </w:tc>
            </w:tr>
            <w:tr w14:paraId="310C0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pct"/>
                  <w:vMerge w:val="continue"/>
                  <w:tcBorders>
                    <w:top w:val="single" w:color="auto" w:sz="8" w:space="0"/>
                    <w:left w:val="nil"/>
                    <w:bottom w:val="single" w:color="auto" w:sz="8" w:space="0"/>
                    <w:right w:val="single" w:color="auto" w:sz="8" w:space="0"/>
                  </w:tcBorders>
                  <w:vAlign w:val="center"/>
                </w:tcPr>
                <w:p w14:paraId="79205791">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943" w:type="pct"/>
                  <w:vMerge w:val="continue"/>
                  <w:tcBorders>
                    <w:top w:val="single" w:color="auto" w:sz="8" w:space="0"/>
                    <w:left w:val="single" w:color="auto" w:sz="8" w:space="0"/>
                    <w:bottom w:val="single" w:color="auto" w:sz="8" w:space="0"/>
                    <w:right w:val="single" w:color="auto" w:sz="8" w:space="0"/>
                  </w:tcBorders>
                  <w:vAlign w:val="center"/>
                </w:tcPr>
                <w:p w14:paraId="79620716">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c>
                <w:tcPr>
                  <w:tcW w:w="846" w:type="pct"/>
                  <w:tcBorders>
                    <w:top w:val="single" w:color="auto" w:sz="8" w:space="0"/>
                    <w:left w:val="single" w:color="000000" w:sz="8" w:space="0"/>
                    <w:bottom w:val="single" w:color="auto" w:sz="8" w:space="0"/>
                    <w:right w:val="single" w:color="auto" w:sz="8" w:space="0"/>
                  </w:tcBorders>
                  <w:vAlign w:val="center"/>
                </w:tcPr>
                <w:p w14:paraId="4112AF94">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761" w:type="pct"/>
                  <w:tcBorders>
                    <w:top w:val="single" w:color="auto" w:sz="8" w:space="0"/>
                    <w:left w:val="single" w:color="000000" w:sz="8" w:space="0"/>
                    <w:bottom w:val="single" w:color="auto" w:sz="8" w:space="0"/>
                    <w:right w:val="single" w:color="auto" w:sz="8" w:space="0"/>
                  </w:tcBorders>
                  <w:vAlign w:val="center"/>
                </w:tcPr>
                <w:p w14:paraId="161A8E25">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m</w:t>
                  </w:r>
                  <w:r>
                    <w:rPr>
                      <w:rFonts w:hint="eastAsia" w:ascii="Times New Roman" w:hAnsi="Times New Roman" w:eastAsia="宋体" w:cs="Times New Roman"/>
                      <w:b/>
                      <w:bCs/>
                      <w:color w:val="auto"/>
                      <w:kern w:val="0"/>
                      <w:sz w:val="21"/>
                      <w:szCs w:val="21"/>
                      <w:highlight w:val="none"/>
                      <w:u w:val="none"/>
                      <w:vertAlign w:val="superscript"/>
                      <w:lang w:val="en-US" w:eastAsia="zh-CN" w:bidi="ar"/>
                    </w:rPr>
                    <w:t>3</w:t>
                  </w:r>
                  <w:r>
                    <w:rPr>
                      <w:rFonts w:hint="eastAsia" w:ascii="Times New Roman" w:hAnsi="Times New Roman" w:eastAsia="宋体" w:cs="Times New Roman"/>
                      <w:b/>
                      <w:bCs/>
                      <w:color w:val="auto"/>
                      <w:kern w:val="0"/>
                      <w:sz w:val="21"/>
                      <w:szCs w:val="21"/>
                      <w:highlight w:val="none"/>
                      <w:u w:val="none"/>
                      <w:lang w:val="en-US" w:eastAsia="zh-CN" w:bidi="ar"/>
                    </w:rPr>
                    <w:t>/d</w:t>
                  </w:r>
                </w:p>
              </w:tc>
              <w:tc>
                <w:tcPr>
                  <w:tcW w:w="1445" w:type="pct"/>
                  <w:vMerge w:val="continue"/>
                  <w:tcBorders>
                    <w:top w:val="single" w:color="auto" w:sz="8" w:space="0"/>
                    <w:left w:val="single" w:color="auto" w:sz="8" w:space="0"/>
                    <w:bottom w:val="single" w:color="auto" w:sz="8" w:space="0"/>
                    <w:right w:val="nil"/>
                  </w:tcBorders>
                  <w:vAlign w:val="center"/>
                </w:tcPr>
                <w:p w14:paraId="67E1E09D">
                  <w:pPr>
                    <w:keepNext w:val="0"/>
                    <w:keepLines w:val="0"/>
                    <w:widowControl/>
                    <w:suppressLineNumbers w:val="0"/>
                    <w:jc w:val="center"/>
                    <w:textAlignment w:val="center"/>
                    <w:rPr>
                      <w:rFonts w:hint="eastAsia" w:ascii="Times New Roman" w:hAnsi="Times New Roman" w:eastAsia="宋体" w:cs="Times New Roman"/>
                      <w:b/>
                      <w:bCs/>
                      <w:color w:val="auto"/>
                      <w:kern w:val="0"/>
                      <w:sz w:val="21"/>
                      <w:szCs w:val="21"/>
                      <w:highlight w:val="none"/>
                      <w:u w:val="none"/>
                      <w:lang w:val="en-US" w:eastAsia="zh-CN" w:bidi="ar"/>
                    </w:rPr>
                  </w:pPr>
                </w:p>
              </w:tc>
            </w:tr>
            <w:tr w14:paraId="2146E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1003" w:type="pct"/>
                  <w:vMerge w:val="restart"/>
                  <w:tcBorders>
                    <w:top w:val="single" w:color="auto" w:sz="8" w:space="0"/>
                    <w:left w:val="nil"/>
                    <w:right w:val="single" w:color="auto" w:sz="8" w:space="0"/>
                  </w:tcBorders>
                  <w:vAlign w:val="center"/>
                </w:tcPr>
                <w:p w14:paraId="63EAE6E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屠宰用水</w:t>
                  </w:r>
                </w:p>
              </w:tc>
              <w:tc>
                <w:tcPr>
                  <w:tcW w:w="943" w:type="pct"/>
                  <w:tcBorders>
                    <w:top w:val="single" w:color="auto" w:sz="8" w:space="0"/>
                    <w:left w:val="single" w:color="auto" w:sz="8" w:space="0"/>
                    <w:bottom w:val="single" w:color="000000" w:sz="8" w:space="0"/>
                    <w:right w:val="single" w:color="auto" w:sz="8" w:space="0"/>
                  </w:tcBorders>
                  <w:vAlign w:val="center"/>
                </w:tcPr>
                <w:p w14:paraId="441CCDE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淡季</w:t>
                  </w:r>
                </w:p>
              </w:tc>
              <w:tc>
                <w:tcPr>
                  <w:tcW w:w="1418" w:type="dxa"/>
                  <w:tcBorders>
                    <w:top w:val="single" w:color="auto" w:sz="8" w:space="0"/>
                    <w:left w:val="single" w:color="auto" w:sz="8" w:space="0"/>
                    <w:bottom w:val="single" w:color="000000" w:sz="8" w:space="0"/>
                    <w:right w:val="single" w:color="auto" w:sz="8" w:space="0"/>
                  </w:tcBorders>
                  <w:vAlign w:val="center"/>
                </w:tcPr>
                <w:p w14:paraId="079266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9.45</w:t>
                  </w:r>
                </w:p>
              </w:tc>
              <w:tc>
                <w:tcPr>
                  <w:tcW w:w="1275" w:type="dxa"/>
                  <w:tcBorders>
                    <w:top w:val="single" w:color="auto" w:sz="8" w:space="0"/>
                    <w:left w:val="single" w:color="auto" w:sz="8" w:space="0"/>
                    <w:bottom w:val="single" w:color="000000" w:sz="8" w:space="0"/>
                    <w:right w:val="single" w:color="auto" w:sz="8" w:space="0"/>
                  </w:tcBorders>
                  <w:vAlign w:val="center"/>
                </w:tcPr>
                <w:p w14:paraId="63B6B31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c>
                <w:tcPr>
                  <w:tcW w:w="1445" w:type="pct"/>
                  <w:vMerge w:val="restart"/>
                  <w:tcBorders>
                    <w:top w:val="single" w:color="auto" w:sz="8" w:space="0"/>
                    <w:left w:val="single" w:color="auto" w:sz="8" w:space="0"/>
                    <w:right w:val="nil"/>
                  </w:tcBorders>
                  <w:vAlign w:val="center"/>
                </w:tcPr>
                <w:p w14:paraId="3256605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6EF49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1003" w:type="pct"/>
                  <w:vMerge w:val="continue"/>
                  <w:tcBorders>
                    <w:left w:val="nil"/>
                    <w:bottom w:val="single" w:color="auto" w:sz="8" w:space="0"/>
                    <w:right w:val="single" w:color="auto" w:sz="8" w:space="0"/>
                  </w:tcBorders>
                  <w:vAlign w:val="center"/>
                </w:tcPr>
                <w:p w14:paraId="652BE56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943" w:type="pct"/>
                  <w:tcBorders>
                    <w:top w:val="single" w:color="000000" w:sz="8" w:space="0"/>
                    <w:left w:val="single" w:color="auto" w:sz="8" w:space="0"/>
                    <w:bottom w:val="single" w:color="auto" w:sz="8" w:space="0"/>
                    <w:right w:val="single" w:color="auto" w:sz="8" w:space="0"/>
                  </w:tcBorders>
                  <w:vAlign w:val="center"/>
                </w:tcPr>
                <w:p w14:paraId="72B9D21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旺季</w:t>
                  </w:r>
                </w:p>
              </w:tc>
              <w:tc>
                <w:tcPr>
                  <w:tcW w:w="1418" w:type="dxa"/>
                  <w:tcBorders>
                    <w:top w:val="single" w:color="000000" w:sz="8" w:space="0"/>
                    <w:left w:val="single" w:color="auto" w:sz="8" w:space="0"/>
                    <w:bottom w:val="single" w:color="auto" w:sz="8" w:space="0"/>
                    <w:right w:val="single" w:color="auto" w:sz="8" w:space="0"/>
                  </w:tcBorders>
                  <w:vAlign w:val="center"/>
                </w:tcPr>
                <w:p w14:paraId="34C04A4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13.8</w:t>
                  </w:r>
                </w:p>
              </w:tc>
              <w:tc>
                <w:tcPr>
                  <w:tcW w:w="1275" w:type="dxa"/>
                  <w:tcBorders>
                    <w:top w:val="single" w:color="000000" w:sz="8" w:space="0"/>
                    <w:left w:val="single" w:color="auto" w:sz="8" w:space="0"/>
                    <w:bottom w:val="single" w:color="auto" w:sz="8" w:space="0"/>
                    <w:right w:val="single" w:color="auto" w:sz="8" w:space="0"/>
                  </w:tcBorders>
                  <w:vAlign w:val="center"/>
                </w:tcPr>
                <w:p w14:paraId="2074604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11.73</w:t>
                  </w:r>
                </w:p>
              </w:tc>
              <w:tc>
                <w:tcPr>
                  <w:tcW w:w="1445" w:type="pct"/>
                  <w:vMerge w:val="continue"/>
                  <w:tcBorders>
                    <w:left w:val="single" w:color="auto" w:sz="8" w:space="0"/>
                    <w:bottom w:val="single" w:color="auto" w:sz="8" w:space="0"/>
                    <w:right w:val="nil"/>
                  </w:tcBorders>
                  <w:vAlign w:val="center"/>
                </w:tcPr>
                <w:p w14:paraId="6A1BF158">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r>
            <w:tr w14:paraId="1E64E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03" w:type="pct"/>
                  <w:tcBorders>
                    <w:top w:val="single" w:color="auto" w:sz="8" w:space="0"/>
                    <w:left w:val="nil"/>
                    <w:right w:val="single" w:color="auto" w:sz="8" w:space="0"/>
                  </w:tcBorders>
                  <w:vAlign w:val="center"/>
                </w:tcPr>
                <w:p w14:paraId="5D1905A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车辆清洗用水</w:t>
                  </w:r>
                </w:p>
              </w:tc>
              <w:tc>
                <w:tcPr>
                  <w:tcW w:w="943" w:type="pct"/>
                  <w:tcBorders>
                    <w:top w:val="single" w:color="auto" w:sz="8" w:space="0"/>
                    <w:left w:val="single" w:color="auto" w:sz="8" w:space="0"/>
                    <w:bottom w:val="single" w:color="000000" w:sz="8" w:space="0"/>
                    <w:right w:val="single" w:color="auto" w:sz="8" w:space="0"/>
                  </w:tcBorders>
                  <w:shd w:val="clear" w:color="auto" w:fill="auto"/>
                  <w:vAlign w:val="center"/>
                </w:tcPr>
                <w:p w14:paraId="27A11E10">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846" w:type="pct"/>
                  <w:tcBorders>
                    <w:top w:val="single" w:color="auto" w:sz="8" w:space="0"/>
                    <w:left w:val="single" w:color="auto" w:sz="8" w:space="0"/>
                    <w:bottom w:val="single" w:color="000000" w:sz="8" w:space="0"/>
                    <w:right w:val="single" w:color="auto" w:sz="8" w:space="0"/>
                  </w:tcBorders>
                  <w:vAlign w:val="center"/>
                </w:tcPr>
                <w:p w14:paraId="094379B9">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0.2</w:t>
                  </w:r>
                </w:p>
              </w:tc>
              <w:tc>
                <w:tcPr>
                  <w:tcW w:w="761" w:type="pct"/>
                  <w:tcBorders>
                    <w:top w:val="single" w:color="auto" w:sz="8" w:space="0"/>
                    <w:left w:val="single" w:color="auto" w:sz="8" w:space="0"/>
                    <w:bottom w:val="single" w:color="000000" w:sz="8" w:space="0"/>
                    <w:right w:val="single" w:color="auto" w:sz="8" w:space="0"/>
                  </w:tcBorders>
                  <w:vAlign w:val="center"/>
                </w:tcPr>
                <w:p w14:paraId="74F3A30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0.16</w:t>
                  </w:r>
                </w:p>
              </w:tc>
              <w:tc>
                <w:tcPr>
                  <w:tcW w:w="1445" w:type="pct"/>
                  <w:tcBorders>
                    <w:top w:val="single" w:color="auto" w:sz="8" w:space="0"/>
                    <w:left w:val="single" w:color="auto" w:sz="8" w:space="0"/>
                    <w:right w:val="nil"/>
                  </w:tcBorders>
                  <w:vAlign w:val="center"/>
                </w:tcPr>
                <w:p w14:paraId="40A5E18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不分淡季旺季</w:t>
                  </w:r>
                </w:p>
              </w:tc>
            </w:tr>
            <w:tr w14:paraId="0BD90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03" w:type="pct"/>
                  <w:tcBorders>
                    <w:top w:val="single" w:color="auto" w:sz="8" w:space="0"/>
                    <w:left w:val="nil"/>
                    <w:right w:val="single" w:color="auto" w:sz="8" w:space="0"/>
                  </w:tcBorders>
                  <w:vAlign w:val="center"/>
                </w:tcPr>
                <w:p w14:paraId="5BA75128">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 xml:space="preserve">喷淋塔用水 </w:t>
                  </w:r>
                </w:p>
              </w:tc>
              <w:tc>
                <w:tcPr>
                  <w:tcW w:w="943" w:type="pct"/>
                  <w:tcBorders>
                    <w:top w:val="single" w:color="auto" w:sz="8" w:space="0"/>
                    <w:left w:val="single" w:color="auto" w:sz="8" w:space="0"/>
                    <w:bottom w:val="single" w:color="auto" w:sz="8" w:space="0"/>
                    <w:right w:val="single" w:color="auto" w:sz="8" w:space="0"/>
                  </w:tcBorders>
                  <w:vAlign w:val="center"/>
                </w:tcPr>
                <w:p w14:paraId="07F8673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846" w:type="pct"/>
                  <w:tcBorders>
                    <w:top w:val="single" w:color="auto" w:sz="8" w:space="0"/>
                    <w:left w:val="single" w:color="auto" w:sz="8" w:space="0"/>
                    <w:right w:val="single" w:color="auto" w:sz="8" w:space="0"/>
                  </w:tcBorders>
                  <w:vAlign w:val="center"/>
                </w:tcPr>
                <w:p w14:paraId="763ABC3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0.1136</w:t>
                  </w:r>
                </w:p>
              </w:tc>
              <w:tc>
                <w:tcPr>
                  <w:tcW w:w="761" w:type="pct"/>
                  <w:tcBorders>
                    <w:top w:val="single" w:color="auto" w:sz="8" w:space="0"/>
                    <w:left w:val="single" w:color="auto" w:sz="8" w:space="0"/>
                    <w:right w:val="single" w:color="auto" w:sz="8" w:space="0"/>
                  </w:tcBorders>
                  <w:vAlign w:val="center"/>
                </w:tcPr>
                <w:p w14:paraId="5C97232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0.066</w:t>
                  </w:r>
                </w:p>
              </w:tc>
              <w:tc>
                <w:tcPr>
                  <w:tcW w:w="1445" w:type="pct"/>
                  <w:tcBorders>
                    <w:top w:val="single" w:color="auto" w:sz="8" w:space="0"/>
                    <w:left w:val="single" w:color="auto" w:sz="8" w:space="0"/>
                    <w:right w:val="nil"/>
                  </w:tcBorders>
                  <w:vAlign w:val="center"/>
                </w:tcPr>
                <w:p w14:paraId="429C763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不分淡季旺季</w:t>
                  </w:r>
                </w:p>
              </w:tc>
            </w:tr>
            <w:tr w14:paraId="731BD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003" w:type="pct"/>
                  <w:vMerge w:val="restart"/>
                  <w:tcBorders>
                    <w:top w:val="single" w:color="auto" w:sz="8" w:space="0"/>
                    <w:left w:val="nil"/>
                    <w:right w:val="single" w:color="auto" w:sz="8" w:space="0"/>
                  </w:tcBorders>
                  <w:vAlign w:val="center"/>
                </w:tcPr>
                <w:p w14:paraId="6B7BD23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生猪待宰饮用水</w:t>
                  </w:r>
                </w:p>
              </w:tc>
              <w:tc>
                <w:tcPr>
                  <w:tcW w:w="943" w:type="pct"/>
                  <w:tcBorders>
                    <w:top w:val="single" w:color="auto" w:sz="8" w:space="0"/>
                    <w:left w:val="single" w:color="auto" w:sz="8" w:space="0"/>
                    <w:bottom w:val="single" w:color="000000" w:sz="8" w:space="0"/>
                    <w:right w:val="single" w:color="auto" w:sz="8" w:space="0"/>
                  </w:tcBorders>
                  <w:vAlign w:val="center"/>
                </w:tcPr>
                <w:p w14:paraId="11C10FA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淡季</w:t>
                  </w:r>
                </w:p>
              </w:tc>
              <w:tc>
                <w:tcPr>
                  <w:tcW w:w="846" w:type="pct"/>
                  <w:tcBorders>
                    <w:top w:val="single" w:color="auto" w:sz="8" w:space="0"/>
                    <w:left w:val="single" w:color="auto" w:sz="8" w:space="0"/>
                    <w:bottom w:val="single" w:color="000000" w:sz="8" w:space="0"/>
                    <w:right w:val="single" w:color="auto" w:sz="8" w:space="0"/>
                  </w:tcBorders>
                  <w:vAlign w:val="center"/>
                </w:tcPr>
                <w:p w14:paraId="1A016C8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0.055</w:t>
                  </w:r>
                </w:p>
              </w:tc>
              <w:tc>
                <w:tcPr>
                  <w:tcW w:w="761" w:type="pct"/>
                  <w:tcBorders>
                    <w:top w:val="single" w:color="auto" w:sz="8" w:space="0"/>
                    <w:left w:val="single" w:color="auto" w:sz="8" w:space="0"/>
                    <w:bottom w:val="single" w:color="000000" w:sz="8" w:space="0"/>
                    <w:right w:val="single" w:color="auto" w:sz="8" w:space="0"/>
                  </w:tcBorders>
                  <w:vAlign w:val="center"/>
                </w:tcPr>
                <w:p w14:paraId="1D44BD1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1445" w:type="pct"/>
                  <w:vMerge w:val="restart"/>
                  <w:tcBorders>
                    <w:top w:val="single" w:color="auto" w:sz="8" w:space="0"/>
                    <w:left w:val="single" w:color="auto" w:sz="8" w:space="0"/>
                    <w:right w:val="nil"/>
                  </w:tcBorders>
                  <w:vAlign w:val="center"/>
                </w:tcPr>
                <w:p w14:paraId="690B397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排水纳入屠宰废水中</w:t>
                  </w:r>
                </w:p>
              </w:tc>
            </w:tr>
            <w:tr w14:paraId="478E5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1003" w:type="pct"/>
                  <w:vMerge w:val="continue"/>
                  <w:tcBorders>
                    <w:left w:val="nil"/>
                    <w:bottom w:val="single" w:color="auto" w:sz="8" w:space="0"/>
                    <w:right w:val="single" w:color="auto" w:sz="8" w:space="0"/>
                  </w:tcBorders>
                  <w:vAlign w:val="center"/>
                </w:tcPr>
                <w:p w14:paraId="4760B4E5">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943" w:type="pct"/>
                  <w:tcBorders>
                    <w:top w:val="single" w:color="000000" w:sz="8" w:space="0"/>
                    <w:left w:val="single" w:color="auto" w:sz="8" w:space="0"/>
                    <w:bottom w:val="single" w:color="auto" w:sz="8" w:space="0"/>
                    <w:right w:val="single" w:color="auto" w:sz="8" w:space="0"/>
                  </w:tcBorders>
                  <w:vAlign w:val="center"/>
                </w:tcPr>
                <w:p w14:paraId="445F59D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旺季</w:t>
                  </w:r>
                </w:p>
              </w:tc>
              <w:tc>
                <w:tcPr>
                  <w:tcW w:w="846" w:type="pct"/>
                  <w:tcBorders>
                    <w:top w:val="single" w:color="000000" w:sz="8" w:space="0"/>
                    <w:left w:val="single" w:color="auto" w:sz="8" w:space="0"/>
                    <w:bottom w:val="single" w:color="auto" w:sz="8" w:space="0"/>
                    <w:right w:val="single" w:color="auto" w:sz="8" w:space="0"/>
                  </w:tcBorders>
                  <w:vAlign w:val="center"/>
                </w:tcPr>
                <w:p w14:paraId="09AB94C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0.0805</w:t>
                  </w:r>
                </w:p>
              </w:tc>
              <w:tc>
                <w:tcPr>
                  <w:tcW w:w="761" w:type="pct"/>
                  <w:tcBorders>
                    <w:top w:val="single" w:color="000000" w:sz="8" w:space="0"/>
                    <w:left w:val="single" w:color="auto" w:sz="8" w:space="0"/>
                    <w:bottom w:val="single" w:color="auto" w:sz="8" w:space="0"/>
                    <w:right w:val="single" w:color="auto" w:sz="8" w:space="0"/>
                  </w:tcBorders>
                  <w:vAlign w:val="center"/>
                </w:tcPr>
                <w:p w14:paraId="248B148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1445" w:type="pct"/>
                  <w:vMerge w:val="continue"/>
                  <w:tcBorders>
                    <w:left w:val="single" w:color="auto" w:sz="8" w:space="0"/>
                    <w:bottom w:val="single" w:color="auto" w:sz="8" w:space="0"/>
                    <w:right w:val="nil"/>
                  </w:tcBorders>
                  <w:vAlign w:val="center"/>
                </w:tcPr>
                <w:p w14:paraId="3B3BE39F">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r>
            <w:tr w14:paraId="390E4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pct"/>
                  <w:tcBorders>
                    <w:top w:val="single" w:color="auto" w:sz="8" w:space="0"/>
                    <w:left w:val="nil"/>
                    <w:bottom w:val="single" w:color="auto" w:sz="8" w:space="0"/>
                    <w:right w:val="single" w:color="auto" w:sz="8" w:space="0"/>
                  </w:tcBorders>
                  <w:vAlign w:val="center"/>
                </w:tcPr>
                <w:p w14:paraId="15AD6E75">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检疫用水</w:t>
                  </w:r>
                </w:p>
              </w:tc>
              <w:tc>
                <w:tcPr>
                  <w:tcW w:w="943" w:type="pct"/>
                  <w:tcBorders>
                    <w:top w:val="single" w:color="auto" w:sz="8" w:space="0"/>
                    <w:left w:val="single" w:color="auto" w:sz="8" w:space="0"/>
                    <w:bottom w:val="single" w:color="auto" w:sz="8" w:space="0"/>
                    <w:right w:val="single" w:color="auto" w:sz="8" w:space="0"/>
                  </w:tcBorders>
                  <w:vAlign w:val="center"/>
                </w:tcPr>
                <w:p w14:paraId="7A5FE5D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846" w:type="pct"/>
                  <w:tcBorders>
                    <w:top w:val="single" w:color="auto" w:sz="8" w:space="0"/>
                    <w:left w:val="single" w:color="auto" w:sz="8" w:space="0"/>
                    <w:bottom w:val="single" w:color="auto" w:sz="8" w:space="0"/>
                    <w:right w:val="single" w:color="auto" w:sz="8" w:space="0"/>
                  </w:tcBorders>
                  <w:vAlign w:val="center"/>
                </w:tcPr>
                <w:p w14:paraId="32E5567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0.5</w:t>
                  </w:r>
                </w:p>
              </w:tc>
              <w:tc>
                <w:tcPr>
                  <w:tcW w:w="761" w:type="pct"/>
                  <w:tcBorders>
                    <w:top w:val="single" w:color="auto" w:sz="8" w:space="0"/>
                    <w:left w:val="single" w:color="auto" w:sz="8" w:space="0"/>
                    <w:bottom w:val="single" w:color="auto" w:sz="8" w:space="0"/>
                    <w:right w:val="single" w:color="auto" w:sz="8" w:space="0"/>
                  </w:tcBorders>
                  <w:vAlign w:val="center"/>
                </w:tcPr>
                <w:p w14:paraId="70576F0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0.45</w:t>
                  </w:r>
                </w:p>
              </w:tc>
              <w:tc>
                <w:tcPr>
                  <w:tcW w:w="1445" w:type="pct"/>
                  <w:tcBorders>
                    <w:top w:val="single" w:color="auto" w:sz="8" w:space="0"/>
                    <w:left w:val="single" w:color="auto" w:sz="8" w:space="0"/>
                    <w:bottom w:val="single" w:color="auto" w:sz="8" w:space="0"/>
                    <w:right w:val="nil"/>
                  </w:tcBorders>
                  <w:vAlign w:val="center"/>
                </w:tcPr>
                <w:p w14:paraId="635448F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不分淡季旺季</w:t>
                  </w:r>
                </w:p>
              </w:tc>
            </w:tr>
            <w:tr w14:paraId="5C8D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003" w:type="pct"/>
                  <w:tcBorders>
                    <w:top w:val="single" w:color="auto" w:sz="8" w:space="0"/>
                    <w:left w:val="nil"/>
                    <w:bottom w:val="single" w:color="auto" w:sz="8" w:space="0"/>
                    <w:right w:val="single" w:color="auto" w:sz="8" w:space="0"/>
                  </w:tcBorders>
                  <w:vAlign w:val="center"/>
                </w:tcPr>
                <w:p w14:paraId="2BB65B3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生活用水</w:t>
                  </w:r>
                </w:p>
              </w:tc>
              <w:tc>
                <w:tcPr>
                  <w:tcW w:w="943" w:type="pct"/>
                  <w:tcBorders>
                    <w:top w:val="single" w:color="auto" w:sz="8" w:space="0"/>
                    <w:left w:val="single" w:color="auto" w:sz="8" w:space="0"/>
                    <w:bottom w:val="single" w:color="auto" w:sz="8" w:space="0"/>
                    <w:right w:val="single" w:color="auto" w:sz="8" w:space="0"/>
                  </w:tcBorders>
                  <w:vAlign w:val="center"/>
                </w:tcPr>
                <w:p w14:paraId="06BFF9C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846" w:type="pct"/>
                  <w:tcBorders>
                    <w:top w:val="single" w:color="auto" w:sz="8" w:space="0"/>
                    <w:left w:val="single" w:color="auto" w:sz="8" w:space="0"/>
                    <w:bottom w:val="single" w:color="auto" w:sz="8" w:space="0"/>
                    <w:right w:val="single" w:color="auto" w:sz="8" w:space="0"/>
                  </w:tcBorders>
                  <w:vAlign w:val="center"/>
                </w:tcPr>
                <w:p w14:paraId="7A3573B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0.6</w:t>
                  </w:r>
                </w:p>
              </w:tc>
              <w:tc>
                <w:tcPr>
                  <w:tcW w:w="761" w:type="pct"/>
                  <w:tcBorders>
                    <w:top w:val="single" w:color="auto" w:sz="8" w:space="0"/>
                    <w:left w:val="single" w:color="auto" w:sz="8" w:space="0"/>
                    <w:bottom w:val="single" w:color="auto" w:sz="8" w:space="0"/>
                    <w:right w:val="single" w:color="auto" w:sz="8" w:space="0"/>
                  </w:tcBorders>
                  <w:vAlign w:val="center"/>
                </w:tcPr>
                <w:p w14:paraId="4A39AE0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0.51</w:t>
                  </w:r>
                </w:p>
              </w:tc>
              <w:tc>
                <w:tcPr>
                  <w:tcW w:w="1445" w:type="pct"/>
                  <w:tcBorders>
                    <w:top w:val="single" w:color="auto" w:sz="8" w:space="0"/>
                    <w:left w:val="single" w:color="auto" w:sz="8" w:space="0"/>
                    <w:bottom w:val="single" w:color="auto" w:sz="8" w:space="0"/>
                    <w:right w:val="nil"/>
                  </w:tcBorders>
                  <w:vAlign w:val="center"/>
                </w:tcPr>
                <w:p w14:paraId="0FF261D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不分淡季旺季</w:t>
                  </w:r>
                </w:p>
              </w:tc>
            </w:tr>
            <w:tr w14:paraId="55351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pct"/>
                  <w:vMerge w:val="restart"/>
                  <w:tcBorders>
                    <w:top w:val="single" w:color="auto" w:sz="8" w:space="0"/>
                    <w:left w:val="nil"/>
                    <w:right w:val="single" w:color="auto" w:sz="8" w:space="0"/>
                  </w:tcBorders>
                  <w:vAlign w:val="center"/>
                </w:tcPr>
                <w:p w14:paraId="7EAD8C5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合计</w:t>
                  </w:r>
                </w:p>
              </w:tc>
              <w:tc>
                <w:tcPr>
                  <w:tcW w:w="943" w:type="pct"/>
                  <w:tcBorders>
                    <w:top w:val="single" w:color="auto" w:sz="8" w:space="0"/>
                    <w:left w:val="single" w:color="auto" w:sz="8" w:space="0"/>
                    <w:bottom w:val="single" w:color="auto" w:sz="8" w:space="0"/>
                    <w:right w:val="single" w:color="auto" w:sz="8" w:space="0"/>
                  </w:tcBorders>
                  <w:vAlign w:val="center"/>
                </w:tcPr>
                <w:p w14:paraId="69C2F4F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淡季</w:t>
                  </w:r>
                </w:p>
              </w:tc>
              <w:tc>
                <w:tcPr>
                  <w:tcW w:w="1418" w:type="dxa"/>
                  <w:tcBorders>
                    <w:top w:val="single" w:color="auto" w:sz="8" w:space="0"/>
                    <w:left w:val="single" w:color="auto" w:sz="8" w:space="0"/>
                    <w:bottom w:val="single" w:color="auto" w:sz="8" w:space="0"/>
                    <w:right w:val="single" w:color="auto" w:sz="8" w:space="0"/>
                  </w:tcBorders>
                  <w:vAlign w:val="center"/>
                </w:tcPr>
                <w:p w14:paraId="44A60E3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10.9186</w:t>
                  </w:r>
                </w:p>
              </w:tc>
              <w:tc>
                <w:tcPr>
                  <w:tcW w:w="1275" w:type="dxa"/>
                  <w:tcBorders>
                    <w:top w:val="single" w:color="auto" w:sz="8" w:space="0"/>
                    <w:left w:val="single" w:color="auto" w:sz="8" w:space="0"/>
                    <w:bottom w:val="single" w:color="auto" w:sz="8" w:space="0"/>
                    <w:right w:val="single" w:color="auto" w:sz="8" w:space="0"/>
                  </w:tcBorders>
                  <w:vAlign w:val="center"/>
                </w:tcPr>
                <w:p w14:paraId="56AC783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9.216</w:t>
                  </w:r>
                </w:p>
              </w:tc>
              <w:tc>
                <w:tcPr>
                  <w:tcW w:w="1445" w:type="pct"/>
                  <w:tcBorders>
                    <w:top w:val="single" w:color="auto" w:sz="8" w:space="0"/>
                    <w:left w:val="single" w:color="auto" w:sz="8" w:space="0"/>
                    <w:bottom w:val="single" w:color="auto" w:sz="8" w:space="0"/>
                    <w:right w:val="nil"/>
                  </w:tcBorders>
                  <w:vAlign w:val="center"/>
                </w:tcPr>
                <w:p w14:paraId="76ECDBD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62ED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pct"/>
                  <w:vMerge w:val="continue"/>
                  <w:tcBorders>
                    <w:left w:val="nil"/>
                    <w:bottom w:val="single" w:color="auto" w:sz="8" w:space="0"/>
                    <w:right w:val="single" w:color="auto" w:sz="8" w:space="0"/>
                  </w:tcBorders>
                  <w:vAlign w:val="center"/>
                </w:tcPr>
                <w:p w14:paraId="6CA38E0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943" w:type="pct"/>
                  <w:tcBorders>
                    <w:top w:val="single" w:color="auto" w:sz="8" w:space="0"/>
                    <w:left w:val="single" w:color="auto" w:sz="8" w:space="0"/>
                    <w:bottom w:val="single" w:color="auto" w:sz="8" w:space="0"/>
                    <w:right w:val="single" w:color="auto" w:sz="8" w:space="0"/>
                  </w:tcBorders>
                  <w:vAlign w:val="center"/>
                </w:tcPr>
                <w:p w14:paraId="5C4F5B6B">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旺季</w:t>
                  </w:r>
                </w:p>
              </w:tc>
              <w:tc>
                <w:tcPr>
                  <w:tcW w:w="1418" w:type="dxa"/>
                  <w:tcBorders>
                    <w:top w:val="single" w:color="auto" w:sz="8" w:space="0"/>
                    <w:left w:val="single" w:color="auto" w:sz="8" w:space="0"/>
                    <w:bottom w:val="single" w:color="auto" w:sz="8" w:space="0"/>
                    <w:right w:val="single" w:color="auto" w:sz="8" w:space="0"/>
                  </w:tcBorders>
                  <w:vAlign w:val="center"/>
                </w:tcPr>
                <w:p w14:paraId="2E97C22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15.2941</w:t>
                  </w:r>
                </w:p>
              </w:tc>
              <w:tc>
                <w:tcPr>
                  <w:tcW w:w="1275" w:type="dxa"/>
                  <w:tcBorders>
                    <w:top w:val="single" w:color="auto" w:sz="8" w:space="0"/>
                    <w:left w:val="single" w:color="auto" w:sz="8" w:space="0"/>
                    <w:bottom w:val="single" w:color="auto" w:sz="8" w:space="0"/>
                    <w:right w:val="single" w:color="auto" w:sz="8" w:space="0"/>
                  </w:tcBorders>
                  <w:vAlign w:val="center"/>
                </w:tcPr>
                <w:p w14:paraId="2FE26542">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12.916</w:t>
                  </w:r>
                </w:p>
              </w:tc>
              <w:tc>
                <w:tcPr>
                  <w:tcW w:w="1445" w:type="pct"/>
                  <w:tcBorders>
                    <w:top w:val="single" w:color="auto" w:sz="8" w:space="0"/>
                    <w:left w:val="single" w:color="auto" w:sz="8" w:space="0"/>
                    <w:bottom w:val="single" w:color="auto" w:sz="8" w:space="0"/>
                    <w:right w:val="nil"/>
                  </w:tcBorders>
                  <w:vAlign w:val="center"/>
                </w:tcPr>
                <w:p w14:paraId="3A870C7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bl>
          <w:p w14:paraId="79CA6B6F">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本项目水平衡见下图。</w:t>
            </w:r>
          </w:p>
          <w:p w14:paraId="71426A8C">
            <w:pPr>
              <w:pStyle w:val="15"/>
              <w:spacing w:line="360" w:lineRule="auto"/>
              <w:ind w:left="0" w:right="0" w:firstLine="261" w:firstLineChars="200"/>
              <w:jc w:val="center"/>
              <w:rPr>
                <w:color w:val="auto"/>
                <w:highlight w:val="none"/>
              </w:rPr>
            </w:pPr>
            <w:r>
              <w:rPr>
                <w:color w:val="auto"/>
                <w:highlight w:val="none"/>
              </w:rPr>
              <w:object>
                <v:shape id="_x0000_i1026" o:spt="75" type="#_x0000_t75" style="height:260.25pt;width:322.5pt;" o:ole="t" filled="f" o:preferrelative="t" stroked="f" coordsize="21600,21600">
                  <v:path/>
                  <v:fill on="f" focussize="0,0"/>
                  <v:stroke on="f"/>
                  <v:imagedata r:id="rId20" o:title=""/>
                  <o:lock v:ext="edit" aspectratio="f"/>
                  <w10:wrap type="none"/>
                  <w10:anchorlock/>
                </v:shape>
                <o:OLEObject Type="Embed" ProgID="Visio.Drawing.11" ShapeID="_x0000_i1026" DrawAspect="Content" ObjectID="_1468075725" r:id="rId19">
                  <o:LockedField>false</o:LockedField>
                </o:OLEObject>
              </w:object>
            </w:r>
          </w:p>
          <w:p w14:paraId="0C176E48">
            <w:pPr>
              <w:pStyle w:val="142"/>
              <w:numPr>
                <w:ilvl w:val="0"/>
                <w:numId w:val="10"/>
              </w:numPr>
              <w:tabs>
                <w:tab w:val="left" w:pos="0"/>
              </w:tabs>
              <w:spacing w:before="120" w:line="360" w:lineRule="auto"/>
              <w:ind w:left="425" w:leftChars="0" w:hanging="425" w:firstLineChars="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项目</w:t>
            </w:r>
            <w:r>
              <w:rPr>
                <w:rFonts w:hint="eastAsia" w:ascii="Times New Roman" w:hAnsi="Times New Roman" w:eastAsia="宋体" w:cs="Times New Roman"/>
                <w:b/>
                <w:color w:val="auto"/>
                <w:szCs w:val="20"/>
                <w:highlight w:val="none"/>
                <w:lang w:val="en-US" w:eastAsia="zh-CN"/>
              </w:rPr>
              <w:t>日平均</w:t>
            </w:r>
            <w:r>
              <w:rPr>
                <w:rFonts w:hint="eastAsia" w:ascii="Times New Roman" w:hAnsi="Times New Roman" w:eastAsia="宋体" w:cs="Times New Roman"/>
                <w:b/>
                <w:color w:val="auto"/>
                <w:szCs w:val="20"/>
                <w:highlight w:val="none"/>
              </w:rPr>
              <w:t>水平衡图（</w:t>
            </w:r>
            <w:r>
              <w:rPr>
                <w:rFonts w:ascii="Times New Roman" w:hAnsi="Times New Roman" w:eastAsia="宋体" w:cs="Times New Roman"/>
                <w:b/>
                <w:color w:val="auto"/>
                <w:szCs w:val="20"/>
                <w:highlight w:val="none"/>
              </w:rPr>
              <w:t>m</w:t>
            </w:r>
            <w:r>
              <w:rPr>
                <w:rFonts w:ascii="Times New Roman" w:hAnsi="Times New Roman" w:eastAsia="宋体" w:cs="Times New Roman"/>
                <w:b/>
                <w:color w:val="auto"/>
                <w:szCs w:val="20"/>
                <w:highlight w:val="none"/>
                <w:vertAlign w:val="superscript"/>
              </w:rPr>
              <w:t>3</w:t>
            </w:r>
            <w:r>
              <w:rPr>
                <w:rFonts w:ascii="Times New Roman" w:hAnsi="Times New Roman" w:eastAsia="宋体" w:cs="Times New Roman"/>
                <w:b/>
                <w:color w:val="auto"/>
                <w:szCs w:val="20"/>
                <w:highlight w:val="none"/>
              </w:rPr>
              <w:t>/d</w:t>
            </w:r>
            <w:r>
              <w:rPr>
                <w:rFonts w:hint="eastAsia" w:ascii="Times New Roman" w:hAnsi="Times New Roman" w:eastAsia="宋体" w:cs="Times New Roman"/>
                <w:b/>
                <w:color w:val="auto"/>
                <w:szCs w:val="20"/>
                <w:highlight w:val="none"/>
              </w:rPr>
              <w:t>）</w:t>
            </w:r>
          </w:p>
          <w:p w14:paraId="58D62FAF">
            <w:pPr>
              <w:pStyle w:val="142"/>
              <w:widowControl w:val="0"/>
              <w:numPr>
                <w:ilvl w:val="0"/>
                <w:numId w:val="0"/>
              </w:numPr>
              <w:tabs>
                <w:tab w:val="left" w:pos="0"/>
              </w:tabs>
              <w:spacing w:before="120" w:beforeLines="50" w:line="360" w:lineRule="auto"/>
              <w:jc w:val="center"/>
              <w:rPr>
                <w:color w:val="auto"/>
                <w:highlight w:val="none"/>
              </w:rPr>
            </w:pPr>
            <w:r>
              <w:rPr>
                <w:color w:val="auto"/>
                <w:highlight w:val="none"/>
              </w:rPr>
              <w:object>
                <v:shape id="_x0000_i1027" o:spt="75" type="#_x0000_t75" style="height:260.25pt;width:322.5pt;" o:ole="t" filled="f" o:preferrelative="t" stroked="f" coordsize="21600,21600">
                  <v:path/>
                  <v:fill on="f" focussize="0,0"/>
                  <v:stroke on="f"/>
                  <v:imagedata r:id="rId22" o:title=""/>
                  <o:lock v:ext="edit" aspectratio="f"/>
                  <w10:wrap type="none"/>
                  <w10:anchorlock/>
                </v:shape>
                <o:OLEObject Type="Embed" ProgID="Visio.Drawing.11" ShapeID="_x0000_i1027" DrawAspect="Content" ObjectID="_1468075726" r:id="rId21">
                  <o:LockedField>false</o:LockedField>
                </o:OLEObject>
              </w:object>
            </w:r>
          </w:p>
          <w:p w14:paraId="43F649E7">
            <w:pPr>
              <w:pStyle w:val="142"/>
              <w:numPr>
                <w:ilvl w:val="0"/>
                <w:numId w:val="10"/>
              </w:numPr>
              <w:tabs>
                <w:tab w:val="left" w:pos="0"/>
              </w:tabs>
              <w:spacing w:before="120" w:line="360" w:lineRule="auto"/>
              <w:ind w:left="425" w:leftChars="0" w:hanging="425" w:firstLineChars="0"/>
              <w:jc w:val="center"/>
              <w:rPr>
                <w:color w:val="auto"/>
                <w:highlight w:val="none"/>
              </w:rPr>
            </w:pPr>
            <w:r>
              <w:rPr>
                <w:rFonts w:hint="eastAsia" w:ascii="Times New Roman" w:hAnsi="Times New Roman" w:eastAsia="宋体" w:cs="Times New Roman"/>
                <w:b/>
                <w:color w:val="auto"/>
                <w:szCs w:val="20"/>
                <w:highlight w:val="none"/>
              </w:rPr>
              <w:t>项目</w:t>
            </w:r>
            <w:r>
              <w:rPr>
                <w:rFonts w:hint="eastAsia" w:ascii="Times New Roman" w:hAnsi="Times New Roman" w:eastAsia="宋体" w:cs="Times New Roman"/>
                <w:b/>
                <w:color w:val="auto"/>
                <w:szCs w:val="20"/>
                <w:highlight w:val="none"/>
                <w:lang w:val="en-US" w:eastAsia="zh-CN"/>
              </w:rPr>
              <w:t>淡季日平均</w:t>
            </w:r>
            <w:r>
              <w:rPr>
                <w:rFonts w:hint="eastAsia" w:ascii="Times New Roman" w:hAnsi="Times New Roman" w:eastAsia="宋体" w:cs="Times New Roman"/>
                <w:b/>
                <w:color w:val="auto"/>
                <w:szCs w:val="20"/>
                <w:highlight w:val="none"/>
              </w:rPr>
              <w:t>水平衡图（</w:t>
            </w:r>
            <w:r>
              <w:rPr>
                <w:rFonts w:ascii="Times New Roman" w:hAnsi="Times New Roman" w:eastAsia="宋体" w:cs="Times New Roman"/>
                <w:b/>
                <w:color w:val="auto"/>
                <w:szCs w:val="20"/>
                <w:highlight w:val="none"/>
              </w:rPr>
              <w:t>m</w:t>
            </w:r>
            <w:r>
              <w:rPr>
                <w:rFonts w:ascii="Times New Roman" w:hAnsi="Times New Roman" w:eastAsia="宋体" w:cs="Times New Roman"/>
                <w:b/>
                <w:color w:val="auto"/>
                <w:szCs w:val="20"/>
                <w:highlight w:val="none"/>
                <w:vertAlign w:val="superscript"/>
              </w:rPr>
              <w:t>3</w:t>
            </w:r>
            <w:r>
              <w:rPr>
                <w:rFonts w:ascii="Times New Roman" w:hAnsi="Times New Roman" w:eastAsia="宋体" w:cs="Times New Roman"/>
                <w:b/>
                <w:color w:val="auto"/>
                <w:szCs w:val="20"/>
                <w:highlight w:val="none"/>
              </w:rPr>
              <w:t>/d</w:t>
            </w:r>
            <w:r>
              <w:rPr>
                <w:rFonts w:hint="eastAsia" w:ascii="Times New Roman" w:hAnsi="Times New Roman" w:eastAsia="宋体" w:cs="Times New Roman"/>
                <w:b/>
                <w:color w:val="auto"/>
                <w:szCs w:val="20"/>
                <w:highlight w:val="none"/>
              </w:rPr>
              <w:t>）</w:t>
            </w:r>
          </w:p>
          <w:p w14:paraId="475E8589">
            <w:pPr>
              <w:pStyle w:val="142"/>
              <w:numPr>
                <w:ilvl w:val="0"/>
                <w:numId w:val="0"/>
              </w:numPr>
              <w:tabs>
                <w:tab w:val="left" w:pos="0"/>
              </w:tabs>
              <w:spacing w:before="120" w:line="360" w:lineRule="auto"/>
              <w:ind w:leftChars="0"/>
              <w:jc w:val="center"/>
              <w:rPr>
                <w:color w:val="auto"/>
                <w:highlight w:val="none"/>
              </w:rPr>
            </w:pPr>
            <w:r>
              <w:rPr>
                <w:color w:val="auto"/>
                <w:highlight w:val="none"/>
              </w:rPr>
              <w:object>
                <v:shape id="_x0000_i1028" o:spt="75" type="#_x0000_t75" style="height:260.25pt;width:322.5pt;" o:ole="t" filled="f" o:preferrelative="t" stroked="f" coordsize="21600,21600">
                  <v:path/>
                  <v:fill on="f" focussize="0,0"/>
                  <v:stroke on="f"/>
                  <v:imagedata r:id="rId24" o:title=""/>
                  <o:lock v:ext="edit" aspectratio="f"/>
                  <w10:wrap type="none"/>
                  <w10:anchorlock/>
                </v:shape>
                <o:OLEObject Type="Embed" ProgID="Visio.Drawing.11" ShapeID="_x0000_i1028" DrawAspect="Content" ObjectID="_1468075727" r:id="rId23">
                  <o:LockedField>false</o:LockedField>
                </o:OLEObject>
              </w:object>
            </w:r>
          </w:p>
          <w:p w14:paraId="5C08935D">
            <w:pPr>
              <w:pStyle w:val="142"/>
              <w:numPr>
                <w:ilvl w:val="0"/>
                <w:numId w:val="10"/>
              </w:numPr>
              <w:tabs>
                <w:tab w:val="left" w:pos="0"/>
              </w:tabs>
              <w:spacing w:before="120" w:line="360" w:lineRule="auto"/>
              <w:ind w:left="425" w:leftChars="0" w:hanging="425" w:firstLineChars="0"/>
              <w:jc w:val="center"/>
              <w:rPr>
                <w:rFonts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项目</w:t>
            </w:r>
            <w:r>
              <w:rPr>
                <w:rFonts w:hint="eastAsia" w:ascii="Times New Roman" w:hAnsi="Times New Roman" w:eastAsia="宋体" w:cs="Times New Roman"/>
                <w:b/>
                <w:color w:val="auto"/>
                <w:szCs w:val="20"/>
                <w:highlight w:val="none"/>
                <w:lang w:val="en-US" w:eastAsia="zh-CN"/>
              </w:rPr>
              <w:t>旺季日平均</w:t>
            </w:r>
            <w:r>
              <w:rPr>
                <w:rFonts w:hint="eastAsia" w:ascii="Times New Roman" w:hAnsi="Times New Roman" w:eastAsia="宋体" w:cs="Times New Roman"/>
                <w:b/>
                <w:color w:val="auto"/>
                <w:szCs w:val="20"/>
                <w:highlight w:val="none"/>
              </w:rPr>
              <w:t>水平衡图（</w:t>
            </w:r>
            <w:r>
              <w:rPr>
                <w:rFonts w:ascii="Times New Roman" w:hAnsi="Times New Roman" w:eastAsia="宋体" w:cs="Times New Roman"/>
                <w:b/>
                <w:color w:val="auto"/>
                <w:szCs w:val="20"/>
                <w:highlight w:val="none"/>
              </w:rPr>
              <w:t>m</w:t>
            </w:r>
            <w:r>
              <w:rPr>
                <w:rFonts w:ascii="Times New Roman" w:hAnsi="Times New Roman" w:eastAsia="宋体" w:cs="Times New Roman"/>
                <w:b/>
                <w:color w:val="auto"/>
                <w:szCs w:val="20"/>
                <w:highlight w:val="none"/>
                <w:vertAlign w:val="superscript"/>
              </w:rPr>
              <w:t>3</w:t>
            </w:r>
            <w:r>
              <w:rPr>
                <w:rFonts w:ascii="Times New Roman" w:hAnsi="Times New Roman" w:eastAsia="宋体" w:cs="Times New Roman"/>
                <w:b/>
                <w:color w:val="auto"/>
                <w:szCs w:val="20"/>
                <w:highlight w:val="none"/>
              </w:rPr>
              <w:t>/d</w:t>
            </w:r>
            <w:r>
              <w:rPr>
                <w:rFonts w:hint="eastAsia" w:ascii="Times New Roman" w:hAnsi="Times New Roman" w:eastAsia="宋体" w:cs="Times New Roman"/>
                <w:b/>
                <w:color w:val="auto"/>
                <w:szCs w:val="20"/>
                <w:highlight w:val="none"/>
              </w:rPr>
              <w:t>）</w:t>
            </w:r>
          </w:p>
          <w:p w14:paraId="2BADB7CC">
            <w:pPr>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供电</w:t>
            </w:r>
          </w:p>
          <w:p w14:paraId="78F9C927">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项目供电属</w:t>
            </w:r>
            <w:r>
              <w:rPr>
                <w:rFonts w:hint="eastAsia" w:ascii="Times New Roman" w:hAnsi="Times New Roman" w:eastAsia="宋体" w:cs="Times New Roman"/>
                <w:color w:val="auto"/>
                <w:highlight w:val="none"/>
                <w:lang w:val="en-US" w:eastAsia="zh-CN"/>
              </w:rPr>
              <w:t>乡镇</w:t>
            </w:r>
            <w:r>
              <w:rPr>
                <w:rFonts w:hint="default" w:ascii="Times New Roman" w:hAnsi="Times New Roman" w:eastAsia="宋体" w:cs="Times New Roman"/>
                <w:color w:val="auto"/>
                <w:highlight w:val="none"/>
              </w:rPr>
              <w:t>电网覆盖区，在区域内供电保障可靠性高。依托已建供电系统。现状供电能满足项目用电需求。</w:t>
            </w:r>
          </w:p>
          <w:p w14:paraId="576CAD93">
            <w:pPr>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4</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消防</w:t>
            </w:r>
          </w:p>
          <w:p w14:paraId="79E91680">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项目设置室外消火栓和车间内室内消火栓，同时配备灭火器。</w:t>
            </w:r>
          </w:p>
          <w:p w14:paraId="62BB7DD2">
            <w:pPr>
              <w:spacing w:line="360" w:lineRule="auto"/>
              <w:ind w:firstLine="480" w:firstLineChars="200"/>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（5）供热</w:t>
            </w:r>
          </w:p>
          <w:p w14:paraId="1C944AA7">
            <w:pPr>
              <w:spacing w:line="360" w:lineRule="auto"/>
              <w:ind w:firstLine="480" w:firstLineChars="200"/>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本项目生产过程中需要用到热水，本项目不设置锅炉房，采用电加热注水式推进式烫毛池进行烫毛。项目所用热水主要用于烫毛、宰杀后冲洗和内脏清洗等工序，所用水源为自来水。</w:t>
            </w:r>
          </w:p>
          <w:p w14:paraId="1F69B4BD">
            <w:pPr>
              <w:numPr>
                <w:ilvl w:val="0"/>
                <w:numId w:val="11"/>
              </w:num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制冷</w:t>
            </w:r>
          </w:p>
          <w:p w14:paraId="4C96E169">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制冷系统全封闭自动化，定期补充损耗制冷剂。制冷系统主要由制冷压缩机、节流膨胀阀、蒸发器、冷凝器组成，由无缝钢管将各部分连接形成密闭系统。制冷剂在系统压力差的状态下、通过节流膨胀阀降低制冷剂的压力和温度→进入冻库内蒸发器吸收库内热量→又经制冷压缩机吸入、压缩提高制冷剂的温度和压力→排入冷凝器经外界水冷却介质冷却。制冷剂在制冷系统中周而复始循环，以达到所需要的温度和目的。</w:t>
            </w:r>
          </w:p>
          <w:p w14:paraId="79D42353">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冷库、冷藏及其他冷却场所，采用风冷方式，暂存间设计温度</w:t>
            </w:r>
            <w:r>
              <w:rPr>
                <w:rFonts w:hint="default" w:ascii="Times New Roman" w:hAnsi="Times New Roman" w:eastAsia="宋体" w:cs="Times New Roman"/>
                <w:color w:val="auto"/>
                <w:highlight w:val="none"/>
                <w:lang w:val="en-US" w:eastAsia="zh-CN"/>
              </w:rPr>
              <w:t>0~4</w:t>
            </w:r>
            <w:r>
              <w:rPr>
                <w:rFonts w:hint="eastAsia" w:ascii="Times New Roman" w:hAnsi="Times New Roman" w:eastAsia="宋体" w:cs="Times New Roman"/>
                <w:color w:val="auto"/>
                <w:highlight w:val="none"/>
                <w:lang w:val="en-US" w:eastAsia="zh-CN"/>
              </w:rPr>
              <w:t>℃，冻结间设计温度</w:t>
            </w:r>
            <w:r>
              <w:rPr>
                <w:rFonts w:hint="default" w:ascii="Times New Roman" w:hAnsi="Times New Roman" w:eastAsia="宋体" w:cs="Times New Roman"/>
                <w:color w:val="auto"/>
                <w:highlight w:val="none"/>
                <w:lang w:val="en-US" w:eastAsia="zh-CN"/>
              </w:rPr>
              <w:t>-35</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~-28</w:t>
            </w:r>
            <w:r>
              <w:rPr>
                <w:rFonts w:hint="eastAsia" w:ascii="Times New Roman" w:hAnsi="Times New Roman" w:eastAsia="宋体" w:cs="Times New Roman"/>
                <w:color w:val="auto"/>
                <w:highlight w:val="none"/>
                <w:lang w:val="en-US" w:eastAsia="zh-CN"/>
              </w:rPr>
              <w:t>℃。副产品血液、内脏在厂区暂存间时间不超过</w:t>
            </w:r>
            <w:r>
              <w:rPr>
                <w:rFonts w:hint="default" w:ascii="Times New Roman" w:hAnsi="Times New Roman" w:eastAsia="宋体" w:cs="Times New Roman"/>
                <w:color w:val="auto"/>
                <w:highlight w:val="none"/>
                <w:lang w:val="en-US" w:eastAsia="zh-CN"/>
              </w:rPr>
              <w:t>12h</w:t>
            </w:r>
            <w:r>
              <w:rPr>
                <w:rFonts w:hint="eastAsia" w:ascii="Times New Roman" w:hAnsi="Times New Roman" w:eastAsia="宋体" w:cs="Times New Roman"/>
                <w:color w:val="auto"/>
                <w:highlight w:val="none"/>
                <w:lang w:val="en-US" w:eastAsia="zh-CN"/>
              </w:rPr>
              <w:t>，设计存储温度</w:t>
            </w:r>
            <w:r>
              <w:rPr>
                <w:rFonts w:hint="default" w:ascii="Times New Roman" w:hAnsi="Times New Roman" w:eastAsia="宋体" w:cs="Times New Roman"/>
                <w:color w:val="auto"/>
                <w:highlight w:val="none"/>
                <w:lang w:val="en-US" w:eastAsia="zh-CN"/>
              </w:rPr>
              <w:t>0~4</w:t>
            </w:r>
            <w:r>
              <w:rPr>
                <w:rFonts w:hint="eastAsia" w:ascii="Times New Roman" w:hAnsi="Times New Roman" w:eastAsia="宋体" w:cs="Times New Roman"/>
                <w:color w:val="auto"/>
                <w:highlight w:val="none"/>
                <w:lang w:val="en-US" w:eastAsia="zh-CN"/>
              </w:rPr>
              <w:t>℃。制冷剂采用</w:t>
            </w:r>
            <w:r>
              <w:rPr>
                <w:rFonts w:hint="default" w:ascii="Times New Roman" w:hAnsi="Times New Roman" w:eastAsia="宋体" w:cs="Times New Roman"/>
                <w:color w:val="auto"/>
                <w:highlight w:val="none"/>
                <w:lang w:val="en-US" w:eastAsia="zh-CN"/>
              </w:rPr>
              <w:t>R404A</w:t>
            </w:r>
            <w:r>
              <w:rPr>
                <w:rFonts w:hint="eastAsia" w:ascii="Times New Roman" w:hAnsi="Times New Roman" w:eastAsia="宋体" w:cs="Times New Roman"/>
                <w:color w:val="auto"/>
                <w:highlight w:val="none"/>
                <w:lang w:val="en-US" w:eastAsia="zh-CN"/>
              </w:rPr>
              <w:t>。</w:t>
            </w:r>
          </w:p>
          <w:p w14:paraId="6D2A0C29">
            <w:pPr>
              <w:snapToGrid w:val="0"/>
              <w:spacing w:line="360" w:lineRule="auto"/>
              <w:ind w:firstLine="480" w:firstLineChars="200"/>
              <w:rPr>
                <w:rFonts w:hint="default"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lang w:val="en-US" w:eastAsia="zh-CN"/>
              </w:rPr>
              <w:t>（7）物料平衡</w:t>
            </w:r>
          </w:p>
          <w:p w14:paraId="541341D0">
            <w:pPr>
              <w:spacing w:line="360" w:lineRule="auto"/>
              <w:ind w:firstLine="468" w:firstLineChars="200"/>
              <w:rPr>
                <w:rFonts w:hint="default" w:ascii="Times New Roman" w:hAnsi="Times New Roman" w:eastAsia="宋体" w:cs="Times New Roman"/>
                <w:color w:val="auto"/>
                <w:spacing w:val="-8"/>
                <w:highlight w:val="none"/>
                <w:lang w:val="en-US" w:eastAsia="zh-CN"/>
              </w:rPr>
            </w:pPr>
            <w:r>
              <w:rPr>
                <w:rFonts w:hint="default" w:ascii="Times New Roman" w:hAnsi="Times New Roman" w:eastAsia="宋体" w:cs="Times New Roman"/>
                <w:color w:val="auto"/>
                <w:spacing w:val="-3"/>
                <w:sz w:val="24"/>
                <w:szCs w:val="24"/>
                <w:highlight w:val="none"/>
              </w:rPr>
              <w:t>本项目年屠宰生猪</w:t>
            </w:r>
            <w:r>
              <w:rPr>
                <w:rFonts w:hint="default" w:ascii="Times New Roman" w:hAnsi="Times New Roman" w:eastAsia="宋体" w:cs="Times New Roman"/>
                <w:color w:val="auto"/>
                <w:spacing w:val="-3"/>
                <w:sz w:val="24"/>
                <w:szCs w:val="24"/>
                <w:highlight w:val="none"/>
                <w:lang w:val="en-US" w:eastAsia="zh-CN"/>
              </w:rPr>
              <w:t>7</w:t>
            </w:r>
            <w:r>
              <w:rPr>
                <w:rFonts w:hint="eastAsia" w:cs="Times New Roman"/>
                <w:color w:val="auto"/>
                <w:spacing w:val="-3"/>
                <w:sz w:val="24"/>
                <w:szCs w:val="24"/>
                <w:highlight w:val="none"/>
                <w:lang w:val="en-US" w:eastAsia="zh-CN"/>
              </w:rPr>
              <w:t>3</w:t>
            </w:r>
            <w:r>
              <w:rPr>
                <w:rFonts w:hint="default" w:ascii="Times New Roman" w:hAnsi="Times New Roman" w:eastAsia="宋体" w:cs="Times New Roman"/>
                <w:color w:val="auto"/>
                <w:spacing w:val="-3"/>
                <w:sz w:val="24"/>
                <w:szCs w:val="24"/>
                <w:highlight w:val="none"/>
                <w:lang w:val="en-US" w:eastAsia="zh-CN"/>
              </w:rPr>
              <w:t>00</w:t>
            </w:r>
            <w:r>
              <w:rPr>
                <w:rFonts w:hint="default" w:ascii="Times New Roman" w:hAnsi="Times New Roman" w:eastAsia="宋体" w:cs="Times New Roman"/>
                <w:color w:val="auto"/>
                <w:spacing w:val="-3"/>
                <w:sz w:val="24"/>
                <w:szCs w:val="24"/>
                <w:highlight w:val="none"/>
              </w:rPr>
              <w:t>头，主产品为白条肉，副产品包括猪头、猪蹄、猪尾、猪血、猪毛猪鬃、可食用内脏、板油等。本项目屠宰后的猪肉主要作为冷鲜肉售卖。根据《排污许可证申请与核发技术规范农副食品加工工业—屠宰及肉类加工工业》（HJ860.3-2018），项目每头猪重量约为</w:t>
            </w:r>
            <w:r>
              <w:rPr>
                <w:rFonts w:hint="eastAsia" w:ascii="Times New Roman" w:hAnsi="Times New Roman" w:eastAsia="宋体" w:cs="Times New Roman"/>
                <w:color w:val="auto"/>
                <w:spacing w:val="-3"/>
                <w:sz w:val="24"/>
                <w:szCs w:val="24"/>
                <w:highlight w:val="none"/>
                <w:lang w:val="en-US" w:eastAsia="zh-CN"/>
              </w:rPr>
              <w:t>1</w:t>
            </w:r>
            <w:r>
              <w:rPr>
                <w:rFonts w:hint="default" w:ascii="Times New Roman" w:hAnsi="Times New Roman" w:eastAsia="宋体" w:cs="Times New Roman"/>
                <w:color w:val="auto"/>
                <w:spacing w:val="-3"/>
                <w:sz w:val="24"/>
                <w:szCs w:val="24"/>
                <w:highlight w:val="none"/>
              </w:rPr>
              <w:t>10kg</w:t>
            </w:r>
            <w:r>
              <w:rPr>
                <w:rFonts w:hint="eastAsia" w:ascii="Times New Roman" w:hAnsi="Times New Roman" w:eastAsia="宋体" w:cs="Times New Roman"/>
                <w:color w:val="auto"/>
                <w:spacing w:val="-3"/>
                <w:sz w:val="24"/>
                <w:szCs w:val="24"/>
                <w:highlight w:val="none"/>
                <w:lang w:eastAsia="zh-CN"/>
              </w:rPr>
              <w:t>。</w:t>
            </w:r>
            <w:r>
              <w:rPr>
                <w:rFonts w:hint="eastAsia" w:ascii="Times New Roman" w:hAnsi="Times New Roman" w:eastAsia="宋体" w:cs="Times New Roman"/>
                <w:color w:val="auto"/>
                <w:spacing w:val="-3"/>
                <w:sz w:val="24"/>
                <w:szCs w:val="24"/>
                <w:highlight w:val="none"/>
                <w:lang w:val="en-US" w:eastAsia="zh-CN"/>
              </w:rPr>
              <w:t>本项目物料平衡见下表。</w:t>
            </w:r>
          </w:p>
          <w:p w14:paraId="0A00D809">
            <w:pPr>
              <w:pStyle w:val="15"/>
              <w:numPr>
                <w:ilvl w:val="0"/>
                <w:numId w:val="7"/>
              </w:numPr>
              <w:ind w:left="425" w:leftChars="0" w:hanging="425" w:firstLineChars="0"/>
              <w:rPr>
                <w:rFonts w:hint="default" w:ascii="Times New Roman" w:hAnsi="Times New Roman" w:eastAsia="宋体" w:cs="Times New Roman"/>
                <w:color w:val="auto"/>
                <w:szCs w:val="20"/>
                <w:highlight w:val="none"/>
                <w:lang w:val="en-US" w:eastAsia="zh-CN" w:bidi="ar"/>
              </w:rPr>
            </w:pPr>
            <w:r>
              <w:rPr>
                <w:rFonts w:hint="default" w:ascii="Times New Roman" w:hAnsi="Times New Roman" w:eastAsia="宋体" w:cs="Times New Roman"/>
                <w:bCs/>
                <w:color w:val="auto"/>
                <w:sz w:val="21"/>
                <w:szCs w:val="21"/>
                <w:highlight w:val="none"/>
              </w:rPr>
              <w:t>项目</w:t>
            </w:r>
            <w:r>
              <w:rPr>
                <w:rFonts w:hint="eastAsia" w:ascii="Times New Roman" w:hAnsi="Times New Roman" w:eastAsia="宋体" w:cs="Times New Roman"/>
                <w:bCs/>
                <w:color w:val="auto"/>
                <w:sz w:val="21"/>
                <w:szCs w:val="21"/>
                <w:highlight w:val="none"/>
                <w:lang w:val="en-US" w:eastAsia="zh-CN"/>
              </w:rPr>
              <w:t>物料平衡</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94"/>
              <w:gridCol w:w="2096"/>
              <w:gridCol w:w="2095"/>
              <w:gridCol w:w="2098"/>
            </w:tblGrid>
            <w:tr w14:paraId="5B8FCE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99" w:type="pct"/>
                  <w:gridSpan w:val="2"/>
                  <w:tcBorders>
                    <w:bottom w:val="single" w:color="auto" w:sz="8" w:space="0"/>
                    <w:right w:val="single" w:color="auto" w:sz="8" w:space="0"/>
                  </w:tcBorders>
                  <w:vAlign w:val="center"/>
                </w:tcPr>
                <w:p w14:paraId="5842A8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投入物料</w:t>
                  </w:r>
                </w:p>
              </w:tc>
              <w:tc>
                <w:tcPr>
                  <w:tcW w:w="2500" w:type="pct"/>
                  <w:gridSpan w:val="2"/>
                  <w:tcBorders>
                    <w:left w:val="single" w:color="auto" w:sz="8" w:space="0"/>
                    <w:bottom w:val="single" w:color="auto" w:sz="8" w:space="0"/>
                  </w:tcBorders>
                  <w:vAlign w:val="center"/>
                </w:tcPr>
                <w:p w14:paraId="0CBB7F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产出物料</w:t>
                  </w:r>
                </w:p>
              </w:tc>
            </w:tr>
            <w:tr w14:paraId="7F3C2A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10B73D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名称</w:t>
                  </w:r>
                </w:p>
              </w:tc>
              <w:tc>
                <w:tcPr>
                  <w:tcW w:w="1250" w:type="pct"/>
                  <w:tcBorders>
                    <w:top w:val="single" w:color="auto" w:sz="8" w:space="0"/>
                    <w:left w:val="single" w:color="auto" w:sz="8" w:space="0"/>
                    <w:bottom w:val="single" w:color="auto" w:sz="8" w:space="0"/>
                    <w:right w:val="single" w:color="auto" w:sz="8" w:space="0"/>
                  </w:tcBorders>
                  <w:vAlign w:val="center"/>
                </w:tcPr>
                <w:p w14:paraId="50E4262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数量（t）</w:t>
                  </w:r>
                </w:p>
              </w:tc>
              <w:tc>
                <w:tcPr>
                  <w:tcW w:w="1249" w:type="pct"/>
                  <w:tcBorders>
                    <w:top w:val="single" w:color="auto" w:sz="8" w:space="0"/>
                    <w:left w:val="single" w:color="auto" w:sz="8" w:space="0"/>
                    <w:bottom w:val="single" w:color="auto" w:sz="8" w:space="0"/>
                    <w:right w:val="single" w:color="auto" w:sz="8" w:space="0"/>
                  </w:tcBorders>
                  <w:vAlign w:val="center"/>
                </w:tcPr>
                <w:p w14:paraId="73282A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名称</w:t>
                  </w:r>
                </w:p>
              </w:tc>
              <w:tc>
                <w:tcPr>
                  <w:tcW w:w="1251" w:type="pct"/>
                  <w:tcBorders>
                    <w:top w:val="single" w:color="auto" w:sz="8" w:space="0"/>
                    <w:left w:val="single" w:color="auto" w:sz="8" w:space="0"/>
                    <w:bottom w:val="single" w:color="auto" w:sz="8" w:space="0"/>
                  </w:tcBorders>
                  <w:vAlign w:val="center"/>
                </w:tcPr>
                <w:p w14:paraId="0B2C6D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数量（t）</w:t>
                  </w:r>
                </w:p>
              </w:tc>
            </w:tr>
            <w:tr w14:paraId="178E2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556AD3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生猪</w:t>
                  </w:r>
                </w:p>
              </w:tc>
              <w:tc>
                <w:tcPr>
                  <w:tcW w:w="1250" w:type="pct"/>
                  <w:tcBorders>
                    <w:top w:val="single" w:color="auto" w:sz="8" w:space="0"/>
                    <w:left w:val="single" w:color="auto" w:sz="8" w:space="0"/>
                    <w:bottom w:val="single" w:color="auto" w:sz="8" w:space="0"/>
                    <w:right w:val="single" w:color="auto" w:sz="8" w:space="0"/>
                  </w:tcBorders>
                  <w:vAlign w:val="center"/>
                </w:tcPr>
                <w:p w14:paraId="1DE4B1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c>
                <w:tcPr>
                  <w:tcW w:w="1249" w:type="pct"/>
                  <w:tcBorders>
                    <w:top w:val="single" w:color="auto" w:sz="8" w:space="0"/>
                    <w:left w:val="single" w:color="auto" w:sz="8" w:space="0"/>
                    <w:bottom w:val="single" w:color="auto" w:sz="8" w:space="0"/>
                    <w:right w:val="single" w:color="auto" w:sz="8" w:space="0"/>
                  </w:tcBorders>
                  <w:vAlign w:val="center"/>
                </w:tcPr>
                <w:p w14:paraId="0770575C">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白条肉</w:t>
                  </w:r>
                </w:p>
              </w:tc>
              <w:tc>
                <w:tcPr>
                  <w:tcW w:w="2099" w:type="dxa"/>
                  <w:tcBorders>
                    <w:top w:val="single" w:color="auto" w:sz="8" w:space="0"/>
                    <w:left w:val="single" w:color="auto" w:sz="8" w:space="0"/>
                    <w:bottom w:val="single" w:color="auto" w:sz="8" w:space="0"/>
                  </w:tcBorders>
                  <w:vAlign w:val="center"/>
                </w:tcPr>
                <w:p w14:paraId="79FCB61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533.995</w:t>
                  </w:r>
                </w:p>
              </w:tc>
            </w:tr>
            <w:tr w14:paraId="707D68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7FE89B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59CFAC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2F5C13AD">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猪头</w:t>
                  </w:r>
                </w:p>
              </w:tc>
              <w:tc>
                <w:tcPr>
                  <w:tcW w:w="2099" w:type="dxa"/>
                  <w:tcBorders>
                    <w:top w:val="single" w:color="auto" w:sz="8" w:space="0"/>
                    <w:left w:val="single" w:color="auto" w:sz="8" w:space="0"/>
                    <w:bottom w:val="single" w:color="auto" w:sz="8" w:space="0"/>
                  </w:tcBorders>
                  <w:vAlign w:val="center"/>
                </w:tcPr>
                <w:p w14:paraId="2F56AF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54.604</w:t>
                  </w:r>
                </w:p>
              </w:tc>
            </w:tr>
            <w:tr w14:paraId="383DFE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35D121D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72FA6F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345757BC">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猪蹄</w:t>
                  </w:r>
                </w:p>
              </w:tc>
              <w:tc>
                <w:tcPr>
                  <w:tcW w:w="2099" w:type="dxa"/>
                  <w:tcBorders>
                    <w:top w:val="single" w:color="auto" w:sz="8" w:space="0"/>
                    <w:left w:val="single" w:color="auto" w:sz="8" w:space="0"/>
                    <w:bottom w:val="single" w:color="auto" w:sz="8" w:space="0"/>
                  </w:tcBorders>
                  <w:vAlign w:val="center"/>
                </w:tcPr>
                <w:p w14:paraId="221EDE6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2918A9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0A25D5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1DAD45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693EA6D5">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猪尾</w:t>
                  </w:r>
                </w:p>
              </w:tc>
              <w:tc>
                <w:tcPr>
                  <w:tcW w:w="2099" w:type="dxa"/>
                  <w:tcBorders>
                    <w:top w:val="single" w:color="auto" w:sz="8" w:space="0"/>
                    <w:left w:val="single" w:color="auto" w:sz="8" w:space="0"/>
                    <w:bottom w:val="single" w:color="auto" w:sz="8" w:space="0"/>
                  </w:tcBorders>
                  <w:vAlign w:val="center"/>
                </w:tcPr>
                <w:p w14:paraId="169A72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37FEC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5B8638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3F5CD7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7C859148">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猪血</w:t>
                  </w:r>
                </w:p>
              </w:tc>
              <w:tc>
                <w:tcPr>
                  <w:tcW w:w="2099" w:type="dxa"/>
                  <w:tcBorders>
                    <w:top w:val="single" w:color="auto" w:sz="8" w:space="0"/>
                    <w:left w:val="single" w:color="auto" w:sz="8" w:space="0"/>
                    <w:bottom w:val="single" w:color="auto" w:sz="8" w:space="0"/>
                  </w:tcBorders>
                  <w:vAlign w:val="center"/>
                </w:tcPr>
                <w:p w14:paraId="10595B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32.12</w:t>
                  </w:r>
                </w:p>
              </w:tc>
            </w:tr>
            <w:tr w14:paraId="35D979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57309F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18B537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7F4F1F21">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rPr>
                    <w:t>猪毛猪鬃</w:t>
                  </w:r>
                </w:p>
              </w:tc>
              <w:tc>
                <w:tcPr>
                  <w:tcW w:w="2099" w:type="dxa"/>
                  <w:tcBorders>
                    <w:top w:val="single" w:color="auto" w:sz="8" w:space="0"/>
                    <w:left w:val="single" w:color="auto" w:sz="8" w:space="0"/>
                    <w:bottom w:val="single" w:color="auto" w:sz="8" w:space="0"/>
                  </w:tcBorders>
                  <w:vAlign w:val="center"/>
                </w:tcPr>
                <w:p w14:paraId="729931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r>
            <w:tr w14:paraId="17BBC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075638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39ED9C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559C889C">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rPr>
                    <w:t>可食用内脏</w:t>
                  </w:r>
                </w:p>
              </w:tc>
              <w:tc>
                <w:tcPr>
                  <w:tcW w:w="2099" w:type="dxa"/>
                  <w:tcBorders>
                    <w:top w:val="single" w:color="auto" w:sz="8" w:space="0"/>
                    <w:left w:val="single" w:color="auto" w:sz="8" w:space="0"/>
                    <w:bottom w:val="single" w:color="auto" w:sz="8" w:space="0"/>
                  </w:tcBorders>
                  <w:vAlign w:val="center"/>
                </w:tcPr>
                <w:p w14:paraId="105274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73.073</w:t>
                  </w:r>
                </w:p>
              </w:tc>
            </w:tr>
            <w:tr w14:paraId="087AD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3B85DDB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119F0F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6DFE7162">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lang w:val="en-US" w:eastAsia="zh-CN"/>
                    </w:rPr>
                    <w:t>板油</w:t>
                  </w:r>
                </w:p>
              </w:tc>
              <w:tc>
                <w:tcPr>
                  <w:tcW w:w="2099" w:type="dxa"/>
                  <w:tcBorders>
                    <w:top w:val="single" w:color="auto" w:sz="8" w:space="0"/>
                    <w:left w:val="single" w:color="auto" w:sz="8" w:space="0"/>
                    <w:bottom w:val="single" w:color="auto" w:sz="8" w:space="0"/>
                  </w:tcBorders>
                  <w:vAlign w:val="center"/>
                </w:tcPr>
                <w:p w14:paraId="77D545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32.12</w:t>
                  </w:r>
                </w:p>
              </w:tc>
            </w:tr>
            <w:tr w14:paraId="126D6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44E852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2AE1DF4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30A55965">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粪便及肠胃内容物</w:t>
                  </w:r>
                </w:p>
              </w:tc>
              <w:tc>
                <w:tcPr>
                  <w:tcW w:w="2099" w:type="dxa"/>
                  <w:tcBorders>
                    <w:top w:val="single" w:color="auto" w:sz="8" w:space="0"/>
                    <w:left w:val="single" w:color="auto" w:sz="8" w:space="0"/>
                    <w:bottom w:val="single" w:color="auto" w:sz="8" w:space="0"/>
                  </w:tcBorders>
                  <w:vAlign w:val="center"/>
                </w:tcPr>
                <w:p w14:paraId="5B3DA3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40.15</w:t>
                  </w:r>
                </w:p>
              </w:tc>
            </w:tr>
            <w:tr w14:paraId="1B39A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3CA795A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26FF47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6FCBE2A6">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不可食用内脏和碎肉渣</w:t>
                  </w:r>
                </w:p>
              </w:tc>
              <w:tc>
                <w:tcPr>
                  <w:tcW w:w="2099" w:type="dxa"/>
                  <w:tcBorders>
                    <w:top w:val="single" w:color="auto" w:sz="8" w:space="0"/>
                    <w:left w:val="single" w:color="auto" w:sz="8" w:space="0"/>
                    <w:bottom w:val="single" w:color="auto" w:sz="8" w:space="0"/>
                  </w:tcBorders>
                  <w:vAlign w:val="center"/>
                </w:tcPr>
                <w:p w14:paraId="523E4A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r>
            <w:tr w14:paraId="3EF45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56F7A7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12EF90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0C8A5719">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不合格</w:t>
                  </w:r>
                  <w:r>
                    <w:rPr>
                      <w:rFonts w:hint="eastAsia" w:ascii="Times New Roman" w:hAnsi="Times New Roman" w:eastAsia="宋体" w:cs="Times New Roman"/>
                      <w:color w:val="auto"/>
                      <w:sz w:val="21"/>
                      <w:szCs w:val="21"/>
                      <w:highlight w:val="none"/>
                      <w:lang w:val="en-US" w:eastAsia="zh-CN"/>
                    </w:rPr>
                    <w:t>酮体及内脏</w:t>
                  </w:r>
                </w:p>
              </w:tc>
              <w:tc>
                <w:tcPr>
                  <w:tcW w:w="2099" w:type="dxa"/>
                  <w:tcBorders>
                    <w:top w:val="single" w:color="auto" w:sz="8" w:space="0"/>
                    <w:left w:val="single" w:color="auto" w:sz="8" w:space="0"/>
                    <w:bottom w:val="single" w:color="auto" w:sz="8" w:space="0"/>
                  </w:tcBorders>
                  <w:vAlign w:val="center"/>
                </w:tcPr>
                <w:p w14:paraId="35723D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794A22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bottom w:val="single" w:color="auto" w:sz="8" w:space="0"/>
                    <w:right w:val="single" w:color="auto" w:sz="8" w:space="0"/>
                  </w:tcBorders>
                  <w:vAlign w:val="center"/>
                </w:tcPr>
                <w:p w14:paraId="28112DD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485102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49" w:type="pct"/>
                  <w:tcBorders>
                    <w:top w:val="single" w:color="auto" w:sz="8" w:space="0"/>
                    <w:left w:val="single" w:color="auto" w:sz="8" w:space="0"/>
                    <w:bottom w:val="single" w:color="auto" w:sz="8" w:space="0"/>
                    <w:right w:val="single" w:color="auto" w:sz="8" w:space="0"/>
                  </w:tcBorders>
                  <w:vAlign w:val="center"/>
                </w:tcPr>
                <w:p w14:paraId="5FF0AC11">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病死猪</w:t>
                  </w:r>
                </w:p>
              </w:tc>
              <w:tc>
                <w:tcPr>
                  <w:tcW w:w="2099" w:type="dxa"/>
                  <w:tcBorders>
                    <w:top w:val="single" w:color="auto" w:sz="8" w:space="0"/>
                    <w:left w:val="single" w:color="auto" w:sz="8" w:space="0"/>
                    <w:bottom w:val="single" w:color="auto" w:sz="8" w:space="0"/>
                  </w:tcBorders>
                  <w:vAlign w:val="center"/>
                </w:tcPr>
                <w:p w14:paraId="212795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1.606</w:t>
                  </w:r>
                </w:p>
              </w:tc>
            </w:tr>
            <w:tr w14:paraId="1A6B3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9" w:type="pct"/>
                  <w:tcBorders>
                    <w:top w:val="single" w:color="auto" w:sz="8" w:space="0"/>
                    <w:right w:val="single" w:color="auto" w:sz="8" w:space="0"/>
                  </w:tcBorders>
                  <w:vAlign w:val="center"/>
                </w:tcPr>
                <w:p w14:paraId="0DA2FE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合计</w:t>
                  </w:r>
                </w:p>
              </w:tc>
              <w:tc>
                <w:tcPr>
                  <w:tcW w:w="1250" w:type="pct"/>
                  <w:tcBorders>
                    <w:top w:val="single" w:color="auto" w:sz="8" w:space="0"/>
                    <w:left w:val="single" w:color="auto" w:sz="8" w:space="0"/>
                    <w:right w:val="single" w:color="auto" w:sz="8" w:space="0"/>
                  </w:tcBorders>
                  <w:shd w:val="clear" w:color="auto" w:fill="auto"/>
                  <w:vAlign w:val="center"/>
                </w:tcPr>
                <w:p w14:paraId="627C9D7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c>
                <w:tcPr>
                  <w:tcW w:w="1249" w:type="pct"/>
                  <w:tcBorders>
                    <w:top w:val="single" w:color="auto" w:sz="8" w:space="0"/>
                    <w:left w:val="single" w:color="auto" w:sz="8" w:space="0"/>
                    <w:right w:val="single" w:color="auto" w:sz="8" w:space="0"/>
                  </w:tcBorders>
                  <w:vAlign w:val="center"/>
                </w:tcPr>
                <w:p w14:paraId="6F2D75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合计</w:t>
                  </w:r>
                </w:p>
              </w:tc>
              <w:tc>
                <w:tcPr>
                  <w:tcW w:w="1251" w:type="pct"/>
                  <w:tcBorders>
                    <w:top w:val="single" w:color="auto" w:sz="8" w:space="0"/>
                    <w:left w:val="single" w:color="auto" w:sz="8" w:space="0"/>
                  </w:tcBorders>
                  <w:shd w:val="clear" w:color="auto" w:fill="auto"/>
                  <w:vAlign w:val="center"/>
                </w:tcPr>
                <w:p w14:paraId="2E4238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803</w:t>
                  </w:r>
                </w:p>
              </w:tc>
            </w:tr>
          </w:tbl>
          <w:p w14:paraId="6CE977AC">
            <w:pPr>
              <w:spacing w:line="360" w:lineRule="auto"/>
              <w:ind w:firstLine="482" w:firstLineChars="200"/>
              <w:rPr>
                <w:rFonts w:hint="default" w:ascii="Times New Roman" w:hAnsi="Times New Roman" w:eastAsia="宋体" w:cs="Times New Roman"/>
                <w:b/>
                <w:bCs/>
                <w:color w:val="auto"/>
                <w:highlight w:val="none"/>
              </w:rPr>
            </w:pPr>
            <w:r>
              <w:rPr>
                <w:rFonts w:hint="eastAsia" w:cs="Times New Roman"/>
                <w:b/>
                <w:bCs/>
                <w:color w:val="auto"/>
                <w:highlight w:val="none"/>
                <w:lang w:val="en-US" w:eastAsia="zh-CN"/>
              </w:rPr>
              <w:t>7</w:t>
            </w:r>
            <w:r>
              <w:rPr>
                <w:rFonts w:hint="default" w:ascii="Times New Roman" w:hAnsi="Times New Roman" w:eastAsia="宋体" w:cs="Times New Roman"/>
                <w:b/>
                <w:bCs/>
                <w:color w:val="auto"/>
                <w:highlight w:val="none"/>
              </w:rPr>
              <w:t>、平面布置合理性分析</w:t>
            </w:r>
          </w:p>
          <w:p w14:paraId="78709F9D">
            <w:pPr>
              <w:spacing w:line="360" w:lineRule="auto"/>
              <w:ind w:firstLine="468" w:firstLineChars="200"/>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总平面布置的原则是充分考虑肉食品加工企业的特点要求，根据国家《食品安全国家标准 畜禽屠宰加工卫生规范》（GB12694-2016）、《食品安全国家标准 食品生产通用卫生标准》（GB14881-2013）等有关规定布置。</w:t>
            </w:r>
          </w:p>
          <w:p w14:paraId="0BBC4733">
            <w:pPr>
              <w:spacing w:line="360" w:lineRule="auto"/>
              <w:ind w:firstLine="468" w:firstLineChars="200"/>
              <w:rPr>
                <w:rFonts w:hint="eastAsia" w:ascii="Times New Roman" w:hAnsi="Times New Roman" w:eastAsia="宋体" w:cs="Times New Roman"/>
                <w:color w:val="auto"/>
                <w:spacing w:val="-3"/>
                <w:sz w:val="24"/>
                <w:szCs w:val="24"/>
                <w:highlight w:val="none"/>
                <w:lang w:val="en-US" w:eastAsia="zh-CN"/>
              </w:rPr>
            </w:pPr>
            <w:r>
              <w:rPr>
                <w:rFonts w:hint="eastAsia" w:ascii="Times New Roman" w:hAnsi="Times New Roman" w:eastAsia="宋体" w:cs="Times New Roman"/>
                <w:color w:val="auto"/>
                <w:spacing w:val="-3"/>
                <w:sz w:val="24"/>
                <w:szCs w:val="24"/>
                <w:highlight w:val="none"/>
                <w:lang w:val="en-US" w:eastAsia="zh-CN"/>
              </w:rPr>
              <w:t>屠宰场区平面布置根据生产工艺要求，充分利用场区地形形状，结合场区外交通及所在区域主导风向等因素。</w:t>
            </w:r>
          </w:p>
          <w:p w14:paraId="49AFE17D">
            <w:pPr>
              <w:spacing w:line="360" w:lineRule="auto"/>
              <w:ind w:firstLine="468" w:firstLineChars="200"/>
              <w:rPr>
                <w:rFonts w:hint="eastAsia" w:ascii="Times New Roman" w:hAnsi="Times New Roman" w:eastAsia="宋体" w:cs="Times New Roman"/>
                <w:color w:val="auto"/>
                <w:spacing w:val="-3"/>
                <w:sz w:val="24"/>
                <w:szCs w:val="24"/>
                <w:highlight w:val="none"/>
                <w:lang w:val="en-US" w:eastAsia="zh-CN"/>
              </w:rPr>
            </w:pPr>
            <w:r>
              <w:rPr>
                <w:rFonts w:hint="eastAsia" w:ascii="Times New Roman" w:hAnsi="Times New Roman" w:eastAsia="宋体" w:cs="Times New Roman"/>
                <w:color w:val="auto"/>
                <w:spacing w:val="-3"/>
                <w:sz w:val="24"/>
                <w:szCs w:val="24"/>
                <w:highlight w:val="none"/>
                <w:lang w:val="en-US" w:eastAsia="zh-CN"/>
              </w:rPr>
              <w:t>项目分为生产区、污水处理区，不设办公区和食堂，办公区租用临近的居民用房作为本项目管理用房，设</w:t>
            </w:r>
            <w:r>
              <w:rPr>
                <w:rFonts w:hint="default" w:ascii="Times New Roman" w:hAnsi="Times New Roman" w:eastAsia="宋体" w:cs="Times New Roman"/>
                <w:color w:val="auto"/>
                <w:spacing w:val="-3"/>
                <w:sz w:val="24"/>
                <w:szCs w:val="24"/>
                <w:highlight w:val="none"/>
                <w:lang w:val="en-US" w:eastAsia="zh-CN"/>
              </w:rPr>
              <w:t>2</w:t>
            </w:r>
            <w:r>
              <w:rPr>
                <w:rFonts w:hint="eastAsia" w:ascii="Times New Roman" w:hAnsi="Times New Roman" w:eastAsia="宋体" w:cs="Times New Roman"/>
                <w:color w:val="auto"/>
                <w:spacing w:val="-3"/>
                <w:sz w:val="24"/>
                <w:szCs w:val="24"/>
                <w:highlight w:val="none"/>
                <w:lang w:val="en-US" w:eastAsia="zh-CN"/>
              </w:rPr>
              <w:t>个出入口，东南角设出入口用作生猪车辆出入、废弃物等货物车辆出入，同时在旁单设人行出入口；西北角设出入口用作产品运输车辆出入口，人流、物流互不干扰，可保障原料与成品分开，杜绝生产、运输过程交叉污染，符合工艺、卫生及检疫检验要求；厂区运输生猪车辆出入口设置消毒池（与门同宽，长5</w:t>
            </w:r>
            <w:r>
              <w:rPr>
                <w:rFonts w:hint="default" w:ascii="Times New Roman" w:hAnsi="Times New Roman" w:eastAsia="宋体" w:cs="Times New Roman"/>
                <w:color w:val="auto"/>
                <w:spacing w:val="-3"/>
                <w:sz w:val="24"/>
                <w:szCs w:val="24"/>
                <w:highlight w:val="none"/>
                <w:lang w:val="en-US" w:eastAsia="zh-CN"/>
              </w:rPr>
              <w:t>m</w:t>
            </w:r>
            <w:r>
              <w:rPr>
                <w:rFonts w:hint="eastAsia" w:ascii="Times New Roman" w:hAnsi="Times New Roman" w:eastAsia="宋体" w:cs="Times New Roman"/>
                <w:color w:val="auto"/>
                <w:spacing w:val="-3"/>
                <w:sz w:val="24"/>
                <w:szCs w:val="24"/>
                <w:highlight w:val="none"/>
                <w:lang w:val="en-US" w:eastAsia="zh-CN"/>
              </w:rPr>
              <w:t>，宽</w:t>
            </w:r>
            <w:r>
              <w:rPr>
                <w:rFonts w:hint="default" w:ascii="Times New Roman" w:hAnsi="Times New Roman" w:eastAsia="宋体" w:cs="Times New Roman"/>
                <w:color w:val="auto"/>
                <w:spacing w:val="-3"/>
                <w:sz w:val="24"/>
                <w:szCs w:val="24"/>
                <w:highlight w:val="none"/>
                <w:lang w:val="en-US" w:eastAsia="zh-CN"/>
              </w:rPr>
              <w:t>3m</w:t>
            </w:r>
            <w:r>
              <w:rPr>
                <w:rFonts w:hint="eastAsia" w:ascii="Times New Roman" w:hAnsi="Times New Roman" w:eastAsia="宋体" w:cs="Times New Roman"/>
                <w:color w:val="auto"/>
                <w:spacing w:val="-3"/>
                <w:sz w:val="24"/>
                <w:szCs w:val="24"/>
                <w:highlight w:val="none"/>
                <w:lang w:val="en-US" w:eastAsia="zh-CN"/>
              </w:rPr>
              <w:t>，深0.3</w:t>
            </w:r>
            <w:r>
              <w:rPr>
                <w:rFonts w:hint="default" w:ascii="Times New Roman" w:hAnsi="Times New Roman" w:eastAsia="宋体" w:cs="Times New Roman"/>
                <w:color w:val="auto"/>
                <w:spacing w:val="-3"/>
                <w:sz w:val="24"/>
                <w:szCs w:val="24"/>
                <w:highlight w:val="none"/>
                <w:lang w:val="en-US" w:eastAsia="zh-CN"/>
              </w:rPr>
              <w:t>m</w:t>
            </w:r>
            <w:r>
              <w:rPr>
                <w:rFonts w:hint="eastAsia" w:ascii="Times New Roman" w:hAnsi="Times New Roman" w:eastAsia="宋体" w:cs="Times New Roman"/>
                <w:color w:val="auto"/>
                <w:spacing w:val="-3"/>
                <w:sz w:val="24"/>
                <w:szCs w:val="24"/>
                <w:highlight w:val="none"/>
                <w:lang w:val="en-US" w:eastAsia="zh-CN"/>
              </w:rPr>
              <w:t>）；生产区（屠宰车间）位于厂区中部，设封闭生产厂房，污水处理区位于厂区东南侧。</w:t>
            </w:r>
          </w:p>
          <w:p w14:paraId="04CCCA6A">
            <w:pPr>
              <w:spacing w:line="360" w:lineRule="auto"/>
              <w:ind w:firstLine="468" w:firstLineChars="200"/>
              <w:rPr>
                <w:rFonts w:hint="eastAsia" w:ascii="Times New Roman" w:hAnsi="Times New Roman" w:eastAsia="宋体" w:cs="Times New Roman"/>
                <w:color w:val="auto"/>
                <w:spacing w:val="-3"/>
                <w:sz w:val="24"/>
                <w:szCs w:val="24"/>
                <w:highlight w:val="none"/>
                <w:lang w:val="en-US" w:eastAsia="zh-CN"/>
              </w:rPr>
            </w:pPr>
            <w:r>
              <w:rPr>
                <w:rFonts w:hint="eastAsia" w:ascii="Times New Roman" w:hAnsi="Times New Roman" w:eastAsia="宋体" w:cs="Times New Roman"/>
                <w:color w:val="auto"/>
                <w:spacing w:val="-3"/>
                <w:sz w:val="24"/>
                <w:szCs w:val="24"/>
                <w:highlight w:val="none"/>
                <w:lang w:val="en-US" w:eastAsia="zh-CN"/>
              </w:rPr>
              <w:t>总体上看，整个工程区各车间布设合理，道路环绕各个车间，方便产品的运输。</w:t>
            </w:r>
          </w:p>
          <w:p w14:paraId="0E2D1152">
            <w:pPr>
              <w:spacing w:line="360" w:lineRule="auto"/>
              <w:ind w:firstLine="468" w:firstLineChars="200"/>
              <w:rPr>
                <w:rFonts w:hint="eastAsia" w:ascii="Times New Roman" w:hAnsi="Times New Roman" w:eastAsia="宋体" w:cs="Times New Roman"/>
                <w:color w:val="auto"/>
                <w:spacing w:val="-3"/>
                <w:sz w:val="24"/>
                <w:szCs w:val="24"/>
                <w:highlight w:val="none"/>
                <w:lang w:val="en-US" w:eastAsia="zh-CN"/>
              </w:rPr>
            </w:pPr>
            <w:r>
              <w:rPr>
                <w:rFonts w:hint="eastAsia" w:ascii="Times New Roman" w:hAnsi="Times New Roman" w:eastAsia="宋体" w:cs="Times New Roman"/>
                <w:color w:val="auto"/>
                <w:spacing w:val="-3"/>
                <w:sz w:val="24"/>
                <w:szCs w:val="24"/>
                <w:highlight w:val="none"/>
                <w:lang w:val="en-US" w:eastAsia="zh-CN"/>
              </w:rPr>
              <w:t>项目生产工艺流程布置合理、顺畅、物料运输短捷，节省能源。本项目总平面布置合理。</w:t>
            </w:r>
          </w:p>
          <w:p w14:paraId="5605E562">
            <w:pPr>
              <w:spacing w:line="360" w:lineRule="auto"/>
              <w:ind w:firstLine="496" w:firstLineChars="200"/>
              <w:rPr>
                <w:rFonts w:hint="default" w:ascii="Times New Roman" w:hAnsi="Times New Roman" w:eastAsia="宋体" w:cs="Times New Roman"/>
                <w:color w:val="auto"/>
                <w:spacing w:val="4"/>
                <w:highlight w:val="none"/>
              </w:rPr>
            </w:pPr>
          </w:p>
          <w:p w14:paraId="20E8AD48">
            <w:pPr>
              <w:spacing w:line="360" w:lineRule="auto"/>
              <w:ind w:firstLine="496" w:firstLineChars="200"/>
              <w:rPr>
                <w:rFonts w:hint="default" w:ascii="Times New Roman" w:hAnsi="Times New Roman" w:eastAsia="宋体" w:cs="Times New Roman"/>
                <w:color w:val="auto"/>
                <w:spacing w:val="4"/>
                <w:highlight w:val="none"/>
              </w:rPr>
            </w:pPr>
          </w:p>
          <w:p w14:paraId="46C7ED9B">
            <w:pPr>
              <w:spacing w:line="360" w:lineRule="auto"/>
              <w:ind w:firstLine="496" w:firstLineChars="200"/>
              <w:rPr>
                <w:rFonts w:hint="default" w:ascii="Times New Roman" w:hAnsi="Times New Roman" w:eastAsia="宋体" w:cs="Times New Roman"/>
                <w:color w:val="auto"/>
                <w:spacing w:val="4"/>
                <w:highlight w:val="none"/>
              </w:rPr>
            </w:pPr>
          </w:p>
          <w:p w14:paraId="7FA90C0D">
            <w:pPr>
              <w:spacing w:line="360" w:lineRule="auto"/>
              <w:ind w:firstLine="496" w:firstLineChars="200"/>
              <w:rPr>
                <w:rFonts w:hint="default" w:ascii="Times New Roman" w:hAnsi="Times New Roman" w:eastAsia="宋体" w:cs="Times New Roman"/>
                <w:color w:val="auto"/>
                <w:spacing w:val="4"/>
                <w:highlight w:val="none"/>
              </w:rPr>
            </w:pPr>
          </w:p>
          <w:p w14:paraId="5B9C241D">
            <w:pPr>
              <w:spacing w:line="360" w:lineRule="auto"/>
              <w:ind w:firstLine="496" w:firstLineChars="200"/>
              <w:rPr>
                <w:rFonts w:hint="default" w:ascii="Times New Roman" w:hAnsi="Times New Roman" w:eastAsia="宋体" w:cs="Times New Roman"/>
                <w:color w:val="auto"/>
                <w:spacing w:val="4"/>
                <w:highlight w:val="none"/>
              </w:rPr>
            </w:pPr>
          </w:p>
          <w:p w14:paraId="18A4BD0D">
            <w:pPr>
              <w:spacing w:line="360" w:lineRule="auto"/>
              <w:ind w:firstLine="496" w:firstLineChars="200"/>
              <w:rPr>
                <w:rFonts w:hint="default" w:ascii="Times New Roman" w:hAnsi="Times New Roman" w:eastAsia="宋体" w:cs="Times New Roman"/>
                <w:color w:val="auto"/>
                <w:spacing w:val="4"/>
                <w:highlight w:val="none"/>
              </w:rPr>
            </w:pPr>
          </w:p>
          <w:p w14:paraId="1C5E6B26">
            <w:pPr>
              <w:spacing w:line="360" w:lineRule="auto"/>
              <w:ind w:firstLine="496" w:firstLineChars="200"/>
              <w:rPr>
                <w:rFonts w:hint="default" w:ascii="Times New Roman" w:hAnsi="Times New Roman" w:eastAsia="宋体" w:cs="Times New Roman"/>
                <w:color w:val="auto"/>
                <w:spacing w:val="4"/>
                <w:highlight w:val="none"/>
              </w:rPr>
            </w:pPr>
          </w:p>
          <w:p w14:paraId="77BA0C1B">
            <w:pPr>
              <w:spacing w:line="360" w:lineRule="auto"/>
              <w:ind w:firstLine="496" w:firstLineChars="200"/>
              <w:rPr>
                <w:rFonts w:hint="default" w:ascii="Times New Roman" w:hAnsi="Times New Roman" w:eastAsia="宋体" w:cs="Times New Roman"/>
                <w:color w:val="auto"/>
                <w:spacing w:val="4"/>
                <w:highlight w:val="none"/>
              </w:rPr>
            </w:pPr>
          </w:p>
          <w:p w14:paraId="79117B56">
            <w:pPr>
              <w:spacing w:line="360" w:lineRule="auto"/>
              <w:ind w:firstLine="496" w:firstLineChars="200"/>
              <w:rPr>
                <w:rFonts w:hint="default" w:ascii="Times New Roman" w:hAnsi="Times New Roman" w:eastAsia="宋体" w:cs="Times New Roman"/>
                <w:color w:val="auto"/>
                <w:spacing w:val="4"/>
                <w:highlight w:val="none"/>
              </w:rPr>
            </w:pPr>
          </w:p>
          <w:p w14:paraId="151F639C">
            <w:pPr>
              <w:spacing w:line="360" w:lineRule="auto"/>
              <w:ind w:firstLine="496" w:firstLineChars="200"/>
              <w:rPr>
                <w:rFonts w:hint="default" w:ascii="Times New Roman" w:hAnsi="Times New Roman" w:eastAsia="宋体" w:cs="Times New Roman"/>
                <w:color w:val="auto"/>
                <w:spacing w:val="4"/>
                <w:highlight w:val="none"/>
              </w:rPr>
            </w:pPr>
          </w:p>
          <w:p w14:paraId="55DDE0DD">
            <w:pPr>
              <w:spacing w:line="360" w:lineRule="auto"/>
              <w:rPr>
                <w:rFonts w:hint="default" w:ascii="Times New Roman" w:hAnsi="Times New Roman" w:eastAsia="宋体" w:cs="Times New Roman"/>
                <w:color w:val="auto"/>
                <w:spacing w:val="4"/>
                <w:highlight w:val="none"/>
              </w:rPr>
            </w:pPr>
          </w:p>
        </w:tc>
      </w:tr>
    </w:tbl>
    <w:p w14:paraId="5B28075A">
      <w:pPr>
        <w:pStyle w:val="27"/>
        <w:adjustRightInd w:val="0"/>
        <w:snapToGrid w:val="0"/>
        <w:spacing w:before="0" w:beforeAutospacing="0" w:after="0" w:afterAutospacing="0"/>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br w:type="page"/>
      </w:r>
    </w:p>
    <w:tbl>
      <w:tblPr>
        <w:tblStyle w:val="3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0A2C7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93" w:hRule="atLeast"/>
        </w:trPr>
        <w:tc>
          <w:tcPr>
            <w:tcW w:w="456" w:type="dxa"/>
            <w:vAlign w:val="center"/>
          </w:tcPr>
          <w:p w14:paraId="307B65AF">
            <w:pPr>
              <w:pStyle w:val="27"/>
              <w:adjustRightInd w:val="0"/>
              <w:snapToGrid w:val="0"/>
              <w:spacing w:before="0" w:beforeAutospacing="0" w:after="0" w:afterAutospacing="0"/>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工艺流程和产排污环节</w:t>
            </w:r>
          </w:p>
        </w:tc>
        <w:tc>
          <w:tcPr>
            <w:tcW w:w="8605" w:type="dxa"/>
          </w:tcPr>
          <w:p w14:paraId="76EF29D9">
            <w:pPr>
              <w:pStyle w:val="78"/>
              <w:numPr>
                <w:ilvl w:val="0"/>
                <w:numId w:val="12"/>
              </w:numPr>
              <w:snapToGrid w:val="0"/>
              <w:ind w:firstLine="482"/>
              <w:jc w:val="left"/>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施工期工艺流程及产排污分析图</w:t>
            </w:r>
          </w:p>
          <w:p w14:paraId="6B4C016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color w:val="auto"/>
                <w:sz w:val="24"/>
                <w:highlight w:val="none"/>
              </w:rPr>
            </w:pPr>
            <w:r>
              <w:rPr>
                <w:rFonts w:hint="eastAsia"/>
                <w:color w:val="auto"/>
                <w:sz w:val="24"/>
                <w:highlight w:val="none"/>
              </w:rPr>
              <w:t>本工程</w:t>
            </w:r>
            <w:r>
              <w:rPr>
                <w:rFonts w:hint="eastAsia"/>
                <w:color w:val="auto"/>
                <w:sz w:val="24"/>
                <w:highlight w:val="none"/>
                <w:lang w:val="en-US" w:eastAsia="zh-CN"/>
              </w:rPr>
              <w:t>新建</w:t>
            </w:r>
            <w:r>
              <w:rPr>
                <w:rFonts w:hint="eastAsia"/>
                <w:color w:val="auto"/>
                <w:sz w:val="24"/>
                <w:highlight w:val="none"/>
              </w:rPr>
              <w:t>项目，其建设施工期间的基础工程、主体工程、装饰工程、设备安装等建设过程将产生噪声、扬尘、固体废弃物、施工废水和废气等污染物，其排放量随施工期的内容不同而有所变化，施工结束后影响消除。</w:t>
            </w:r>
          </w:p>
          <w:p w14:paraId="08C770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eastAsia="宋体"/>
                <w:color w:val="auto"/>
                <w:sz w:val="24"/>
                <w:highlight w:val="none"/>
                <w:lang w:eastAsia="zh-CN"/>
              </w:rPr>
            </w:pPr>
            <w:r>
              <w:rPr>
                <w:rFonts w:hint="eastAsia"/>
                <w:color w:val="auto"/>
                <w:sz w:val="24"/>
                <w:highlight w:val="none"/>
              </w:rPr>
              <w:t>施工期工艺流程及产污环节如框图</w:t>
            </w:r>
            <w:r>
              <w:rPr>
                <w:rFonts w:hint="eastAsia"/>
                <w:color w:val="auto"/>
                <w:sz w:val="24"/>
                <w:highlight w:val="none"/>
                <w:lang w:val="en-US" w:eastAsia="zh-CN"/>
              </w:rPr>
              <w:t>2-4</w:t>
            </w:r>
            <w:r>
              <w:rPr>
                <w:rFonts w:hint="eastAsia"/>
                <w:color w:val="auto"/>
                <w:sz w:val="24"/>
                <w:highlight w:val="none"/>
              </w:rPr>
              <w:t>所示</w:t>
            </w:r>
            <w:r>
              <w:rPr>
                <w:rFonts w:hint="eastAsia"/>
                <w:color w:val="auto"/>
                <w:sz w:val="24"/>
                <w:highlight w:val="none"/>
                <w:lang w:eastAsia="zh-CN"/>
              </w:rPr>
              <w:t>。</w:t>
            </w:r>
          </w:p>
          <w:p w14:paraId="0BD9CDAA">
            <w:pPr>
              <w:pStyle w:val="28"/>
              <w:rPr>
                <w:color w:val="auto"/>
                <w:highlight w:val="none"/>
              </w:rPr>
            </w:pPr>
            <w:r>
              <w:rPr>
                <w:color w:val="auto"/>
                <w:highlight w:val="none"/>
              </w:rPr>
              <w:object>
                <v:shape id="_x0000_i1029" o:spt="75" type="#_x0000_t75" style="height:225.5pt;width:403pt;" o:ole="t" filled="f" o:preferrelative="t" stroked="f" coordsize="21600,21600">
                  <v:path/>
                  <v:fill on="f" focussize="0,0"/>
                  <v:stroke on="f"/>
                  <v:imagedata r:id="rId26" o:title=""/>
                  <o:lock v:ext="edit" aspectratio="f"/>
                  <w10:wrap type="none"/>
                  <w10:anchorlock/>
                </v:shape>
                <o:OLEObject Type="Embed" ProgID="Visio.Drawing.11" ShapeID="_x0000_i1029" DrawAspect="Content" ObjectID="_1468075728" r:id="rId25">
                  <o:LockedField>false</o:LockedField>
                </o:OLEObject>
              </w:object>
            </w:r>
          </w:p>
          <w:p w14:paraId="673D2F2D">
            <w:pPr>
              <w:pStyle w:val="142"/>
              <w:numPr>
                <w:ilvl w:val="0"/>
                <w:numId w:val="10"/>
              </w:numPr>
              <w:tabs>
                <w:tab w:val="left" w:pos="0"/>
              </w:tabs>
              <w:spacing w:before="120" w:line="360" w:lineRule="auto"/>
              <w:ind w:left="425" w:leftChars="0" w:hanging="425" w:firstLineChars="0"/>
              <w:jc w:val="center"/>
              <w:rPr>
                <w:rFonts w:hint="eastAsia" w:ascii="Times New Roman" w:hAnsi="Times New Roman" w:eastAsia="宋体" w:cs="Times New Roman"/>
                <w:b/>
                <w:color w:val="auto"/>
                <w:szCs w:val="20"/>
                <w:highlight w:val="none"/>
              </w:rPr>
            </w:pPr>
            <w:r>
              <w:rPr>
                <w:rFonts w:hint="eastAsia" w:ascii="Times New Roman" w:hAnsi="Times New Roman" w:eastAsia="宋体" w:cs="Times New Roman"/>
                <w:b/>
                <w:color w:val="auto"/>
                <w:szCs w:val="20"/>
                <w:highlight w:val="none"/>
              </w:rPr>
              <w:t xml:space="preserve"> 施工期工艺流程及产污图</w:t>
            </w:r>
          </w:p>
          <w:p w14:paraId="3A931702">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eastAsia="宋体"/>
                <w:b/>
                <w:bCs/>
                <w:color w:val="auto"/>
                <w:sz w:val="24"/>
                <w:highlight w:val="none"/>
                <w:lang w:eastAsia="zh-CN"/>
              </w:rPr>
            </w:pPr>
            <w:r>
              <w:rPr>
                <w:rFonts w:hint="eastAsia"/>
                <w:b/>
                <w:bCs/>
                <w:color w:val="auto"/>
                <w:sz w:val="24"/>
                <w:highlight w:val="none"/>
                <w:lang w:eastAsia="zh-CN"/>
              </w:rPr>
              <w:t>主要工序简述：</w:t>
            </w:r>
          </w:p>
          <w:p w14:paraId="2A73570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1</w:t>
            </w:r>
            <w:r>
              <w:rPr>
                <w:rFonts w:hint="eastAsia"/>
                <w:b/>
                <w:bCs/>
                <w:color w:val="auto"/>
                <w:sz w:val="24"/>
                <w:highlight w:val="none"/>
                <w:lang w:eastAsia="zh-CN"/>
              </w:rPr>
              <w:t>）</w:t>
            </w:r>
            <w:r>
              <w:rPr>
                <w:rFonts w:hint="eastAsia"/>
                <w:b/>
                <w:bCs/>
                <w:color w:val="auto"/>
                <w:sz w:val="24"/>
                <w:highlight w:val="none"/>
              </w:rPr>
              <w:t>场地平整</w:t>
            </w:r>
          </w:p>
          <w:p w14:paraId="0F5C0D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b w:val="0"/>
                <w:bCs w:val="0"/>
                <w:color w:val="auto"/>
                <w:sz w:val="24"/>
                <w:highlight w:val="none"/>
              </w:rPr>
            </w:pPr>
            <w:r>
              <w:rPr>
                <w:rFonts w:hint="eastAsia"/>
                <w:b w:val="0"/>
                <w:bCs w:val="0"/>
                <w:color w:val="auto"/>
                <w:sz w:val="24"/>
                <w:highlight w:val="none"/>
              </w:rPr>
              <w:t>项目对场地进行平整，清除场地内所有地上、地下障碍物、排除地面积水等，通过场地的平整，使场地的自然标高达到设计要求的高度，同时建立必要的、能够满足施工要求的供水、排水、供电、道路以及临时建筑等基础设施。此过程中将会产生扬尘、固废、噪声、废水。</w:t>
            </w:r>
          </w:p>
          <w:p w14:paraId="43AD0257">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2</w:t>
            </w:r>
            <w:r>
              <w:rPr>
                <w:rFonts w:hint="eastAsia"/>
                <w:b/>
                <w:bCs/>
                <w:color w:val="auto"/>
                <w:sz w:val="24"/>
                <w:highlight w:val="none"/>
                <w:lang w:eastAsia="zh-CN"/>
              </w:rPr>
              <w:t>）</w:t>
            </w:r>
            <w:r>
              <w:rPr>
                <w:rFonts w:hint="eastAsia"/>
                <w:b/>
                <w:bCs/>
                <w:color w:val="auto"/>
                <w:sz w:val="24"/>
                <w:highlight w:val="none"/>
              </w:rPr>
              <w:t>基础工程</w:t>
            </w:r>
          </w:p>
          <w:p w14:paraId="555EAF2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eastAsia="宋体"/>
                <w:b w:val="0"/>
                <w:bCs w:val="0"/>
                <w:color w:val="auto"/>
                <w:sz w:val="24"/>
                <w:highlight w:val="none"/>
                <w:lang w:eastAsia="zh-CN"/>
              </w:rPr>
            </w:pPr>
            <w:r>
              <w:rPr>
                <w:rFonts w:hint="eastAsia"/>
                <w:b w:val="0"/>
                <w:bCs w:val="0"/>
                <w:color w:val="auto"/>
                <w:sz w:val="24"/>
                <w:highlight w:val="none"/>
              </w:rPr>
              <w:t>在基础开挖、地基处理与基础施工时，由于挖土机、运土车辆、打桩机、夯实机等施工机械的运行将产生一定的噪声</w:t>
            </w:r>
            <w:r>
              <w:rPr>
                <w:rFonts w:hint="eastAsia"/>
                <w:b w:val="0"/>
                <w:bCs w:val="0"/>
                <w:color w:val="auto"/>
                <w:sz w:val="24"/>
                <w:highlight w:val="none"/>
                <w:lang w:eastAsia="zh-CN"/>
              </w:rPr>
              <w:t>；</w:t>
            </w:r>
            <w:r>
              <w:rPr>
                <w:rFonts w:hint="eastAsia"/>
                <w:b w:val="0"/>
                <w:bCs w:val="0"/>
                <w:color w:val="auto"/>
                <w:sz w:val="24"/>
                <w:highlight w:val="none"/>
              </w:rPr>
              <w:t>同时，挖填土石方作业及运输车辆行驶将产生扬尘，不同条件下扬尘对环境的影响不同</w:t>
            </w:r>
            <w:r>
              <w:rPr>
                <w:rFonts w:hint="eastAsia"/>
                <w:b w:val="0"/>
                <w:bCs w:val="0"/>
                <w:color w:val="auto"/>
                <w:sz w:val="24"/>
                <w:highlight w:val="none"/>
                <w:lang w:eastAsia="zh-CN"/>
              </w:rPr>
              <w:t>；</w:t>
            </w:r>
            <w:r>
              <w:rPr>
                <w:rFonts w:hint="eastAsia"/>
                <w:b w:val="0"/>
                <w:bCs w:val="0"/>
                <w:color w:val="auto"/>
                <w:sz w:val="24"/>
                <w:highlight w:val="none"/>
              </w:rPr>
              <w:t>基础开挖引起原有土地利用类型的改变，会造成生态变化并引起一定程度的水土流失</w:t>
            </w:r>
            <w:r>
              <w:rPr>
                <w:rFonts w:hint="eastAsia"/>
                <w:b w:val="0"/>
                <w:bCs w:val="0"/>
                <w:color w:val="auto"/>
                <w:sz w:val="24"/>
                <w:highlight w:val="none"/>
                <w:lang w:eastAsia="zh-CN"/>
              </w:rPr>
              <w:t>；</w:t>
            </w:r>
            <w:r>
              <w:rPr>
                <w:rFonts w:hint="eastAsia"/>
                <w:b w:val="0"/>
                <w:bCs w:val="0"/>
                <w:color w:val="auto"/>
                <w:sz w:val="24"/>
                <w:highlight w:val="none"/>
              </w:rPr>
              <w:t>另外，施工人员会产生生活污水、生活垃圾</w:t>
            </w:r>
            <w:r>
              <w:rPr>
                <w:rFonts w:hint="eastAsia"/>
                <w:b w:val="0"/>
                <w:bCs w:val="0"/>
                <w:color w:val="auto"/>
                <w:sz w:val="24"/>
                <w:highlight w:val="none"/>
                <w:lang w:eastAsia="zh-CN"/>
              </w:rPr>
              <w:t>。</w:t>
            </w:r>
          </w:p>
          <w:p w14:paraId="6624D61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3</w:t>
            </w:r>
            <w:r>
              <w:rPr>
                <w:rFonts w:hint="eastAsia"/>
                <w:b/>
                <w:bCs/>
                <w:color w:val="auto"/>
                <w:sz w:val="24"/>
                <w:highlight w:val="none"/>
                <w:lang w:eastAsia="zh-CN"/>
              </w:rPr>
              <w:t>）</w:t>
            </w:r>
            <w:r>
              <w:rPr>
                <w:rFonts w:hint="eastAsia"/>
                <w:b/>
                <w:bCs/>
                <w:color w:val="auto"/>
                <w:sz w:val="24"/>
                <w:highlight w:val="none"/>
              </w:rPr>
              <w:t>主体工程</w:t>
            </w:r>
          </w:p>
          <w:p w14:paraId="3D6984C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b w:val="0"/>
                <w:bCs w:val="0"/>
                <w:color w:val="auto"/>
                <w:sz w:val="24"/>
                <w:highlight w:val="none"/>
              </w:rPr>
            </w:pPr>
            <w:r>
              <w:rPr>
                <w:rFonts w:hint="eastAsia"/>
                <w:b w:val="0"/>
                <w:bCs w:val="0"/>
                <w:color w:val="auto"/>
                <w:sz w:val="24"/>
                <w:highlight w:val="none"/>
              </w:rPr>
              <w:t>主要包括模板工程、钢筋工程、混凝土工程和砌筑工程。模板工程主要内容为梁、柱模板的安装、焊接，拆除、清理。钢筋工程主要内容为钢筋材料运输，下料切割、弯曲、焊接。混凝土工程主要内容为商品混凝土运输、浇筑。砌筑工程主要为工程墙体的砌筑。</w:t>
            </w:r>
          </w:p>
          <w:p w14:paraId="61E65797">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eastAsia="宋体"/>
                <w:b/>
                <w:bCs/>
                <w:color w:val="auto"/>
                <w:sz w:val="24"/>
                <w:highlight w:val="none"/>
                <w:lang w:eastAsia="zh-CN"/>
              </w:rPr>
            </w:pPr>
            <w:r>
              <w:rPr>
                <w:rFonts w:hint="eastAsia"/>
                <w:b/>
                <w:bCs/>
                <w:color w:val="auto"/>
                <w:sz w:val="24"/>
                <w:highlight w:val="none"/>
                <w:lang w:eastAsia="zh-CN"/>
              </w:rPr>
              <w:t>（</w:t>
            </w:r>
            <w:r>
              <w:rPr>
                <w:rFonts w:hint="eastAsia"/>
                <w:b/>
                <w:bCs/>
                <w:color w:val="auto"/>
                <w:sz w:val="24"/>
                <w:highlight w:val="none"/>
                <w:lang w:val="en-US" w:eastAsia="zh-CN"/>
              </w:rPr>
              <w:t>4</w:t>
            </w:r>
            <w:r>
              <w:rPr>
                <w:rFonts w:hint="eastAsia"/>
                <w:b/>
                <w:bCs/>
                <w:color w:val="auto"/>
                <w:sz w:val="24"/>
                <w:highlight w:val="none"/>
                <w:lang w:eastAsia="zh-CN"/>
              </w:rPr>
              <w:t>）装饰工程</w:t>
            </w:r>
          </w:p>
          <w:p w14:paraId="08E520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b w:val="0"/>
                <w:bCs w:val="0"/>
                <w:color w:val="auto"/>
                <w:sz w:val="24"/>
                <w:highlight w:val="none"/>
              </w:rPr>
            </w:pPr>
            <w:r>
              <w:rPr>
                <w:rFonts w:hint="eastAsia"/>
                <w:b w:val="0"/>
                <w:bCs w:val="0"/>
                <w:color w:val="auto"/>
                <w:sz w:val="24"/>
                <w:highlight w:val="none"/>
              </w:rPr>
              <w:t>在对构筑物的室内外进行装修时（如表面粉刷、喷涂、裱糊、镶贴装饰等），同时进行水、电、空调、通风、通信等布线等。施工使用的钻机、电锤等产生噪声，喷涂产生废气、废弃物料及施工生活污水。</w:t>
            </w:r>
          </w:p>
          <w:p w14:paraId="0FC88D75">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eastAsia="宋体"/>
                <w:b/>
                <w:bCs/>
                <w:color w:val="auto"/>
                <w:sz w:val="24"/>
                <w:highlight w:val="none"/>
                <w:lang w:eastAsia="zh-CN"/>
              </w:rPr>
            </w:pPr>
            <w:r>
              <w:rPr>
                <w:rFonts w:hint="eastAsia"/>
                <w:b/>
                <w:bCs/>
                <w:color w:val="auto"/>
                <w:sz w:val="24"/>
                <w:highlight w:val="none"/>
                <w:lang w:eastAsia="zh-CN"/>
              </w:rPr>
              <w:t>（</w:t>
            </w:r>
            <w:r>
              <w:rPr>
                <w:rFonts w:hint="eastAsia"/>
                <w:b/>
                <w:bCs/>
                <w:color w:val="auto"/>
                <w:sz w:val="24"/>
                <w:highlight w:val="none"/>
                <w:lang w:val="en-US" w:eastAsia="zh-CN"/>
              </w:rPr>
              <w:t>5</w:t>
            </w:r>
            <w:r>
              <w:rPr>
                <w:rFonts w:hint="eastAsia"/>
                <w:b/>
                <w:bCs/>
                <w:color w:val="auto"/>
                <w:sz w:val="24"/>
                <w:highlight w:val="none"/>
                <w:lang w:eastAsia="zh-CN"/>
              </w:rPr>
              <w:t>）安装工程</w:t>
            </w:r>
          </w:p>
          <w:p w14:paraId="0E415FD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b w:val="0"/>
                <w:bCs w:val="0"/>
                <w:color w:val="auto"/>
                <w:sz w:val="24"/>
                <w:highlight w:val="none"/>
              </w:rPr>
            </w:pPr>
            <w:r>
              <w:rPr>
                <w:rFonts w:hint="eastAsia"/>
                <w:b w:val="0"/>
                <w:bCs w:val="0"/>
                <w:color w:val="auto"/>
                <w:sz w:val="24"/>
                <w:highlight w:val="none"/>
              </w:rPr>
              <w:t>安装水电、空调管线、通风设施、灯具洁具、主要设备及设施等，</w:t>
            </w:r>
            <w:r>
              <w:rPr>
                <w:rFonts w:hint="eastAsia"/>
                <w:b w:val="0"/>
                <w:bCs w:val="0"/>
                <w:color w:val="auto"/>
                <w:sz w:val="24"/>
                <w:highlight w:val="none"/>
                <w:lang w:eastAsia="zh-CN"/>
              </w:rPr>
              <w:t>校区</w:t>
            </w:r>
            <w:r>
              <w:rPr>
                <w:rFonts w:hint="eastAsia"/>
                <w:b w:val="0"/>
                <w:bCs w:val="0"/>
                <w:color w:val="auto"/>
                <w:sz w:val="24"/>
                <w:highlight w:val="none"/>
              </w:rPr>
              <w:t>绿化工程。施工使用的钻机、电锤等产生噪声，废弃物料及生活污水。</w:t>
            </w:r>
          </w:p>
          <w:p w14:paraId="2C722765">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eastAsia" w:eastAsia="宋体"/>
                <w:b/>
                <w:bCs/>
                <w:color w:val="auto"/>
                <w:sz w:val="24"/>
                <w:highlight w:val="none"/>
                <w:lang w:eastAsia="zh-CN"/>
              </w:rPr>
            </w:pPr>
            <w:r>
              <w:rPr>
                <w:rFonts w:hint="eastAsia"/>
                <w:b/>
                <w:bCs/>
                <w:color w:val="auto"/>
                <w:sz w:val="24"/>
                <w:highlight w:val="none"/>
                <w:lang w:eastAsia="zh-CN"/>
              </w:rPr>
              <w:t>（</w:t>
            </w:r>
            <w:r>
              <w:rPr>
                <w:rFonts w:hint="eastAsia"/>
                <w:b/>
                <w:bCs/>
                <w:color w:val="auto"/>
                <w:sz w:val="24"/>
                <w:highlight w:val="none"/>
                <w:lang w:val="en-US" w:eastAsia="zh-CN"/>
              </w:rPr>
              <w:t>6</w:t>
            </w:r>
            <w:r>
              <w:rPr>
                <w:rFonts w:hint="eastAsia"/>
                <w:b/>
                <w:bCs/>
                <w:color w:val="auto"/>
                <w:sz w:val="24"/>
                <w:highlight w:val="none"/>
                <w:lang w:eastAsia="zh-CN"/>
              </w:rPr>
              <w:t>）工程验收</w:t>
            </w:r>
          </w:p>
          <w:p w14:paraId="67720B8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eastAsia"/>
                <w:b w:val="0"/>
                <w:bCs w:val="0"/>
                <w:color w:val="auto"/>
                <w:sz w:val="24"/>
                <w:highlight w:val="none"/>
              </w:rPr>
            </w:pPr>
            <w:r>
              <w:rPr>
                <w:rFonts w:hint="eastAsia"/>
                <w:b w:val="0"/>
                <w:bCs w:val="0"/>
                <w:color w:val="auto"/>
                <w:sz w:val="24"/>
                <w:highlight w:val="none"/>
              </w:rPr>
              <w:t>当施工完成验收合格后，方可投入使用。</w:t>
            </w:r>
          </w:p>
          <w:p w14:paraId="34D51D61">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color w:val="auto"/>
                <w:kern w:val="0"/>
                <w:highlight w:val="none"/>
              </w:rPr>
            </w:pPr>
            <w:r>
              <w:rPr>
                <w:rFonts w:hint="eastAsia"/>
                <w:b/>
                <w:bCs/>
                <w:color w:val="auto"/>
                <w:sz w:val="24"/>
                <w:highlight w:val="none"/>
              </w:rPr>
              <w:t>从总体讲，该项工程在施工期以施工噪声、施工扬尘、废弃物料（废渣）和废水为主要污染物，但这些污染会随着施工的结束而结束。</w:t>
            </w:r>
          </w:p>
          <w:p w14:paraId="769C778D">
            <w:pPr>
              <w:pStyle w:val="78"/>
              <w:numPr>
                <w:ilvl w:val="0"/>
                <w:numId w:val="12"/>
              </w:numPr>
              <w:snapToGrid w:val="0"/>
              <w:ind w:firstLine="482"/>
              <w:jc w:val="left"/>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eastAsia="zh-CN"/>
              </w:rPr>
              <w:t>营运期</w:t>
            </w:r>
            <w:r>
              <w:rPr>
                <w:rFonts w:hint="default" w:ascii="Times New Roman" w:hAnsi="Times New Roman" w:eastAsia="宋体" w:cs="Times New Roman"/>
                <w:b/>
                <w:bCs/>
                <w:color w:val="auto"/>
                <w:highlight w:val="none"/>
              </w:rPr>
              <w:t>工艺流程及产排污分析图</w:t>
            </w:r>
          </w:p>
          <w:p w14:paraId="04A97CB1">
            <w:pPr>
              <w:pStyle w:val="27"/>
              <w:adjustRightInd w:val="0"/>
              <w:snapToGrid w:val="0"/>
              <w:spacing w:beforeAutospacing="0" w:afterAutospacing="0" w:line="360" w:lineRule="auto"/>
              <w:ind w:firstLine="48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
                <w:bCs/>
                <w:color w:val="auto"/>
                <w:highlight w:val="none"/>
                <w:lang w:val="en-US" w:eastAsia="zh-CN"/>
              </w:rPr>
              <w:t>（一）</w:t>
            </w:r>
            <w:r>
              <w:rPr>
                <w:rFonts w:hint="default" w:ascii="Times New Roman" w:hAnsi="Times New Roman" w:eastAsia="宋体" w:cs="Times New Roman"/>
                <w:b/>
                <w:bCs/>
                <w:color w:val="auto"/>
                <w:highlight w:val="none"/>
                <w:lang w:val="en-US" w:eastAsia="zh-CN"/>
              </w:rPr>
              <w:t>本项目采用机械化屠宰工艺，主要屠宰工艺及产污情况见下图。</w:t>
            </w:r>
          </w:p>
          <w:p w14:paraId="2A4B69FB">
            <w:pPr>
              <w:rPr>
                <w:rFonts w:hint="default"/>
                <w:color w:val="auto"/>
                <w:highlight w:val="none"/>
                <w:lang w:val="en-US" w:eastAsia="zh-CN"/>
              </w:rPr>
            </w:pPr>
          </w:p>
          <w:p w14:paraId="7F42F18C">
            <w:pPr>
              <w:widowControl/>
              <w:snapToGrid w:val="0"/>
              <w:spacing w:line="360" w:lineRule="auto"/>
              <w:ind w:firstLine="482" w:firstLineChars="200"/>
              <w:jc w:val="left"/>
              <w:rPr>
                <w:rFonts w:hint="default" w:ascii="Times New Roman" w:hAnsi="Times New Roman" w:eastAsia="宋体" w:cs="Times New Roman"/>
                <w:b/>
                <w:bCs/>
                <w:i/>
                <w:iCs/>
                <w:color w:val="auto"/>
                <w:highlight w:val="none"/>
                <w:lang w:val="en-US" w:eastAsia="zh-CN"/>
              </w:rPr>
            </w:pPr>
          </w:p>
        </w:tc>
      </w:tr>
    </w:tbl>
    <w:p w14:paraId="3A5FFB58">
      <w:pPr>
        <w:rPr>
          <w:rFonts w:hint="default" w:ascii="Times New Roman" w:hAnsi="Times New Roman" w:eastAsia="宋体" w:cs="Times New Roman"/>
          <w:snapToGrid w:val="0"/>
          <w:color w:val="auto"/>
          <w:sz w:val="30"/>
          <w:szCs w:val="30"/>
          <w:highlight w:val="none"/>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bookmarkStart w:id="5" w:name="_Toc11706"/>
      <w:r>
        <w:rPr>
          <w:rFonts w:hint="default" w:ascii="Times New Roman" w:hAnsi="Times New Roman" w:eastAsia="宋体" w:cs="Times New Roman"/>
          <w:snapToGrid w:val="0"/>
          <w:color w:val="auto"/>
          <w:sz w:val="30"/>
          <w:szCs w:val="30"/>
          <w:highlight w:val="none"/>
        </w:rPr>
        <w:br w:type="page"/>
      </w:r>
    </w:p>
    <w:tbl>
      <w:tblPr>
        <w:tblStyle w:val="3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13247"/>
      </w:tblGrid>
      <w:tr w14:paraId="51F752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9" w:type="dxa"/>
            <w:vAlign w:val="center"/>
          </w:tcPr>
          <w:p w14:paraId="1B60BF8A">
            <w:pPr>
              <w:pStyle w:val="27"/>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工艺流程和产排污环节</w:t>
            </w:r>
          </w:p>
        </w:tc>
        <w:tc>
          <w:tcPr>
            <w:tcW w:w="13247" w:type="dxa"/>
          </w:tcPr>
          <w:p w14:paraId="74555F43">
            <w:pPr>
              <w:adjustRightInd w:val="0"/>
              <w:spacing w:line="360" w:lineRule="auto"/>
              <w:ind w:firstLine="480" w:firstLineChars="200"/>
              <w:jc w:val="center"/>
              <w:rPr>
                <w:rFonts w:hint="default" w:ascii="Times New Roman" w:hAnsi="Times New Roman" w:eastAsia="宋体" w:cs="Times New Roman"/>
                <w:b/>
                <w:bCs/>
                <w:color w:val="auto"/>
                <w:highlight w:val="none"/>
              </w:rPr>
            </w:pPr>
            <w:r>
              <w:rPr>
                <w:rFonts w:hint="default"/>
                <w:color w:val="auto"/>
                <w:highlight w:val="none"/>
                <w:lang w:val="en-US" w:eastAsia="zh-CN"/>
              </w:rPr>
              <w:object>
                <v:shape id="_x0000_i1030" o:spt="75" type="#_x0000_t75" style="height:396.05pt;width:601.05pt;" o:ole="t" filled="f" o:preferrelative="t" stroked="f" coordsize="21600,21600">
                  <v:path/>
                  <v:fill on="f" focussize="0,0"/>
                  <v:stroke on="f"/>
                  <v:imagedata r:id="rId28" o:title=""/>
                  <o:lock v:ext="edit" aspectratio="f"/>
                  <w10:wrap type="none"/>
                  <w10:anchorlock/>
                </v:shape>
                <o:OLEObject Type="Embed" ProgID="Visio.Drawing.11" ShapeID="_x0000_i1030" DrawAspect="Content" ObjectID="_1468075729" r:id="rId27">
                  <o:LockedField>false</o:LockedField>
                </o:OLEObject>
              </w:object>
            </w:r>
          </w:p>
          <w:p w14:paraId="0593A6B8">
            <w:pPr>
              <w:pStyle w:val="142"/>
              <w:numPr>
                <w:ilvl w:val="0"/>
                <w:numId w:val="10"/>
              </w:numPr>
              <w:tabs>
                <w:tab w:val="left" w:pos="0"/>
              </w:tabs>
              <w:spacing w:before="120" w:line="360" w:lineRule="auto"/>
              <w:ind w:left="425" w:leftChars="0" w:hanging="425" w:firstLineChars="0"/>
              <w:jc w:val="center"/>
              <w:rPr>
                <w:rFonts w:hint="default" w:ascii="Times New Roman" w:hAnsi="Times New Roman" w:eastAsia="宋体" w:cs="Times New Roman"/>
                <w:color w:val="auto"/>
                <w:highlight w:val="none"/>
              </w:rPr>
            </w:pPr>
            <w:r>
              <w:rPr>
                <w:rFonts w:hint="eastAsia"/>
                <w:color w:val="auto"/>
                <w:highlight w:val="none"/>
                <w:lang w:val="en-US" w:eastAsia="zh-CN"/>
              </w:rPr>
              <w:t>项目</w:t>
            </w:r>
            <w:r>
              <w:rPr>
                <w:rFonts w:hint="eastAsia" w:ascii="Times New Roman" w:hAnsi="Times New Roman" w:eastAsia="宋体" w:cs="Times New Roman"/>
                <w:b/>
                <w:color w:val="auto"/>
                <w:kern w:val="2"/>
                <w:sz w:val="21"/>
                <w:szCs w:val="20"/>
                <w:highlight w:val="none"/>
                <w:lang w:val="en-US" w:eastAsia="zh-CN" w:bidi="ar-SA"/>
              </w:rPr>
              <w:t>生猪屠宰工艺流程及产污情况图</w:t>
            </w:r>
          </w:p>
        </w:tc>
      </w:tr>
    </w:tbl>
    <w:p w14:paraId="543FA51F">
      <w:pPr>
        <w:rPr>
          <w:rFonts w:hint="default"/>
          <w:color w:val="auto"/>
          <w:highlight w:val="none"/>
        </w:rPr>
        <w:sectPr>
          <w:pgSz w:w="16840" w:h="11907" w:orient="landscape"/>
          <w:pgMar w:top="1531" w:right="1701" w:bottom="1531" w:left="1559"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8598"/>
      </w:tblGrid>
      <w:tr w14:paraId="37E6C7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9" w:type="dxa"/>
            <w:vAlign w:val="center"/>
          </w:tcPr>
          <w:p w14:paraId="2D906CC3">
            <w:pPr>
              <w:pStyle w:val="27"/>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工艺流程和产排污环节</w:t>
            </w:r>
          </w:p>
        </w:tc>
        <w:tc>
          <w:tcPr>
            <w:tcW w:w="13247" w:type="dxa"/>
          </w:tcPr>
          <w:p w14:paraId="45D6F6DC">
            <w:pPr>
              <w:pStyle w:val="81"/>
              <w:spacing w:line="360" w:lineRule="auto"/>
              <w:ind w:firstLine="480" w:firstLineChars="200"/>
              <w:jc w:val="left"/>
              <w:rPr>
                <w:rFonts w:hint="default" w:ascii="Times New Roman" w:hAnsi="Times New Roman" w:eastAsia="宋体" w:cs="Times New Roman"/>
                <w:color w:val="auto"/>
                <w:highlight w:val="none"/>
                <w:lang w:val="en-US" w:bidi="ar-SA"/>
              </w:rPr>
            </w:pPr>
            <w:r>
              <w:rPr>
                <w:rFonts w:hint="eastAsia" w:ascii="Times New Roman" w:hAnsi="Times New Roman" w:eastAsia="宋体" w:cs="Times New Roman"/>
                <w:color w:val="auto"/>
                <w:highlight w:val="none"/>
                <w:lang w:val="en-US" w:eastAsia="zh-CN" w:bidi="ar-SA"/>
              </w:rPr>
              <w:t>工艺流程及排污情况简述：</w:t>
            </w:r>
          </w:p>
          <w:p w14:paraId="731088C2">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1</w:t>
            </w:r>
            <w:r>
              <w:rPr>
                <w:rFonts w:hint="eastAsia" w:ascii="Times New Roman" w:hAnsi="Times New Roman" w:eastAsia="宋体" w:cs="Times New Roman"/>
                <w:color w:val="auto"/>
                <w:highlight w:val="none"/>
                <w:lang w:val="en-US" w:eastAsia="zh-CN" w:bidi="ar-SA"/>
              </w:rPr>
              <w:t>）进场检验</w:t>
            </w:r>
          </w:p>
          <w:p w14:paraId="3F33E330">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项目收购的合格生猪由货车从厂区污物出入口进入，进入厂区前在厂区门口查验出入境检验检疫局出具的证明及动检部门出具的《动物检疫合格证明</w:t>
            </w:r>
            <w:r>
              <w:rPr>
                <w:rFonts w:hint="eastAsia" w:ascii="Times New Roman" w:hAnsi="Times New Roman" w:cs="Times New Roman"/>
                <w:color w:val="auto"/>
                <w:highlight w:val="none"/>
                <w:lang w:val="en-US" w:eastAsia="zh-CN" w:bidi="ar-SA"/>
              </w:rPr>
              <w:t>》《</w:t>
            </w:r>
            <w:r>
              <w:rPr>
                <w:rFonts w:hint="eastAsia" w:ascii="Times New Roman" w:hAnsi="Times New Roman" w:eastAsia="宋体" w:cs="Times New Roman"/>
                <w:color w:val="auto"/>
                <w:highlight w:val="none"/>
                <w:lang w:val="en-US" w:eastAsia="zh-CN" w:bidi="ar-SA"/>
              </w:rPr>
              <w:t>动物及动物产品运载工具消毒证明</w:t>
            </w:r>
            <w:r>
              <w:rPr>
                <w:rFonts w:hint="eastAsia" w:ascii="Times New Roman" w:hAnsi="Times New Roman" w:cs="Times New Roman"/>
                <w:color w:val="auto"/>
                <w:highlight w:val="none"/>
                <w:lang w:val="en-US" w:eastAsia="zh-CN" w:bidi="ar-SA"/>
              </w:rPr>
              <w:t>》《</w:t>
            </w:r>
            <w:r>
              <w:rPr>
                <w:rFonts w:hint="eastAsia" w:ascii="Times New Roman" w:hAnsi="Times New Roman" w:eastAsia="宋体" w:cs="Times New Roman"/>
                <w:color w:val="auto"/>
                <w:highlight w:val="none"/>
                <w:lang w:val="en-US" w:eastAsia="zh-CN" w:bidi="ar-SA"/>
              </w:rPr>
              <w:t>非疫区证明》，核对证物是否相符，对无证者拒收。核对生猪耳标号，若有不符则拒收。验证同时由检疫部门驻厂兽医对所载生猪进行临车视检，若发现疑似病猪，则全部遣返拒收。同时对生猪采用检测试纸对尿液进行抽检瘦肉精，若有疑似，则全部遣返拒收。检疫合格的生猪过磅后，赶入待宰栏，并作好标识。运输车辆彻底清洗消毒后出厂。</w:t>
            </w:r>
          </w:p>
          <w:p w14:paraId="3864A72C">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该过程会产生猪叫声、车辆清洗废水及检疫不合格猪。</w:t>
            </w:r>
          </w:p>
          <w:p w14:paraId="5FB21CF3">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2</w:t>
            </w:r>
            <w:r>
              <w:rPr>
                <w:rFonts w:hint="eastAsia" w:ascii="Times New Roman" w:hAnsi="Times New Roman" w:eastAsia="宋体" w:cs="Times New Roman"/>
                <w:color w:val="auto"/>
                <w:highlight w:val="none"/>
                <w:lang w:val="en-US" w:eastAsia="zh-CN" w:bidi="ar-SA"/>
              </w:rPr>
              <w:t>）静养</w:t>
            </w:r>
          </w:p>
          <w:p w14:paraId="52A3757E">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检疫合格的载猪车辆经消毒后入厂。进厂后在卸猪台将生猪卸下，生猪通过生猪通道人工赶入待宰间静养12～24h。生猪静养期间停食仅喂水，同时由驻厂兽医进行巡查，按照《生猪产地检疫规程》中“临床检查”部分实施检查，通过观察生猪群体的精神状况、外貌、呼吸状态及排泄物状态等情况进行宰前检疫。将疑病猪关入隔离圈内观察24h，恢复正常的赶回待宰间，确定为病猪后立刻进入急宰间进行宰杀，同时上报给当地农业农村局，并立即进行无害化处理。</w:t>
            </w:r>
          </w:p>
          <w:p w14:paraId="1678AEAB">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项目对产生的猪粪、尿液进行日产日清，及时冲洗，猪粪经人工收集后由附近农户运走做肥，待宰栏地面冲洗废水进入自建污水处理站处理。</w:t>
            </w:r>
          </w:p>
          <w:p w14:paraId="71E3223C">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该过程将产生恶臭、猪粪、待宰间清洁废水及检疫不合格猪。</w:t>
            </w:r>
          </w:p>
          <w:p w14:paraId="478B60A9">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3</w:t>
            </w:r>
            <w:r>
              <w:rPr>
                <w:rFonts w:hint="eastAsia" w:ascii="Times New Roman" w:hAnsi="Times New Roman" w:eastAsia="宋体" w:cs="Times New Roman"/>
                <w:color w:val="auto"/>
                <w:highlight w:val="none"/>
                <w:lang w:val="en-US" w:eastAsia="zh-CN" w:bidi="ar-SA"/>
              </w:rPr>
              <w:t>）宰前冲洗</w:t>
            </w:r>
          </w:p>
          <w:p w14:paraId="5A27B726">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宰前检疫后，合格的生猪由人沿着指定的通道将生猪牵到冲淋区。用清水进行冲淋，洗去猪体上的污垢，以减少猪体表面的病菌及污物，减少在加工过程中的污染，提高肉品质量，同时使猪体易于导电便于后续电麻宰杀。冲淋的水温保持在</w:t>
            </w:r>
            <w:r>
              <w:rPr>
                <w:rFonts w:hint="default" w:ascii="Times New Roman" w:hAnsi="Times New Roman" w:eastAsia="宋体" w:cs="Times New Roman"/>
                <w:color w:val="auto"/>
                <w:highlight w:val="none"/>
                <w:lang w:val="en-US" w:eastAsia="zh-CN" w:bidi="ar-SA"/>
              </w:rPr>
              <w:t>38℃</w:t>
            </w:r>
            <w:r>
              <w:rPr>
                <w:rFonts w:hint="eastAsia" w:ascii="Times New Roman" w:hAnsi="Times New Roman" w:eastAsia="宋体" w:cs="Times New Roman"/>
                <w:color w:val="auto"/>
                <w:highlight w:val="none"/>
                <w:lang w:val="en-US" w:eastAsia="zh-CN" w:bidi="ar-SA"/>
              </w:rPr>
              <w:t>左右，夏季可在</w:t>
            </w:r>
            <w:r>
              <w:rPr>
                <w:rFonts w:hint="default" w:ascii="Times New Roman" w:hAnsi="Times New Roman" w:eastAsia="宋体" w:cs="Times New Roman"/>
                <w:color w:val="auto"/>
                <w:highlight w:val="none"/>
                <w:lang w:val="en-US" w:eastAsia="zh-CN" w:bidi="ar-SA"/>
              </w:rPr>
              <w:t>20℃</w:t>
            </w:r>
            <w:r>
              <w:rPr>
                <w:rFonts w:hint="eastAsia" w:ascii="Times New Roman" w:hAnsi="Times New Roman" w:eastAsia="宋体" w:cs="Times New Roman"/>
                <w:color w:val="auto"/>
                <w:highlight w:val="none"/>
                <w:lang w:val="en-US" w:eastAsia="zh-CN" w:bidi="ar-SA"/>
              </w:rPr>
              <w:t>左右，沐浴的时间为</w:t>
            </w:r>
            <w:r>
              <w:rPr>
                <w:rFonts w:hint="default" w:ascii="Times New Roman" w:hAnsi="Times New Roman" w:eastAsia="宋体" w:cs="Times New Roman"/>
                <w:color w:val="auto"/>
                <w:highlight w:val="none"/>
                <w:lang w:val="en-US" w:eastAsia="zh-CN" w:bidi="ar-SA"/>
              </w:rPr>
              <w:t>1min</w:t>
            </w:r>
            <w:r>
              <w:rPr>
                <w:rFonts w:hint="eastAsia" w:ascii="Times New Roman" w:hAnsi="Times New Roman" w:eastAsia="宋体" w:cs="Times New Roman"/>
                <w:color w:val="auto"/>
                <w:highlight w:val="none"/>
                <w:lang w:val="en-US" w:eastAsia="zh-CN" w:bidi="ar-SA"/>
              </w:rPr>
              <w:t>。此部分冲洗废水进入自建污水处理站处理。</w:t>
            </w:r>
          </w:p>
          <w:p w14:paraId="59BF4A3C">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该过程将产生恶臭、生猪冲洗废水、猪粪。</w:t>
            </w:r>
          </w:p>
          <w:p w14:paraId="3EEBD9D5">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4</w:t>
            </w:r>
            <w:r>
              <w:rPr>
                <w:rFonts w:hint="eastAsia" w:ascii="Times New Roman" w:hAnsi="Times New Roman" w:eastAsia="宋体" w:cs="Times New Roman"/>
                <w:color w:val="auto"/>
                <w:highlight w:val="none"/>
                <w:lang w:val="en-US" w:eastAsia="zh-CN" w:bidi="ar-SA"/>
              </w:rPr>
              <w:t xml:space="preserve">）麻电击晕 </w:t>
            </w:r>
          </w:p>
          <w:p w14:paraId="7095795E">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将冲淋完成的生猪从赶猪通道进入屠宰车间，麻电操作人员使用人工麻电器在猪头颞颥区（俗称太阳穴）额骨与枕骨附近（猪眼与耳根交界处）进行麻电。电麻</w:t>
            </w:r>
            <w:r>
              <w:rPr>
                <w:rFonts w:hint="default" w:ascii="Times New Roman" w:hAnsi="Times New Roman" w:eastAsia="宋体" w:cs="Times New Roman"/>
                <w:color w:val="auto"/>
                <w:highlight w:val="none"/>
                <w:lang w:val="en-US" w:eastAsia="zh-CN" w:bidi="ar-SA"/>
              </w:rPr>
              <w:t>100V</w:t>
            </w:r>
            <w:r>
              <w:rPr>
                <w:rFonts w:hint="eastAsia" w:ascii="Times New Roman" w:hAnsi="Times New Roman" w:eastAsia="宋体" w:cs="Times New Roman"/>
                <w:color w:val="auto"/>
                <w:highlight w:val="none"/>
                <w:lang w:val="en-US" w:eastAsia="zh-CN" w:bidi="ar-SA"/>
              </w:rPr>
              <w:t>左右，电流为</w:t>
            </w:r>
            <w:r>
              <w:rPr>
                <w:rFonts w:hint="default" w:ascii="Times New Roman" w:hAnsi="Times New Roman" w:eastAsia="宋体" w:cs="Times New Roman"/>
                <w:color w:val="auto"/>
                <w:highlight w:val="none"/>
                <w:lang w:val="en-US" w:eastAsia="zh-CN" w:bidi="ar-SA"/>
              </w:rPr>
              <w:t>0.5A</w:t>
            </w:r>
            <w:r>
              <w:rPr>
                <w:rFonts w:hint="eastAsia" w:ascii="Times New Roman" w:hAnsi="Times New Roman" w:eastAsia="宋体" w:cs="Times New Roman"/>
                <w:color w:val="auto"/>
                <w:highlight w:val="none"/>
                <w:lang w:val="en-US" w:eastAsia="zh-CN" w:bidi="ar-SA"/>
              </w:rPr>
              <w:t>，频率为</w:t>
            </w:r>
            <w:r>
              <w:rPr>
                <w:rFonts w:hint="default" w:ascii="Times New Roman" w:hAnsi="Times New Roman" w:eastAsia="宋体" w:cs="Times New Roman"/>
                <w:color w:val="auto"/>
                <w:highlight w:val="none"/>
                <w:lang w:val="en-US" w:eastAsia="zh-CN" w:bidi="ar-SA"/>
              </w:rPr>
              <w:t>50</w:t>
            </w: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60HZ</w:t>
            </w:r>
            <w:r>
              <w:rPr>
                <w:rFonts w:hint="eastAsia" w:ascii="Times New Roman" w:hAnsi="Times New Roman" w:eastAsia="宋体" w:cs="Times New Roman"/>
                <w:color w:val="auto"/>
                <w:highlight w:val="none"/>
                <w:lang w:val="en-US" w:eastAsia="zh-CN" w:bidi="ar-SA"/>
              </w:rPr>
              <w:t>。麻电时间</w:t>
            </w:r>
            <w:r>
              <w:rPr>
                <w:rFonts w:hint="default" w:ascii="Times New Roman" w:hAnsi="Times New Roman" w:eastAsia="宋体" w:cs="Times New Roman"/>
                <w:color w:val="auto"/>
                <w:highlight w:val="none"/>
                <w:lang w:val="en-US" w:eastAsia="zh-CN" w:bidi="ar-SA"/>
              </w:rPr>
              <w:t>2</w:t>
            </w: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3S</w:t>
            </w:r>
            <w:r>
              <w:rPr>
                <w:rFonts w:hint="eastAsia" w:ascii="Times New Roman" w:hAnsi="Times New Roman" w:eastAsia="宋体" w:cs="Times New Roman"/>
                <w:color w:val="auto"/>
                <w:highlight w:val="none"/>
                <w:lang w:val="en-US" w:eastAsia="zh-CN" w:bidi="ar-SA"/>
              </w:rPr>
              <w:t>即可达到麻醉要求。击晕后的生猪由</w:t>
            </w:r>
            <w:r>
              <w:rPr>
                <w:rFonts w:hint="default" w:ascii="Times New Roman" w:hAnsi="Times New Roman" w:eastAsia="宋体" w:cs="Times New Roman"/>
                <w:color w:val="auto"/>
                <w:highlight w:val="none"/>
                <w:lang w:val="en-US" w:eastAsia="zh-CN" w:bidi="ar-SA"/>
              </w:rPr>
              <w:t>1</w:t>
            </w:r>
            <w:r>
              <w:rPr>
                <w:rFonts w:hint="eastAsia" w:ascii="Times New Roman" w:hAnsi="Times New Roman" w:eastAsia="宋体" w:cs="Times New Roman"/>
                <w:color w:val="auto"/>
                <w:highlight w:val="none"/>
                <w:lang w:val="en-US" w:eastAsia="zh-CN" w:bidi="ar-SA"/>
              </w:rPr>
              <w:t>人用吊钩套牢生猪的一条后腿，并挂在电动提升机的吊钩上，启动电动提升机将生猪提升至离地</w:t>
            </w:r>
            <w:r>
              <w:rPr>
                <w:rFonts w:hint="default" w:ascii="Times New Roman" w:hAnsi="Times New Roman" w:eastAsia="宋体" w:cs="Times New Roman"/>
                <w:color w:val="auto"/>
                <w:highlight w:val="none"/>
                <w:lang w:val="en-US" w:eastAsia="zh-CN" w:bidi="ar-SA"/>
              </w:rPr>
              <w:t>2m</w:t>
            </w:r>
            <w:r>
              <w:rPr>
                <w:rFonts w:hint="eastAsia" w:ascii="Times New Roman" w:hAnsi="Times New Roman" w:eastAsia="宋体" w:cs="Times New Roman"/>
                <w:color w:val="auto"/>
                <w:highlight w:val="none"/>
                <w:lang w:val="en-US" w:eastAsia="zh-CN" w:bidi="ar-SA"/>
              </w:rPr>
              <w:t>处，使生猪完全吊在高轨上。</w:t>
            </w:r>
          </w:p>
          <w:p w14:paraId="5F757CCC">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（5）刺杀放血</w:t>
            </w:r>
          </w:p>
          <w:p w14:paraId="52CE8737">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从生猪喉部下刀割断食管、气管和血管进行放血，放血时间约为9min。猪血在放血线下槽内进行收集，并贮存于专用容器后暂存于冷库内，每日作为副产品直接外售，本项目不进行预处理。沥血完成后对生猪逐只进行头部视检，不合格生猪立即进行无害化处理。</w:t>
            </w:r>
          </w:p>
          <w:p w14:paraId="4A69C4CA">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6</w:t>
            </w:r>
            <w:r>
              <w:rPr>
                <w:rFonts w:hint="eastAsia" w:ascii="Times New Roman" w:hAnsi="Times New Roman" w:eastAsia="宋体" w:cs="Times New Roman"/>
                <w:color w:val="auto"/>
                <w:highlight w:val="none"/>
                <w:lang w:val="en-US" w:eastAsia="zh-CN" w:bidi="ar-SA"/>
              </w:rPr>
              <w:t>）屠体清洗</w:t>
            </w:r>
          </w:p>
          <w:p w14:paraId="0191C9CB">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生猪沥血完毕后，由滑轮导轨送入洗猪机，经摩擦清洗去除猪身污垢。清洗废水进入自建污水处理站处理。生猪清洗后进入烫毛工序。此部分清洗废水进入自建污水处理站处理。</w:t>
            </w:r>
          </w:p>
          <w:p w14:paraId="3A8680BD">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该过程将产生清洗废水、恶臭。</w:t>
            </w:r>
          </w:p>
          <w:p w14:paraId="40BC83FF">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7</w:t>
            </w:r>
            <w:r>
              <w:rPr>
                <w:rFonts w:hint="eastAsia" w:ascii="Times New Roman" w:hAnsi="Times New Roman" w:eastAsia="宋体" w:cs="Times New Roman"/>
                <w:color w:val="auto"/>
                <w:highlight w:val="none"/>
                <w:lang w:val="en-US" w:eastAsia="zh-CN" w:bidi="ar-SA"/>
              </w:rPr>
              <w:t>）烫毛脱毛</w:t>
            </w:r>
          </w:p>
          <w:p w14:paraId="0DD36DBD">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清洗完毕的生猪，送入烫毛池进行烫毛。本项目采用封闭式推进式烫池进行烫毛，主要采用电加热热水，水温控制在</w:t>
            </w:r>
            <w:r>
              <w:rPr>
                <w:rFonts w:hint="default" w:ascii="Times New Roman" w:hAnsi="Times New Roman" w:eastAsia="宋体" w:cs="Times New Roman"/>
                <w:color w:val="auto"/>
                <w:highlight w:val="none"/>
                <w:lang w:val="en-US" w:eastAsia="zh-CN" w:bidi="ar-SA"/>
              </w:rPr>
              <w:t>60-68℃</w:t>
            </w:r>
            <w:r>
              <w:rPr>
                <w:rFonts w:hint="eastAsia" w:ascii="Times New Roman" w:hAnsi="Times New Roman" w:eastAsia="宋体" w:cs="Times New Roman"/>
                <w:color w:val="auto"/>
                <w:highlight w:val="none"/>
                <w:lang w:val="en-US" w:eastAsia="zh-CN" w:bidi="ar-SA"/>
              </w:rPr>
              <w:t>之间。烫洗完成后，由刨毛机进一步对部分猪体残存猪毛进行修整，刨毛机内设有喷淋头，以提高刨毛效果和冲洗已脱落的猪毛。猪毛经刨毛机自带风机风干后装袋收集暂存于猪粪、猪毛、肠内容物暂存间，定期外售。</w:t>
            </w:r>
          </w:p>
          <w:p w14:paraId="7DADBD67">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该过程将产生清洗废水、恶臭、猪毛。</w:t>
            </w:r>
          </w:p>
          <w:p w14:paraId="143438D0">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8</w:t>
            </w:r>
            <w:r>
              <w:rPr>
                <w:rFonts w:hint="eastAsia" w:ascii="Times New Roman" w:hAnsi="Times New Roman" w:eastAsia="宋体" w:cs="Times New Roman"/>
                <w:color w:val="auto"/>
                <w:highlight w:val="none"/>
                <w:lang w:val="en-US" w:eastAsia="zh-CN" w:bidi="ar-SA"/>
              </w:rPr>
              <w:t>）清洗、封肛</w:t>
            </w:r>
          </w:p>
          <w:p w14:paraId="77C35E74">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打完毛的猪由提升机送入清水池中进行清洗，再由人工捞起挂吊钩并提升至滑轮轨道，将清洗完成后的猪进行检查，毛没有去除干净的由人工进行剔毛、去蹄壳，并对屠体进行封肛。蹄壳暂存于下一般固废暂存间内，定期外售做饲料。此部分清洗废水进入自建污水处理站处理。</w:t>
            </w:r>
          </w:p>
          <w:p w14:paraId="322A37F3">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该过程将产生清洗废水、恶臭、蹄壳。</w:t>
            </w:r>
          </w:p>
          <w:p w14:paraId="74DE4DC7">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9</w:t>
            </w:r>
            <w:r>
              <w:rPr>
                <w:rFonts w:hint="eastAsia" w:ascii="Times New Roman" w:hAnsi="Times New Roman" w:eastAsia="宋体" w:cs="Times New Roman"/>
                <w:color w:val="auto"/>
                <w:highlight w:val="none"/>
                <w:lang w:val="en-US" w:eastAsia="zh-CN" w:bidi="ar-SA"/>
              </w:rPr>
              <w:t>）开边取脏</w:t>
            </w:r>
          </w:p>
          <w:p w14:paraId="770E4E80">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猪毛清除完成后，将猪开膛，取出红白内脏，内脏分别送白脏处理间、红脏处理间加工清洗后外销，胴体送入分割生产线进行分割。肠胃内容物由附近农户运走做肥料，不可食用内脏交资质单位无害化处理。此部分清洗废水进入自建污水处理站处理。</w:t>
            </w:r>
          </w:p>
          <w:p w14:paraId="68BE830C">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该过程将产生清洗废水、恶臭、废弃动物组织和肠胃内容物。</w:t>
            </w:r>
          </w:p>
          <w:p w14:paraId="3D38C823">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8</w:t>
            </w:r>
            <w:r>
              <w:rPr>
                <w:rFonts w:hint="eastAsia" w:ascii="Times New Roman" w:hAnsi="Times New Roman" w:eastAsia="宋体" w:cs="Times New Roman"/>
                <w:color w:val="auto"/>
                <w:highlight w:val="none"/>
                <w:lang w:val="en-US" w:eastAsia="zh-CN" w:bidi="ar-SA"/>
              </w:rPr>
              <w:t>）检疫</w:t>
            </w:r>
          </w:p>
          <w:p w14:paraId="4E9DED12">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对猪胴体、内脏等实施同步卫生检验（人工观察检验），检验是否有肿瘤、病变等。不合格的猪胴体、内脏等，根据《中华人民共和国动物防疫法</w:t>
            </w:r>
            <w:r>
              <w:rPr>
                <w:rFonts w:hint="eastAsia" w:ascii="Times New Roman" w:hAnsi="Times New Roman" w:cs="Times New Roman"/>
                <w:color w:val="auto"/>
                <w:highlight w:val="none"/>
                <w:lang w:val="en-US" w:eastAsia="zh-CN" w:bidi="ar-SA"/>
              </w:rPr>
              <w:t>》《</w:t>
            </w:r>
            <w:r>
              <w:rPr>
                <w:rFonts w:hint="eastAsia" w:ascii="Times New Roman" w:hAnsi="Times New Roman" w:eastAsia="宋体" w:cs="Times New Roman"/>
                <w:color w:val="auto"/>
                <w:highlight w:val="none"/>
                <w:lang w:val="en-US" w:eastAsia="zh-CN" w:bidi="ar-SA"/>
              </w:rPr>
              <w:t>畜禽屠宰卫生检疫规范》（</w:t>
            </w:r>
            <w:r>
              <w:rPr>
                <w:rFonts w:hint="default" w:ascii="Times New Roman" w:hAnsi="Times New Roman" w:eastAsia="宋体" w:cs="Times New Roman"/>
                <w:color w:val="auto"/>
                <w:highlight w:val="none"/>
                <w:lang w:val="en-US" w:eastAsia="zh-CN" w:bidi="ar-SA"/>
              </w:rPr>
              <w:t>NY467-2001</w:t>
            </w:r>
            <w:r>
              <w:rPr>
                <w:rFonts w:hint="eastAsia" w:ascii="Times New Roman" w:hAnsi="Times New Roman" w:eastAsia="宋体" w:cs="Times New Roman"/>
                <w:color w:val="auto"/>
                <w:highlight w:val="none"/>
                <w:lang w:val="en-US" w:eastAsia="zh-CN" w:bidi="ar-SA"/>
              </w:rPr>
              <w:t>）、《生猪屠宰产品品质检验规程》（</w:t>
            </w:r>
            <w:r>
              <w:rPr>
                <w:rFonts w:hint="default" w:ascii="Times New Roman" w:hAnsi="Times New Roman" w:eastAsia="宋体" w:cs="Times New Roman"/>
                <w:color w:val="auto"/>
                <w:highlight w:val="none"/>
                <w:lang w:val="en-US" w:eastAsia="zh-CN" w:bidi="ar-SA"/>
              </w:rPr>
              <w:t>GB/T17996-1999</w:t>
            </w:r>
            <w:r>
              <w:rPr>
                <w:rFonts w:hint="eastAsia" w:ascii="Times New Roman" w:hAnsi="Times New Roman" w:eastAsia="宋体" w:cs="Times New Roman"/>
                <w:color w:val="auto"/>
                <w:highlight w:val="none"/>
                <w:lang w:val="en-US" w:eastAsia="zh-CN" w:bidi="ar-SA"/>
              </w:rPr>
              <w:t>）、《生猪屠宰操作规程》（</w:t>
            </w:r>
            <w:r>
              <w:rPr>
                <w:rFonts w:hint="default" w:ascii="Times New Roman" w:hAnsi="Times New Roman" w:eastAsia="宋体" w:cs="Times New Roman"/>
                <w:color w:val="auto"/>
                <w:highlight w:val="none"/>
                <w:lang w:val="en-US" w:eastAsia="zh-CN" w:bidi="ar-SA"/>
              </w:rPr>
              <w:t>GB/T17236-1998</w:t>
            </w:r>
            <w:r>
              <w:rPr>
                <w:rFonts w:hint="eastAsia" w:ascii="Times New Roman" w:hAnsi="Times New Roman" w:eastAsia="宋体" w:cs="Times New Roman"/>
                <w:color w:val="auto"/>
                <w:highlight w:val="none"/>
                <w:lang w:val="en-US" w:eastAsia="zh-CN" w:bidi="ar-SA"/>
              </w:rPr>
              <w:t>）、《病害动物和病害动物产品生物安全处理规程》（</w:t>
            </w:r>
            <w:r>
              <w:rPr>
                <w:rFonts w:hint="default" w:ascii="Times New Roman" w:hAnsi="Times New Roman" w:eastAsia="宋体" w:cs="Times New Roman"/>
                <w:color w:val="auto"/>
                <w:highlight w:val="none"/>
                <w:lang w:val="en-US" w:eastAsia="zh-CN" w:bidi="ar-SA"/>
              </w:rPr>
              <w:t>GB16548-2006</w:t>
            </w:r>
            <w:r>
              <w:rPr>
                <w:rFonts w:hint="eastAsia" w:ascii="Times New Roman" w:hAnsi="Times New Roman" w:eastAsia="宋体" w:cs="Times New Roman"/>
                <w:color w:val="auto"/>
                <w:highlight w:val="none"/>
                <w:lang w:val="en-US" w:eastAsia="zh-CN" w:bidi="ar-SA"/>
              </w:rPr>
              <w:t>）等相关规定，由病猪通道送病体暂存间暂存。</w:t>
            </w:r>
          </w:p>
          <w:p w14:paraId="073C3F68">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该过程将产生恶臭、检疫不合格猪及病胴体、病内脏、废弃动物组织等。</w:t>
            </w:r>
          </w:p>
          <w:p w14:paraId="1F1AA428">
            <w:pPr>
              <w:pStyle w:val="81"/>
              <w:numPr>
                <w:ilvl w:val="0"/>
                <w:numId w:val="13"/>
              </w:numPr>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胴体分割、劈半冲淋、复检整修</w:t>
            </w:r>
          </w:p>
          <w:p w14:paraId="44B8515E">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
              </w:rPr>
              <w:t>猪胴体先去头去尾去蹄，再劈半，并对胴体进行冲洗等，</w:t>
            </w:r>
            <w:r>
              <w:rPr>
                <w:rFonts w:hint="eastAsia" w:ascii="Times New Roman" w:hAnsi="Times New Roman" w:eastAsia="宋体" w:cs="Times New Roman"/>
                <w:color w:val="auto"/>
                <w:kern w:val="0"/>
                <w:sz w:val="24"/>
                <w:szCs w:val="24"/>
                <w:highlight w:val="none"/>
                <w:lang w:val="en-US" w:eastAsia="zh-CN" w:bidi="ar"/>
              </w:rPr>
              <w:t>人</w:t>
            </w:r>
            <w:r>
              <w:rPr>
                <w:rFonts w:hint="eastAsia" w:ascii="Times New Roman" w:hAnsi="Times New Roman" w:eastAsia="宋体" w:cs="Times New Roman"/>
                <w:color w:val="auto"/>
                <w:highlight w:val="none"/>
                <w:lang w:val="en-US" w:eastAsia="zh-CN" w:bidi="ar-SA"/>
              </w:rPr>
              <w:t>工对锯半后的胴体进行修整，即去掉体内的血块、碎肉、骨渣等，修整同时对胴体进行冲洗，冲洗后对肉品进行复检，即人工检查猪体内是否有旋毛虫等寄生虫。合格的分级盖章后部分直接外售。</w:t>
            </w:r>
            <w:r>
              <w:rPr>
                <w:rFonts w:hint="eastAsia" w:ascii="Times New Roman" w:hAnsi="Times New Roman" w:eastAsia="宋体" w:cs="Times New Roman"/>
                <w:color w:val="auto"/>
                <w:kern w:val="0"/>
                <w:sz w:val="24"/>
                <w:szCs w:val="24"/>
                <w:highlight w:val="none"/>
                <w:lang w:val="en-US" w:eastAsia="zh-CN" w:bidi="ar"/>
              </w:rPr>
              <w:t>部分</w:t>
            </w:r>
            <w:r>
              <w:rPr>
                <w:rFonts w:hint="default" w:ascii="Times New Roman" w:hAnsi="Times New Roman" w:eastAsia="宋体" w:cs="Times New Roman"/>
                <w:color w:val="auto"/>
                <w:kern w:val="0"/>
                <w:sz w:val="24"/>
                <w:szCs w:val="24"/>
                <w:highlight w:val="none"/>
                <w:lang w:val="en-US" w:eastAsia="zh-CN" w:bidi="ar"/>
              </w:rPr>
              <w:t>在-2℃~4℃的低温环境下冷却排酸，之后进行分割，即为冷猪肉</w:t>
            </w:r>
            <w:r>
              <w:rPr>
                <w:rFonts w:hint="eastAsia"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highlight w:val="none"/>
                <w:lang w:val="en-US" w:eastAsia="zh-CN" w:bidi="ar-SA"/>
              </w:rPr>
              <w:t>冷藏于速冻库、冷藏库内待售</w:t>
            </w:r>
            <w:r>
              <w:rPr>
                <w:rFonts w:hint="default" w:ascii="Times New Roman" w:hAnsi="Times New Roman" w:eastAsia="宋体" w:cs="Times New Roman"/>
                <w:color w:val="auto"/>
                <w:kern w:val="0"/>
                <w:sz w:val="24"/>
                <w:szCs w:val="24"/>
                <w:highlight w:val="none"/>
                <w:lang w:val="en-US" w:eastAsia="zh-CN" w:bidi="ar"/>
              </w:rPr>
              <w:t>。不合格的作为病胴体处理。</w:t>
            </w:r>
            <w:r>
              <w:rPr>
                <w:rFonts w:hint="eastAsia" w:ascii="Times New Roman" w:hAnsi="Times New Roman" w:eastAsia="宋体" w:cs="Times New Roman"/>
                <w:color w:val="auto"/>
                <w:highlight w:val="none"/>
                <w:lang w:val="en-US" w:eastAsia="zh-CN" w:bidi="ar-SA"/>
              </w:rPr>
              <w:t>清洗废水进入自建污水处理站处理。</w:t>
            </w:r>
          </w:p>
          <w:p w14:paraId="0680FAAA">
            <w:pPr>
              <w:pStyle w:val="81"/>
              <w:spacing w:line="360" w:lineRule="auto"/>
              <w:ind w:firstLine="480" w:firstLineChars="200"/>
              <w:jc w:val="left"/>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该过程将产生清洗废水、恶臭、废弃动物组织。</w:t>
            </w:r>
          </w:p>
          <w:p w14:paraId="0454D734">
            <w:pPr>
              <w:pStyle w:val="81"/>
              <w:spacing w:line="360" w:lineRule="auto"/>
              <w:ind w:firstLine="482" w:firstLineChars="200"/>
              <w:jc w:val="left"/>
              <w:rPr>
                <w:rFonts w:hint="eastAsia" w:ascii="Times New Roman" w:hAnsi="Times New Roman" w:eastAsia="宋体" w:cs="Times New Roman"/>
                <w:b/>
                <w:bCs/>
                <w:color w:val="auto"/>
                <w:highlight w:val="none"/>
                <w:lang w:val="en-US" w:eastAsia="zh-CN" w:bidi="ar-SA"/>
              </w:rPr>
            </w:pPr>
            <w:r>
              <w:rPr>
                <w:rFonts w:hint="eastAsia" w:ascii="Times New Roman" w:hAnsi="Times New Roman" w:eastAsia="宋体" w:cs="Times New Roman"/>
                <w:b/>
                <w:bCs/>
                <w:color w:val="auto"/>
                <w:highlight w:val="none"/>
                <w:lang w:val="en-US" w:eastAsia="zh-CN" w:bidi="ar-SA"/>
              </w:rPr>
              <w:t>生猪宰后检疫方法：主要通过感官进行检查：</w:t>
            </w:r>
          </w:p>
          <w:p w14:paraId="5F962947">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1</w:t>
            </w:r>
            <w:r>
              <w:rPr>
                <w:rFonts w:hint="eastAsia" w:ascii="Times New Roman" w:hAnsi="Times New Roman" w:eastAsia="宋体" w:cs="Times New Roman"/>
                <w:color w:val="auto"/>
                <w:highlight w:val="none"/>
                <w:lang w:val="en-US" w:eastAsia="zh-CN" w:bidi="ar-SA"/>
              </w:rPr>
              <w:t>）头蹄及体表检查：视检体表的完整性、颜色，检查有无本规程规定疫病引起的皮肤病变、关节肿大等。观察吻突、齿龈和蹄部有无水疱、溃疡、烂斑等。放血后脱毛前，沿放血孔纵向切开下颌区，直到颌骨高峰区，剖开两侧下颌淋巴结，视检有无肿大、坏死灶（紫、黑、灰、黄），切面是否呈砖红色，周围有无水肿、胶样浸润等。剖检两侧咬肌，充分暴露剖面，检查有无猪囊尾蚴。</w:t>
            </w:r>
          </w:p>
          <w:p w14:paraId="20E55DEA">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2</w:t>
            </w:r>
            <w:r>
              <w:rPr>
                <w:rFonts w:hint="eastAsia" w:ascii="Times New Roman" w:hAnsi="Times New Roman" w:eastAsia="宋体" w:cs="Times New Roman"/>
                <w:color w:val="auto"/>
                <w:highlight w:val="none"/>
                <w:lang w:val="en-US" w:eastAsia="zh-CN" w:bidi="ar-SA"/>
              </w:rPr>
              <w:t>）内脏检查：取出内脏前，观察胸腔、腹腔有无积液、粘连、纤维素性渗出物。检查脾脏、肠系膜淋巴结有无肠炭疽。取出内脏后，检查心脏、肺脏、肝脏、脾脏、胃肠、支气管淋巴结、肝门淋巴结等。主要为视检各个内脏的形状、大小、色泽，触检弹性。心脏需视检心包，切开心包膜，检查有无变性、心包积液、渗出、淤血、出血、坏死等症状。肺脏剖开一侧支气管淋巴结，检查有无出血、淤血、肿胀、坏死等，必要时剖检气管、支气管。肝脏剖开肝门淋巴结，检查有无出血、淤血、肿胀、坏死等必要时剖检胆管。脾脏检查有无显著肿胀、淤血、颜色变暗、质地变脆、坏死灶、边缘出血性梗死、被膜隆起及粘连等，必要时剖检脾实质。视检胃肠浆膜，观察大小、色泽、质地，检查有无淤血、出血、坏死、胶冻样渗出物和粘连。对肠系膜淋巴结做长度不少于</w:t>
            </w:r>
            <w:r>
              <w:rPr>
                <w:rFonts w:hint="default" w:ascii="Times New Roman" w:hAnsi="Times New Roman" w:eastAsia="宋体" w:cs="Times New Roman"/>
                <w:color w:val="auto"/>
                <w:highlight w:val="none"/>
                <w:lang w:val="en-US" w:eastAsia="zh-CN" w:bidi="ar-SA"/>
              </w:rPr>
              <w:t>20</w:t>
            </w:r>
            <w:r>
              <w:rPr>
                <w:rFonts w:hint="eastAsia" w:ascii="Times New Roman" w:hAnsi="Times New Roman" w:eastAsia="宋体" w:cs="Times New Roman"/>
                <w:color w:val="auto"/>
                <w:highlight w:val="none"/>
                <w:lang w:val="en-US" w:eastAsia="zh-CN" w:bidi="ar-SA"/>
              </w:rPr>
              <w:t>厘米的弧形切口，检查有无增大、水肿、淤血、出血、坏死、溃疡等病变。必要时剖检胃肠，检查黏膜有无淤血、出血、水肿、坏死、溃疡。</w:t>
            </w:r>
          </w:p>
          <w:p w14:paraId="617B06B9">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w:t>
            </w:r>
            <w:r>
              <w:rPr>
                <w:rFonts w:hint="default" w:ascii="Times New Roman" w:hAnsi="Times New Roman" w:eastAsia="宋体" w:cs="Times New Roman"/>
                <w:color w:val="auto"/>
                <w:highlight w:val="none"/>
                <w:lang w:val="en-US" w:eastAsia="zh-CN" w:bidi="ar-SA"/>
              </w:rPr>
              <w:t>3</w:t>
            </w:r>
            <w:r>
              <w:rPr>
                <w:rFonts w:hint="eastAsia" w:ascii="Times New Roman" w:hAnsi="Times New Roman" w:eastAsia="宋体" w:cs="Times New Roman"/>
                <w:color w:val="auto"/>
                <w:highlight w:val="none"/>
                <w:lang w:val="en-US" w:eastAsia="zh-CN" w:bidi="ar-SA"/>
              </w:rPr>
              <w:t>）胴体检查：检查皮肤、皮下组织、脂肪、肌肉、淋巴结、骨骼以及胸腔、腹腔浆膜有无淤血、出血、疹块、黄染、脓肿和其他异常等。剖开腹部底壁皮下、后肢内侧、腹股沟皮下环附近的两侧腹股沟浅淋巴结，检查有无淤血、水肿、出血、坏死、增生等病变。必要时剖检腹股沟深淋巴结、髂下淋巴结及髂内淋巴结。沿脊椎与腰椎结合部两侧肌纤维方向切开</w:t>
            </w:r>
            <w:r>
              <w:rPr>
                <w:rFonts w:hint="default" w:ascii="Times New Roman" w:hAnsi="Times New Roman" w:eastAsia="宋体" w:cs="Times New Roman"/>
                <w:color w:val="auto"/>
                <w:highlight w:val="none"/>
                <w:lang w:val="en-US" w:eastAsia="zh-CN" w:bidi="ar-SA"/>
              </w:rPr>
              <w:t>10</w:t>
            </w:r>
            <w:r>
              <w:rPr>
                <w:rFonts w:hint="eastAsia" w:ascii="Times New Roman" w:hAnsi="Times New Roman" w:eastAsia="宋体" w:cs="Times New Roman"/>
                <w:color w:val="auto"/>
                <w:highlight w:val="none"/>
                <w:lang w:val="en-US" w:eastAsia="zh-CN" w:bidi="ar-SA"/>
              </w:rPr>
              <w:t>厘米左右切口，检查有无猪囊尾蚴。剥离两侧肾被膜，视检肾脏形状、大小、色泽，触检质地，观察有无贫血、出血、淤血、肿胀等病变。必要时纵向剖检肾脏，检查切面皮质部有无颜色变化、出血及隆起等。</w:t>
            </w:r>
          </w:p>
          <w:p w14:paraId="1D2CD764">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根据《中华人民共和国动物防疫法》和《</w:t>
            </w:r>
            <w:r>
              <w:rPr>
                <w:rFonts w:hint="eastAsia" w:ascii="Times New Roman" w:hAnsi="Times New Roman" w:cs="Times New Roman"/>
                <w:color w:val="auto"/>
                <w:highlight w:val="none"/>
                <w:lang w:val="en-US" w:eastAsia="zh-CN" w:bidi="ar-SA"/>
              </w:rPr>
              <w:t>中华人民共和国进出境动植物检疫法</w:t>
            </w:r>
            <w:r>
              <w:rPr>
                <w:rFonts w:hint="eastAsia" w:ascii="Times New Roman" w:hAnsi="Times New Roman" w:eastAsia="宋体" w:cs="Times New Roman"/>
                <w:color w:val="auto"/>
                <w:highlight w:val="none"/>
                <w:lang w:val="en-US" w:eastAsia="zh-CN" w:bidi="ar-SA"/>
              </w:rPr>
              <w:t>》中的有关规定，卫生检验后屠体的处理如下：</w:t>
            </w:r>
          </w:p>
          <w:p w14:paraId="3C912716">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default" w:ascii="Times New Roman" w:hAnsi="Times New Roman" w:eastAsia="宋体" w:cs="Times New Roman"/>
                <w:color w:val="auto"/>
                <w:highlight w:val="none"/>
                <w:lang w:val="en-US" w:eastAsia="zh-CN" w:bidi="ar-SA"/>
              </w:rPr>
              <w:t>●</w:t>
            </w:r>
            <w:r>
              <w:rPr>
                <w:rFonts w:hint="eastAsia" w:ascii="Times New Roman" w:hAnsi="Times New Roman" w:eastAsia="宋体" w:cs="Times New Roman"/>
                <w:color w:val="auto"/>
                <w:highlight w:val="none"/>
                <w:lang w:val="en-US" w:eastAsia="zh-CN" w:bidi="ar-SA"/>
              </w:rPr>
              <w:t>合格的：检验合格作为食品的，其卫生检验、监督均依照《</w:t>
            </w:r>
            <w:r>
              <w:rPr>
                <w:rFonts w:hint="eastAsia" w:ascii="Times New Roman" w:hAnsi="Times New Roman" w:cs="Times New Roman"/>
                <w:color w:val="auto"/>
                <w:highlight w:val="none"/>
                <w:lang w:val="en-US" w:eastAsia="zh-CN" w:bidi="ar-SA"/>
              </w:rPr>
              <w:t>中华人民共和国食品安全法</w:t>
            </w:r>
            <w:r>
              <w:rPr>
                <w:rFonts w:hint="eastAsia" w:ascii="Times New Roman" w:hAnsi="Times New Roman" w:eastAsia="宋体" w:cs="Times New Roman"/>
                <w:color w:val="auto"/>
                <w:highlight w:val="none"/>
                <w:lang w:val="en-US" w:eastAsia="zh-CN" w:bidi="ar-SA"/>
              </w:rPr>
              <w:t>》的规定办理。</w:t>
            </w:r>
          </w:p>
          <w:p w14:paraId="72C12A77">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default" w:ascii="Times New Roman" w:hAnsi="Times New Roman" w:eastAsia="宋体" w:cs="Times New Roman"/>
                <w:color w:val="auto"/>
                <w:highlight w:val="none"/>
                <w:lang w:val="en-US" w:eastAsia="zh-CN" w:bidi="ar-SA"/>
              </w:rPr>
              <w:t>●</w:t>
            </w:r>
            <w:r>
              <w:rPr>
                <w:rFonts w:hint="eastAsia" w:ascii="Times New Roman" w:hAnsi="Times New Roman" w:eastAsia="宋体" w:cs="Times New Roman"/>
                <w:color w:val="auto"/>
                <w:highlight w:val="none"/>
                <w:lang w:val="en-US" w:eastAsia="zh-CN" w:bidi="ar-SA"/>
              </w:rPr>
              <w:t>不合格的：检出检疫部门公布的一类传染病、寄生虫病的阳性动物及与其同群的其他动物全群扑杀，并交由交资质单位无害化处理，急宰废水进入污水处理设施之前需严格消毒；</w:t>
            </w:r>
          </w:p>
          <w:p w14:paraId="731DCE72">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检出检疫部门公布的二类传染病、寄生虫病的阳性动物应扑杀，同群</w:t>
            </w:r>
            <w:r>
              <w:rPr>
                <w:rFonts w:hint="eastAsia" w:ascii="Times New Roman" w:hAnsi="Times New Roman" w:cs="Times New Roman"/>
                <w:color w:val="auto"/>
                <w:highlight w:val="none"/>
                <w:lang w:val="en-US" w:eastAsia="zh-CN" w:bidi="ar-SA"/>
              </w:rPr>
              <w:t>其他</w:t>
            </w:r>
            <w:r>
              <w:rPr>
                <w:rFonts w:hint="eastAsia" w:ascii="Times New Roman" w:hAnsi="Times New Roman" w:eastAsia="宋体" w:cs="Times New Roman"/>
                <w:color w:val="auto"/>
                <w:highlight w:val="none"/>
                <w:lang w:val="en-US" w:eastAsia="zh-CN" w:bidi="ar-SA"/>
              </w:rPr>
              <w:t>动物在动物检疫隔离场和动植物检疫机关指定的地点继续隔离观察，急宰废水进入污水处理设施之前需严格消毒；</w:t>
            </w:r>
          </w:p>
          <w:p w14:paraId="359FF808">
            <w:pPr>
              <w:pStyle w:val="81"/>
              <w:spacing w:line="360" w:lineRule="auto"/>
              <w:ind w:firstLine="480" w:firstLineChars="200"/>
              <w:jc w:val="left"/>
              <w:rPr>
                <w:color w:val="auto"/>
                <w:highlight w:val="none"/>
              </w:rPr>
            </w:pPr>
            <w:r>
              <w:rPr>
                <w:rFonts w:hint="eastAsia" w:ascii="Times New Roman" w:hAnsi="Times New Roman" w:eastAsia="宋体" w:cs="Times New Roman"/>
                <w:color w:val="auto"/>
                <w:highlight w:val="none"/>
                <w:lang w:val="en-US" w:eastAsia="zh-CN" w:bidi="ar-SA"/>
              </w:rPr>
              <w:t>检出一般性病害并超过规定标准的，按规程实施卫生无害化处理，不合格副产品卸下后及时进行无害化处理</w:t>
            </w:r>
            <w:r>
              <w:rPr>
                <w:rFonts w:hint="eastAsia" w:ascii="宋体" w:hAnsi="宋体" w:eastAsia="宋体" w:cs="宋体"/>
                <w:color w:val="auto"/>
                <w:kern w:val="0"/>
                <w:sz w:val="24"/>
                <w:szCs w:val="24"/>
                <w:highlight w:val="none"/>
                <w:lang w:val="en-US" w:eastAsia="zh-CN" w:bidi="ar"/>
              </w:rPr>
              <w:t>。</w:t>
            </w:r>
          </w:p>
          <w:p w14:paraId="57805310">
            <w:pPr>
              <w:pStyle w:val="27"/>
              <w:adjustRightInd w:val="0"/>
              <w:snapToGrid w:val="0"/>
              <w:spacing w:beforeAutospacing="0" w:afterAutospacing="0" w:line="360" w:lineRule="auto"/>
              <w:ind w:firstLine="48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bidi="ar-SA"/>
              </w:rPr>
              <w:t>（二）</w:t>
            </w:r>
            <w:r>
              <w:rPr>
                <w:rFonts w:hint="eastAsia" w:ascii="Times New Roman" w:hAnsi="Times New Roman" w:eastAsia="宋体" w:cs="Times New Roman"/>
                <w:b/>
                <w:bCs/>
                <w:color w:val="auto"/>
                <w:highlight w:val="none"/>
                <w:lang w:val="en-US" w:eastAsia="zh-CN"/>
              </w:rPr>
              <w:t>副产品加工工艺</w:t>
            </w:r>
            <w:r>
              <w:rPr>
                <w:rFonts w:hint="default" w:ascii="Times New Roman" w:hAnsi="Times New Roman" w:eastAsia="宋体" w:cs="Times New Roman"/>
                <w:b/>
                <w:bCs/>
                <w:color w:val="auto"/>
                <w:highlight w:val="none"/>
                <w:lang w:val="en-US" w:eastAsia="zh-CN"/>
              </w:rPr>
              <w:t>及产污情况见下图</w:t>
            </w:r>
          </w:p>
          <w:p w14:paraId="42E230F3">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color w:val="auto"/>
                <w:highlight w:val="none"/>
              </w:rPr>
              <w:drawing>
                <wp:inline distT="0" distB="0" distL="114300" distR="114300">
                  <wp:extent cx="4760595" cy="4847590"/>
                  <wp:effectExtent l="0" t="0" r="1905" b="10160"/>
                  <wp:docPr id="2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46"/>
                          <pic:cNvPicPr>
                            <a:picLocks noChangeAspect="1"/>
                          </pic:cNvPicPr>
                        </pic:nvPicPr>
                        <pic:blipFill>
                          <a:blip r:embed="rId29"/>
                          <a:stretch>
                            <a:fillRect/>
                          </a:stretch>
                        </pic:blipFill>
                        <pic:spPr>
                          <a:xfrm>
                            <a:off x="0" y="0"/>
                            <a:ext cx="4760595" cy="4847590"/>
                          </a:xfrm>
                          <a:prstGeom prst="rect">
                            <a:avLst/>
                          </a:prstGeom>
                          <a:noFill/>
                          <a:ln>
                            <a:noFill/>
                          </a:ln>
                        </pic:spPr>
                      </pic:pic>
                    </a:graphicData>
                  </a:graphic>
                </wp:inline>
              </w:drawing>
            </w:r>
          </w:p>
          <w:p w14:paraId="086F423A">
            <w:pPr>
              <w:pStyle w:val="142"/>
              <w:numPr>
                <w:ilvl w:val="0"/>
                <w:numId w:val="10"/>
              </w:numPr>
              <w:tabs>
                <w:tab w:val="left" w:pos="0"/>
              </w:tabs>
              <w:spacing w:before="120" w:line="360" w:lineRule="auto"/>
              <w:ind w:left="425" w:leftChars="0" w:hanging="425" w:firstLineChars="0"/>
              <w:jc w:val="center"/>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副产品加工工艺流程及产污环节图</w:t>
            </w:r>
          </w:p>
          <w:p w14:paraId="46C35556">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副产品指的是猪毛、猪头、猪蹄、猪尾、可食用内脏、猪血等。屠宰车间设红脏间和白脏间。猪血经猪血槽收集后作为产品直接外售（不进行预处理）；猪毛经打毛机自带风机风干（含水率＜3%），袋装收集后作为产品直接外售；猪蹄：猪蹄经去毛、刮净、清洗，包装后作为产品直接外售；猪头经去舌、去毛、刮净、清洗、摘脑得到的各产品急冷结冻后包装冷藏，作为产品直接外售；白脏（肚、肠）：白脏经翻粪、修整、清洗、沥水、急冷结冻后包装冷藏，包装后作为产品直接外售；红脏（心、腰、肝、肺）：红脏经修整、清洗、沥水，包装后作为产品直接外售。</w:t>
            </w:r>
          </w:p>
          <w:p w14:paraId="12DAACAB">
            <w:pPr>
              <w:pStyle w:val="27"/>
              <w:adjustRightInd w:val="0"/>
              <w:snapToGrid w:val="0"/>
              <w:spacing w:beforeAutospacing="0" w:afterAutospacing="0" w:line="360" w:lineRule="auto"/>
              <w:ind w:firstLine="482" w:firstLineChars="200"/>
              <w:rPr>
                <w:rFonts w:hint="eastAsia" w:ascii="Times New Roman" w:hAnsi="Times New Roman" w:eastAsia="宋体" w:cs="Times New Roman"/>
                <w:b/>
                <w:bCs/>
                <w:color w:val="auto"/>
                <w:highlight w:val="none"/>
                <w:lang w:val="en-US" w:eastAsia="zh-CN" w:bidi="ar-SA"/>
              </w:rPr>
            </w:pPr>
            <w:r>
              <w:rPr>
                <w:rFonts w:hint="eastAsia" w:ascii="Times New Roman" w:hAnsi="Times New Roman" w:eastAsia="宋体" w:cs="Times New Roman"/>
                <w:b/>
                <w:bCs/>
                <w:color w:val="auto"/>
                <w:highlight w:val="none"/>
                <w:lang w:val="en-US" w:eastAsia="zh-CN" w:bidi="ar-SA"/>
              </w:rPr>
              <w:t>（三）产污环节</w:t>
            </w:r>
          </w:p>
          <w:p w14:paraId="10286922">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本项目运营期污染物主要包括废水、废气、噪声、固体废弃物，其污染工序及污染因素如下：</w:t>
            </w:r>
          </w:p>
          <w:p w14:paraId="21A87F00">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废气：恶臭（待宰区恶臭、屠宰车间及分割车间恶臭、污水处理站恶臭）</w:t>
            </w:r>
            <w:r>
              <w:rPr>
                <w:rFonts w:hint="eastAsia" w:ascii="Times New Roman" w:hAnsi="Times New Roman" w:cs="Times New Roman"/>
                <w:color w:val="auto"/>
                <w:highlight w:val="none"/>
                <w:lang w:val="en-US" w:eastAsia="zh-CN" w:bidi="ar-SA"/>
              </w:rPr>
              <w:t>、污水站厌氧池产生的沼气</w:t>
            </w:r>
            <w:r>
              <w:rPr>
                <w:rFonts w:hint="eastAsia" w:ascii="Times New Roman" w:hAnsi="Times New Roman" w:eastAsia="宋体" w:cs="Times New Roman"/>
                <w:color w:val="auto"/>
                <w:highlight w:val="none"/>
                <w:lang w:val="en-US" w:eastAsia="zh-CN" w:bidi="ar-SA"/>
              </w:rPr>
              <w:t>；</w:t>
            </w:r>
          </w:p>
          <w:p w14:paraId="1417A6B5">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废水：屠宰废水、检疫废水、车辆清洗废水、喷淋塔废水、生活污水；</w:t>
            </w:r>
          </w:p>
          <w:p w14:paraId="3CBD5E57">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噪声：猪叫及设备噪声等，噪声源强约为70~85dB；</w:t>
            </w:r>
          </w:p>
          <w:p w14:paraId="790659A6">
            <w:pPr>
              <w:pStyle w:val="31"/>
              <w:spacing w:after="0" w:line="360" w:lineRule="auto"/>
              <w:ind w:left="0" w:leftChars="0" w:firstLine="480"/>
              <w:rPr>
                <w:rFonts w:hint="default" w:ascii="Times New Roman" w:hAnsi="Times New Roman" w:eastAsia="宋体" w:cs="Times New Roman"/>
                <w:color w:val="auto"/>
                <w:szCs w:val="24"/>
                <w:highlight w:val="none"/>
              </w:rPr>
            </w:pPr>
            <w:r>
              <w:rPr>
                <w:rFonts w:hint="eastAsia" w:ascii="Times New Roman" w:hAnsi="Times New Roman" w:eastAsia="宋体" w:cs="Times New Roman"/>
                <w:color w:val="auto"/>
                <w:highlight w:val="none"/>
                <w:lang w:val="en-US" w:eastAsia="zh-CN" w:bidi="ar-SA"/>
              </w:rPr>
              <w:t>固体废物：</w:t>
            </w:r>
            <w:r>
              <w:rPr>
                <w:rFonts w:hint="eastAsia" w:ascii="Times New Roman" w:hAnsi="Times New Roman" w:eastAsia="宋体" w:cs="Times New Roman"/>
                <w:color w:val="auto"/>
                <w:szCs w:val="24"/>
                <w:highlight w:val="none"/>
                <w:lang w:val="en-US" w:eastAsia="zh-CN"/>
              </w:rPr>
              <w:t>本项目营运期产生的固体废物主要为粪便及肠胃内容物、不可食用内脏和碎肉渣、病死猪、不合格胴体及内脏、厂区污水站格栅渣及污泥、隔油池废油脂、废含油棉纱手套、废矿物油、</w:t>
            </w:r>
            <w:r>
              <w:rPr>
                <w:rFonts w:hint="eastAsia" w:ascii="Times New Roman" w:hAnsi="Times New Roman" w:eastAsia="宋体" w:cs="Times New Roman"/>
                <w:color w:val="auto"/>
                <w:highlight w:val="none"/>
                <w:lang w:val="en-US" w:eastAsia="zh-CN" w:bidi="ar-SA"/>
              </w:rPr>
              <w:t>废活性炭、消毒剂废包装材料、生活垃圾</w:t>
            </w:r>
            <w:r>
              <w:rPr>
                <w:rFonts w:hint="eastAsia" w:ascii="Times New Roman" w:hAnsi="Times New Roman" w:eastAsia="宋体" w:cs="Times New Roman"/>
                <w:color w:val="auto"/>
                <w:szCs w:val="24"/>
                <w:highlight w:val="none"/>
                <w:lang w:val="en-US" w:eastAsia="zh-CN"/>
              </w:rPr>
              <w:t>。</w:t>
            </w:r>
          </w:p>
          <w:p w14:paraId="6B946BC9">
            <w:pPr>
              <w:pStyle w:val="81"/>
              <w:spacing w:line="360" w:lineRule="auto"/>
              <w:ind w:firstLine="480" w:firstLineChars="200"/>
              <w:jc w:val="left"/>
              <w:rPr>
                <w:rFonts w:hint="eastAsia" w:ascii="Times New Roman" w:hAnsi="Times New Roman" w:eastAsia="宋体" w:cs="Times New Roman"/>
                <w:color w:val="auto"/>
                <w:highlight w:val="none"/>
                <w:lang w:val="en-US" w:eastAsia="zh-CN" w:bidi="ar-SA"/>
              </w:rPr>
            </w:pPr>
            <w:r>
              <w:rPr>
                <w:rFonts w:hint="eastAsia" w:ascii="Times New Roman" w:hAnsi="Times New Roman" w:eastAsia="宋体" w:cs="Times New Roman"/>
                <w:color w:val="auto"/>
                <w:highlight w:val="none"/>
                <w:lang w:val="en-US" w:eastAsia="zh-CN" w:bidi="ar-SA"/>
              </w:rPr>
              <w:t>运营期产污环节及污染物类型见下表：</w:t>
            </w:r>
          </w:p>
          <w:p w14:paraId="23C4A246">
            <w:pPr>
              <w:pStyle w:val="15"/>
              <w:numPr>
                <w:ilvl w:val="0"/>
                <w:numId w:val="7"/>
              </w:numPr>
              <w:ind w:left="425" w:leftChars="0" w:hanging="425" w:firstLineChars="0"/>
              <w:rPr>
                <w:rFonts w:hint="default" w:ascii="Times New Roman" w:hAnsi="Times New Roman" w:eastAsia="宋体" w:cs="Times New Roman"/>
                <w:color w:val="auto"/>
                <w:szCs w:val="20"/>
                <w:highlight w:val="none"/>
                <w:lang w:val="en-US" w:eastAsia="zh-CN" w:bidi="ar"/>
              </w:rPr>
            </w:pPr>
            <w:r>
              <w:rPr>
                <w:rFonts w:hint="eastAsia" w:ascii="Times New Roman" w:hAnsi="Times New Roman" w:eastAsia="宋体" w:cs="Times New Roman"/>
                <w:bCs/>
                <w:color w:val="auto"/>
                <w:sz w:val="21"/>
                <w:szCs w:val="21"/>
                <w:highlight w:val="none"/>
                <w:lang w:val="en-US" w:eastAsia="zh-CN"/>
              </w:rPr>
              <w:t>运营期产污环节及污染物类型一览表</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096"/>
              <w:gridCol w:w="2094"/>
              <w:gridCol w:w="2097"/>
            </w:tblGrid>
            <w:tr w14:paraId="2F468D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tcBorders>
                    <w:top w:val="single" w:color="auto" w:sz="8" w:space="0"/>
                    <w:bottom w:val="single" w:color="auto" w:sz="8" w:space="0"/>
                    <w:right w:val="single" w:color="auto" w:sz="8" w:space="0"/>
                  </w:tcBorders>
                  <w:vAlign w:val="center"/>
                </w:tcPr>
                <w:p w14:paraId="4BCF8A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类别</w:t>
                  </w:r>
                </w:p>
              </w:tc>
              <w:tc>
                <w:tcPr>
                  <w:tcW w:w="1250" w:type="pct"/>
                  <w:tcBorders>
                    <w:top w:val="single" w:color="auto" w:sz="8" w:space="0"/>
                    <w:left w:val="single" w:color="auto" w:sz="8" w:space="0"/>
                    <w:bottom w:val="single" w:color="auto" w:sz="8" w:space="0"/>
                    <w:right w:val="single" w:color="auto" w:sz="8" w:space="0"/>
                  </w:tcBorders>
                  <w:vAlign w:val="center"/>
                </w:tcPr>
                <w:p w14:paraId="2B19C2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产污工序</w:t>
                  </w:r>
                </w:p>
              </w:tc>
              <w:tc>
                <w:tcPr>
                  <w:tcW w:w="1249" w:type="pct"/>
                  <w:tcBorders>
                    <w:top w:val="single" w:color="auto" w:sz="8" w:space="0"/>
                    <w:left w:val="single" w:color="auto" w:sz="8" w:space="0"/>
                    <w:bottom w:val="single" w:color="auto" w:sz="8" w:space="0"/>
                    <w:right w:val="single" w:color="auto" w:sz="8" w:space="0"/>
                  </w:tcBorders>
                  <w:vAlign w:val="center"/>
                </w:tcPr>
                <w:p w14:paraId="0650C5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污染物名称</w:t>
                  </w:r>
                </w:p>
              </w:tc>
              <w:tc>
                <w:tcPr>
                  <w:tcW w:w="1251" w:type="pct"/>
                  <w:tcBorders>
                    <w:top w:val="single" w:color="auto" w:sz="8" w:space="0"/>
                    <w:left w:val="single" w:color="auto" w:sz="8" w:space="0"/>
                    <w:bottom w:val="single" w:color="auto" w:sz="8" w:space="0"/>
                  </w:tcBorders>
                  <w:vAlign w:val="center"/>
                </w:tcPr>
                <w:p w14:paraId="13D50E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主要污染因子</w:t>
                  </w:r>
                </w:p>
              </w:tc>
            </w:tr>
            <w:tr w14:paraId="4C25DD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restart"/>
                  <w:tcBorders>
                    <w:top w:val="single" w:color="auto" w:sz="8" w:space="0"/>
                    <w:right w:val="single" w:color="auto" w:sz="8" w:space="0"/>
                  </w:tcBorders>
                  <w:vAlign w:val="center"/>
                </w:tcPr>
                <w:p w14:paraId="56F278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废气</w:t>
                  </w:r>
                </w:p>
              </w:tc>
              <w:tc>
                <w:tcPr>
                  <w:tcW w:w="1250" w:type="pct"/>
                  <w:tcBorders>
                    <w:top w:val="single" w:color="auto" w:sz="8" w:space="0"/>
                    <w:left w:val="single" w:color="auto" w:sz="8" w:space="0"/>
                    <w:bottom w:val="single" w:color="auto" w:sz="8" w:space="0"/>
                    <w:right w:val="single" w:color="auto" w:sz="8" w:space="0"/>
                  </w:tcBorders>
                  <w:vAlign w:val="center"/>
                </w:tcPr>
                <w:p w14:paraId="359A50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待宰圈、急宰间、隔离间、冲淋间</w:t>
                  </w:r>
                </w:p>
              </w:tc>
              <w:tc>
                <w:tcPr>
                  <w:tcW w:w="1249" w:type="pct"/>
                  <w:tcBorders>
                    <w:top w:val="single" w:color="auto" w:sz="8" w:space="0"/>
                    <w:left w:val="single" w:color="auto" w:sz="8" w:space="0"/>
                    <w:bottom w:val="single" w:color="auto" w:sz="8" w:space="0"/>
                    <w:right w:val="single" w:color="auto" w:sz="8" w:space="0"/>
                  </w:tcBorders>
                  <w:vAlign w:val="center"/>
                </w:tcPr>
                <w:p w14:paraId="74F470EB">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恶臭</w:t>
                  </w:r>
                </w:p>
              </w:tc>
              <w:tc>
                <w:tcPr>
                  <w:tcW w:w="1251" w:type="pct"/>
                  <w:tcBorders>
                    <w:top w:val="single" w:color="auto" w:sz="8" w:space="0"/>
                    <w:left w:val="single" w:color="auto" w:sz="8" w:space="0"/>
                    <w:bottom w:val="single" w:color="auto" w:sz="8" w:space="0"/>
                  </w:tcBorders>
                  <w:vAlign w:val="center"/>
                </w:tcPr>
                <w:p w14:paraId="3F93E36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氨、硫化氢、臭气浓度</w:t>
                  </w:r>
                </w:p>
              </w:tc>
            </w:tr>
            <w:tr w14:paraId="6486DC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5B7945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0D9F94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屠宰车间及分割车间</w:t>
                  </w:r>
                </w:p>
              </w:tc>
              <w:tc>
                <w:tcPr>
                  <w:tcW w:w="1249" w:type="pct"/>
                  <w:tcBorders>
                    <w:top w:val="single" w:color="auto" w:sz="8" w:space="0"/>
                    <w:left w:val="single" w:color="auto" w:sz="8" w:space="0"/>
                    <w:bottom w:val="single" w:color="auto" w:sz="8" w:space="0"/>
                    <w:right w:val="single" w:color="auto" w:sz="8" w:space="0"/>
                  </w:tcBorders>
                  <w:vAlign w:val="center"/>
                </w:tcPr>
                <w:p w14:paraId="0AF1E2F0">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恶臭</w:t>
                  </w:r>
                </w:p>
              </w:tc>
              <w:tc>
                <w:tcPr>
                  <w:tcW w:w="1251" w:type="pct"/>
                  <w:tcBorders>
                    <w:top w:val="single" w:color="auto" w:sz="8" w:space="0"/>
                    <w:left w:val="single" w:color="auto" w:sz="8" w:space="0"/>
                    <w:bottom w:val="single" w:color="auto" w:sz="8" w:space="0"/>
                  </w:tcBorders>
                  <w:vAlign w:val="center"/>
                </w:tcPr>
                <w:p w14:paraId="5A6E15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氨、硫化氢、臭气浓度</w:t>
                  </w:r>
                </w:p>
              </w:tc>
            </w:tr>
            <w:tr w14:paraId="4EC30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bottom w:val="single" w:color="auto" w:sz="8" w:space="0"/>
                    <w:right w:val="single" w:color="auto" w:sz="8" w:space="0"/>
                  </w:tcBorders>
                  <w:vAlign w:val="center"/>
                </w:tcPr>
                <w:p w14:paraId="5BA26B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02B852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污水处理站</w:t>
                  </w:r>
                </w:p>
              </w:tc>
              <w:tc>
                <w:tcPr>
                  <w:tcW w:w="1249" w:type="pct"/>
                  <w:tcBorders>
                    <w:top w:val="single" w:color="auto" w:sz="8" w:space="0"/>
                    <w:left w:val="single" w:color="auto" w:sz="8" w:space="0"/>
                    <w:bottom w:val="single" w:color="auto" w:sz="8" w:space="0"/>
                    <w:right w:val="single" w:color="auto" w:sz="8" w:space="0"/>
                  </w:tcBorders>
                  <w:vAlign w:val="center"/>
                </w:tcPr>
                <w:p w14:paraId="626EFA06">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恶臭、沼气</w:t>
                  </w:r>
                </w:p>
              </w:tc>
              <w:tc>
                <w:tcPr>
                  <w:tcW w:w="1251" w:type="pct"/>
                  <w:tcBorders>
                    <w:top w:val="single" w:color="auto" w:sz="8" w:space="0"/>
                    <w:left w:val="single" w:color="auto" w:sz="8" w:space="0"/>
                    <w:bottom w:val="single" w:color="auto" w:sz="8" w:space="0"/>
                  </w:tcBorders>
                  <w:vAlign w:val="center"/>
                </w:tcPr>
                <w:p w14:paraId="069F31C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氨、硫化氢、臭气浓度、甲烷</w:t>
                  </w:r>
                </w:p>
              </w:tc>
            </w:tr>
            <w:tr w14:paraId="7D15A5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restart"/>
                  <w:tcBorders>
                    <w:top w:val="single" w:color="auto" w:sz="8" w:space="0"/>
                    <w:right w:val="single" w:color="auto" w:sz="8" w:space="0"/>
                  </w:tcBorders>
                  <w:vAlign w:val="center"/>
                </w:tcPr>
                <w:p w14:paraId="1BCF81F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废水</w:t>
                  </w:r>
                </w:p>
              </w:tc>
              <w:tc>
                <w:tcPr>
                  <w:tcW w:w="1250" w:type="pct"/>
                  <w:tcBorders>
                    <w:top w:val="single" w:color="auto" w:sz="8" w:space="0"/>
                    <w:left w:val="single" w:color="auto" w:sz="8" w:space="0"/>
                    <w:bottom w:val="single" w:color="auto" w:sz="8" w:space="0"/>
                    <w:right w:val="single" w:color="auto" w:sz="8" w:space="0"/>
                  </w:tcBorders>
                  <w:vAlign w:val="center"/>
                </w:tcPr>
                <w:p w14:paraId="222DF4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待宰圈、急宰间、隔离间、冲淋间、屠宰车间、分割车间</w:t>
                  </w:r>
                </w:p>
              </w:tc>
              <w:tc>
                <w:tcPr>
                  <w:tcW w:w="1249" w:type="pct"/>
                  <w:tcBorders>
                    <w:top w:val="single" w:color="auto" w:sz="8" w:space="0"/>
                    <w:left w:val="single" w:color="auto" w:sz="8" w:space="0"/>
                    <w:bottom w:val="single" w:color="auto" w:sz="8" w:space="0"/>
                    <w:right w:val="single" w:color="auto" w:sz="8" w:space="0"/>
                  </w:tcBorders>
                  <w:vAlign w:val="center"/>
                </w:tcPr>
                <w:p w14:paraId="76B98755">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屠宰废水</w:t>
                  </w:r>
                </w:p>
              </w:tc>
              <w:tc>
                <w:tcPr>
                  <w:tcW w:w="1251" w:type="pct"/>
                  <w:vMerge w:val="restart"/>
                  <w:tcBorders>
                    <w:top w:val="single" w:color="auto" w:sz="8" w:space="0"/>
                    <w:left w:val="single" w:color="auto" w:sz="8" w:space="0"/>
                  </w:tcBorders>
                  <w:vAlign w:val="center"/>
                </w:tcPr>
                <w:p w14:paraId="36A8CC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C</w:t>
                  </w:r>
                  <w:r>
                    <w:rPr>
                      <w:rFonts w:hint="default" w:ascii="Times New Roman" w:hAnsi="Times New Roman" w:eastAsia="宋体" w:cs="Times New Roman"/>
                      <w:i w:val="0"/>
                      <w:iCs w:val="0"/>
                      <w:color w:val="auto"/>
                      <w:kern w:val="0"/>
                      <w:sz w:val="21"/>
                      <w:szCs w:val="21"/>
                      <w:highlight w:val="none"/>
                      <w:u w:val="none"/>
                      <w:lang w:val="en-US" w:eastAsia="zh-CN" w:bidi="ar"/>
                    </w:rPr>
                    <w:t>OD、BOD5、NH3-N、SS、动植物油</w:t>
                  </w:r>
                </w:p>
              </w:tc>
            </w:tr>
            <w:tr w14:paraId="1F9C6D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41E90B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182806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车辆冲洗</w:t>
                  </w:r>
                </w:p>
              </w:tc>
              <w:tc>
                <w:tcPr>
                  <w:tcW w:w="1249" w:type="pct"/>
                  <w:tcBorders>
                    <w:top w:val="single" w:color="auto" w:sz="8" w:space="0"/>
                    <w:left w:val="single" w:color="auto" w:sz="8" w:space="0"/>
                    <w:bottom w:val="single" w:color="auto" w:sz="8" w:space="0"/>
                    <w:right w:val="single" w:color="auto" w:sz="8" w:space="0"/>
                  </w:tcBorders>
                  <w:vAlign w:val="center"/>
                </w:tcPr>
                <w:p w14:paraId="1CE2066F">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车辆冲洗废水</w:t>
                  </w:r>
                </w:p>
              </w:tc>
              <w:tc>
                <w:tcPr>
                  <w:tcW w:w="1251" w:type="pct"/>
                  <w:vMerge w:val="continue"/>
                  <w:tcBorders>
                    <w:left w:val="single" w:color="auto" w:sz="8" w:space="0"/>
                  </w:tcBorders>
                  <w:vAlign w:val="center"/>
                </w:tcPr>
                <w:p w14:paraId="399BB3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ED4B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211F58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7EFFB92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废气治理设施</w:t>
                  </w:r>
                </w:p>
              </w:tc>
              <w:tc>
                <w:tcPr>
                  <w:tcW w:w="1249" w:type="pct"/>
                  <w:tcBorders>
                    <w:top w:val="single" w:color="auto" w:sz="8" w:space="0"/>
                    <w:left w:val="single" w:color="auto" w:sz="8" w:space="0"/>
                    <w:bottom w:val="single" w:color="auto" w:sz="8" w:space="0"/>
                    <w:right w:val="single" w:color="auto" w:sz="8" w:space="0"/>
                  </w:tcBorders>
                  <w:vAlign w:val="center"/>
                </w:tcPr>
                <w:p w14:paraId="65E07D3A">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碱液喷淋塔废水</w:t>
                  </w:r>
                </w:p>
              </w:tc>
              <w:tc>
                <w:tcPr>
                  <w:tcW w:w="1251" w:type="pct"/>
                  <w:vMerge w:val="continue"/>
                  <w:tcBorders>
                    <w:left w:val="single" w:color="auto" w:sz="8" w:space="0"/>
                  </w:tcBorders>
                  <w:vAlign w:val="center"/>
                </w:tcPr>
                <w:p w14:paraId="2341FF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BDAC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5649E1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5272A0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检疫废水</w:t>
                  </w:r>
                </w:p>
              </w:tc>
              <w:tc>
                <w:tcPr>
                  <w:tcW w:w="1249" w:type="pct"/>
                  <w:tcBorders>
                    <w:top w:val="single" w:color="auto" w:sz="8" w:space="0"/>
                    <w:left w:val="single" w:color="auto" w:sz="8" w:space="0"/>
                    <w:bottom w:val="single" w:color="auto" w:sz="8" w:space="0"/>
                    <w:right w:val="single" w:color="auto" w:sz="8" w:space="0"/>
                  </w:tcBorders>
                  <w:vAlign w:val="center"/>
                </w:tcPr>
                <w:p w14:paraId="27A80C57">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检疫废水</w:t>
                  </w:r>
                </w:p>
              </w:tc>
              <w:tc>
                <w:tcPr>
                  <w:tcW w:w="1251" w:type="pct"/>
                  <w:vMerge w:val="continue"/>
                  <w:tcBorders>
                    <w:left w:val="single" w:color="auto" w:sz="8" w:space="0"/>
                  </w:tcBorders>
                  <w:vAlign w:val="center"/>
                </w:tcPr>
                <w:p w14:paraId="20A6432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7014B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bottom w:val="single" w:color="auto" w:sz="8" w:space="0"/>
                    <w:right w:val="single" w:color="auto" w:sz="8" w:space="0"/>
                  </w:tcBorders>
                  <w:vAlign w:val="center"/>
                </w:tcPr>
                <w:p w14:paraId="79F3FB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338A6A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生活废水</w:t>
                  </w:r>
                </w:p>
              </w:tc>
              <w:tc>
                <w:tcPr>
                  <w:tcW w:w="1249" w:type="pct"/>
                  <w:tcBorders>
                    <w:top w:val="single" w:color="auto" w:sz="8" w:space="0"/>
                    <w:left w:val="single" w:color="auto" w:sz="8" w:space="0"/>
                    <w:bottom w:val="single" w:color="auto" w:sz="8" w:space="0"/>
                    <w:right w:val="single" w:color="auto" w:sz="8" w:space="0"/>
                  </w:tcBorders>
                  <w:vAlign w:val="center"/>
                </w:tcPr>
                <w:p w14:paraId="313769BF">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生活废水</w:t>
                  </w:r>
                </w:p>
              </w:tc>
              <w:tc>
                <w:tcPr>
                  <w:tcW w:w="1251" w:type="pct"/>
                  <w:vMerge w:val="continue"/>
                  <w:tcBorders>
                    <w:left w:val="single" w:color="auto" w:sz="8" w:space="0"/>
                    <w:bottom w:val="single" w:color="auto" w:sz="8" w:space="0"/>
                  </w:tcBorders>
                  <w:vAlign w:val="center"/>
                </w:tcPr>
                <w:p w14:paraId="101A41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CBD3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tcBorders>
                    <w:top w:val="single" w:color="auto" w:sz="8" w:space="0"/>
                    <w:bottom w:val="single" w:color="auto" w:sz="8" w:space="0"/>
                    <w:right w:val="single" w:color="auto" w:sz="8" w:space="0"/>
                  </w:tcBorders>
                  <w:vAlign w:val="center"/>
                </w:tcPr>
                <w:p w14:paraId="33C08F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噪声</w:t>
                  </w:r>
                </w:p>
              </w:tc>
              <w:tc>
                <w:tcPr>
                  <w:tcW w:w="1250" w:type="pct"/>
                  <w:tcBorders>
                    <w:top w:val="single" w:color="auto" w:sz="8" w:space="0"/>
                    <w:left w:val="single" w:color="auto" w:sz="8" w:space="0"/>
                    <w:bottom w:val="single" w:color="auto" w:sz="8" w:space="0"/>
                    <w:right w:val="single" w:color="auto" w:sz="8" w:space="0"/>
                  </w:tcBorders>
                  <w:vAlign w:val="center"/>
                </w:tcPr>
                <w:p w14:paraId="3C151F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待宰圈、屠宰车间</w:t>
                  </w:r>
                </w:p>
              </w:tc>
              <w:tc>
                <w:tcPr>
                  <w:tcW w:w="1249" w:type="pct"/>
                  <w:tcBorders>
                    <w:top w:val="single" w:color="auto" w:sz="8" w:space="0"/>
                    <w:left w:val="single" w:color="auto" w:sz="8" w:space="0"/>
                    <w:bottom w:val="single" w:color="auto" w:sz="8" w:space="0"/>
                    <w:right w:val="single" w:color="auto" w:sz="8" w:space="0"/>
                  </w:tcBorders>
                  <w:vAlign w:val="center"/>
                </w:tcPr>
                <w:p w14:paraId="698C2BA8">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猪叫及设备噪声</w:t>
                  </w:r>
                </w:p>
              </w:tc>
              <w:tc>
                <w:tcPr>
                  <w:tcW w:w="1251" w:type="pct"/>
                  <w:tcBorders>
                    <w:top w:val="single" w:color="auto" w:sz="8" w:space="0"/>
                    <w:left w:val="single" w:color="auto" w:sz="8" w:space="0"/>
                    <w:bottom w:val="single" w:color="auto" w:sz="8" w:space="0"/>
                  </w:tcBorders>
                  <w:vAlign w:val="center"/>
                </w:tcPr>
                <w:p w14:paraId="216806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3CB7F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restart"/>
                  <w:tcBorders>
                    <w:top w:val="single" w:color="auto" w:sz="8" w:space="0"/>
                    <w:right w:val="single" w:color="auto" w:sz="8" w:space="0"/>
                  </w:tcBorders>
                  <w:vAlign w:val="center"/>
                </w:tcPr>
                <w:p w14:paraId="7541A41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固废</w:t>
                  </w:r>
                </w:p>
              </w:tc>
              <w:tc>
                <w:tcPr>
                  <w:tcW w:w="1250" w:type="pct"/>
                  <w:tcBorders>
                    <w:top w:val="single" w:color="auto" w:sz="8" w:space="0"/>
                    <w:left w:val="single" w:color="auto" w:sz="8" w:space="0"/>
                    <w:bottom w:val="single" w:color="auto" w:sz="8" w:space="0"/>
                    <w:right w:val="single" w:color="auto" w:sz="8" w:space="0"/>
                  </w:tcBorders>
                  <w:vAlign w:val="center"/>
                </w:tcPr>
                <w:p w14:paraId="14FC348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待宰间</w:t>
                  </w:r>
                </w:p>
              </w:tc>
              <w:tc>
                <w:tcPr>
                  <w:tcW w:w="1249" w:type="pct"/>
                  <w:tcBorders>
                    <w:top w:val="single" w:color="auto" w:sz="8" w:space="0"/>
                    <w:left w:val="single" w:color="auto" w:sz="8" w:space="0"/>
                    <w:bottom w:val="single" w:color="auto" w:sz="8" w:space="0"/>
                    <w:right w:val="single" w:color="auto" w:sz="8" w:space="0"/>
                  </w:tcBorders>
                  <w:vAlign w:val="center"/>
                </w:tcPr>
                <w:p w14:paraId="2F83EFBF">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猪粪</w:t>
                  </w:r>
                </w:p>
              </w:tc>
              <w:tc>
                <w:tcPr>
                  <w:tcW w:w="1251" w:type="pct"/>
                  <w:vMerge w:val="restart"/>
                  <w:tcBorders>
                    <w:top w:val="single" w:color="auto" w:sz="8" w:space="0"/>
                    <w:left w:val="single" w:color="auto" w:sz="8" w:space="0"/>
                  </w:tcBorders>
                  <w:vAlign w:val="center"/>
                </w:tcPr>
                <w:p w14:paraId="41CF553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w:t>
                  </w:r>
                </w:p>
              </w:tc>
            </w:tr>
            <w:tr w14:paraId="1F503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5F631C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285A8D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屠宰车间及分割车间</w:t>
                  </w:r>
                </w:p>
              </w:tc>
              <w:tc>
                <w:tcPr>
                  <w:tcW w:w="1249" w:type="pct"/>
                  <w:tcBorders>
                    <w:top w:val="single" w:color="auto" w:sz="8" w:space="0"/>
                    <w:left w:val="single" w:color="auto" w:sz="8" w:space="0"/>
                    <w:bottom w:val="single" w:color="auto" w:sz="8" w:space="0"/>
                    <w:right w:val="single" w:color="auto" w:sz="8" w:space="0"/>
                  </w:tcBorders>
                  <w:vAlign w:val="center"/>
                </w:tcPr>
                <w:p w14:paraId="67806502">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粪便及胃内容物、不可食用内脏和碎肉渣</w:t>
                  </w:r>
                </w:p>
              </w:tc>
              <w:tc>
                <w:tcPr>
                  <w:tcW w:w="1251" w:type="pct"/>
                  <w:vMerge w:val="continue"/>
                  <w:tcBorders>
                    <w:left w:val="single" w:color="auto" w:sz="8" w:space="0"/>
                  </w:tcBorders>
                  <w:vAlign w:val="center"/>
                </w:tcPr>
                <w:p w14:paraId="24EFCF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604AEC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5EED9C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vAlign w:val="center"/>
                </w:tcPr>
                <w:p w14:paraId="002D68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检疫检查</w:t>
                  </w:r>
                </w:p>
              </w:tc>
              <w:tc>
                <w:tcPr>
                  <w:tcW w:w="1249" w:type="pct"/>
                  <w:tcBorders>
                    <w:top w:val="single" w:color="auto" w:sz="8" w:space="0"/>
                    <w:left w:val="single" w:color="auto" w:sz="8" w:space="0"/>
                    <w:bottom w:val="single" w:color="auto" w:sz="8" w:space="0"/>
                    <w:right w:val="single" w:color="auto" w:sz="8" w:space="0"/>
                  </w:tcBorders>
                  <w:vAlign w:val="center"/>
                </w:tcPr>
                <w:p w14:paraId="2DA06AAE">
                  <w:pPr>
                    <w:pStyle w:val="81"/>
                    <w:kinsoku w:val="0"/>
                    <w:overflowPunct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病死猪</w:t>
                  </w: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不合格胴体及内脏</w:t>
                  </w:r>
                </w:p>
              </w:tc>
              <w:tc>
                <w:tcPr>
                  <w:tcW w:w="1251" w:type="pct"/>
                  <w:vMerge w:val="continue"/>
                  <w:tcBorders>
                    <w:left w:val="single" w:color="auto" w:sz="8" w:space="0"/>
                  </w:tcBorders>
                  <w:vAlign w:val="center"/>
                </w:tcPr>
                <w:p w14:paraId="7CBF1D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B2FF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1E1C1B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shd w:val="clear" w:color="auto" w:fill="auto"/>
                  <w:vAlign w:val="center"/>
                </w:tcPr>
                <w:p w14:paraId="0F2026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办公</w:t>
                  </w:r>
                </w:p>
              </w:tc>
              <w:tc>
                <w:tcPr>
                  <w:tcW w:w="1249" w:type="pct"/>
                  <w:tcBorders>
                    <w:top w:val="single" w:color="auto" w:sz="8" w:space="0"/>
                    <w:left w:val="single" w:color="auto" w:sz="8" w:space="0"/>
                    <w:bottom w:val="single" w:color="auto" w:sz="8" w:space="0"/>
                    <w:right w:val="single" w:color="auto" w:sz="8" w:space="0"/>
                  </w:tcBorders>
                  <w:vAlign w:val="center"/>
                </w:tcPr>
                <w:p w14:paraId="4929FF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生活垃圾</w:t>
                  </w:r>
                </w:p>
              </w:tc>
              <w:tc>
                <w:tcPr>
                  <w:tcW w:w="1251" w:type="pct"/>
                  <w:vMerge w:val="continue"/>
                  <w:tcBorders>
                    <w:left w:val="single" w:color="auto" w:sz="8" w:space="0"/>
                  </w:tcBorders>
                  <w:shd w:val="clear" w:color="auto" w:fill="auto"/>
                  <w:vAlign w:val="center"/>
                </w:tcPr>
                <w:p w14:paraId="4DE209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DC65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2957B9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shd w:val="clear" w:color="auto" w:fill="auto"/>
                  <w:vAlign w:val="center"/>
                </w:tcPr>
                <w:p w14:paraId="7521A18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消毒</w:t>
                  </w:r>
                </w:p>
              </w:tc>
              <w:tc>
                <w:tcPr>
                  <w:tcW w:w="1249" w:type="pct"/>
                  <w:tcBorders>
                    <w:top w:val="single" w:color="auto" w:sz="8" w:space="0"/>
                    <w:left w:val="single" w:color="auto" w:sz="8" w:space="0"/>
                    <w:bottom w:val="single" w:color="auto" w:sz="8" w:space="0"/>
                    <w:right w:val="single" w:color="auto" w:sz="8" w:space="0"/>
                  </w:tcBorders>
                  <w:vAlign w:val="center"/>
                </w:tcPr>
                <w:p w14:paraId="4A9E6D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消毒剂废包装材料</w:t>
                  </w:r>
                </w:p>
              </w:tc>
              <w:tc>
                <w:tcPr>
                  <w:tcW w:w="1251" w:type="pct"/>
                  <w:vMerge w:val="continue"/>
                  <w:tcBorders>
                    <w:left w:val="single" w:color="auto" w:sz="8" w:space="0"/>
                  </w:tcBorders>
                  <w:shd w:val="clear" w:color="auto" w:fill="auto"/>
                  <w:vAlign w:val="center"/>
                </w:tcPr>
                <w:p w14:paraId="09812F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15B840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248" w:type="pct"/>
                  <w:vMerge w:val="continue"/>
                  <w:tcBorders>
                    <w:right w:val="single" w:color="auto" w:sz="8" w:space="0"/>
                  </w:tcBorders>
                  <w:vAlign w:val="center"/>
                </w:tcPr>
                <w:p w14:paraId="0F4CD7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right w:val="single" w:color="auto" w:sz="8" w:space="0"/>
                  </w:tcBorders>
                  <w:shd w:val="clear" w:color="auto" w:fill="auto"/>
                  <w:vAlign w:val="center"/>
                </w:tcPr>
                <w:p w14:paraId="155CA0A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维修</w:t>
                  </w:r>
                </w:p>
              </w:tc>
              <w:tc>
                <w:tcPr>
                  <w:tcW w:w="1249" w:type="pct"/>
                  <w:tcBorders>
                    <w:top w:val="single" w:color="auto" w:sz="8" w:space="0"/>
                    <w:left w:val="single" w:color="auto" w:sz="8" w:space="0"/>
                    <w:bottom w:val="single" w:color="auto" w:sz="8" w:space="0"/>
                    <w:right w:val="single" w:color="auto" w:sz="8" w:space="0"/>
                  </w:tcBorders>
                  <w:shd w:val="clear" w:color="auto" w:fill="auto"/>
                  <w:vAlign w:val="center"/>
                </w:tcPr>
                <w:p w14:paraId="6B55C15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废含油棉纱手套、</w:t>
                  </w:r>
                  <w:r>
                    <w:rPr>
                      <w:rFonts w:hint="eastAsia" w:ascii="Times New Roman" w:hAnsi="Times New Roman" w:eastAsia="宋体" w:cs="Times New Roman"/>
                      <w:i w:val="0"/>
                      <w:iCs w:val="0"/>
                      <w:color w:val="auto"/>
                      <w:kern w:val="0"/>
                      <w:sz w:val="21"/>
                      <w:szCs w:val="21"/>
                      <w:highlight w:val="none"/>
                      <w:u w:val="none"/>
                      <w:lang w:val="en-US" w:eastAsia="zh-CN" w:bidi="ar"/>
                    </w:rPr>
                    <w:t>废矿物油</w:t>
                  </w:r>
                </w:p>
              </w:tc>
              <w:tc>
                <w:tcPr>
                  <w:tcW w:w="1251" w:type="pct"/>
                  <w:vMerge w:val="continue"/>
                  <w:tcBorders>
                    <w:left w:val="single" w:color="auto" w:sz="8" w:space="0"/>
                  </w:tcBorders>
                  <w:shd w:val="clear" w:color="auto" w:fill="auto"/>
                  <w:vAlign w:val="center"/>
                </w:tcPr>
                <w:p w14:paraId="56DC05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0C12F7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4A7E2C5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bottom w:val="single" w:color="auto" w:sz="8" w:space="0"/>
                    <w:right w:val="single" w:color="auto" w:sz="8" w:space="0"/>
                  </w:tcBorders>
                  <w:shd w:val="clear" w:color="auto" w:fill="auto"/>
                  <w:vAlign w:val="center"/>
                </w:tcPr>
                <w:p w14:paraId="29DD54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污水处理站</w:t>
                  </w:r>
                </w:p>
              </w:tc>
              <w:tc>
                <w:tcPr>
                  <w:tcW w:w="1249" w:type="pct"/>
                  <w:tcBorders>
                    <w:top w:val="single" w:color="auto" w:sz="8" w:space="0"/>
                    <w:left w:val="single" w:color="auto" w:sz="8" w:space="0"/>
                    <w:bottom w:val="single" w:color="auto" w:sz="8" w:space="0"/>
                    <w:right w:val="single" w:color="auto" w:sz="8" w:space="0"/>
                  </w:tcBorders>
                  <w:vAlign w:val="center"/>
                </w:tcPr>
                <w:p w14:paraId="056763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厂区污水站格栅渣及污泥</w:t>
                  </w:r>
                  <w:r>
                    <w:rPr>
                      <w:rFonts w:hint="eastAsia" w:ascii="Times New Roman" w:hAnsi="Times New Roman" w:eastAsia="宋体" w:cs="Times New Roman"/>
                      <w:i w:val="0"/>
                      <w:iCs w:val="0"/>
                      <w:color w:val="auto"/>
                      <w:kern w:val="0"/>
                      <w:sz w:val="21"/>
                      <w:szCs w:val="21"/>
                      <w:highlight w:val="none"/>
                      <w:u w:val="none"/>
                      <w:lang w:val="en-US" w:eastAsia="zh-CN" w:bidi="ar"/>
                    </w:rPr>
                    <w:t>、隔油池废油脂</w:t>
                  </w:r>
                </w:p>
              </w:tc>
              <w:tc>
                <w:tcPr>
                  <w:tcW w:w="1251" w:type="pct"/>
                  <w:vMerge w:val="continue"/>
                  <w:tcBorders>
                    <w:left w:val="single" w:color="auto" w:sz="8" w:space="0"/>
                  </w:tcBorders>
                  <w:shd w:val="clear" w:color="auto" w:fill="auto"/>
                  <w:vAlign w:val="center"/>
                </w:tcPr>
                <w:p w14:paraId="09E58DF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501BC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8" w:type="pct"/>
                  <w:vMerge w:val="continue"/>
                  <w:tcBorders>
                    <w:right w:val="single" w:color="auto" w:sz="8" w:space="0"/>
                  </w:tcBorders>
                  <w:vAlign w:val="center"/>
                </w:tcPr>
                <w:p w14:paraId="11B549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250" w:type="pct"/>
                  <w:tcBorders>
                    <w:top w:val="single" w:color="auto" w:sz="8" w:space="0"/>
                    <w:left w:val="single" w:color="auto" w:sz="8" w:space="0"/>
                    <w:right w:val="single" w:color="auto" w:sz="8" w:space="0"/>
                  </w:tcBorders>
                  <w:shd w:val="clear" w:color="auto" w:fill="auto"/>
                  <w:vAlign w:val="center"/>
                </w:tcPr>
                <w:p w14:paraId="0E4EDF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废气处理</w:t>
                  </w:r>
                </w:p>
              </w:tc>
              <w:tc>
                <w:tcPr>
                  <w:tcW w:w="1249" w:type="pct"/>
                  <w:tcBorders>
                    <w:top w:val="single" w:color="auto" w:sz="8" w:space="0"/>
                    <w:left w:val="single" w:color="auto" w:sz="8" w:space="0"/>
                    <w:right w:val="single" w:color="auto" w:sz="8" w:space="0"/>
                  </w:tcBorders>
                  <w:vAlign w:val="center"/>
                </w:tcPr>
                <w:p w14:paraId="5A8ADC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p>
              </w:tc>
              <w:tc>
                <w:tcPr>
                  <w:tcW w:w="1251" w:type="pct"/>
                  <w:vMerge w:val="continue"/>
                  <w:tcBorders>
                    <w:left w:val="single" w:color="auto" w:sz="8" w:space="0"/>
                  </w:tcBorders>
                  <w:shd w:val="clear" w:color="auto" w:fill="auto"/>
                  <w:vAlign w:val="center"/>
                </w:tcPr>
                <w:p w14:paraId="3D83439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bl>
          <w:p w14:paraId="7950451D">
            <w:pPr>
              <w:adjustRightInd w:val="0"/>
              <w:spacing w:line="360" w:lineRule="auto"/>
              <w:ind w:firstLine="480" w:firstLineChars="200"/>
              <w:jc w:val="center"/>
              <w:rPr>
                <w:rFonts w:hint="default" w:ascii="Times New Roman" w:hAnsi="Times New Roman" w:eastAsia="宋体" w:cs="Times New Roman"/>
                <w:color w:val="auto"/>
                <w:highlight w:val="none"/>
              </w:rPr>
            </w:pPr>
          </w:p>
        </w:tc>
      </w:tr>
      <w:tr w14:paraId="063A20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9" w:type="dxa"/>
            <w:vAlign w:val="center"/>
          </w:tcPr>
          <w:p w14:paraId="328A4BD5">
            <w:pPr>
              <w:pStyle w:val="27"/>
              <w:adjustRightInd w:val="0"/>
              <w:snapToGrid w:val="0"/>
              <w:spacing w:before="0" w:beforeAutospacing="0" w:after="0" w:afterAutospacing="0"/>
              <w:jc w:val="center"/>
              <w:rPr>
                <w:rFonts w:hint="default" w:ascii="Times New Roman" w:hAnsi="Times New Roman" w:eastAsia="宋体" w:cs="Times New Roman"/>
                <w:color w:val="auto"/>
                <w:szCs w:val="24"/>
                <w:highlight w:val="none"/>
              </w:rPr>
            </w:pPr>
            <w:r>
              <w:rPr>
                <w:rFonts w:hint="default" w:ascii="Times New Roman" w:hAnsi="Times New Roman" w:eastAsia="宋体" w:cs="Times New Roman"/>
                <w:bCs/>
                <w:color w:val="auto"/>
                <w:kern w:val="2"/>
                <w:szCs w:val="24"/>
                <w:highlight w:val="none"/>
              </w:rPr>
              <w:t>与项目有关的原有环境污染问题</w:t>
            </w:r>
          </w:p>
        </w:tc>
        <w:tc>
          <w:tcPr>
            <w:tcW w:w="13247" w:type="dxa"/>
            <w:vAlign w:val="top"/>
          </w:tcPr>
          <w:p w14:paraId="40A52C69">
            <w:pPr>
              <w:adjustRightInd w:val="0"/>
              <w:spacing w:line="360" w:lineRule="auto"/>
              <w:ind w:firstLine="482" w:firstLineChars="200"/>
              <w:jc w:val="left"/>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一、本项目租赁厂区原有环境污染问题的情况说明</w:t>
            </w:r>
          </w:p>
          <w:p w14:paraId="35EBAC5B">
            <w:pPr>
              <w:pStyle w:val="81"/>
              <w:spacing w:line="360" w:lineRule="auto"/>
              <w:ind w:firstLine="480" w:firstLineChars="200"/>
              <w:jc w:val="left"/>
              <w:rPr>
                <w:rFonts w:hint="default" w:ascii="Times New Roman" w:hAnsi="Times New Roman" w:eastAsia="宋体" w:cs="Times New Roman"/>
                <w:color w:val="auto"/>
                <w:highlight w:val="none"/>
                <w:lang w:val="en-US" w:eastAsia="zh-CN" w:bidi="ar-SA"/>
              </w:rPr>
            </w:pPr>
            <w:r>
              <w:rPr>
                <w:rFonts w:hint="default" w:ascii="Times New Roman" w:hAnsi="Times New Roman" w:eastAsia="宋体" w:cs="Times New Roman"/>
                <w:color w:val="auto"/>
                <w:highlight w:val="none"/>
                <w:lang w:val="en-US" w:bidi="ar-SA"/>
              </w:rPr>
              <w:t>本项目为新建项目，根据现场踏勘，用地范围内现状为</w:t>
            </w:r>
            <w:r>
              <w:rPr>
                <w:rFonts w:hint="eastAsia" w:ascii="Times New Roman" w:hAnsi="Times New Roman" w:eastAsia="宋体" w:cs="Times New Roman"/>
                <w:color w:val="auto"/>
                <w:highlight w:val="none"/>
                <w:lang w:val="en-US" w:eastAsia="zh-CN" w:bidi="ar-SA"/>
              </w:rPr>
              <w:t>林</w:t>
            </w:r>
            <w:r>
              <w:rPr>
                <w:rFonts w:hint="default" w:ascii="Times New Roman" w:hAnsi="Times New Roman" w:eastAsia="宋体" w:cs="Times New Roman"/>
                <w:color w:val="auto"/>
                <w:highlight w:val="none"/>
                <w:lang w:val="en-US" w:bidi="ar-SA"/>
              </w:rPr>
              <w:t>地，项目不存在原有污染情况及环境问题</w:t>
            </w:r>
            <w:r>
              <w:rPr>
                <w:rFonts w:hint="default" w:ascii="Times New Roman" w:hAnsi="Times New Roman" w:eastAsia="宋体" w:cs="Times New Roman"/>
                <w:color w:val="auto"/>
                <w:sz w:val="24"/>
                <w:szCs w:val="24"/>
                <w:highlight w:val="none"/>
                <w:lang w:val="en-US" w:eastAsia="zh-CN"/>
              </w:rPr>
              <w:t>。</w:t>
            </w:r>
          </w:p>
          <w:p w14:paraId="740EBAB6">
            <w:pPr>
              <w:adjustRightIn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现场图片如下：</w:t>
            </w:r>
          </w:p>
          <w:tbl>
            <w:tblPr>
              <w:tblStyle w:val="3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82"/>
            </w:tblGrid>
            <w:tr w14:paraId="03960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21" w:hRule="atLeast"/>
                <w:jc w:val="center"/>
              </w:trPr>
              <w:tc>
                <w:tcPr>
                  <w:tcW w:w="8223" w:type="dxa"/>
                  <w:vAlign w:val="top"/>
                </w:tcPr>
                <w:p w14:paraId="5620D689">
                  <w:pPr>
                    <w:pStyle w:val="30"/>
                    <w:adjustRightInd w:val="0"/>
                    <w:spacing w:before="0" w:after="0" w:line="240" w:lineRule="auto"/>
                    <w:ind w:right="0" w:firstLine="0" w:firstLineChars="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drawing>
                      <wp:inline distT="0" distB="0" distL="114300" distR="114300">
                        <wp:extent cx="3548380" cy="3128010"/>
                        <wp:effectExtent l="0" t="0" r="13970" b="15240"/>
                        <wp:docPr id="30" name="图片 30" descr="875c9578b9831b9cec6139480aea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875c9578b9831b9cec6139480aea6bf"/>
                                <pic:cNvPicPr>
                                  <a:picLocks noChangeAspect="1"/>
                                </pic:cNvPicPr>
                              </pic:nvPicPr>
                              <pic:blipFill>
                                <a:blip r:embed="rId30"/>
                                <a:stretch>
                                  <a:fillRect/>
                                </a:stretch>
                              </pic:blipFill>
                              <pic:spPr>
                                <a:xfrm>
                                  <a:off x="0" y="0"/>
                                  <a:ext cx="3548380" cy="3128010"/>
                                </a:xfrm>
                                <a:prstGeom prst="rect">
                                  <a:avLst/>
                                </a:prstGeom>
                              </pic:spPr>
                            </pic:pic>
                          </a:graphicData>
                        </a:graphic>
                      </wp:inline>
                    </w:drawing>
                  </w:r>
                </w:p>
                <w:p w14:paraId="2F876F9F">
                  <w:pPr>
                    <w:jc w:val="center"/>
                    <w:rPr>
                      <w:rFonts w:hint="default"/>
                      <w:color w:val="auto"/>
                      <w:highlight w:val="none"/>
                      <w:lang w:eastAsia="zh-CN"/>
                    </w:rPr>
                  </w:pPr>
                  <w:r>
                    <w:rPr>
                      <w:rFonts w:hint="default"/>
                      <w:color w:val="auto"/>
                      <w:highlight w:val="none"/>
                      <w:lang w:eastAsia="zh-CN"/>
                    </w:rPr>
                    <w:drawing>
                      <wp:inline distT="0" distB="0" distL="114300" distR="114300">
                        <wp:extent cx="3474720" cy="2726055"/>
                        <wp:effectExtent l="0" t="0" r="11430" b="17145"/>
                        <wp:docPr id="31" name="图片 31" descr="eb1363249eb9c1ca2c8d999fa09fc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eb1363249eb9c1ca2c8d999fa09fc27"/>
                                <pic:cNvPicPr>
                                  <a:picLocks noChangeAspect="1"/>
                                </pic:cNvPicPr>
                              </pic:nvPicPr>
                              <pic:blipFill>
                                <a:blip r:embed="rId31"/>
                                <a:stretch>
                                  <a:fillRect/>
                                </a:stretch>
                              </pic:blipFill>
                              <pic:spPr>
                                <a:xfrm>
                                  <a:off x="0" y="0"/>
                                  <a:ext cx="3474720" cy="2726055"/>
                                </a:xfrm>
                                <a:prstGeom prst="rect">
                                  <a:avLst/>
                                </a:prstGeom>
                              </pic:spPr>
                            </pic:pic>
                          </a:graphicData>
                        </a:graphic>
                      </wp:inline>
                    </w:drawing>
                  </w:r>
                </w:p>
                <w:p w14:paraId="2E10744E">
                  <w:pPr>
                    <w:rPr>
                      <w:rFonts w:hint="default"/>
                      <w:color w:val="auto"/>
                      <w:highlight w:val="none"/>
                      <w:lang w:eastAsia="zh-CN"/>
                    </w:rPr>
                  </w:pPr>
                </w:p>
              </w:tc>
            </w:tr>
            <w:tr w14:paraId="4F1A1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223" w:type="dxa"/>
                  <w:vAlign w:val="top"/>
                </w:tcPr>
                <w:p w14:paraId="2643A0D4">
                  <w:pPr>
                    <w:pStyle w:val="30"/>
                    <w:ind w:firstLine="0" w:firstLineChars="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图2</w:t>
                  </w:r>
                  <w:r>
                    <w:rPr>
                      <w:rFonts w:hint="eastAsia" w:cs="Times New Roman"/>
                      <w:b/>
                      <w:color w:val="auto"/>
                      <w:highlight w:val="none"/>
                      <w:lang w:val="en-US" w:eastAsia="zh-CN"/>
                    </w:rPr>
                    <w:t>-9</w:t>
                  </w:r>
                  <w:r>
                    <w:rPr>
                      <w:rFonts w:hint="default" w:ascii="Times New Roman" w:hAnsi="Times New Roman" w:eastAsia="宋体" w:cs="Times New Roman"/>
                      <w:b/>
                      <w:color w:val="auto"/>
                      <w:highlight w:val="none"/>
                    </w:rPr>
                    <w:t xml:space="preserve">  </w:t>
                  </w:r>
                  <w:r>
                    <w:rPr>
                      <w:rFonts w:hint="eastAsia" w:ascii="Times New Roman" w:hAnsi="Times New Roman" w:eastAsia="宋体" w:cs="Times New Roman"/>
                      <w:b/>
                      <w:color w:val="auto"/>
                      <w:highlight w:val="none"/>
                      <w:lang w:val="en-US" w:eastAsia="zh-CN"/>
                    </w:rPr>
                    <w:t>项目所在地</w:t>
                  </w:r>
                  <w:r>
                    <w:rPr>
                      <w:rFonts w:hint="default" w:ascii="Times New Roman" w:hAnsi="Times New Roman" w:eastAsia="宋体" w:cs="Times New Roman"/>
                      <w:b/>
                      <w:color w:val="auto"/>
                      <w:highlight w:val="none"/>
                    </w:rPr>
                    <w:t>现状图片</w:t>
                  </w:r>
                </w:p>
                <w:p w14:paraId="21453141">
                  <w:pPr>
                    <w:rPr>
                      <w:rFonts w:hint="default"/>
                      <w:color w:val="auto"/>
                      <w:highlight w:val="none"/>
                    </w:rPr>
                  </w:pPr>
                </w:p>
              </w:tc>
            </w:tr>
          </w:tbl>
          <w:p w14:paraId="6D3042EA">
            <w:pPr>
              <w:pStyle w:val="97"/>
              <w:ind w:left="0" w:leftChars="0" w:firstLine="480" w:firstLineChars="200"/>
              <w:rPr>
                <w:rFonts w:hint="default" w:ascii="Times New Roman" w:hAnsi="Times New Roman" w:eastAsia="宋体" w:cs="Times New Roman"/>
                <w:color w:val="auto"/>
                <w:highlight w:val="none"/>
              </w:rPr>
            </w:pPr>
          </w:p>
        </w:tc>
      </w:tr>
    </w:tbl>
    <w:p w14:paraId="6944F632">
      <w:pPr>
        <w:pStyle w:val="17"/>
        <w:rPr>
          <w:rFonts w:hint="default"/>
          <w:color w:val="auto"/>
          <w:highlight w:val="none"/>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E41DABA">
      <w:pPr>
        <w:pStyle w:val="27"/>
        <w:ind w:firstLine="600"/>
        <w:jc w:val="center"/>
        <w:outlineLvl w:val="0"/>
        <w:rPr>
          <w:rFonts w:hint="default" w:ascii="Times New Roman" w:hAnsi="Times New Roman" w:eastAsia="宋体" w:cs="Times New Roman"/>
          <w:snapToGrid w:val="0"/>
          <w:color w:val="auto"/>
          <w:sz w:val="30"/>
          <w:szCs w:val="30"/>
          <w:highlight w:val="none"/>
        </w:rPr>
      </w:pPr>
      <w:r>
        <w:rPr>
          <w:rFonts w:hint="default" w:ascii="Times New Roman" w:hAnsi="Times New Roman" w:eastAsia="宋体" w:cs="Times New Roman"/>
          <w:snapToGrid w:val="0"/>
          <w:color w:val="auto"/>
          <w:sz w:val="30"/>
          <w:szCs w:val="30"/>
          <w:highlight w:val="none"/>
        </w:rPr>
        <w:t>三、区域环境质量现状、环境保护目标及评价标准</w:t>
      </w:r>
      <w:bookmarkEnd w:id="5"/>
    </w:p>
    <w:tbl>
      <w:tblPr>
        <w:tblStyle w:val="32"/>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8609"/>
      </w:tblGrid>
      <w:tr w14:paraId="244E11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0" w:type="dxa"/>
            <w:vAlign w:val="center"/>
          </w:tcPr>
          <w:p w14:paraId="3C441A34">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区域</w:t>
            </w:r>
          </w:p>
          <w:p w14:paraId="513C71AB">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环境</w:t>
            </w:r>
          </w:p>
          <w:p w14:paraId="43187954">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质量</w:t>
            </w:r>
          </w:p>
          <w:p w14:paraId="730D0071">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现状</w:t>
            </w:r>
          </w:p>
        </w:tc>
        <w:tc>
          <w:tcPr>
            <w:tcW w:w="8222" w:type="dxa"/>
            <w:vAlign w:val="center"/>
          </w:tcPr>
          <w:p w14:paraId="492A195A">
            <w:pPr>
              <w:pStyle w:val="17"/>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default" w:ascii="Times New Roman" w:hAnsi="Times New Roman" w:eastAsia="宋体" w:cs="Times New Roman"/>
                <w:b/>
                <w:bCs/>
                <w:color w:val="auto"/>
                <w:szCs w:val="24"/>
                <w:highlight w:val="none"/>
              </w:rPr>
            </w:pPr>
            <w:bookmarkStart w:id="6" w:name="_Toc389637999"/>
            <w:bookmarkStart w:id="7" w:name="_Toc389327105"/>
            <w:bookmarkStart w:id="8" w:name="_Toc390704196"/>
            <w:bookmarkStart w:id="9" w:name="_Toc390704306"/>
            <w:r>
              <w:rPr>
                <w:rFonts w:hint="default" w:ascii="Times New Roman" w:hAnsi="Times New Roman" w:eastAsia="宋体" w:cs="Times New Roman"/>
                <w:b/>
                <w:bCs/>
                <w:color w:val="auto"/>
                <w:szCs w:val="24"/>
                <w:highlight w:val="none"/>
              </w:rPr>
              <w:t>一、环境空气质量</w:t>
            </w:r>
          </w:p>
          <w:p w14:paraId="49D88F5B">
            <w:pPr>
              <w:pStyle w:val="11"/>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default" w:ascii="Times New Roman" w:hAnsi="Times New Roman" w:eastAsia="宋体" w:cs="Times New Roman"/>
                <w:b/>
                <w:bCs w:val="0"/>
                <w:color w:val="auto"/>
                <w:szCs w:val="24"/>
                <w:highlight w:val="none"/>
              </w:rPr>
            </w:pPr>
            <w:r>
              <w:rPr>
                <w:rFonts w:hint="default" w:ascii="Times New Roman" w:hAnsi="Times New Roman" w:eastAsia="宋体" w:cs="Times New Roman"/>
                <w:b/>
                <w:bCs w:val="0"/>
                <w:color w:val="auto"/>
                <w:szCs w:val="24"/>
                <w:highlight w:val="none"/>
              </w:rPr>
              <w:t>（1）</w:t>
            </w:r>
            <w:r>
              <w:rPr>
                <w:rFonts w:hint="eastAsia" w:cs="Times New Roman"/>
                <w:b/>
                <w:bCs w:val="0"/>
                <w:color w:val="auto"/>
                <w:szCs w:val="24"/>
                <w:highlight w:val="none"/>
                <w:lang w:val="en-US" w:eastAsia="zh-CN"/>
              </w:rPr>
              <w:t>环境空气</w:t>
            </w:r>
            <w:r>
              <w:rPr>
                <w:rFonts w:hint="default" w:ascii="Times New Roman" w:hAnsi="Times New Roman" w:eastAsia="宋体" w:cs="Times New Roman"/>
                <w:b/>
                <w:bCs w:val="0"/>
                <w:color w:val="auto"/>
                <w:szCs w:val="24"/>
                <w:highlight w:val="none"/>
              </w:rPr>
              <w:t>达标区判定</w:t>
            </w:r>
          </w:p>
          <w:p w14:paraId="49D28E06">
            <w:pPr>
              <w:pStyle w:val="11"/>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b w:val="0"/>
                <w:bCs/>
                <w:color w:val="auto"/>
                <w:szCs w:val="24"/>
                <w:highlight w:val="none"/>
              </w:rPr>
            </w:pPr>
            <w:r>
              <w:rPr>
                <w:rFonts w:hint="default" w:ascii="Times New Roman" w:hAnsi="Times New Roman" w:eastAsia="宋体" w:cs="Times New Roman"/>
                <w:b w:val="0"/>
                <w:bCs/>
                <w:color w:val="auto"/>
                <w:szCs w:val="24"/>
                <w:highlight w:val="none"/>
              </w:rPr>
              <w:t>根据《建设项目环境影响报告表编制技术指南污染影响类（试行）》：大气环境。常规污染物引用与建设项目距离近的有效数据，包括近3年的规划环境影响评价的监测数据，国家、地方环境空气质量监测网数据或生态环境主管部门公开发布的质量数据等。排放国家、地方环境空气质量标准中有标准限值要求的特征污染物时，引用建设项目周边5千米范围内近3年的现有监测数据，无相关数据的选择当季主导风向下风向1个点位补充不少于3天的监测数据。</w:t>
            </w:r>
          </w:p>
          <w:p w14:paraId="518A93EC">
            <w:pPr>
              <w:pStyle w:val="11"/>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b w:val="0"/>
                <w:bCs/>
                <w:color w:val="auto"/>
                <w:szCs w:val="24"/>
                <w:highlight w:val="none"/>
              </w:rPr>
            </w:pPr>
            <w:r>
              <w:rPr>
                <w:rFonts w:hint="eastAsia" w:cs="Times New Roman"/>
                <w:b w:val="0"/>
                <w:bCs/>
                <w:color w:val="auto"/>
                <w:szCs w:val="24"/>
                <w:highlight w:val="none"/>
                <w:lang w:val="en-US" w:eastAsia="zh-CN"/>
              </w:rPr>
              <w:t>本项目位于泸定县磨西镇，位于泸定县城西南侧约29km处。</w:t>
            </w:r>
            <w:r>
              <w:rPr>
                <w:rFonts w:hint="default" w:ascii="Times New Roman" w:hAnsi="Times New Roman" w:eastAsia="宋体" w:cs="Times New Roman"/>
                <w:b w:val="0"/>
                <w:bCs/>
                <w:color w:val="auto"/>
                <w:szCs w:val="24"/>
                <w:highlight w:val="none"/>
              </w:rPr>
              <w:t>根据《泸定县2023年度环境质量报告书》，2023年1-12月应测天数334天，有效监测天数为334天，优良天率为100%。空气质量达标判定见下表：</w:t>
            </w:r>
          </w:p>
          <w:p w14:paraId="0EE6723A">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泸定县2023年环境空气质量报告数据一览表</w:t>
            </w:r>
          </w:p>
          <w:tbl>
            <w:tblPr>
              <w:tblStyle w:val="33"/>
              <w:tblW w:w="49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686"/>
              <w:gridCol w:w="1687"/>
              <w:gridCol w:w="693"/>
              <w:gridCol w:w="1417"/>
              <w:gridCol w:w="1172"/>
              <w:gridCol w:w="1021"/>
              <w:gridCol w:w="998"/>
            </w:tblGrid>
            <w:tr w14:paraId="0C75C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tcPr>
                <w:p w14:paraId="4A62ED11">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地点</w:t>
                  </w:r>
                </w:p>
              </w:tc>
              <w:tc>
                <w:tcPr>
                  <w:tcW w:w="1422" w:type="pct"/>
                  <w:gridSpan w:val="2"/>
                </w:tcPr>
                <w:p w14:paraId="630874B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监测因子</w:t>
                  </w:r>
                </w:p>
              </w:tc>
              <w:tc>
                <w:tcPr>
                  <w:tcW w:w="415" w:type="pct"/>
                </w:tcPr>
                <w:p w14:paraId="6C323B5D">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浓度</w:t>
                  </w:r>
                </w:p>
              </w:tc>
              <w:tc>
                <w:tcPr>
                  <w:tcW w:w="849" w:type="pct"/>
                </w:tcPr>
                <w:p w14:paraId="7CDEAE7A">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标准值（二级）</w:t>
                  </w:r>
                </w:p>
              </w:tc>
              <w:tc>
                <w:tcPr>
                  <w:tcW w:w="702" w:type="pct"/>
                </w:tcPr>
                <w:p w14:paraId="1D4FEA7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占标率%</w:t>
                  </w:r>
                </w:p>
              </w:tc>
              <w:tc>
                <w:tcPr>
                  <w:tcW w:w="612" w:type="pct"/>
                  <w:tcBorders>
                    <w:right w:val="single" w:color="auto" w:sz="4" w:space="0"/>
                  </w:tcBorders>
                </w:tcPr>
                <w:p w14:paraId="469B6AAC">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达标判定</w:t>
                  </w:r>
                </w:p>
              </w:tc>
              <w:tc>
                <w:tcPr>
                  <w:tcW w:w="598" w:type="pct"/>
                  <w:tcBorders>
                    <w:right w:val="nil"/>
                  </w:tcBorders>
                </w:tcPr>
                <w:p w14:paraId="7815399D">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一级标准</w:t>
                  </w:r>
                </w:p>
              </w:tc>
            </w:tr>
            <w:tr w14:paraId="2F368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vMerge w:val="restart"/>
                  <w:tcBorders>
                    <w:left w:val="nil"/>
                  </w:tcBorders>
                  <w:vAlign w:val="center"/>
                </w:tcPr>
                <w:p w14:paraId="4773E16B">
                  <w:pPr>
                    <w:pStyle w:val="11"/>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泸定县政府综合大楼</w:t>
                  </w:r>
                </w:p>
              </w:tc>
              <w:tc>
                <w:tcPr>
                  <w:tcW w:w="411" w:type="pct"/>
                  <w:vAlign w:val="center"/>
                </w:tcPr>
                <w:p w14:paraId="29E5447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SO</w:t>
                  </w:r>
                  <w:r>
                    <w:rPr>
                      <w:rFonts w:hint="eastAsia" w:cs="Times New Roman"/>
                      <w:b w:val="0"/>
                      <w:bCs w:val="0"/>
                      <w:color w:val="auto"/>
                      <w:sz w:val="18"/>
                      <w:szCs w:val="18"/>
                      <w:highlight w:val="none"/>
                      <w:vertAlign w:val="subscript"/>
                      <w:lang w:val="en-US" w:eastAsia="zh-CN"/>
                    </w:rPr>
                    <w:t>2</w:t>
                  </w:r>
                </w:p>
              </w:tc>
              <w:tc>
                <w:tcPr>
                  <w:tcW w:w="1011" w:type="pct"/>
                </w:tcPr>
                <w:p w14:paraId="50DA2702">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年均值（ug/m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w:t>
                  </w:r>
                </w:p>
              </w:tc>
              <w:tc>
                <w:tcPr>
                  <w:tcW w:w="415" w:type="pct"/>
                  <w:vAlign w:val="center"/>
                </w:tcPr>
                <w:p w14:paraId="0860483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5</w:t>
                  </w:r>
                </w:p>
              </w:tc>
              <w:tc>
                <w:tcPr>
                  <w:tcW w:w="849" w:type="pct"/>
                  <w:vAlign w:val="center"/>
                </w:tcPr>
                <w:p w14:paraId="728C0020">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60</w:t>
                  </w:r>
                </w:p>
              </w:tc>
              <w:tc>
                <w:tcPr>
                  <w:tcW w:w="702" w:type="pct"/>
                  <w:vAlign w:val="center"/>
                </w:tcPr>
                <w:p w14:paraId="52165555">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8.3</w:t>
                  </w:r>
                </w:p>
              </w:tc>
              <w:tc>
                <w:tcPr>
                  <w:tcW w:w="612" w:type="pct"/>
                  <w:tcBorders>
                    <w:right w:val="single" w:color="auto" w:sz="4" w:space="0"/>
                  </w:tcBorders>
                  <w:vAlign w:val="center"/>
                </w:tcPr>
                <w:p w14:paraId="7A52D016">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w:t>
                  </w:r>
                </w:p>
              </w:tc>
              <w:tc>
                <w:tcPr>
                  <w:tcW w:w="598" w:type="pct"/>
                  <w:tcBorders>
                    <w:right w:val="nil"/>
                  </w:tcBorders>
                  <w:vAlign w:val="center"/>
                </w:tcPr>
                <w:p w14:paraId="5BEDC4F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20</w:t>
                  </w:r>
                </w:p>
              </w:tc>
            </w:tr>
            <w:tr w14:paraId="7DD12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vMerge w:val="continue"/>
                  <w:tcBorders>
                    <w:left w:val="nil"/>
                  </w:tcBorders>
                </w:tcPr>
                <w:p w14:paraId="0FAD9243">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val="0"/>
                      <w:bCs w:val="0"/>
                      <w:color w:val="auto"/>
                      <w:sz w:val="18"/>
                      <w:szCs w:val="18"/>
                      <w:highlight w:val="none"/>
                      <w:vertAlign w:val="baseline"/>
                      <w:lang w:val="en-US" w:eastAsia="zh-CN"/>
                    </w:rPr>
                  </w:pPr>
                </w:p>
              </w:tc>
              <w:tc>
                <w:tcPr>
                  <w:tcW w:w="411" w:type="pct"/>
                  <w:vAlign w:val="center"/>
                </w:tcPr>
                <w:p w14:paraId="424D95B3">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NO</w:t>
                  </w:r>
                  <w:r>
                    <w:rPr>
                      <w:rFonts w:hint="eastAsia" w:cs="Times New Roman"/>
                      <w:b w:val="0"/>
                      <w:bCs w:val="0"/>
                      <w:color w:val="auto"/>
                      <w:sz w:val="18"/>
                      <w:szCs w:val="18"/>
                      <w:highlight w:val="none"/>
                      <w:vertAlign w:val="subscript"/>
                      <w:lang w:val="en-US" w:eastAsia="zh-CN"/>
                    </w:rPr>
                    <w:t>2</w:t>
                  </w:r>
                </w:p>
              </w:tc>
              <w:tc>
                <w:tcPr>
                  <w:tcW w:w="1011" w:type="pct"/>
                </w:tcPr>
                <w:p w14:paraId="142339FD">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rPr>
                  </w:pPr>
                  <w:r>
                    <w:rPr>
                      <w:rFonts w:hint="eastAsia" w:cs="Times New Roman"/>
                      <w:b w:val="0"/>
                      <w:bCs w:val="0"/>
                      <w:color w:val="auto"/>
                      <w:sz w:val="18"/>
                      <w:szCs w:val="18"/>
                      <w:highlight w:val="none"/>
                      <w:vertAlign w:val="baseline"/>
                      <w:lang w:val="en-US" w:eastAsia="zh-CN"/>
                    </w:rPr>
                    <w:t>年均值（ug/m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w:t>
                  </w:r>
                </w:p>
              </w:tc>
              <w:tc>
                <w:tcPr>
                  <w:tcW w:w="415" w:type="pct"/>
                  <w:vAlign w:val="center"/>
                </w:tcPr>
                <w:p w14:paraId="090AF58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12</w:t>
                  </w:r>
                </w:p>
              </w:tc>
              <w:tc>
                <w:tcPr>
                  <w:tcW w:w="849" w:type="pct"/>
                  <w:vAlign w:val="center"/>
                </w:tcPr>
                <w:p w14:paraId="770E6159">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40</w:t>
                  </w:r>
                </w:p>
              </w:tc>
              <w:tc>
                <w:tcPr>
                  <w:tcW w:w="702" w:type="pct"/>
                  <w:vAlign w:val="center"/>
                </w:tcPr>
                <w:p w14:paraId="05BCE5D6">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30</w:t>
                  </w:r>
                </w:p>
              </w:tc>
              <w:tc>
                <w:tcPr>
                  <w:tcW w:w="612" w:type="pct"/>
                  <w:tcBorders>
                    <w:right w:val="single" w:color="auto" w:sz="4" w:space="0"/>
                  </w:tcBorders>
                  <w:vAlign w:val="center"/>
                </w:tcPr>
                <w:p w14:paraId="0FF13943">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w:t>
                  </w:r>
                </w:p>
              </w:tc>
              <w:tc>
                <w:tcPr>
                  <w:tcW w:w="598" w:type="pct"/>
                  <w:tcBorders>
                    <w:right w:val="nil"/>
                  </w:tcBorders>
                  <w:vAlign w:val="center"/>
                </w:tcPr>
                <w:p w14:paraId="57F61E51">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40</w:t>
                  </w:r>
                </w:p>
              </w:tc>
            </w:tr>
            <w:tr w14:paraId="3B1FE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vMerge w:val="continue"/>
                  <w:tcBorders>
                    <w:left w:val="nil"/>
                  </w:tcBorders>
                </w:tcPr>
                <w:p w14:paraId="74F714C7">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val="0"/>
                      <w:bCs w:val="0"/>
                      <w:color w:val="auto"/>
                      <w:sz w:val="18"/>
                      <w:szCs w:val="18"/>
                      <w:highlight w:val="none"/>
                      <w:vertAlign w:val="baseline"/>
                      <w:lang w:val="en-US" w:eastAsia="zh-CN"/>
                    </w:rPr>
                  </w:pPr>
                </w:p>
              </w:tc>
              <w:tc>
                <w:tcPr>
                  <w:tcW w:w="411" w:type="pct"/>
                  <w:vAlign w:val="center"/>
                </w:tcPr>
                <w:p w14:paraId="658807FD">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CO</w:t>
                  </w:r>
                </w:p>
              </w:tc>
              <w:tc>
                <w:tcPr>
                  <w:tcW w:w="1011" w:type="pct"/>
                </w:tcPr>
                <w:p w14:paraId="1B3FBE2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日均值第95百分位浓度值（mg/m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w:t>
                  </w:r>
                </w:p>
              </w:tc>
              <w:tc>
                <w:tcPr>
                  <w:tcW w:w="415" w:type="pct"/>
                  <w:vAlign w:val="center"/>
                </w:tcPr>
                <w:p w14:paraId="47DF7AC8">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0.8</w:t>
                  </w:r>
                </w:p>
              </w:tc>
              <w:tc>
                <w:tcPr>
                  <w:tcW w:w="849" w:type="pct"/>
                  <w:vAlign w:val="center"/>
                </w:tcPr>
                <w:p w14:paraId="78751B91">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4</w:t>
                  </w:r>
                </w:p>
              </w:tc>
              <w:tc>
                <w:tcPr>
                  <w:tcW w:w="702" w:type="pct"/>
                  <w:vAlign w:val="center"/>
                </w:tcPr>
                <w:p w14:paraId="316FF000">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20</w:t>
                  </w:r>
                </w:p>
              </w:tc>
              <w:tc>
                <w:tcPr>
                  <w:tcW w:w="612" w:type="pct"/>
                  <w:tcBorders>
                    <w:right w:val="single" w:color="auto" w:sz="4" w:space="0"/>
                  </w:tcBorders>
                  <w:vAlign w:val="center"/>
                </w:tcPr>
                <w:p w14:paraId="3F9E83A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w:t>
                  </w:r>
                </w:p>
              </w:tc>
              <w:tc>
                <w:tcPr>
                  <w:tcW w:w="598" w:type="pct"/>
                  <w:tcBorders>
                    <w:right w:val="nil"/>
                  </w:tcBorders>
                  <w:vAlign w:val="center"/>
                </w:tcPr>
                <w:p w14:paraId="5CB7904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4</w:t>
                  </w:r>
                </w:p>
              </w:tc>
            </w:tr>
            <w:tr w14:paraId="44125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vMerge w:val="continue"/>
                  <w:tcBorders>
                    <w:left w:val="nil"/>
                  </w:tcBorders>
                </w:tcPr>
                <w:p w14:paraId="6E5FBC8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val="0"/>
                      <w:bCs w:val="0"/>
                      <w:color w:val="auto"/>
                      <w:sz w:val="18"/>
                      <w:szCs w:val="18"/>
                      <w:highlight w:val="none"/>
                      <w:vertAlign w:val="baseline"/>
                      <w:lang w:val="en-US" w:eastAsia="zh-CN"/>
                    </w:rPr>
                  </w:pPr>
                </w:p>
              </w:tc>
              <w:tc>
                <w:tcPr>
                  <w:tcW w:w="411" w:type="pct"/>
                  <w:vAlign w:val="center"/>
                </w:tcPr>
                <w:p w14:paraId="3030BA5B">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O</w:t>
                  </w:r>
                  <w:r>
                    <w:rPr>
                      <w:rFonts w:hint="eastAsia" w:cs="Times New Roman"/>
                      <w:b w:val="0"/>
                      <w:bCs w:val="0"/>
                      <w:color w:val="auto"/>
                      <w:sz w:val="18"/>
                      <w:szCs w:val="18"/>
                      <w:highlight w:val="none"/>
                      <w:vertAlign w:val="subscript"/>
                      <w:lang w:val="en-US" w:eastAsia="zh-CN"/>
                    </w:rPr>
                    <w:t>3</w:t>
                  </w:r>
                </w:p>
              </w:tc>
              <w:tc>
                <w:tcPr>
                  <w:tcW w:w="1011" w:type="pct"/>
                </w:tcPr>
                <w:p w14:paraId="115B7E19">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日最大8小时均值第90百分位浓度值（ug/m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w:t>
                  </w:r>
                </w:p>
              </w:tc>
              <w:tc>
                <w:tcPr>
                  <w:tcW w:w="415" w:type="pct"/>
                  <w:vAlign w:val="center"/>
                </w:tcPr>
                <w:p w14:paraId="58F07C73">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90</w:t>
                  </w:r>
                </w:p>
              </w:tc>
              <w:tc>
                <w:tcPr>
                  <w:tcW w:w="849" w:type="pct"/>
                  <w:vAlign w:val="center"/>
                </w:tcPr>
                <w:p w14:paraId="78E4494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160</w:t>
                  </w:r>
                </w:p>
              </w:tc>
              <w:tc>
                <w:tcPr>
                  <w:tcW w:w="702" w:type="pct"/>
                  <w:vAlign w:val="center"/>
                </w:tcPr>
                <w:p w14:paraId="21295166">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56.25</w:t>
                  </w:r>
                </w:p>
              </w:tc>
              <w:tc>
                <w:tcPr>
                  <w:tcW w:w="612" w:type="pct"/>
                  <w:tcBorders>
                    <w:right w:val="single" w:color="auto" w:sz="4" w:space="0"/>
                  </w:tcBorders>
                  <w:vAlign w:val="center"/>
                </w:tcPr>
                <w:p w14:paraId="6B195592">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w:t>
                  </w:r>
                </w:p>
              </w:tc>
              <w:tc>
                <w:tcPr>
                  <w:tcW w:w="598" w:type="pct"/>
                  <w:tcBorders>
                    <w:right w:val="nil"/>
                  </w:tcBorders>
                  <w:vAlign w:val="center"/>
                </w:tcPr>
                <w:p w14:paraId="0F7CCEBB">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100</w:t>
                  </w:r>
                </w:p>
              </w:tc>
            </w:tr>
            <w:tr w14:paraId="16B85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vMerge w:val="continue"/>
                  <w:tcBorders>
                    <w:left w:val="nil"/>
                  </w:tcBorders>
                </w:tcPr>
                <w:p w14:paraId="0B7871FB">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val="0"/>
                      <w:bCs w:val="0"/>
                      <w:color w:val="auto"/>
                      <w:sz w:val="18"/>
                      <w:szCs w:val="18"/>
                      <w:highlight w:val="none"/>
                      <w:vertAlign w:val="baseline"/>
                      <w:lang w:val="en-US" w:eastAsia="zh-CN"/>
                    </w:rPr>
                  </w:pPr>
                </w:p>
              </w:tc>
              <w:tc>
                <w:tcPr>
                  <w:tcW w:w="411" w:type="pct"/>
                  <w:vAlign w:val="center"/>
                </w:tcPr>
                <w:p w14:paraId="5442A12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PM</w:t>
                  </w:r>
                  <w:r>
                    <w:rPr>
                      <w:rFonts w:hint="eastAsia" w:cs="Times New Roman"/>
                      <w:b w:val="0"/>
                      <w:bCs w:val="0"/>
                      <w:color w:val="auto"/>
                      <w:sz w:val="18"/>
                      <w:szCs w:val="18"/>
                      <w:highlight w:val="none"/>
                      <w:vertAlign w:val="subscript"/>
                      <w:lang w:val="en-US" w:eastAsia="zh-CN"/>
                    </w:rPr>
                    <w:t>10</w:t>
                  </w:r>
                </w:p>
              </w:tc>
              <w:tc>
                <w:tcPr>
                  <w:tcW w:w="1011" w:type="pct"/>
                </w:tcPr>
                <w:p w14:paraId="3A85E27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rPr>
                  </w:pPr>
                  <w:r>
                    <w:rPr>
                      <w:rFonts w:hint="eastAsia" w:cs="Times New Roman"/>
                      <w:b w:val="0"/>
                      <w:bCs w:val="0"/>
                      <w:color w:val="auto"/>
                      <w:sz w:val="18"/>
                      <w:szCs w:val="18"/>
                      <w:highlight w:val="none"/>
                      <w:vertAlign w:val="baseline"/>
                      <w:lang w:val="en-US" w:eastAsia="zh-CN"/>
                    </w:rPr>
                    <w:t>年均值（ug/m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w:t>
                  </w:r>
                </w:p>
              </w:tc>
              <w:tc>
                <w:tcPr>
                  <w:tcW w:w="415" w:type="pct"/>
                  <w:vAlign w:val="center"/>
                </w:tcPr>
                <w:p w14:paraId="23117DA8">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21</w:t>
                  </w:r>
                </w:p>
              </w:tc>
              <w:tc>
                <w:tcPr>
                  <w:tcW w:w="849" w:type="pct"/>
                  <w:vAlign w:val="center"/>
                </w:tcPr>
                <w:p w14:paraId="3D4CB644">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70</w:t>
                  </w:r>
                </w:p>
              </w:tc>
              <w:tc>
                <w:tcPr>
                  <w:tcW w:w="702" w:type="pct"/>
                  <w:vAlign w:val="center"/>
                </w:tcPr>
                <w:p w14:paraId="5F6C718B">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30</w:t>
                  </w:r>
                </w:p>
              </w:tc>
              <w:tc>
                <w:tcPr>
                  <w:tcW w:w="612" w:type="pct"/>
                  <w:tcBorders>
                    <w:right w:val="single" w:color="auto" w:sz="4" w:space="0"/>
                  </w:tcBorders>
                  <w:vAlign w:val="center"/>
                </w:tcPr>
                <w:p w14:paraId="5FF13D26">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w:t>
                  </w:r>
                </w:p>
              </w:tc>
              <w:tc>
                <w:tcPr>
                  <w:tcW w:w="598" w:type="pct"/>
                  <w:tcBorders>
                    <w:right w:val="nil"/>
                  </w:tcBorders>
                  <w:vAlign w:val="center"/>
                </w:tcPr>
                <w:p w14:paraId="0E6835D7">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40</w:t>
                  </w:r>
                </w:p>
              </w:tc>
            </w:tr>
            <w:tr w14:paraId="0670D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8" w:type="pct"/>
                  <w:vMerge w:val="continue"/>
                  <w:tcBorders>
                    <w:left w:val="nil"/>
                  </w:tcBorders>
                </w:tcPr>
                <w:p w14:paraId="7AAD5FB9">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val="0"/>
                      <w:bCs w:val="0"/>
                      <w:color w:val="auto"/>
                      <w:sz w:val="18"/>
                      <w:szCs w:val="18"/>
                      <w:highlight w:val="none"/>
                      <w:vertAlign w:val="baseline"/>
                      <w:lang w:val="en-US" w:eastAsia="zh-CN"/>
                    </w:rPr>
                  </w:pPr>
                </w:p>
              </w:tc>
              <w:tc>
                <w:tcPr>
                  <w:tcW w:w="411" w:type="pct"/>
                  <w:vAlign w:val="center"/>
                </w:tcPr>
                <w:p w14:paraId="139568F9">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PM</w:t>
                  </w:r>
                  <w:r>
                    <w:rPr>
                      <w:rFonts w:hint="eastAsia" w:cs="Times New Roman"/>
                      <w:b w:val="0"/>
                      <w:bCs w:val="0"/>
                      <w:color w:val="auto"/>
                      <w:sz w:val="18"/>
                      <w:szCs w:val="18"/>
                      <w:highlight w:val="none"/>
                      <w:vertAlign w:val="subscript"/>
                      <w:lang w:val="en-US" w:eastAsia="zh-CN"/>
                    </w:rPr>
                    <w:t>2.5</w:t>
                  </w:r>
                </w:p>
              </w:tc>
              <w:tc>
                <w:tcPr>
                  <w:tcW w:w="1011" w:type="pct"/>
                </w:tcPr>
                <w:p w14:paraId="5AB44B0F">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rPr>
                  </w:pPr>
                  <w:r>
                    <w:rPr>
                      <w:rFonts w:hint="eastAsia" w:cs="Times New Roman"/>
                      <w:b w:val="0"/>
                      <w:bCs w:val="0"/>
                      <w:color w:val="auto"/>
                      <w:sz w:val="18"/>
                      <w:szCs w:val="18"/>
                      <w:highlight w:val="none"/>
                      <w:vertAlign w:val="baseline"/>
                      <w:lang w:val="en-US" w:eastAsia="zh-CN"/>
                    </w:rPr>
                    <w:t>年均值（ug/m</w:t>
                  </w:r>
                  <w:r>
                    <w:rPr>
                      <w:rFonts w:hint="eastAsia" w:cs="Times New Roman"/>
                      <w:b w:val="0"/>
                      <w:bCs w:val="0"/>
                      <w:color w:val="auto"/>
                      <w:sz w:val="18"/>
                      <w:szCs w:val="18"/>
                      <w:highlight w:val="none"/>
                      <w:vertAlign w:val="superscript"/>
                      <w:lang w:val="en-US" w:eastAsia="zh-CN"/>
                    </w:rPr>
                    <w:t>3</w:t>
                  </w:r>
                  <w:r>
                    <w:rPr>
                      <w:rFonts w:hint="eastAsia" w:cs="Times New Roman"/>
                      <w:b w:val="0"/>
                      <w:bCs w:val="0"/>
                      <w:color w:val="auto"/>
                      <w:sz w:val="18"/>
                      <w:szCs w:val="18"/>
                      <w:highlight w:val="none"/>
                      <w:vertAlign w:val="baseline"/>
                      <w:lang w:val="en-US" w:eastAsia="zh-CN"/>
                    </w:rPr>
                    <w:t>）</w:t>
                  </w:r>
                </w:p>
              </w:tc>
              <w:tc>
                <w:tcPr>
                  <w:tcW w:w="415" w:type="pct"/>
                  <w:vAlign w:val="center"/>
                </w:tcPr>
                <w:p w14:paraId="618948AB">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11</w:t>
                  </w:r>
                </w:p>
              </w:tc>
              <w:tc>
                <w:tcPr>
                  <w:tcW w:w="849" w:type="pct"/>
                  <w:vAlign w:val="center"/>
                </w:tcPr>
                <w:p w14:paraId="53518D6D">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35</w:t>
                  </w:r>
                </w:p>
              </w:tc>
              <w:tc>
                <w:tcPr>
                  <w:tcW w:w="702" w:type="pct"/>
                  <w:vAlign w:val="center"/>
                </w:tcPr>
                <w:p w14:paraId="18390E33">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31.4</w:t>
                  </w:r>
                </w:p>
              </w:tc>
              <w:tc>
                <w:tcPr>
                  <w:tcW w:w="612" w:type="pct"/>
                  <w:tcBorders>
                    <w:right w:val="single" w:color="auto" w:sz="4" w:space="0"/>
                  </w:tcBorders>
                  <w:vAlign w:val="center"/>
                </w:tcPr>
                <w:p w14:paraId="66974EA9">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达标</w:t>
                  </w:r>
                </w:p>
              </w:tc>
              <w:tc>
                <w:tcPr>
                  <w:tcW w:w="598" w:type="pct"/>
                  <w:tcBorders>
                    <w:right w:val="nil"/>
                  </w:tcBorders>
                  <w:vAlign w:val="center"/>
                </w:tcPr>
                <w:p w14:paraId="4CA204A7">
                  <w:pPr>
                    <w:pStyle w:val="11"/>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 w:val="0"/>
                      <w:bCs w:val="0"/>
                      <w:color w:val="auto"/>
                      <w:sz w:val="18"/>
                      <w:szCs w:val="18"/>
                      <w:highlight w:val="none"/>
                      <w:vertAlign w:val="baseline"/>
                      <w:lang w:val="en-US" w:eastAsia="zh-CN"/>
                    </w:rPr>
                  </w:pPr>
                  <w:r>
                    <w:rPr>
                      <w:rFonts w:hint="eastAsia" w:cs="Times New Roman"/>
                      <w:b w:val="0"/>
                      <w:bCs w:val="0"/>
                      <w:color w:val="auto"/>
                      <w:sz w:val="18"/>
                      <w:szCs w:val="18"/>
                      <w:highlight w:val="none"/>
                      <w:vertAlign w:val="baseline"/>
                      <w:lang w:val="en-US" w:eastAsia="zh-CN"/>
                    </w:rPr>
                    <w:t>15</w:t>
                  </w:r>
                </w:p>
              </w:tc>
            </w:tr>
          </w:tbl>
          <w:p w14:paraId="4BC8EFFE">
            <w:pPr>
              <w:pStyle w:val="11"/>
              <w:keepNext w:val="0"/>
              <w:keepLines w:val="0"/>
              <w:pageBreakBefore w:val="0"/>
              <w:widowControl w:val="0"/>
              <w:kinsoku/>
              <w:wordWrap/>
              <w:overflowPunct/>
              <w:topLinePunct w:val="0"/>
              <w:autoSpaceDE/>
              <w:autoSpaceDN/>
              <w:bidi w:val="0"/>
              <w:adjustRightInd/>
              <w:snapToGrid/>
              <w:spacing w:before="157" w:beforeLines="50" w:line="500" w:lineRule="exact"/>
              <w:ind w:firstLine="480" w:firstLineChars="200"/>
              <w:jc w:val="both"/>
              <w:textAlignment w:val="auto"/>
              <w:rPr>
                <w:rFonts w:hint="default" w:ascii="Times New Roman" w:hAnsi="Times New Roman" w:eastAsia="宋体" w:cs="Times New Roman"/>
                <w:b w:val="0"/>
                <w:bCs w:val="0"/>
                <w:color w:val="auto"/>
                <w:szCs w:val="24"/>
                <w:highlight w:val="none"/>
              </w:rPr>
            </w:pPr>
            <w:r>
              <w:rPr>
                <w:rFonts w:hint="default" w:ascii="Times New Roman" w:hAnsi="Times New Roman" w:eastAsia="宋体" w:cs="Times New Roman"/>
                <w:b w:val="0"/>
                <w:bCs w:val="0"/>
                <w:color w:val="auto"/>
                <w:szCs w:val="24"/>
                <w:highlight w:val="none"/>
              </w:rPr>
              <w:t>根据《环境影响评价技术导则大气环境》（HJ2.2-2018），城市环境空气质量达标情况评价指标为SO</w:t>
            </w:r>
            <w:r>
              <w:rPr>
                <w:rFonts w:hint="default" w:ascii="Times New Roman" w:hAnsi="Times New Roman" w:eastAsia="宋体" w:cs="Times New Roman"/>
                <w:b w:val="0"/>
                <w:bCs w:val="0"/>
                <w:color w:val="auto"/>
                <w:szCs w:val="24"/>
                <w:highlight w:val="none"/>
                <w:vertAlign w:val="subscript"/>
              </w:rPr>
              <w:t>2</w:t>
            </w:r>
            <w:r>
              <w:rPr>
                <w:rFonts w:hint="default" w:ascii="Times New Roman" w:hAnsi="Times New Roman" w:eastAsia="宋体" w:cs="Times New Roman"/>
                <w:b w:val="0"/>
                <w:bCs w:val="0"/>
                <w:color w:val="auto"/>
                <w:szCs w:val="24"/>
                <w:highlight w:val="none"/>
              </w:rPr>
              <w:t>、NO</w:t>
            </w:r>
            <w:r>
              <w:rPr>
                <w:rFonts w:hint="default" w:ascii="Times New Roman" w:hAnsi="Times New Roman" w:eastAsia="宋体" w:cs="Times New Roman"/>
                <w:b w:val="0"/>
                <w:bCs w:val="0"/>
                <w:color w:val="auto"/>
                <w:szCs w:val="24"/>
                <w:highlight w:val="none"/>
                <w:vertAlign w:val="subscript"/>
              </w:rPr>
              <w:t>2</w:t>
            </w:r>
            <w:r>
              <w:rPr>
                <w:rFonts w:hint="default" w:ascii="Times New Roman" w:hAnsi="Times New Roman" w:eastAsia="宋体" w:cs="Times New Roman"/>
                <w:b w:val="0"/>
                <w:bCs w:val="0"/>
                <w:color w:val="auto"/>
                <w:szCs w:val="24"/>
                <w:highlight w:val="none"/>
              </w:rPr>
              <w:t>、PM</w:t>
            </w:r>
            <w:r>
              <w:rPr>
                <w:rFonts w:hint="default" w:ascii="Times New Roman" w:hAnsi="Times New Roman" w:eastAsia="宋体" w:cs="Times New Roman"/>
                <w:b w:val="0"/>
                <w:bCs w:val="0"/>
                <w:color w:val="auto"/>
                <w:szCs w:val="24"/>
                <w:highlight w:val="none"/>
                <w:vertAlign w:val="subscript"/>
              </w:rPr>
              <w:t>10</w:t>
            </w:r>
            <w:r>
              <w:rPr>
                <w:rFonts w:hint="default" w:ascii="Times New Roman" w:hAnsi="Times New Roman" w:eastAsia="宋体" w:cs="Times New Roman"/>
                <w:b w:val="0"/>
                <w:bCs w:val="0"/>
                <w:color w:val="auto"/>
                <w:szCs w:val="24"/>
                <w:highlight w:val="none"/>
              </w:rPr>
              <w:t>、PM</w:t>
            </w:r>
            <w:r>
              <w:rPr>
                <w:rFonts w:hint="default" w:ascii="Times New Roman" w:hAnsi="Times New Roman" w:eastAsia="宋体" w:cs="Times New Roman"/>
                <w:b w:val="0"/>
                <w:bCs w:val="0"/>
                <w:color w:val="auto"/>
                <w:szCs w:val="24"/>
                <w:highlight w:val="none"/>
                <w:vertAlign w:val="subscript"/>
              </w:rPr>
              <w:t>2.5</w:t>
            </w:r>
            <w:r>
              <w:rPr>
                <w:rFonts w:hint="default" w:ascii="Times New Roman" w:hAnsi="Times New Roman" w:eastAsia="宋体" w:cs="Times New Roman"/>
                <w:b w:val="0"/>
                <w:bCs w:val="0"/>
                <w:color w:val="auto"/>
                <w:szCs w:val="24"/>
                <w:highlight w:val="none"/>
              </w:rPr>
              <w:t>、CO和O</w:t>
            </w:r>
            <w:r>
              <w:rPr>
                <w:rFonts w:hint="default" w:ascii="Times New Roman" w:hAnsi="Times New Roman" w:eastAsia="宋体" w:cs="Times New Roman"/>
                <w:b w:val="0"/>
                <w:bCs w:val="0"/>
                <w:color w:val="auto"/>
                <w:szCs w:val="24"/>
                <w:highlight w:val="none"/>
                <w:vertAlign w:val="subscript"/>
              </w:rPr>
              <w:t>3</w:t>
            </w:r>
            <w:r>
              <w:rPr>
                <w:rFonts w:hint="default" w:ascii="Times New Roman" w:hAnsi="Times New Roman" w:eastAsia="宋体" w:cs="Times New Roman"/>
                <w:b w:val="0"/>
                <w:bCs w:val="0"/>
                <w:color w:val="auto"/>
                <w:szCs w:val="24"/>
                <w:highlight w:val="none"/>
              </w:rPr>
              <w:t>，6项污染物全部达标即为城市环境空气质量达标</w:t>
            </w:r>
            <w:r>
              <w:rPr>
                <w:rFonts w:hint="eastAsia" w:cs="Times New Roman"/>
                <w:b w:val="0"/>
                <w:bCs w:val="0"/>
                <w:color w:val="auto"/>
                <w:szCs w:val="24"/>
                <w:highlight w:val="none"/>
                <w:lang w:eastAsia="zh-CN"/>
              </w:rPr>
              <w:t>（</w:t>
            </w:r>
            <w:r>
              <w:rPr>
                <w:rFonts w:hint="eastAsia" w:cs="Times New Roman"/>
                <w:b w:val="0"/>
                <w:bCs w:val="0"/>
                <w:color w:val="auto"/>
                <w:szCs w:val="24"/>
                <w:highlight w:val="none"/>
                <w:lang w:val="en-US" w:eastAsia="zh-CN"/>
              </w:rPr>
              <w:t>二级</w:t>
            </w:r>
            <w:r>
              <w:rPr>
                <w:rFonts w:hint="eastAsia" w:cs="Times New Roman"/>
                <w:b w:val="0"/>
                <w:bCs w:val="0"/>
                <w:color w:val="auto"/>
                <w:szCs w:val="24"/>
                <w:highlight w:val="none"/>
                <w:lang w:eastAsia="zh-CN"/>
              </w:rPr>
              <w:t>），</w:t>
            </w:r>
            <w:r>
              <w:rPr>
                <w:rFonts w:hint="eastAsia" w:cs="Times New Roman"/>
                <w:b w:val="0"/>
                <w:bCs w:val="0"/>
                <w:color w:val="auto"/>
                <w:szCs w:val="24"/>
                <w:highlight w:val="none"/>
                <w:lang w:val="en-US" w:eastAsia="zh-CN"/>
              </w:rPr>
              <w:t>同时，各环境空气指标的年均值甚至也满足一级标准</w:t>
            </w:r>
            <w:r>
              <w:rPr>
                <w:rFonts w:hint="default" w:ascii="Times New Roman" w:hAnsi="Times New Roman" w:eastAsia="宋体" w:cs="Times New Roman"/>
                <w:b w:val="0"/>
                <w:bCs w:val="0"/>
                <w:color w:val="auto"/>
                <w:szCs w:val="24"/>
                <w:highlight w:val="none"/>
              </w:rPr>
              <w:t>。因此，本项目所在区域环境空气质量总体评价结果为达标区。</w:t>
            </w:r>
          </w:p>
          <w:p w14:paraId="7A414415">
            <w:pPr>
              <w:pStyle w:val="11"/>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b/>
                <w:bCs/>
                <w:color w:val="auto"/>
                <w:szCs w:val="24"/>
                <w:highlight w:val="none"/>
              </w:rPr>
              <w:t>（2）其他污染物</w:t>
            </w:r>
          </w:p>
          <w:p w14:paraId="52545319">
            <w:pPr>
              <w:pStyle w:val="11"/>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b w:val="0"/>
                <w:bCs w:val="0"/>
                <w:color w:val="auto"/>
                <w:szCs w:val="24"/>
                <w:highlight w:val="none"/>
              </w:rPr>
            </w:pPr>
            <w:r>
              <w:rPr>
                <w:rFonts w:hint="default" w:ascii="Times New Roman" w:hAnsi="Times New Roman" w:eastAsia="宋体" w:cs="Times New Roman"/>
                <w:b w:val="0"/>
                <w:bCs w:val="0"/>
                <w:color w:val="auto"/>
                <w:szCs w:val="24"/>
                <w:highlight w:val="none"/>
              </w:rPr>
              <w:t>根据《建设项目环境影响报告表编制技术指南（污染影响类）（试行）》，排放国家、地方环境空气质量标准中有标准限值要求的特征污染物时，引用建设项目周边5千米范围内近3年的现有监测数据，无相关数据的选择当季主导风向下风向1个点位补充不少于3天的监测数据。</w:t>
            </w:r>
          </w:p>
          <w:p w14:paraId="666E29A0">
            <w:pPr>
              <w:pStyle w:val="11"/>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color w:val="auto"/>
                <w:highlight w:val="none"/>
              </w:rPr>
              <w:t>本项目排放的特征污染物为</w:t>
            </w:r>
            <w:r>
              <w:rPr>
                <w:rFonts w:hint="eastAsia" w:cs="Times New Roman"/>
                <w:color w:val="auto"/>
                <w:highlight w:val="none"/>
                <w:lang w:val="en-US" w:eastAsia="zh-CN"/>
              </w:rPr>
              <w:t>NH</w:t>
            </w:r>
            <w:r>
              <w:rPr>
                <w:rFonts w:hint="eastAsia" w:cs="Times New Roman"/>
                <w:color w:val="auto"/>
                <w:highlight w:val="none"/>
                <w:vertAlign w:val="subscript"/>
                <w:lang w:val="en-US" w:eastAsia="zh-CN"/>
              </w:rPr>
              <w:t>3</w:t>
            </w:r>
            <w:r>
              <w:rPr>
                <w:rFonts w:hint="eastAsia" w:cs="Times New Roman"/>
                <w:color w:val="auto"/>
                <w:highlight w:val="none"/>
                <w:lang w:val="en-US" w:eastAsia="zh-CN"/>
              </w:rPr>
              <w:t>、H</w:t>
            </w:r>
            <w:r>
              <w:rPr>
                <w:rFonts w:hint="eastAsia" w:cs="Times New Roman"/>
                <w:color w:val="auto"/>
                <w:highlight w:val="none"/>
                <w:vertAlign w:val="subscript"/>
                <w:lang w:val="en-US" w:eastAsia="zh-CN"/>
              </w:rPr>
              <w:t>2</w:t>
            </w:r>
            <w:r>
              <w:rPr>
                <w:rFonts w:hint="eastAsia" w:cs="Times New Roman"/>
                <w:color w:val="auto"/>
                <w:highlight w:val="none"/>
                <w:lang w:val="en-US" w:eastAsia="zh-CN"/>
              </w:rPr>
              <w:t>S和臭气浓度</w:t>
            </w:r>
            <w:r>
              <w:rPr>
                <w:rFonts w:hint="default" w:ascii="Times New Roman" w:hAnsi="Times New Roman" w:eastAsia="宋体" w:cs="Times New Roman"/>
                <w:color w:val="auto"/>
                <w:highlight w:val="none"/>
              </w:rPr>
              <w:t>。</w:t>
            </w:r>
          </w:p>
          <w:p w14:paraId="6855B240">
            <w:pPr>
              <w:pStyle w:val="78"/>
              <w:keepNext w:val="0"/>
              <w:keepLines w:val="0"/>
              <w:pageBreakBefore w:val="0"/>
              <w:kinsoku/>
              <w:wordWrap/>
              <w:overflowPunct/>
              <w:topLinePunct w:val="0"/>
              <w:autoSpaceDE/>
              <w:autoSpaceDN/>
              <w:bidi w:val="0"/>
              <w:snapToGrid/>
              <w:spacing w:line="500" w:lineRule="exac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根据《建设项目环境影响报告表编制技术指南(污染影响类)(试行</w:t>
            </w:r>
            <w:r>
              <w:rPr>
                <w:rFonts w:hint="eastAsia" w:cs="Times New Roman"/>
                <w:color w:val="auto"/>
                <w:highlight w:val="none"/>
                <w:lang w:eastAsia="zh-CN"/>
              </w:rPr>
              <w:t>）</w:t>
            </w:r>
            <w:r>
              <w:rPr>
                <w:rFonts w:hint="default" w:ascii="Times New Roman" w:hAnsi="Times New Roman" w:eastAsia="宋体" w:cs="Times New Roman"/>
                <w:color w:val="auto"/>
                <w:highlight w:val="none"/>
              </w:rPr>
              <w:t>》(以下简称“编制指南”</w:t>
            </w:r>
            <w:r>
              <w:rPr>
                <w:rFonts w:hint="eastAsia" w:cs="Times New Roman"/>
                <w:color w:val="auto"/>
                <w:highlight w:val="none"/>
                <w:lang w:eastAsia="zh-CN"/>
              </w:rPr>
              <w:t>）</w:t>
            </w:r>
            <w:r>
              <w:rPr>
                <w:rFonts w:hint="default" w:ascii="Times New Roman" w:hAnsi="Times New Roman" w:eastAsia="宋体" w:cs="Times New Roman"/>
                <w:color w:val="auto"/>
                <w:highlight w:val="none"/>
              </w:rPr>
              <w:t>中“(三</w:t>
            </w:r>
            <w:r>
              <w:rPr>
                <w:rFonts w:hint="eastAsia" w:cs="Times New Roman"/>
                <w:color w:val="auto"/>
                <w:highlight w:val="none"/>
                <w:lang w:eastAsia="zh-CN"/>
              </w:rPr>
              <w:t>）</w:t>
            </w:r>
            <w:r>
              <w:rPr>
                <w:rFonts w:hint="default" w:ascii="Times New Roman" w:hAnsi="Times New Roman" w:eastAsia="宋体" w:cs="Times New Roman"/>
                <w:color w:val="auto"/>
                <w:highlight w:val="none"/>
              </w:rPr>
              <w:t>区域环境质量现状、环境保护目标及评价标准”相关要求，本项目排放的特征污染物为</w:t>
            </w:r>
            <w:r>
              <w:rPr>
                <w:rFonts w:hint="eastAsia" w:cs="Times New Roman"/>
                <w:color w:val="auto"/>
                <w:highlight w:val="none"/>
                <w:lang w:val="en-US" w:eastAsia="zh-CN"/>
              </w:rPr>
              <w:t>NH</w:t>
            </w:r>
            <w:r>
              <w:rPr>
                <w:rFonts w:hint="eastAsia" w:cs="Times New Roman"/>
                <w:color w:val="auto"/>
                <w:highlight w:val="none"/>
                <w:vertAlign w:val="subscript"/>
                <w:lang w:val="en-US" w:eastAsia="zh-CN"/>
              </w:rPr>
              <w:t>3</w:t>
            </w:r>
            <w:r>
              <w:rPr>
                <w:rFonts w:hint="eastAsia" w:cs="Times New Roman"/>
                <w:color w:val="auto"/>
                <w:highlight w:val="none"/>
                <w:lang w:val="en-US" w:eastAsia="zh-CN"/>
              </w:rPr>
              <w:t>、H</w:t>
            </w:r>
            <w:r>
              <w:rPr>
                <w:rFonts w:hint="eastAsia" w:cs="Times New Roman"/>
                <w:color w:val="auto"/>
                <w:highlight w:val="none"/>
                <w:vertAlign w:val="subscript"/>
                <w:lang w:val="en-US" w:eastAsia="zh-CN"/>
              </w:rPr>
              <w:t>2</w:t>
            </w:r>
            <w:r>
              <w:rPr>
                <w:rFonts w:hint="eastAsia" w:cs="Times New Roman"/>
                <w:color w:val="auto"/>
                <w:highlight w:val="none"/>
                <w:lang w:val="en-US" w:eastAsia="zh-CN"/>
              </w:rPr>
              <w:t>S和臭气浓度</w:t>
            </w:r>
            <w:r>
              <w:rPr>
                <w:rFonts w:hint="default" w:ascii="Times New Roman" w:hAnsi="Times New Roman" w:eastAsia="宋体" w:cs="Times New Roman"/>
                <w:color w:val="auto"/>
                <w:highlight w:val="none"/>
              </w:rPr>
              <w:t>。</w:t>
            </w:r>
          </w:p>
          <w:p w14:paraId="3B34AEF7">
            <w:pPr>
              <w:pStyle w:val="78"/>
              <w:keepNext w:val="0"/>
              <w:keepLines w:val="0"/>
              <w:pageBreakBefore w:val="0"/>
              <w:kinsoku/>
              <w:wordWrap/>
              <w:overflowPunct/>
              <w:topLinePunct w:val="0"/>
              <w:autoSpaceDE/>
              <w:autoSpaceDN/>
              <w:bidi w:val="0"/>
              <w:snapToGrid/>
              <w:spacing w:line="500" w:lineRule="exact"/>
              <w:textAlignment w:val="auto"/>
              <w:rPr>
                <w:rFonts w:hint="default" w:ascii="Times New Roman" w:hAnsi="Times New Roman" w:eastAsia="宋体" w:cs="Times New Roman"/>
                <w:color w:val="auto"/>
                <w:highlight w:val="none"/>
              </w:rPr>
            </w:pPr>
            <w:r>
              <w:rPr>
                <w:rFonts w:hint="eastAsia" w:cs="Times New Roman"/>
                <w:color w:val="auto"/>
                <w:highlight w:val="none"/>
                <w:lang w:val="en-US" w:eastAsia="zh-CN"/>
              </w:rPr>
              <w:t>本次委托</w:t>
            </w:r>
            <w:r>
              <w:rPr>
                <w:rFonts w:hint="eastAsia" w:cs="Times New Roman" w:eastAsiaTheme="minorEastAsia"/>
                <w:color w:val="auto"/>
                <w:kern w:val="0"/>
                <w:sz w:val="24"/>
                <w:szCs w:val="24"/>
                <w:highlight w:val="none"/>
                <w:lang w:val="en-US" w:eastAsia="zh-CN" w:bidi="ar-SA"/>
              </w:rPr>
              <w:t>检测单位开展了厂址所在地的相关污染物本底值监测，监测时间为2024年12月9日至11日连续三天，每天四次。</w:t>
            </w:r>
          </w:p>
          <w:p w14:paraId="09D83423">
            <w:pPr>
              <w:keepNext w:val="0"/>
              <w:keepLines w:val="0"/>
              <w:pageBreakBefore w:val="0"/>
              <w:widowControl/>
              <w:kinsoku/>
              <w:wordWrap/>
              <w:overflowPunct/>
              <w:topLinePunct w:val="0"/>
              <w:autoSpaceDE/>
              <w:autoSpaceDN/>
              <w:bidi w:val="0"/>
              <w:snapToGrid/>
              <w:spacing w:line="500" w:lineRule="exact"/>
              <w:ind w:firstLine="48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环境空气现状监测统计结果见下表。</w:t>
            </w:r>
          </w:p>
          <w:p w14:paraId="016F0ACF">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环境空气现状监测结果统计</w:t>
            </w:r>
          </w:p>
          <w:tbl>
            <w:tblPr>
              <w:tblStyle w:val="32"/>
              <w:tblW w:w="729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0"/>
              <w:gridCol w:w="2763"/>
              <w:gridCol w:w="2712"/>
            </w:tblGrid>
            <w:tr w14:paraId="32EF4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dxa"/>
                  <w:vAlign w:val="center"/>
                </w:tcPr>
                <w:p w14:paraId="752DE7F3">
                  <w:pPr>
                    <w:widowControl/>
                    <w:adjustRightInd w:val="0"/>
                    <w:snapToGrid w:val="0"/>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监测点</w:t>
                  </w:r>
                </w:p>
              </w:tc>
              <w:tc>
                <w:tcPr>
                  <w:tcW w:w="2763" w:type="dxa"/>
                  <w:vAlign w:val="center"/>
                </w:tcPr>
                <w:p w14:paraId="7FCBDAED">
                  <w:pPr>
                    <w:widowControl/>
                    <w:adjustRightInd w:val="0"/>
                    <w:snapToGrid w:val="0"/>
                    <w:jc w:val="center"/>
                    <w:rPr>
                      <w:rFonts w:hint="default" w:ascii="Times New Roman" w:hAnsi="Times New Roman" w:cs="Times New Roman" w:eastAsiaTheme="minorEastAsia"/>
                      <w:color w:val="auto"/>
                      <w:sz w:val="21"/>
                      <w:szCs w:val="21"/>
                      <w:highlight w:val="none"/>
                    </w:rPr>
                  </w:pPr>
                  <w:r>
                    <w:rPr>
                      <w:rFonts w:hint="default" w:ascii="Times New Roman" w:hAnsi="Times New Roman" w:cs="Times New Roman" w:eastAsiaTheme="minorEastAsia"/>
                      <w:b/>
                      <w:color w:val="auto"/>
                      <w:sz w:val="21"/>
                      <w:szCs w:val="21"/>
                      <w:highlight w:val="none"/>
                    </w:rPr>
                    <w:t>监测时间</w:t>
                  </w:r>
                </w:p>
              </w:tc>
              <w:tc>
                <w:tcPr>
                  <w:tcW w:w="2712" w:type="dxa"/>
                  <w:vAlign w:val="center"/>
                </w:tcPr>
                <w:p w14:paraId="67ACB297">
                  <w:pPr>
                    <w:widowControl/>
                    <w:adjustRightInd w:val="0"/>
                    <w:snapToGrid w:val="0"/>
                    <w:jc w:val="center"/>
                    <w:rPr>
                      <w:rFonts w:hint="default" w:ascii="Times New Roman" w:hAnsi="Times New Roman" w:cs="Times New Roman" w:eastAsiaTheme="minorEastAsia"/>
                      <w:color w:val="auto"/>
                      <w:sz w:val="21"/>
                      <w:szCs w:val="21"/>
                      <w:highlight w:val="none"/>
                    </w:rPr>
                  </w:pPr>
                  <w:r>
                    <w:rPr>
                      <w:rFonts w:hint="eastAsia" w:cs="Times New Roman" w:eastAsiaTheme="minorEastAsia"/>
                      <w:b/>
                      <w:color w:val="auto"/>
                      <w:sz w:val="21"/>
                      <w:szCs w:val="21"/>
                      <w:highlight w:val="none"/>
                      <w:lang w:val="en-US" w:eastAsia="zh-CN"/>
                    </w:rPr>
                    <w:t>H</w:t>
                  </w:r>
                  <w:r>
                    <w:rPr>
                      <w:rFonts w:hint="eastAsia" w:cs="Times New Roman" w:eastAsiaTheme="minorEastAsia"/>
                      <w:b/>
                      <w:color w:val="auto"/>
                      <w:sz w:val="21"/>
                      <w:szCs w:val="21"/>
                      <w:highlight w:val="none"/>
                      <w:vertAlign w:val="subscript"/>
                      <w:lang w:val="en-US" w:eastAsia="zh-CN"/>
                    </w:rPr>
                    <w:t>2</w:t>
                  </w:r>
                  <w:r>
                    <w:rPr>
                      <w:rFonts w:hint="eastAsia" w:cs="Times New Roman" w:eastAsiaTheme="minorEastAsia"/>
                      <w:b/>
                      <w:color w:val="auto"/>
                      <w:sz w:val="21"/>
                      <w:szCs w:val="21"/>
                      <w:highlight w:val="none"/>
                      <w:lang w:val="en-US" w:eastAsia="zh-CN"/>
                    </w:rPr>
                    <w:t>S</w:t>
                  </w:r>
                  <w:r>
                    <w:rPr>
                      <w:rFonts w:hint="default" w:ascii="Times New Roman" w:hAnsi="Times New Roman" w:cs="Times New Roman" w:eastAsiaTheme="minorEastAsia"/>
                      <w:b/>
                      <w:color w:val="auto"/>
                      <w:sz w:val="21"/>
                      <w:szCs w:val="21"/>
                      <w:highlight w:val="none"/>
                    </w:rPr>
                    <w:t>(</w:t>
                  </w:r>
                  <w:r>
                    <w:rPr>
                      <w:rFonts w:hint="eastAsia" w:cs="Times New Roman"/>
                      <w:b/>
                      <w:bCs w:val="0"/>
                      <w:color w:val="auto"/>
                      <w:kern w:val="0"/>
                      <w:sz w:val="21"/>
                      <w:szCs w:val="21"/>
                      <w:highlight w:val="none"/>
                      <w:lang w:val="en-US" w:eastAsia="zh-CN"/>
                    </w:rPr>
                    <w:t>m</w:t>
                  </w:r>
                  <w:r>
                    <w:rPr>
                      <w:rFonts w:hint="default" w:ascii="Times New Roman" w:hAnsi="Times New Roman" w:eastAsia="宋体" w:cs="Times New Roman"/>
                      <w:b/>
                      <w:bCs w:val="0"/>
                      <w:color w:val="auto"/>
                      <w:kern w:val="0"/>
                      <w:sz w:val="21"/>
                      <w:szCs w:val="21"/>
                      <w:highlight w:val="none"/>
                    </w:rPr>
                    <w:t>g/m</w:t>
                  </w:r>
                  <w:r>
                    <w:rPr>
                      <w:rFonts w:hint="default" w:ascii="Times New Roman" w:hAnsi="Times New Roman" w:eastAsia="宋体" w:cs="Times New Roman"/>
                      <w:b/>
                      <w:bCs w:val="0"/>
                      <w:color w:val="auto"/>
                      <w:kern w:val="0"/>
                      <w:sz w:val="21"/>
                      <w:szCs w:val="21"/>
                      <w:highlight w:val="none"/>
                      <w:vertAlign w:val="superscript"/>
                    </w:rPr>
                    <w:t>3</w:t>
                  </w:r>
                  <w:r>
                    <w:rPr>
                      <w:rFonts w:hint="default" w:ascii="Times New Roman" w:hAnsi="Times New Roman" w:cs="Times New Roman" w:eastAsiaTheme="minorEastAsia"/>
                      <w:b/>
                      <w:color w:val="auto"/>
                      <w:sz w:val="21"/>
                      <w:szCs w:val="21"/>
                      <w:highlight w:val="none"/>
                    </w:rPr>
                    <w:t>)</w:t>
                  </w:r>
                </w:p>
              </w:tc>
            </w:tr>
            <w:tr w14:paraId="4AB3A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dxa"/>
                  <w:vAlign w:val="center"/>
                </w:tcPr>
                <w:p w14:paraId="299A5281">
                  <w:pPr>
                    <w:widowControl/>
                    <w:adjustRightInd w:val="0"/>
                    <w:snapToGrid w:val="0"/>
                    <w:jc w:val="center"/>
                    <w:rPr>
                      <w:rFonts w:hint="default" w:ascii="Times New Roman" w:hAnsi="Times New Roman" w:cs="Times New Roman" w:eastAsiaTheme="minorEastAsia"/>
                      <w:b/>
                      <w:color w:val="auto"/>
                      <w:sz w:val="21"/>
                      <w:szCs w:val="21"/>
                      <w:highlight w:val="none"/>
                      <w:lang w:val="en-US"/>
                    </w:rPr>
                  </w:pPr>
                  <w:r>
                    <w:rPr>
                      <w:rFonts w:hint="eastAsia" w:cs="Times New Roman" w:eastAsiaTheme="minorEastAsia"/>
                      <w:b w:val="0"/>
                      <w:bCs/>
                      <w:color w:val="auto"/>
                      <w:sz w:val="21"/>
                      <w:szCs w:val="21"/>
                      <w:highlight w:val="none"/>
                      <w:lang w:val="en-US" w:eastAsia="zh-CN"/>
                    </w:rPr>
                    <w:t>项目厂址处</w:t>
                  </w:r>
                </w:p>
              </w:tc>
              <w:tc>
                <w:tcPr>
                  <w:tcW w:w="2763" w:type="dxa"/>
                  <w:shd w:val="clear" w:color="auto" w:fill="auto"/>
                  <w:vAlign w:val="center"/>
                </w:tcPr>
                <w:p w14:paraId="1EF8B4C9">
                  <w:pPr>
                    <w:widowControl/>
                    <w:adjustRightInd w:val="0"/>
                    <w:snapToGrid w:val="0"/>
                    <w:jc w:val="center"/>
                    <w:rPr>
                      <w:rFonts w:hint="default" w:cs="Times New Roman" w:eastAsiaTheme="minorEastAsia"/>
                      <w:color w:val="auto"/>
                      <w:sz w:val="21"/>
                      <w:szCs w:val="21"/>
                      <w:highlight w:val="none"/>
                      <w:lang w:val="en-US" w:eastAsia="zh-CN"/>
                    </w:rPr>
                  </w:pPr>
                  <w:bookmarkStart w:id="10" w:name="OLE_LINK31"/>
                  <w:r>
                    <w:rPr>
                      <w:rFonts w:hint="eastAsia" w:cs="Times New Roman" w:eastAsiaTheme="minorEastAsia"/>
                      <w:color w:val="auto"/>
                      <w:sz w:val="21"/>
                      <w:szCs w:val="21"/>
                      <w:highlight w:val="none"/>
                      <w:lang w:val="en-US" w:eastAsia="zh-CN"/>
                    </w:rPr>
                    <w:t>12月9日</w:t>
                  </w:r>
                  <w:bookmarkEnd w:id="10"/>
                  <w:r>
                    <w:rPr>
                      <w:rFonts w:hint="eastAsia" w:cs="Times New Roman" w:eastAsiaTheme="minorEastAsia"/>
                      <w:color w:val="auto"/>
                      <w:sz w:val="21"/>
                      <w:szCs w:val="21"/>
                      <w:highlight w:val="none"/>
                      <w:lang w:val="en-US" w:eastAsia="zh-CN"/>
                    </w:rPr>
                    <w:t>~11日</w:t>
                  </w:r>
                </w:p>
              </w:tc>
              <w:tc>
                <w:tcPr>
                  <w:tcW w:w="2712" w:type="dxa"/>
                  <w:shd w:val="clear" w:color="auto" w:fill="auto"/>
                  <w:vAlign w:val="center"/>
                </w:tcPr>
                <w:p w14:paraId="16CD9AD5">
                  <w:pPr>
                    <w:widowControl/>
                    <w:adjustRightInd w:val="0"/>
                    <w:snapToGrid w:val="0"/>
                    <w:jc w:val="center"/>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0.002~0.004</w:t>
                  </w:r>
                </w:p>
              </w:tc>
            </w:tr>
            <w:tr w14:paraId="342C2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dxa"/>
                  <w:vAlign w:val="center"/>
                </w:tcPr>
                <w:p w14:paraId="7924688C">
                  <w:pPr>
                    <w:widowControl/>
                    <w:adjustRightInd w:val="0"/>
                    <w:snapToGrid w:val="0"/>
                    <w:jc w:val="center"/>
                    <w:rPr>
                      <w:rFonts w:hint="default" w:ascii="Times New Roman" w:hAnsi="Times New Roman" w:cs="Times New Roman" w:eastAsiaTheme="minorEastAsia"/>
                      <w:b/>
                      <w:color w:val="auto"/>
                      <w:sz w:val="21"/>
                      <w:szCs w:val="21"/>
                      <w:highlight w:val="none"/>
                    </w:rPr>
                  </w:pPr>
                  <w:bookmarkStart w:id="11" w:name="OLE_LINK38" w:colFirst="0" w:colLast="1"/>
                  <w:r>
                    <w:rPr>
                      <w:rFonts w:hint="default" w:ascii="Times New Roman" w:hAnsi="Times New Roman" w:cs="Times New Roman" w:eastAsiaTheme="minorEastAsia"/>
                      <w:b/>
                      <w:color w:val="auto"/>
                      <w:sz w:val="21"/>
                      <w:szCs w:val="21"/>
                      <w:highlight w:val="none"/>
                    </w:rPr>
                    <w:t>监测点</w:t>
                  </w:r>
                </w:p>
              </w:tc>
              <w:tc>
                <w:tcPr>
                  <w:tcW w:w="2763" w:type="dxa"/>
                  <w:shd w:val="clear" w:color="auto" w:fill="auto"/>
                  <w:vAlign w:val="center"/>
                </w:tcPr>
                <w:p w14:paraId="562DE176">
                  <w:pPr>
                    <w:widowControl/>
                    <w:adjustRightInd w:val="0"/>
                    <w:snapToGrid w:val="0"/>
                    <w:jc w:val="center"/>
                    <w:rPr>
                      <w:rFonts w:hint="eastAsia" w:cs="Times New Roman" w:eastAsiaTheme="minorEastAsia"/>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rPr>
                    <w:t>监测时间</w:t>
                  </w:r>
                </w:p>
              </w:tc>
              <w:tc>
                <w:tcPr>
                  <w:tcW w:w="2712" w:type="dxa"/>
                  <w:shd w:val="clear" w:color="auto" w:fill="auto"/>
                  <w:vAlign w:val="center"/>
                </w:tcPr>
                <w:p w14:paraId="4E3BDA20">
                  <w:pPr>
                    <w:widowControl/>
                    <w:adjustRightInd w:val="0"/>
                    <w:snapToGrid w:val="0"/>
                    <w:jc w:val="center"/>
                    <w:rPr>
                      <w:rFonts w:hint="eastAsia" w:cs="Times New Roman" w:eastAsiaTheme="minorEastAsia"/>
                      <w:color w:val="auto"/>
                      <w:sz w:val="21"/>
                      <w:szCs w:val="21"/>
                      <w:highlight w:val="none"/>
                      <w:lang w:val="en-US" w:eastAsia="zh-CN"/>
                    </w:rPr>
                  </w:pPr>
                  <w:r>
                    <w:rPr>
                      <w:rFonts w:hint="eastAsia" w:cs="Times New Roman" w:eastAsiaTheme="minorEastAsia"/>
                      <w:b/>
                      <w:bCs w:val="0"/>
                      <w:color w:val="auto"/>
                      <w:sz w:val="21"/>
                      <w:szCs w:val="21"/>
                      <w:highlight w:val="none"/>
                      <w:lang w:val="en-US" w:eastAsia="zh-CN"/>
                    </w:rPr>
                    <w:t>NH</w:t>
                  </w:r>
                  <w:r>
                    <w:rPr>
                      <w:rFonts w:hint="eastAsia" w:cs="Times New Roman" w:eastAsiaTheme="minorEastAsia"/>
                      <w:b/>
                      <w:bCs w:val="0"/>
                      <w:color w:val="auto"/>
                      <w:sz w:val="21"/>
                      <w:szCs w:val="21"/>
                      <w:highlight w:val="none"/>
                      <w:vertAlign w:val="subscript"/>
                      <w:lang w:val="en-US" w:eastAsia="zh-CN"/>
                    </w:rPr>
                    <w:t>3</w:t>
                  </w:r>
                  <w:r>
                    <w:rPr>
                      <w:rFonts w:hint="default" w:ascii="Times New Roman" w:hAnsi="Times New Roman" w:eastAsia="宋体" w:cs="Times New Roman"/>
                      <w:b/>
                      <w:bCs w:val="0"/>
                      <w:color w:val="auto"/>
                      <w:kern w:val="0"/>
                      <w:sz w:val="21"/>
                      <w:szCs w:val="21"/>
                      <w:highlight w:val="none"/>
                    </w:rPr>
                    <w:t>(</w:t>
                  </w:r>
                  <w:r>
                    <w:rPr>
                      <w:rFonts w:hint="eastAsia" w:cs="Times New Roman"/>
                      <w:b/>
                      <w:bCs w:val="0"/>
                      <w:color w:val="auto"/>
                      <w:kern w:val="0"/>
                      <w:sz w:val="21"/>
                      <w:szCs w:val="21"/>
                      <w:highlight w:val="none"/>
                      <w:lang w:val="en-US" w:eastAsia="zh-CN"/>
                    </w:rPr>
                    <w:t>m</w:t>
                  </w:r>
                  <w:r>
                    <w:rPr>
                      <w:rFonts w:hint="default" w:ascii="Times New Roman" w:hAnsi="Times New Roman" w:eastAsia="宋体" w:cs="Times New Roman"/>
                      <w:b/>
                      <w:bCs w:val="0"/>
                      <w:color w:val="auto"/>
                      <w:kern w:val="0"/>
                      <w:sz w:val="21"/>
                      <w:szCs w:val="21"/>
                      <w:highlight w:val="none"/>
                    </w:rPr>
                    <w:t>g/m</w:t>
                  </w:r>
                  <w:r>
                    <w:rPr>
                      <w:rFonts w:hint="default" w:ascii="Times New Roman" w:hAnsi="Times New Roman" w:eastAsia="宋体" w:cs="Times New Roman"/>
                      <w:b/>
                      <w:bCs w:val="0"/>
                      <w:color w:val="auto"/>
                      <w:kern w:val="0"/>
                      <w:sz w:val="21"/>
                      <w:szCs w:val="21"/>
                      <w:highlight w:val="none"/>
                      <w:vertAlign w:val="superscript"/>
                    </w:rPr>
                    <w:t>3</w:t>
                  </w:r>
                  <w:r>
                    <w:rPr>
                      <w:rFonts w:hint="default" w:ascii="Times New Roman" w:hAnsi="Times New Roman" w:eastAsia="宋体" w:cs="Times New Roman"/>
                      <w:b/>
                      <w:bCs w:val="0"/>
                      <w:color w:val="auto"/>
                      <w:kern w:val="0"/>
                      <w:sz w:val="21"/>
                      <w:szCs w:val="21"/>
                      <w:highlight w:val="none"/>
                    </w:rPr>
                    <w:t>)</w:t>
                  </w:r>
                </w:p>
              </w:tc>
            </w:tr>
            <w:bookmarkEnd w:id="11"/>
            <w:tr w14:paraId="4FB97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dxa"/>
                  <w:vAlign w:val="center"/>
                </w:tcPr>
                <w:p w14:paraId="39ADA936">
                  <w:pPr>
                    <w:widowControl/>
                    <w:adjustRightInd w:val="0"/>
                    <w:snapToGrid w:val="0"/>
                    <w:jc w:val="center"/>
                    <w:rPr>
                      <w:rFonts w:hint="default" w:ascii="Times New Roman" w:hAnsi="Times New Roman" w:cs="Times New Roman" w:eastAsiaTheme="minorEastAsia"/>
                      <w:b w:val="0"/>
                      <w:bCs/>
                      <w:color w:val="auto"/>
                      <w:sz w:val="21"/>
                      <w:szCs w:val="21"/>
                      <w:highlight w:val="none"/>
                      <w:lang w:val="en-US"/>
                    </w:rPr>
                  </w:pPr>
                  <w:r>
                    <w:rPr>
                      <w:rFonts w:hint="eastAsia" w:cs="Times New Roman" w:eastAsiaTheme="minorEastAsia"/>
                      <w:b w:val="0"/>
                      <w:bCs/>
                      <w:color w:val="auto"/>
                      <w:sz w:val="21"/>
                      <w:szCs w:val="21"/>
                      <w:highlight w:val="none"/>
                      <w:lang w:val="en-US" w:eastAsia="zh-CN"/>
                    </w:rPr>
                    <w:t>项目厂址处</w:t>
                  </w:r>
                </w:p>
              </w:tc>
              <w:tc>
                <w:tcPr>
                  <w:tcW w:w="2763" w:type="dxa"/>
                  <w:shd w:val="clear" w:color="auto" w:fill="auto"/>
                  <w:vAlign w:val="center"/>
                </w:tcPr>
                <w:p w14:paraId="4ECECFDC">
                  <w:pPr>
                    <w:widowControl/>
                    <w:adjustRightInd w:val="0"/>
                    <w:snapToGrid w:val="0"/>
                    <w:jc w:val="center"/>
                    <w:rPr>
                      <w:rFonts w:hint="default" w:ascii="Times New Roman" w:hAnsi="Times New Roman" w:cs="Times New Roman" w:eastAsiaTheme="minorEastAsia"/>
                      <w:b w:val="0"/>
                      <w:bCs/>
                      <w:color w:val="auto"/>
                      <w:sz w:val="21"/>
                      <w:szCs w:val="21"/>
                      <w:highlight w:val="none"/>
                      <w:lang w:val="en-US" w:eastAsia="zh-CN"/>
                    </w:rPr>
                  </w:pPr>
                  <w:r>
                    <w:rPr>
                      <w:rFonts w:hint="eastAsia" w:cs="Times New Roman" w:eastAsiaTheme="minorEastAsia"/>
                      <w:color w:val="auto"/>
                      <w:sz w:val="21"/>
                      <w:szCs w:val="21"/>
                      <w:highlight w:val="none"/>
                      <w:lang w:val="en-US" w:eastAsia="zh-CN"/>
                    </w:rPr>
                    <w:t>12月9日~11日</w:t>
                  </w:r>
                </w:p>
              </w:tc>
              <w:tc>
                <w:tcPr>
                  <w:tcW w:w="2712" w:type="dxa"/>
                  <w:shd w:val="clear" w:color="auto" w:fill="auto"/>
                  <w:vAlign w:val="center"/>
                </w:tcPr>
                <w:p w14:paraId="39CE5B1C">
                  <w:pPr>
                    <w:widowControl/>
                    <w:adjustRightInd w:val="0"/>
                    <w:snapToGrid w:val="0"/>
                    <w:jc w:val="center"/>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0.008~0.019</w:t>
                  </w:r>
                </w:p>
              </w:tc>
            </w:tr>
            <w:tr w14:paraId="0E807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dxa"/>
                  <w:vAlign w:val="center"/>
                </w:tcPr>
                <w:p w14:paraId="3A29B789">
                  <w:pPr>
                    <w:widowControl/>
                    <w:adjustRightInd w:val="0"/>
                    <w:snapToGrid w:val="0"/>
                    <w:jc w:val="center"/>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b/>
                      <w:color w:val="auto"/>
                      <w:sz w:val="21"/>
                      <w:szCs w:val="21"/>
                      <w:highlight w:val="none"/>
                    </w:rPr>
                    <w:t>监测点</w:t>
                  </w:r>
                </w:p>
              </w:tc>
              <w:tc>
                <w:tcPr>
                  <w:tcW w:w="2763" w:type="dxa"/>
                  <w:shd w:val="clear" w:color="auto" w:fill="auto"/>
                  <w:vAlign w:val="center"/>
                </w:tcPr>
                <w:p w14:paraId="033554C3">
                  <w:pPr>
                    <w:widowControl/>
                    <w:adjustRightInd w:val="0"/>
                    <w:snapToGrid w:val="0"/>
                    <w:jc w:val="center"/>
                    <w:rPr>
                      <w:rFonts w:hint="eastAsia" w:cs="Times New Roman" w:eastAsiaTheme="minorEastAsia"/>
                      <w:color w:val="auto"/>
                      <w:sz w:val="21"/>
                      <w:szCs w:val="21"/>
                      <w:highlight w:val="none"/>
                      <w:lang w:val="en-US" w:eastAsia="zh-CN"/>
                    </w:rPr>
                  </w:pPr>
                  <w:r>
                    <w:rPr>
                      <w:rFonts w:hint="default" w:ascii="Times New Roman" w:hAnsi="Times New Roman" w:cs="Times New Roman" w:eastAsiaTheme="minorEastAsia"/>
                      <w:b/>
                      <w:color w:val="auto"/>
                      <w:sz w:val="21"/>
                      <w:szCs w:val="21"/>
                      <w:highlight w:val="none"/>
                    </w:rPr>
                    <w:t>监测时间</w:t>
                  </w:r>
                </w:p>
              </w:tc>
              <w:tc>
                <w:tcPr>
                  <w:tcW w:w="2712" w:type="dxa"/>
                  <w:shd w:val="clear" w:color="auto" w:fill="auto"/>
                  <w:vAlign w:val="center"/>
                </w:tcPr>
                <w:p w14:paraId="0B9FEC74">
                  <w:pPr>
                    <w:widowControl/>
                    <w:adjustRightInd w:val="0"/>
                    <w:snapToGrid w:val="0"/>
                    <w:jc w:val="center"/>
                    <w:rPr>
                      <w:rFonts w:hint="default" w:cs="Times New Roman" w:eastAsiaTheme="minorEastAsia"/>
                      <w:color w:val="auto"/>
                      <w:sz w:val="21"/>
                      <w:szCs w:val="21"/>
                      <w:highlight w:val="none"/>
                      <w:lang w:val="en-US" w:eastAsia="zh-CN"/>
                    </w:rPr>
                  </w:pPr>
                  <w:r>
                    <w:rPr>
                      <w:rFonts w:hint="eastAsia" w:cs="Times New Roman" w:eastAsiaTheme="minorEastAsia"/>
                      <w:b/>
                      <w:bCs/>
                      <w:color w:val="auto"/>
                      <w:sz w:val="21"/>
                      <w:szCs w:val="21"/>
                      <w:highlight w:val="none"/>
                      <w:lang w:val="en-US" w:eastAsia="zh-CN"/>
                    </w:rPr>
                    <w:t>臭气浓度（无量纲）</w:t>
                  </w:r>
                </w:p>
              </w:tc>
            </w:tr>
            <w:tr w14:paraId="071F9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20" w:type="dxa"/>
                  <w:vAlign w:val="center"/>
                </w:tcPr>
                <w:p w14:paraId="0B287547">
                  <w:pPr>
                    <w:widowControl/>
                    <w:adjustRightInd w:val="0"/>
                    <w:snapToGrid w:val="0"/>
                    <w:jc w:val="center"/>
                    <w:rPr>
                      <w:rFonts w:hint="default" w:ascii="Times New Roman" w:hAnsi="Times New Roman" w:cs="Times New Roman" w:eastAsiaTheme="minorEastAsia"/>
                      <w:b/>
                      <w:color w:val="auto"/>
                      <w:sz w:val="21"/>
                      <w:szCs w:val="21"/>
                      <w:highlight w:val="none"/>
                      <w:lang w:val="en-US"/>
                    </w:rPr>
                  </w:pPr>
                  <w:r>
                    <w:rPr>
                      <w:rFonts w:hint="eastAsia" w:cs="Times New Roman" w:eastAsiaTheme="minorEastAsia"/>
                      <w:b w:val="0"/>
                      <w:bCs/>
                      <w:color w:val="auto"/>
                      <w:sz w:val="21"/>
                      <w:szCs w:val="21"/>
                      <w:highlight w:val="none"/>
                      <w:lang w:val="en-US" w:eastAsia="zh-CN"/>
                    </w:rPr>
                    <w:t>项目厂址处</w:t>
                  </w:r>
                </w:p>
              </w:tc>
              <w:tc>
                <w:tcPr>
                  <w:tcW w:w="2763" w:type="dxa"/>
                  <w:shd w:val="clear" w:color="auto" w:fill="auto"/>
                  <w:vAlign w:val="center"/>
                </w:tcPr>
                <w:p w14:paraId="2CA7B339">
                  <w:pPr>
                    <w:widowControl/>
                    <w:adjustRightInd w:val="0"/>
                    <w:snapToGrid w:val="0"/>
                    <w:jc w:val="center"/>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12月9日~11日</w:t>
                  </w:r>
                </w:p>
              </w:tc>
              <w:tc>
                <w:tcPr>
                  <w:tcW w:w="2712" w:type="dxa"/>
                  <w:shd w:val="clear" w:color="auto" w:fill="auto"/>
                  <w:vAlign w:val="center"/>
                </w:tcPr>
                <w:p w14:paraId="59DCA351">
                  <w:pPr>
                    <w:widowControl/>
                    <w:adjustRightInd w:val="0"/>
                    <w:snapToGrid w:val="0"/>
                    <w:jc w:val="center"/>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&lt;10</w:t>
                  </w:r>
                </w:p>
              </w:tc>
            </w:tr>
          </w:tbl>
          <w:p w14:paraId="53B75AB6">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环境空气质量评价：</w:t>
            </w:r>
          </w:p>
          <w:p w14:paraId="51644A35">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a评价方法及模式</w:t>
            </w:r>
          </w:p>
          <w:p w14:paraId="710CCF1D">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环境影响评价技术导则大气环境》(HJ2.2-2018)，环境空气质量现状评价通过计算取值时间最大浓度值占相应标准浓度限值的百分比和超标率，来分析其达标情况，当取值时间最大浓度值占相应标准浓度限值的百分比大于或等于100%时，表明环境空气质量超标。计算公式如下：</w:t>
            </w:r>
          </w:p>
          <w:p w14:paraId="3E582BFF">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position w:val="-30"/>
                <w:highlight w:val="none"/>
              </w:rPr>
              <w:object>
                <v:shape id="_x0000_i1031" o:spt="75" type="#_x0000_t75" style="height:34pt;width:86.5pt;" o:ole="t" filled="f" o:preferrelative="t" stroked="f" coordsize="21600,21600">
                  <v:path/>
                  <v:fill on="f" focussize="0,0"/>
                  <v:stroke on="f" joinstyle="miter"/>
                  <v:imagedata r:id="rId33" o:title=""/>
                  <o:lock v:ext="edit" aspectratio="t"/>
                  <w10:wrap type="none"/>
                  <w10:anchorlock/>
                </v:shape>
                <o:OLEObject Type="Embed" ProgID="Equation.3" ShapeID="_x0000_i1031" DrawAspect="Content" ObjectID="_1468075730" r:id="rId32">
                  <o:LockedField>false</o:LockedField>
                </o:OLEObject>
              </w:object>
            </w:r>
          </w:p>
          <w:p w14:paraId="7C2E3764">
            <w:pPr>
              <w:spacing w:line="480" w:lineRule="exact"/>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式中：P</w:t>
            </w:r>
            <w:r>
              <w:rPr>
                <w:rFonts w:hint="default" w:ascii="Times New Roman" w:hAnsi="Times New Roman" w:eastAsia="宋体" w:cs="Times New Roman"/>
                <w:color w:val="auto"/>
                <w:highlight w:val="none"/>
                <w:vertAlign w:val="subscript"/>
              </w:rPr>
              <w:t>i</w:t>
            </w:r>
            <w:r>
              <w:rPr>
                <w:rFonts w:hint="default" w:ascii="Times New Roman" w:hAnsi="Times New Roman" w:eastAsia="宋体" w:cs="Times New Roman"/>
                <w:color w:val="auto"/>
                <w:highlight w:val="none"/>
              </w:rPr>
              <w:t>——第i个污染物监测最大浓度占相应标准浓度限值的百分比，%；</w:t>
            </w:r>
          </w:p>
          <w:p w14:paraId="0159488A">
            <w:pPr>
              <w:spacing w:line="480" w:lineRule="exact"/>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C</w:t>
            </w:r>
            <w:r>
              <w:rPr>
                <w:rFonts w:hint="default" w:ascii="Times New Roman" w:hAnsi="Times New Roman" w:eastAsia="宋体" w:cs="Times New Roman"/>
                <w:color w:val="auto"/>
                <w:highlight w:val="none"/>
                <w:vertAlign w:val="subscript"/>
              </w:rPr>
              <w:t>i</w:t>
            </w:r>
            <w:r>
              <w:rPr>
                <w:rFonts w:hint="default" w:ascii="Times New Roman" w:hAnsi="Times New Roman" w:eastAsia="宋体" w:cs="Times New Roman"/>
                <w:color w:val="auto"/>
                <w:highlight w:val="none"/>
              </w:rPr>
              <w:t>——第i个污染物的监测浓度值，mg/m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14:paraId="0982D96B">
            <w:pPr>
              <w:spacing w:line="360" w:lineRule="auto"/>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C</w:t>
            </w:r>
            <w:r>
              <w:rPr>
                <w:rFonts w:hint="default" w:ascii="Times New Roman" w:hAnsi="Times New Roman" w:eastAsia="宋体" w:cs="Times New Roman"/>
                <w:color w:val="auto"/>
                <w:highlight w:val="none"/>
                <w:vertAlign w:val="subscript"/>
              </w:rPr>
              <w:t>0i</w:t>
            </w:r>
            <w:r>
              <w:rPr>
                <w:rFonts w:hint="default" w:ascii="Times New Roman" w:hAnsi="Times New Roman" w:eastAsia="宋体" w:cs="Times New Roman"/>
                <w:color w:val="auto"/>
                <w:highlight w:val="none"/>
              </w:rPr>
              <w:t>——第i个污染物的环境空气质量标准，mg/m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w:t>
            </w:r>
          </w:p>
          <w:p w14:paraId="3E21DE0B">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b现状评价结果</w:t>
            </w:r>
          </w:p>
          <w:p w14:paraId="2CB0A2A2">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区域大气环境质量监测评价结果见下表。</w:t>
            </w:r>
          </w:p>
          <w:p w14:paraId="6A34879B">
            <w:pPr>
              <w:pStyle w:val="7"/>
              <w:rPr>
                <w:rFonts w:hint="default"/>
                <w:color w:val="auto"/>
                <w:highlight w:val="none"/>
              </w:rPr>
            </w:pPr>
          </w:p>
          <w:p w14:paraId="4BC5E073">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项目区域大气现状评价结果表</w:t>
            </w:r>
          </w:p>
          <w:tbl>
            <w:tblPr>
              <w:tblStyle w:val="32"/>
              <w:tblW w:w="80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26"/>
              <w:gridCol w:w="1747"/>
              <w:gridCol w:w="995"/>
              <w:gridCol w:w="1024"/>
              <w:gridCol w:w="1197"/>
              <w:gridCol w:w="784"/>
            </w:tblGrid>
            <w:tr w14:paraId="5CEB3A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3" w:type="dxa"/>
                  <w:vMerge w:val="restart"/>
                  <w:vAlign w:val="center"/>
                </w:tcPr>
                <w:p w14:paraId="1EF2EAED">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监测项目</w:t>
                  </w:r>
                </w:p>
              </w:tc>
              <w:tc>
                <w:tcPr>
                  <w:tcW w:w="5192" w:type="dxa"/>
                  <w:gridSpan w:val="4"/>
                  <w:vAlign w:val="center"/>
                </w:tcPr>
                <w:p w14:paraId="62C0B668">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评价结果</w:t>
                  </w:r>
                </w:p>
              </w:tc>
              <w:tc>
                <w:tcPr>
                  <w:tcW w:w="1197" w:type="dxa"/>
                  <w:vMerge w:val="restart"/>
                  <w:vAlign w:val="center"/>
                </w:tcPr>
                <w:p w14:paraId="3876DE6C">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标准限值(mg/m</w:t>
                  </w:r>
                  <w:r>
                    <w:rPr>
                      <w:rFonts w:hint="default" w:ascii="Times New Roman" w:hAnsi="Times New Roman" w:eastAsia="宋体" w:cs="Times New Roman"/>
                      <w:b/>
                      <w:bCs/>
                      <w:color w:val="auto"/>
                      <w:kern w:val="0"/>
                      <w:sz w:val="21"/>
                      <w:szCs w:val="21"/>
                      <w:highlight w:val="none"/>
                      <w:vertAlign w:val="superscript"/>
                    </w:rPr>
                    <w:t>3</w:t>
                  </w:r>
                  <w:r>
                    <w:rPr>
                      <w:rFonts w:hint="eastAsia" w:cs="Times New Roman"/>
                      <w:b/>
                      <w:bCs/>
                      <w:color w:val="auto"/>
                      <w:kern w:val="0"/>
                      <w:sz w:val="21"/>
                      <w:szCs w:val="21"/>
                      <w:highlight w:val="none"/>
                      <w:vertAlign w:val="superscript"/>
                      <w:lang w:eastAsia="zh-CN"/>
                    </w:rPr>
                    <w:t>）</w:t>
                  </w:r>
                </w:p>
              </w:tc>
              <w:tc>
                <w:tcPr>
                  <w:tcW w:w="784" w:type="dxa"/>
                  <w:vMerge w:val="restart"/>
                  <w:vAlign w:val="center"/>
                </w:tcPr>
                <w:p w14:paraId="27FD4B7E">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达标情况</w:t>
                  </w:r>
                </w:p>
              </w:tc>
            </w:tr>
            <w:tr w14:paraId="26E49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33" w:type="dxa"/>
                  <w:vMerge w:val="continue"/>
                  <w:vAlign w:val="center"/>
                </w:tcPr>
                <w:p w14:paraId="6E57EDBE">
                  <w:pPr>
                    <w:jc w:val="center"/>
                    <w:rPr>
                      <w:rFonts w:hint="default" w:ascii="Times New Roman" w:hAnsi="Times New Roman" w:eastAsia="宋体" w:cs="Times New Roman"/>
                      <w:color w:val="auto"/>
                      <w:kern w:val="0"/>
                      <w:sz w:val="21"/>
                      <w:szCs w:val="21"/>
                      <w:highlight w:val="none"/>
                    </w:rPr>
                  </w:pPr>
                </w:p>
              </w:tc>
              <w:tc>
                <w:tcPr>
                  <w:tcW w:w="1426" w:type="dxa"/>
                  <w:vAlign w:val="center"/>
                </w:tcPr>
                <w:p w14:paraId="49C3B880">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监测结果(mg/m</w:t>
                  </w:r>
                  <w:r>
                    <w:rPr>
                      <w:rFonts w:hint="default" w:ascii="Times New Roman" w:hAnsi="Times New Roman" w:eastAsia="宋体" w:cs="Times New Roman"/>
                      <w:b/>
                      <w:bCs/>
                      <w:color w:val="auto"/>
                      <w:kern w:val="0"/>
                      <w:sz w:val="21"/>
                      <w:szCs w:val="21"/>
                      <w:highlight w:val="none"/>
                      <w:vertAlign w:val="superscript"/>
                    </w:rPr>
                    <w:t>3</w:t>
                  </w:r>
                  <w:r>
                    <w:rPr>
                      <w:rFonts w:hint="eastAsia" w:cs="Times New Roman"/>
                      <w:b/>
                      <w:bCs/>
                      <w:color w:val="auto"/>
                      <w:kern w:val="0"/>
                      <w:sz w:val="21"/>
                      <w:szCs w:val="21"/>
                      <w:highlight w:val="none"/>
                      <w:vertAlign w:val="superscript"/>
                      <w:lang w:eastAsia="zh-CN"/>
                    </w:rPr>
                    <w:t>）</w:t>
                  </w:r>
                </w:p>
              </w:tc>
              <w:tc>
                <w:tcPr>
                  <w:tcW w:w="1747" w:type="dxa"/>
                  <w:vAlign w:val="center"/>
                </w:tcPr>
                <w:p w14:paraId="0814AFD0">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占标率(Pi</w:t>
                  </w:r>
                  <w:r>
                    <w:rPr>
                      <w:rFonts w:hint="eastAsia" w:cs="Times New Roman"/>
                      <w:b/>
                      <w:bCs/>
                      <w:color w:val="auto"/>
                      <w:kern w:val="0"/>
                      <w:sz w:val="21"/>
                      <w:szCs w:val="21"/>
                      <w:highlight w:val="none"/>
                      <w:lang w:eastAsia="zh-CN"/>
                    </w:rPr>
                    <w:t>）</w:t>
                  </w:r>
                </w:p>
              </w:tc>
              <w:tc>
                <w:tcPr>
                  <w:tcW w:w="995" w:type="dxa"/>
                  <w:vAlign w:val="center"/>
                </w:tcPr>
                <w:p w14:paraId="671989C4">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最大超标倍数</w:t>
                  </w:r>
                </w:p>
              </w:tc>
              <w:tc>
                <w:tcPr>
                  <w:tcW w:w="1024" w:type="dxa"/>
                  <w:vAlign w:val="center"/>
                </w:tcPr>
                <w:p w14:paraId="16894D19">
                  <w:pPr>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超标率(%</w:t>
                  </w:r>
                  <w:r>
                    <w:rPr>
                      <w:rFonts w:hint="eastAsia" w:cs="Times New Roman"/>
                      <w:b/>
                      <w:bCs/>
                      <w:color w:val="auto"/>
                      <w:kern w:val="0"/>
                      <w:sz w:val="21"/>
                      <w:szCs w:val="21"/>
                      <w:highlight w:val="none"/>
                      <w:lang w:eastAsia="zh-CN"/>
                    </w:rPr>
                    <w:t>）</w:t>
                  </w:r>
                </w:p>
              </w:tc>
              <w:tc>
                <w:tcPr>
                  <w:tcW w:w="1197" w:type="dxa"/>
                  <w:vMerge w:val="continue"/>
                  <w:vAlign w:val="center"/>
                </w:tcPr>
                <w:p w14:paraId="0BF18DFF">
                  <w:pPr>
                    <w:jc w:val="center"/>
                    <w:rPr>
                      <w:rFonts w:hint="default" w:ascii="Times New Roman" w:hAnsi="Times New Roman" w:eastAsia="宋体" w:cs="Times New Roman"/>
                      <w:color w:val="auto"/>
                      <w:kern w:val="0"/>
                      <w:sz w:val="21"/>
                      <w:szCs w:val="21"/>
                      <w:highlight w:val="none"/>
                    </w:rPr>
                  </w:pPr>
                </w:p>
              </w:tc>
              <w:tc>
                <w:tcPr>
                  <w:tcW w:w="784" w:type="dxa"/>
                  <w:vMerge w:val="continue"/>
                  <w:vAlign w:val="center"/>
                </w:tcPr>
                <w:p w14:paraId="56EB0A73">
                  <w:pPr>
                    <w:jc w:val="center"/>
                    <w:rPr>
                      <w:rFonts w:hint="default" w:ascii="Times New Roman" w:hAnsi="Times New Roman" w:eastAsia="宋体" w:cs="Times New Roman"/>
                      <w:color w:val="auto"/>
                      <w:kern w:val="0"/>
                      <w:sz w:val="21"/>
                      <w:szCs w:val="21"/>
                      <w:highlight w:val="none"/>
                    </w:rPr>
                  </w:pPr>
                </w:p>
              </w:tc>
            </w:tr>
            <w:tr w14:paraId="7866F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3" w:type="dxa"/>
                  <w:vAlign w:val="center"/>
                </w:tcPr>
                <w:p w14:paraId="4B3FBD7F">
                  <w:pPr>
                    <w:jc w:val="center"/>
                    <w:rPr>
                      <w:rFonts w:hint="default" w:ascii="Times New Roman" w:hAnsi="Times New Roman" w:eastAsia="宋体" w:cs="Times New Roman"/>
                      <w:color w:val="auto"/>
                      <w:kern w:val="0"/>
                      <w:sz w:val="21"/>
                      <w:szCs w:val="21"/>
                      <w:highlight w:val="none"/>
                    </w:rPr>
                  </w:pPr>
                  <w:r>
                    <w:rPr>
                      <w:rFonts w:hint="eastAsia" w:cs="Times New Roman" w:eastAsiaTheme="minorEastAsia"/>
                      <w:b/>
                      <w:color w:val="auto"/>
                      <w:sz w:val="21"/>
                      <w:szCs w:val="21"/>
                      <w:highlight w:val="none"/>
                      <w:lang w:val="en-US" w:eastAsia="zh-CN"/>
                    </w:rPr>
                    <w:t>H</w:t>
                  </w:r>
                  <w:r>
                    <w:rPr>
                      <w:rFonts w:hint="eastAsia" w:cs="Times New Roman" w:eastAsiaTheme="minorEastAsia"/>
                      <w:b/>
                      <w:color w:val="auto"/>
                      <w:sz w:val="21"/>
                      <w:szCs w:val="21"/>
                      <w:highlight w:val="none"/>
                      <w:vertAlign w:val="subscript"/>
                      <w:lang w:val="en-US" w:eastAsia="zh-CN"/>
                    </w:rPr>
                    <w:t>2</w:t>
                  </w:r>
                  <w:r>
                    <w:rPr>
                      <w:rFonts w:hint="eastAsia" w:cs="Times New Roman" w:eastAsiaTheme="minorEastAsia"/>
                      <w:b/>
                      <w:color w:val="auto"/>
                      <w:sz w:val="21"/>
                      <w:szCs w:val="21"/>
                      <w:highlight w:val="none"/>
                      <w:lang w:val="en-US" w:eastAsia="zh-CN"/>
                    </w:rPr>
                    <w:t>S</w:t>
                  </w:r>
                </w:p>
              </w:tc>
              <w:tc>
                <w:tcPr>
                  <w:tcW w:w="1426" w:type="dxa"/>
                  <w:vAlign w:val="center"/>
                </w:tcPr>
                <w:p w14:paraId="6EE729F5">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eastAsiaTheme="minorEastAsia"/>
                      <w:color w:val="auto"/>
                      <w:sz w:val="21"/>
                      <w:szCs w:val="21"/>
                      <w:highlight w:val="none"/>
                      <w:lang w:val="en-US" w:eastAsia="zh-CN"/>
                    </w:rPr>
                    <w:t>0.002~0.004</w:t>
                  </w:r>
                </w:p>
              </w:tc>
              <w:tc>
                <w:tcPr>
                  <w:tcW w:w="1747" w:type="dxa"/>
                  <w:vAlign w:val="center"/>
                </w:tcPr>
                <w:p w14:paraId="4E4DBF86">
                  <w:pPr>
                    <w:jc w:val="center"/>
                    <w:rPr>
                      <w:rFonts w:hint="default" w:ascii="Times New Roman" w:hAnsi="Times New Roman" w:eastAsia="宋体" w:cs="Times New Roman"/>
                      <w:color w:val="auto"/>
                      <w:kern w:val="0"/>
                      <w:sz w:val="21"/>
                      <w:szCs w:val="21"/>
                      <w:highlight w:val="none"/>
                    </w:rPr>
                  </w:pPr>
                  <w:r>
                    <w:rPr>
                      <w:rFonts w:hint="eastAsia" w:cs="Times New Roman" w:eastAsiaTheme="minorEastAsia"/>
                      <w:color w:val="auto"/>
                      <w:sz w:val="21"/>
                      <w:szCs w:val="21"/>
                      <w:highlight w:val="none"/>
                      <w:lang w:val="en-US" w:eastAsia="zh-CN"/>
                    </w:rPr>
                    <w:t>0.033~0.067</w:t>
                  </w:r>
                </w:p>
              </w:tc>
              <w:tc>
                <w:tcPr>
                  <w:tcW w:w="995" w:type="dxa"/>
                  <w:vAlign w:val="center"/>
                </w:tcPr>
                <w:p w14:paraId="2A9E0CCD">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w:t>
                  </w:r>
                </w:p>
              </w:tc>
              <w:tc>
                <w:tcPr>
                  <w:tcW w:w="1024" w:type="dxa"/>
                  <w:vAlign w:val="center"/>
                </w:tcPr>
                <w:p w14:paraId="24E5EDDF">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w:t>
                  </w:r>
                </w:p>
              </w:tc>
              <w:tc>
                <w:tcPr>
                  <w:tcW w:w="1197" w:type="dxa"/>
                  <w:vAlign w:val="center"/>
                </w:tcPr>
                <w:p w14:paraId="6ABB1746">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bidi="ar-SA"/>
                    </w:rPr>
                    <w:t>0.06</w:t>
                  </w:r>
                </w:p>
              </w:tc>
              <w:tc>
                <w:tcPr>
                  <w:tcW w:w="784" w:type="dxa"/>
                  <w:vAlign w:val="center"/>
                </w:tcPr>
                <w:p w14:paraId="2CFAE167">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达标</w:t>
                  </w:r>
                </w:p>
              </w:tc>
            </w:tr>
            <w:tr w14:paraId="5A2D31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3" w:type="dxa"/>
                  <w:vAlign w:val="center"/>
                </w:tcPr>
                <w:p w14:paraId="5657DEC3">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eastAsiaTheme="minorEastAsia"/>
                      <w:b/>
                      <w:bCs w:val="0"/>
                      <w:color w:val="auto"/>
                      <w:sz w:val="21"/>
                      <w:szCs w:val="21"/>
                      <w:highlight w:val="none"/>
                      <w:lang w:val="en-US" w:eastAsia="zh-CN"/>
                    </w:rPr>
                    <w:t>NH</w:t>
                  </w:r>
                  <w:r>
                    <w:rPr>
                      <w:rFonts w:hint="eastAsia" w:cs="Times New Roman" w:eastAsiaTheme="minorEastAsia"/>
                      <w:b/>
                      <w:bCs w:val="0"/>
                      <w:color w:val="auto"/>
                      <w:sz w:val="21"/>
                      <w:szCs w:val="21"/>
                      <w:highlight w:val="none"/>
                      <w:vertAlign w:val="subscript"/>
                      <w:lang w:val="en-US" w:eastAsia="zh-CN"/>
                    </w:rPr>
                    <w:t>3</w:t>
                  </w:r>
                </w:p>
              </w:tc>
              <w:tc>
                <w:tcPr>
                  <w:tcW w:w="1426" w:type="dxa"/>
                  <w:vAlign w:val="center"/>
                </w:tcPr>
                <w:p w14:paraId="77AF395A">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eastAsiaTheme="minorEastAsia"/>
                      <w:color w:val="auto"/>
                      <w:sz w:val="21"/>
                      <w:szCs w:val="21"/>
                      <w:highlight w:val="none"/>
                      <w:lang w:val="en-US" w:eastAsia="zh-CN"/>
                    </w:rPr>
                    <w:t>0.008~0.019</w:t>
                  </w:r>
                </w:p>
              </w:tc>
              <w:tc>
                <w:tcPr>
                  <w:tcW w:w="1747" w:type="dxa"/>
                  <w:vAlign w:val="center"/>
                </w:tcPr>
                <w:p w14:paraId="16A112D2">
                  <w:pPr>
                    <w:jc w:val="center"/>
                    <w:rPr>
                      <w:rFonts w:hint="default" w:ascii="Times New Roman" w:hAnsi="Times New Roman" w:eastAsia="宋体" w:cs="Times New Roman"/>
                      <w:color w:val="auto"/>
                      <w:kern w:val="0"/>
                      <w:sz w:val="21"/>
                      <w:szCs w:val="21"/>
                      <w:highlight w:val="none"/>
                    </w:rPr>
                  </w:pPr>
                  <w:r>
                    <w:rPr>
                      <w:rFonts w:hint="eastAsia" w:cs="Times New Roman" w:eastAsiaTheme="minorEastAsia"/>
                      <w:color w:val="auto"/>
                      <w:sz w:val="21"/>
                      <w:szCs w:val="21"/>
                      <w:highlight w:val="none"/>
                      <w:lang w:val="en-US" w:eastAsia="zh-CN"/>
                    </w:rPr>
                    <w:t>0.005~0.013</w:t>
                  </w:r>
                </w:p>
              </w:tc>
              <w:tc>
                <w:tcPr>
                  <w:tcW w:w="995" w:type="dxa"/>
                  <w:vAlign w:val="center"/>
                </w:tcPr>
                <w:p w14:paraId="6DB99F05">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w:t>
                  </w:r>
                </w:p>
              </w:tc>
              <w:tc>
                <w:tcPr>
                  <w:tcW w:w="1024" w:type="dxa"/>
                  <w:vAlign w:val="center"/>
                </w:tcPr>
                <w:p w14:paraId="391D3AEB">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w:t>
                  </w:r>
                </w:p>
              </w:tc>
              <w:tc>
                <w:tcPr>
                  <w:tcW w:w="1197" w:type="dxa"/>
                  <w:vAlign w:val="center"/>
                </w:tcPr>
                <w:p w14:paraId="74D599A6">
                  <w:pPr>
                    <w:pStyle w:val="12"/>
                    <w:ind w:right="113" w:right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bidi="ar-SA"/>
                    </w:rPr>
                    <w:t>1.5</w:t>
                  </w:r>
                </w:p>
              </w:tc>
              <w:tc>
                <w:tcPr>
                  <w:tcW w:w="784" w:type="dxa"/>
                  <w:vAlign w:val="center"/>
                </w:tcPr>
                <w:p w14:paraId="5C2994F1">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达标</w:t>
                  </w:r>
                </w:p>
              </w:tc>
            </w:tr>
            <w:tr w14:paraId="636EEF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3" w:type="dxa"/>
                  <w:vAlign w:val="center"/>
                </w:tcPr>
                <w:p w14:paraId="441B49CB">
                  <w:pPr>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臭气浓度</w:t>
                  </w:r>
                </w:p>
              </w:tc>
              <w:tc>
                <w:tcPr>
                  <w:tcW w:w="1426" w:type="dxa"/>
                  <w:vAlign w:val="center"/>
                </w:tcPr>
                <w:p w14:paraId="133E4F0F">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eastAsiaTheme="minorEastAsia"/>
                      <w:color w:val="auto"/>
                      <w:sz w:val="21"/>
                      <w:szCs w:val="21"/>
                      <w:highlight w:val="none"/>
                      <w:lang w:val="en-US" w:eastAsia="zh-CN"/>
                    </w:rPr>
                    <w:t>&lt;10</w:t>
                  </w:r>
                </w:p>
              </w:tc>
              <w:tc>
                <w:tcPr>
                  <w:tcW w:w="1747" w:type="dxa"/>
                  <w:vAlign w:val="center"/>
                </w:tcPr>
                <w:p w14:paraId="7D78B391">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eastAsiaTheme="minorEastAsia"/>
                      <w:color w:val="auto"/>
                      <w:sz w:val="21"/>
                      <w:szCs w:val="21"/>
                      <w:highlight w:val="none"/>
                      <w:lang w:val="en-US" w:eastAsia="zh-CN"/>
                    </w:rPr>
                    <w:t>0.5</w:t>
                  </w:r>
                </w:p>
              </w:tc>
              <w:tc>
                <w:tcPr>
                  <w:tcW w:w="995" w:type="dxa"/>
                  <w:vAlign w:val="center"/>
                </w:tcPr>
                <w:p w14:paraId="7B537AF0">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w:t>
                  </w:r>
                </w:p>
              </w:tc>
              <w:tc>
                <w:tcPr>
                  <w:tcW w:w="1024" w:type="dxa"/>
                  <w:vAlign w:val="center"/>
                </w:tcPr>
                <w:p w14:paraId="16D37C0A">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w:t>
                  </w:r>
                </w:p>
              </w:tc>
              <w:tc>
                <w:tcPr>
                  <w:tcW w:w="1197" w:type="dxa"/>
                  <w:vAlign w:val="center"/>
                </w:tcPr>
                <w:p w14:paraId="7A65B86B">
                  <w:pPr>
                    <w:pStyle w:val="12"/>
                    <w:keepNext w:val="0"/>
                    <w:keepLines w:val="0"/>
                    <w:pageBreakBefore w:val="0"/>
                    <w:widowControl w:val="0"/>
                    <w:kinsoku/>
                    <w:wordWrap/>
                    <w:overflowPunct/>
                    <w:topLinePunct w:val="0"/>
                    <w:autoSpaceDE/>
                    <w:autoSpaceDN/>
                    <w:bidi w:val="0"/>
                    <w:adjustRightInd/>
                    <w:snapToGrid/>
                    <w:spacing w:after="0" w:line="240" w:lineRule="exact"/>
                    <w:ind w:right="113" w:right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bidi="ar-SA"/>
                    </w:rPr>
                    <w:t>20</w:t>
                  </w:r>
                </w:p>
              </w:tc>
              <w:tc>
                <w:tcPr>
                  <w:tcW w:w="784" w:type="dxa"/>
                  <w:vAlign w:val="center"/>
                </w:tcPr>
                <w:p w14:paraId="11489A11">
                  <w:pPr>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达标</w:t>
                  </w:r>
                </w:p>
              </w:tc>
            </w:tr>
          </w:tbl>
          <w:p w14:paraId="702C6964">
            <w:pPr>
              <w:pStyle w:val="15"/>
              <w:spacing w:before="120" w:beforeLines="50" w:line="360" w:lineRule="auto"/>
              <w:ind w:left="0" w:right="0" w:firstLine="480" w:firstLineChars="200"/>
              <w:jc w:val="both"/>
              <w:rPr>
                <w:rFonts w:hint="default" w:ascii="Times New Roman" w:hAnsi="Times New Roman" w:eastAsia="宋体" w:cs="Times New Roman"/>
                <w:b w:val="0"/>
                <w:bCs/>
                <w:color w:val="auto"/>
                <w:sz w:val="24"/>
                <w:szCs w:val="24"/>
                <w:highlight w:val="none"/>
              </w:rPr>
            </w:pPr>
            <w:r>
              <w:rPr>
                <w:rFonts w:hint="default" w:ascii="Times New Roman" w:hAnsi="Times New Roman" w:eastAsia="宋体" w:cs="Times New Roman"/>
                <w:b w:val="0"/>
                <w:bCs/>
                <w:color w:val="auto"/>
                <w:sz w:val="24"/>
                <w:szCs w:val="24"/>
                <w:highlight w:val="none"/>
              </w:rPr>
              <w:t>采</w:t>
            </w:r>
            <w:r>
              <w:rPr>
                <w:rFonts w:hint="default" w:ascii="Times New Roman" w:hAnsi="Times New Roman" w:eastAsia="宋体" w:cs="Times New Roman"/>
                <w:b w:val="0"/>
                <w:color w:val="auto"/>
                <w:kern w:val="0"/>
                <w:sz w:val="24"/>
                <w:highlight w:val="none"/>
              </w:rPr>
              <w:t>用上述评价方法，计算出监测点</w:t>
            </w:r>
            <w:r>
              <w:rPr>
                <w:rFonts w:hint="eastAsia" w:cs="Times New Roman"/>
                <w:b w:val="0"/>
                <w:bCs/>
                <w:color w:val="auto"/>
                <w:sz w:val="24"/>
                <w:szCs w:val="24"/>
                <w:highlight w:val="none"/>
                <w:lang w:val="en-US" w:eastAsia="zh-CN"/>
              </w:rPr>
              <w:t>NH</w:t>
            </w:r>
            <w:r>
              <w:rPr>
                <w:rFonts w:hint="eastAsia" w:cs="Times New Roman"/>
                <w:b w:val="0"/>
                <w:bCs/>
                <w:color w:val="auto"/>
                <w:sz w:val="24"/>
                <w:szCs w:val="24"/>
                <w:highlight w:val="none"/>
                <w:vertAlign w:val="subscript"/>
                <w:lang w:val="en-US" w:eastAsia="zh-CN"/>
              </w:rPr>
              <w:t>3</w:t>
            </w:r>
            <w:r>
              <w:rPr>
                <w:rFonts w:hint="eastAsia" w:cs="Times New Roman"/>
                <w:b w:val="0"/>
                <w:bCs/>
                <w:color w:val="auto"/>
                <w:sz w:val="24"/>
                <w:szCs w:val="24"/>
                <w:highlight w:val="none"/>
                <w:lang w:val="en-US" w:eastAsia="zh-CN"/>
              </w:rPr>
              <w:t>、H</w:t>
            </w:r>
            <w:r>
              <w:rPr>
                <w:rFonts w:hint="eastAsia" w:cs="Times New Roman"/>
                <w:b w:val="0"/>
                <w:bCs/>
                <w:color w:val="auto"/>
                <w:sz w:val="24"/>
                <w:szCs w:val="24"/>
                <w:highlight w:val="none"/>
                <w:vertAlign w:val="subscript"/>
                <w:lang w:val="en-US" w:eastAsia="zh-CN"/>
              </w:rPr>
              <w:t>2</w:t>
            </w:r>
            <w:r>
              <w:rPr>
                <w:rFonts w:hint="eastAsia" w:cs="Times New Roman"/>
                <w:b w:val="0"/>
                <w:bCs/>
                <w:color w:val="auto"/>
                <w:sz w:val="24"/>
                <w:szCs w:val="24"/>
                <w:highlight w:val="none"/>
                <w:lang w:val="en-US" w:eastAsia="zh-CN"/>
              </w:rPr>
              <w:t>S和臭气浓度</w:t>
            </w:r>
            <w:r>
              <w:rPr>
                <w:rFonts w:hint="default" w:ascii="Times New Roman" w:hAnsi="Times New Roman" w:eastAsia="宋体" w:cs="Times New Roman"/>
                <w:b w:val="0"/>
                <w:color w:val="auto"/>
                <w:kern w:val="0"/>
                <w:sz w:val="24"/>
                <w:highlight w:val="none"/>
              </w:rPr>
              <w:t>的占标率</w:t>
            </w:r>
            <w:r>
              <w:rPr>
                <w:rFonts w:hint="eastAsia" w:cs="Times New Roman"/>
                <w:b w:val="0"/>
                <w:color w:val="auto"/>
                <w:kern w:val="0"/>
                <w:sz w:val="24"/>
                <w:highlight w:val="none"/>
                <w:lang w:val="en-US" w:eastAsia="zh-CN"/>
              </w:rPr>
              <w:t>很小</w:t>
            </w:r>
            <w:r>
              <w:rPr>
                <w:rFonts w:hint="default" w:ascii="Times New Roman" w:hAnsi="Times New Roman" w:eastAsia="宋体" w:cs="Times New Roman"/>
                <w:b w:val="0"/>
                <w:color w:val="auto"/>
                <w:kern w:val="0"/>
                <w:sz w:val="24"/>
                <w:highlight w:val="none"/>
              </w:rPr>
              <w:t>，无超标现象发生，从单项指数评价结果可以看出，目前拟建项目所在区域环境空气质量满足《环境影响评价技术导则大气环境》(HJ2.2-2018</w:t>
            </w:r>
            <w:r>
              <w:rPr>
                <w:rFonts w:hint="eastAsia" w:cs="Times New Roman"/>
                <w:b w:val="0"/>
                <w:color w:val="auto"/>
                <w:kern w:val="0"/>
                <w:sz w:val="24"/>
                <w:highlight w:val="none"/>
                <w:lang w:eastAsia="zh-CN"/>
              </w:rPr>
              <w:t>）</w:t>
            </w:r>
            <w:r>
              <w:rPr>
                <w:rFonts w:hint="eastAsia" w:cs="Times New Roman"/>
                <w:b w:val="0"/>
                <w:color w:val="auto"/>
                <w:kern w:val="0"/>
                <w:sz w:val="24"/>
                <w:highlight w:val="none"/>
                <w:lang w:val="en-US" w:eastAsia="zh-CN"/>
              </w:rPr>
              <w:t>附录D限值要求</w:t>
            </w:r>
            <w:r>
              <w:rPr>
                <w:rFonts w:hint="default" w:ascii="Times New Roman" w:hAnsi="Times New Roman" w:eastAsia="宋体" w:cs="Times New Roman"/>
                <w:b w:val="0"/>
                <w:bCs/>
                <w:color w:val="auto"/>
                <w:sz w:val="24"/>
                <w:szCs w:val="24"/>
                <w:highlight w:val="none"/>
              </w:rPr>
              <w:t>。说明项目评价区域环境空气质量良好，能满足评价标准的要求，项目所在地空气环境质量良好。</w:t>
            </w:r>
          </w:p>
          <w:bookmarkEnd w:id="6"/>
          <w:bookmarkEnd w:id="7"/>
          <w:bookmarkEnd w:id="8"/>
          <w:bookmarkEnd w:id="9"/>
          <w:p w14:paraId="529144FA">
            <w:pPr>
              <w:keepNext w:val="0"/>
              <w:keepLines w:val="0"/>
              <w:pageBreakBefore w:val="0"/>
              <w:widowControl w:val="0"/>
              <w:numPr>
                <w:ilvl w:val="0"/>
                <w:numId w:val="15"/>
              </w:numPr>
              <w:kinsoku/>
              <w:wordWrap/>
              <w:overflowPunct/>
              <w:topLinePunct w:val="0"/>
              <w:autoSpaceDE/>
              <w:autoSpaceDN/>
              <w:bidi w:val="0"/>
              <w:adjustRightInd/>
              <w:snapToGrid/>
              <w:spacing w:line="500" w:lineRule="exact"/>
              <w:ind w:firstLine="482" w:firstLineChars="20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地表水环境质量现状</w:t>
            </w:r>
          </w:p>
          <w:p w14:paraId="51BD1812">
            <w:pPr>
              <w:pStyle w:val="11"/>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default" w:ascii="Times New Roman" w:hAnsi="Times New Roman" w:eastAsia="宋体" w:cs="Times New Roman"/>
                <w:b/>
                <w:bCs w:val="0"/>
                <w:color w:val="auto"/>
                <w:szCs w:val="24"/>
                <w:highlight w:val="none"/>
              </w:rPr>
            </w:pPr>
            <w:r>
              <w:rPr>
                <w:rFonts w:hint="default" w:ascii="Times New Roman" w:hAnsi="Times New Roman" w:eastAsia="宋体" w:cs="Times New Roman"/>
                <w:b/>
                <w:bCs w:val="0"/>
                <w:color w:val="auto"/>
                <w:szCs w:val="24"/>
                <w:highlight w:val="none"/>
              </w:rPr>
              <w:t>（1）</w:t>
            </w:r>
            <w:r>
              <w:rPr>
                <w:rFonts w:hint="eastAsia" w:cs="Times New Roman"/>
                <w:b/>
                <w:bCs w:val="0"/>
                <w:color w:val="auto"/>
                <w:szCs w:val="24"/>
                <w:highlight w:val="none"/>
                <w:lang w:val="en-US" w:eastAsia="zh-CN"/>
              </w:rPr>
              <w:t>地表水环境质量</w:t>
            </w:r>
            <w:r>
              <w:rPr>
                <w:rFonts w:hint="default" w:ascii="Times New Roman" w:hAnsi="Times New Roman" w:eastAsia="宋体" w:cs="Times New Roman"/>
                <w:b/>
                <w:bCs w:val="0"/>
                <w:color w:val="auto"/>
                <w:szCs w:val="24"/>
                <w:highlight w:val="none"/>
              </w:rPr>
              <w:t>达标区判定</w:t>
            </w:r>
          </w:p>
          <w:p w14:paraId="7A3D8E68">
            <w:pPr>
              <w:keepNext w:val="0"/>
              <w:keepLines w:val="0"/>
              <w:pageBreakBefore w:val="0"/>
              <w:widowControl w:val="0"/>
              <w:kinsoku/>
              <w:wordWrap/>
              <w:overflowPunct/>
              <w:topLinePunct w:val="0"/>
              <w:autoSpaceDE/>
              <w:autoSpaceDN/>
              <w:bidi w:val="0"/>
              <w:adjustRightInd/>
              <w:snapToGrid/>
              <w:spacing w:line="500" w:lineRule="exact"/>
              <w:ind w:left="106" w:firstLine="48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
                <w:sz w:val="24"/>
                <w:szCs w:val="24"/>
                <w:highlight w:val="none"/>
              </w:rPr>
              <w:t>根据《建设项目环境影响报告表编制技术指南（污染影响类</w:t>
            </w:r>
            <w:r>
              <w:rPr>
                <w:rFonts w:hint="default" w:ascii="Times New Roman" w:hAnsi="Times New Roman" w:eastAsia="宋体" w:cs="Times New Roman"/>
                <w:color w:val="auto"/>
                <w:spacing w:val="-31"/>
                <w:sz w:val="24"/>
                <w:szCs w:val="24"/>
                <w:highlight w:val="none"/>
              </w:rPr>
              <w:t>）（</w:t>
            </w:r>
            <w:r>
              <w:rPr>
                <w:rFonts w:hint="default" w:ascii="Times New Roman" w:hAnsi="Times New Roman" w:eastAsia="宋体" w:cs="Times New Roman"/>
                <w:color w:val="auto"/>
                <w:spacing w:val="-1"/>
                <w:sz w:val="24"/>
                <w:szCs w:val="24"/>
                <w:highlight w:val="none"/>
              </w:rPr>
              <w:t>试行</w:t>
            </w:r>
            <w:r>
              <w:rPr>
                <w:rFonts w:hint="default" w:ascii="Times New Roman" w:hAnsi="Times New Roman" w:eastAsia="宋体" w:cs="Times New Roman"/>
                <w:color w:val="auto"/>
                <w:spacing w:val="-2"/>
                <w:sz w:val="24"/>
                <w:szCs w:val="24"/>
                <w:highlight w:val="none"/>
              </w:rPr>
              <w:t>）》</w:t>
            </w:r>
            <w:r>
              <w:rPr>
                <w:rFonts w:hint="default" w:ascii="Times New Roman" w:hAnsi="Times New Roman" w:eastAsia="宋体" w:cs="Times New Roman"/>
                <w:color w:val="auto"/>
                <w:spacing w:val="1"/>
                <w:sz w:val="24"/>
                <w:szCs w:val="24"/>
                <w:highlight w:val="none"/>
              </w:rPr>
              <w:t>可知，区域地表水环境质量现状可引用与建设项目距离近的有效数据，包括</w:t>
            </w:r>
            <w:r>
              <w:rPr>
                <w:rFonts w:hint="default" w:ascii="Times New Roman" w:hAnsi="Times New Roman" w:eastAsia="宋体" w:cs="Times New Roman"/>
                <w:color w:val="auto"/>
                <w:spacing w:val="-2"/>
                <w:sz w:val="24"/>
                <w:szCs w:val="24"/>
                <w:highlight w:val="none"/>
              </w:rPr>
              <w:t>近3年的规划环境影响评价的监测数据，所在流域控制</w:t>
            </w:r>
            <w:r>
              <w:rPr>
                <w:rFonts w:hint="default" w:ascii="Times New Roman" w:hAnsi="Times New Roman" w:eastAsia="宋体" w:cs="Times New Roman"/>
                <w:color w:val="auto"/>
                <w:spacing w:val="-3"/>
                <w:sz w:val="24"/>
                <w:szCs w:val="24"/>
                <w:highlight w:val="none"/>
              </w:rPr>
              <w:t>单元内国家、地方控制</w:t>
            </w:r>
            <w:r>
              <w:rPr>
                <w:rFonts w:hint="default" w:ascii="Times New Roman" w:hAnsi="Times New Roman" w:eastAsia="宋体" w:cs="Times New Roman"/>
                <w:color w:val="auto"/>
                <w:spacing w:val="1"/>
                <w:sz w:val="24"/>
                <w:szCs w:val="24"/>
                <w:highlight w:val="none"/>
              </w:rPr>
              <w:t>断面监测数据，生态环境主管部门发布的水环境质量数据或地表水达标情况</w:t>
            </w:r>
            <w:r>
              <w:rPr>
                <w:rFonts w:hint="default" w:ascii="Times New Roman" w:hAnsi="Times New Roman" w:eastAsia="宋体" w:cs="Times New Roman"/>
                <w:color w:val="auto"/>
                <w:spacing w:val="-3"/>
                <w:sz w:val="24"/>
                <w:szCs w:val="24"/>
                <w:highlight w:val="none"/>
              </w:rPr>
              <w:t>的结论。</w:t>
            </w:r>
          </w:p>
          <w:p w14:paraId="7D6ABF7D">
            <w:pPr>
              <w:keepNext w:val="0"/>
              <w:keepLines w:val="0"/>
              <w:pageBreakBefore w:val="0"/>
              <w:widowControl w:val="0"/>
              <w:kinsoku/>
              <w:wordWrap/>
              <w:overflowPunct/>
              <w:topLinePunct w:val="0"/>
              <w:autoSpaceDE/>
              <w:autoSpaceDN/>
              <w:bidi w:val="0"/>
              <w:adjustRightInd/>
              <w:snapToGrid/>
              <w:spacing w:line="500" w:lineRule="exact"/>
              <w:ind w:left="102" w:right="102" w:firstLine="482"/>
              <w:jc w:val="both"/>
              <w:textAlignment w:val="auto"/>
              <w:rPr>
                <w:rFonts w:hint="eastAsia" w:cs="Times New Roman"/>
                <w:color w:val="auto"/>
                <w:spacing w:val="1"/>
                <w:sz w:val="24"/>
                <w:szCs w:val="24"/>
                <w:highlight w:val="none"/>
                <w:lang w:val="en-US" w:eastAsia="zh-CN"/>
              </w:rPr>
            </w:pPr>
            <w:r>
              <w:rPr>
                <w:rFonts w:hint="eastAsia" w:cs="Times New Roman"/>
                <w:color w:val="auto"/>
                <w:spacing w:val="1"/>
                <w:sz w:val="24"/>
                <w:szCs w:val="24"/>
                <w:highlight w:val="none"/>
                <w:lang w:val="en-US" w:eastAsia="zh-CN"/>
              </w:rPr>
              <w:t>本项目废水预处理后，由罐车送至泸定县磨西镇城市生活污水处理厂进行处理，最终纳污水体为燕子沟。燕子沟系大渡河右岸一级支流，发源于泸定县西南贡嘎岭东路，由西向东流至药王庙转向南东流，沿程再纳入磨子沟、海螺沟，并于摩岗岭吊嘴与雅家埂河汇合后继续南流过磨西镇，在泸定县得妥乡繁荣村附近汇入大渡河。</w:t>
            </w:r>
          </w:p>
          <w:p w14:paraId="4D385541">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 xml:space="preserve">本污水处理厂受纳水体为燕子沟，无环保考核监测断面，排污口下游最近环保考核断面为大渡河的得妥镇大岗山出境断面，距离排污口约 </w:t>
            </w:r>
            <w:r>
              <w:rPr>
                <w:rFonts w:hint="default" w:ascii="Times New Roman" w:hAnsi="Times New Roman" w:eastAsia="宋体" w:cs="Times New Roman"/>
                <w:color w:val="auto"/>
                <w:kern w:val="0"/>
                <w:sz w:val="24"/>
                <w:szCs w:val="24"/>
                <w:highlight w:val="none"/>
                <w:lang w:val="en-US" w:eastAsia="zh-CN" w:bidi="ar"/>
              </w:rPr>
              <w:t>30km</w:t>
            </w:r>
            <w:r>
              <w:rPr>
                <w:rFonts w:hint="eastAsia" w:ascii="宋体" w:hAnsi="宋体" w:eastAsia="宋体" w:cs="宋体"/>
                <w:color w:val="auto"/>
                <w:kern w:val="0"/>
                <w:sz w:val="24"/>
                <w:szCs w:val="24"/>
                <w:highlight w:val="none"/>
                <w:lang w:val="en-US" w:eastAsia="zh-CN" w:bidi="ar"/>
              </w:rPr>
              <w:t xml:space="preserve">，该环保考核断面为国控地表水断面，其 </w:t>
            </w:r>
            <w:r>
              <w:rPr>
                <w:rFonts w:hint="default" w:ascii="Times New Roman" w:hAnsi="Times New Roman" w:eastAsia="宋体" w:cs="Times New Roman"/>
                <w:color w:val="auto"/>
                <w:kern w:val="0"/>
                <w:sz w:val="24"/>
                <w:szCs w:val="24"/>
                <w:highlight w:val="none"/>
                <w:lang w:val="en-US" w:eastAsia="zh-CN" w:bidi="ar"/>
              </w:rPr>
              <w:t xml:space="preserve">2022 </w:t>
            </w:r>
            <w:r>
              <w:rPr>
                <w:rFonts w:hint="eastAsia" w:ascii="宋体" w:hAnsi="宋体" w:eastAsia="宋体" w:cs="宋体"/>
                <w:color w:val="auto"/>
                <w:kern w:val="0"/>
                <w:sz w:val="24"/>
                <w:szCs w:val="24"/>
                <w:highlight w:val="none"/>
                <w:lang w:val="en-US" w:eastAsia="zh-CN" w:bidi="ar"/>
              </w:rPr>
              <w:t xml:space="preserve">年水质目标类别为Ⅱ类。根据泸定县人民政府发布的《泸定县 </w:t>
            </w:r>
            <w:r>
              <w:rPr>
                <w:rFonts w:hint="default" w:ascii="Times New Roman" w:hAnsi="Times New Roman" w:eastAsia="宋体" w:cs="Times New Roman"/>
                <w:color w:val="auto"/>
                <w:kern w:val="0"/>
                <w:sz w:val="24"/>
                <w:szCs w:val="24"/>
                <w:highlight w:val="none"/>
                <w:lang w:val="en-US" w:eastAsia="zh-CN" w:bidi="ar"/>
              </w:rPr>
              <w:t xml:space="preserve">2022 </w:t>
            </w:r>
            <w:r>
              <w:rPr>
                <w:rFonts w:hint="eastAsia" w:ascii="宋体" w:hAnsi="宋体" w:eastAsia="宋体" w:cs="宋体"/>
                <w:color w:val="auto"/>
                <w:kern w:val="0"/>
                <w:sz w:val="24"/>
                <w:szCs w:val="24"/>
                <w:highlight w:val="none"/>
                <w:lang w:val="en-US" w:eastAsia="zh-CN" w:bidi="ar"/>
              </w:rPr>
              <w:t xml:space="preserve">年 </w:t>
            </w:r>
            <w:r>
              <w:rPr>
                <w:rFonts w:hint="default" w:ascii="Times New Roman" w:hAnsi="Times New Roman" w:eastAsia="宋体" w:cs="Times New Roman"/>
                <w:color w:val="auto"/>
                <w:kern w:val="0"/>
                <w:sz w:val="24"/>
                <w:szCs w:val="24"/>
                <w:highlight w:val="none"/>
                <w:lang w:val="en-US" w:eastAsia="zh-CN" w:bidi="ar"/>
              </w:rPr>
              <w:t xml:space="preserve">1 </w:t>
            </w:r>
            <w:r>
              <w:rPr>
                <w:rFonts w:hint="eastAsia" w:ascii="宋体" w:hAnsi="宋体" w:eastAsia="宋体" w:cs="宋体"/>
                <w:color w:val="auto"/>
                <w:kern w:val="0"/>
                <w:sz w:val="24"/>
                <w:szCs w:val="24"/>
                <w:highlight w:val="none"/>
                <w:lang w:val="en-US" w:eastAsia="zh-CN" w:bidi="ar"/>
              </w:rPr>
              <w:t>月</w:t>
            </w:r>
            <w:r>
              <w:rPr>
                <w:rFonts w:hint="default" w:ascii="Times New Roman" w:hAnsi="Times New Roman" w:eastAsia="宋体" w:cs="Times New Roman"/>
                <w:color w:val="auto"/>
                <w:kern w:val="0"/>
                <w:sz w:val="24"/>
                <w:szCs w:val="24"/>
                <w:highlight w:val="none"/>
                <w:lang w:val="en-US" w:eastAsia="zh-CN" w:bidi="ar"/>
              </w:rPr>
              <w:t xml:space="preserve">-3 </w:t>
            </w:r>
            <w:r>
              <w:rPr>
                <w:rFonts w:hint="eastAsia" w:ascii="宋体" w:hAnsi="宋体" w:eastAsia="宋体" w:cs="宋体"/>
                <w:color w:val="auto"/>
                <w:kern w:val="0"/>
                <w:sz w:val="24"/>
                <w:szCs w:val="24"/>
                <w:highlight w:val="none"/>
                <w:lang w:val="en-US" w:eastAsia="zh-CN" w:bidi="ar"/>
              </w:rPr>
              <w:t>月环境空气质量及大渡河流域地表水水质状况公开公示</w:t>
            </w:r>
            <w:r>
              <w:rPr>
                <w:rFonts w:hint="eastAsia" w:ascii="宋体" w:hAnsi="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 xml:space="preserve">泸定县 </w:t>
            </w:r>
            <w:r>
              <w:rPr>
                <w:rFonts w:hint="default" w:ascii="Times New Roman" w:hAnsi="Times New Roman" w:eastAsia="宋体" w:cs="Times New Roman"/>
                <w:color w:val="auto"/>
                <w:kern w:val="0"/>
                <w:sz w:val="24"/>
                <w:szCs w:val="24"/>
                <w:highlight w:val="none"/>
                <w:lang w:val="en-US" w:eastAsia="zh-CN" w:bidi="ar"/>
              </w:rPr>
              <w:t xml:space="preserve">2022 </w:t>
            </w:r>
            <w:r>
              <w:rPr>
                <w:rFonts w:hint="eastAsia" w:ascii="宋体" w:hAnsi="宋体" w:eastAsia="宋体" w:cs="宋体"/>
                <w:color w:val="auto"/>
                <w:kern w:val="0"/>
                <w:sz w:val="24"/>
                <w:szCs w:val="24"/>
                <w:highlight w:val="none"/>
                <w:lang w:val="en-US" w:eastAsia="zh-CN" w:bidi="ar"/>
              </w:rPr>
              <w:t xml:space="preserve">年 </w:t>
            </w:r>
            <w:r>
              <w:rPr>
                <w:rFonts w:hint="default" w:ascii="Times New Roman" w:hAnsi="Times New Roman" w:eastAsia="宋体" w:cs="Times New Roman"/>
                <w:color w:val="auto"/>
                <w:kern w:val="0"/>
                <w:sz w:val="24"/>
                <w:szCs w:val="24"/>
                <w:highlight w:val="none"/>
                <w:lang w:val="en-US" w:eastAsia="zh-CN" w:bidi="ar"/>
              </w:rPr>
              <w:t xml:space="preserve">4 </w:t>
            </w:r>
            <w:r>
              <w:rPr>
                <w:rFonts w:hint="eastAsia" w:ascii="宋体" w:hAnsi="宋体" w:eastAsia="宋体" w:cs="宋体"/>
                <w:color w:val="auto"/>
                <w:kern w:val="0"/>
                <w:sz w:val="24"/>
                <w:szCs w:val="24"/>
                <w:highlight w:val="none"/>
                <w:lang w:val="en-US" w:eastAsia="zh-CN" w:bidi="ar"/>
              </w:rPr>
              <w:t>月</w:t>
            </w:r>
            <w:r>
              <w:rPr>
                <w:rFonts w:hint="default" w:ascii="Times New Roman" w:hAnsi="Times New Roman" w:eastAsia="宋体" w:cs="Times New Roman"/>
                <w:color w:val="auto"/>
                <w:kern w:val="0"/>
                <w:sz w:val="24"/>
                <w:szCs w:val="24"/>
                <w:highlight w:val="none"/>
                <w:lang w:val="en-US" w:eastAsia="zh-CN" w:bidi="ar"/>
              </w:rPr>
              <w:t xml:space="preserve">-6 </w:t>
            </w:r>
            <w:r>
              <w:rPr>
                <w:rFonts w:hint="eastAsia" w:ascii="宋体" w:hAnsi="宋体" w:eastAsia="宋体" w:cs="宋体"/>
                <w:color w:val="auto"/>
                <w:kern w:val="0"/>
                <w:sz w:val="24"/>
                <w:szCs w:val="24"/>
                <w:highlight w:val="none"/>
                <w:lang w:val="en-US" w:eastAsia="zh-CN" w:bidi="ar"/>
              </w:rPr>
              <w:t>月环境空气质量及大渡河流域地表水水质状况公开公示</w:t>
            </w:r>
            <w:r>
              <w:rPr>
                <w:rFonts w:hint="eastAsia" w:ascii="宋体" w:hAnsi="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 xml:space="preserve">泸定县 </w:t>
            </w:r>
            <w:r>
              <w:rPr>
                <w:rFonts w:hint="default" w:ascii="Times New Roman" w:hAnsi="Times New Roman" w:eastAsia="宋体" w:cs="Times New Roman"/>
                <w:color w:val="auto"/>
                <w:kern w:val="0"/>
                <w:sz w:val="24"/>
                <w:szCs w:val="24"/>
                <w:highlight w:val="none"/>
                <w:lang w:val="en-US" w:eastAsia="zh-CN" w:bidi="ar"/>
              </w:rPr>
              <w:t xml:space="preserve">2022 </w:t>
            </w:r>
            <w:r>
              <w:rPr>
                <w:rFonts w:hint="eastAsia" w:ascii="宋体" w:hAnsi="宋体" w:eastAsia="宋体" w:cs="宋体"/>
                <w:color w:val="auto"/>
                <w:kern w:val="0"/>
                <w:sz w:val="24"/>
                <w:szCs w:val="24"/>
                <w:highlight w:val="none"/>
                <w:lang w:val="en-US" w:eastAsia="zh-CN" w:bidi="ar"/>
              </w:rPr>
              <w:t xml:space="preserve">年 </w:t>
            </w:r>
            <w:r>
              <w:rPr>
                <w:rFonts w:hint="default" w:ascii="Times New Roman" w:hAnsi="Times New Roman" w:eastAsia="宋体" w:cs="Times New Roman"/>
                <w:color w:val="auto"/>
                <w:kern w:val="0"/>
                <w:sz w:val="24"/>
                <w:szCs w:val="24"/>
                <w:highlight w:val="none"/>
                <w:lang w:val="en-US" w:eastAsia="zh-CN" w:bidi="ar"/>
              </w:rPr>
              <w:t xml:space="preserve">7 </w:t>
            </w:r>
            <w:r>
              <w:rPr>
                <w:rFonts w:hint="eastAsia" w:ascii="宋体" w:hAnsi="宋体" w:eastAsia="宋体" w:cs="宋体"/>
                <w:color w:val="auto"/>
                <w:kern w:val="0"/>
                <w:sz w:val="24"/>
                <w:szCs w:val="24"/>
                <w:highlight w:val="none"/>
                <w:lang w:val="en-US" w:eastAsia="zh-CN" w:bidi="ar"/>
              </w:rPr>
              <w:t>月</w:t>
            </w:r>
            <w:r>
              <w:rPr>
                <w:rFonts w:hint="default" w:ascii="Times New Roman" w:hAnsi="Times New Roman" w:eastAsia="宋体" w:cs="Times New Roman"/>
                <w:color w:val="auto"/>
                <w:kern w:val="0"/>
                <w:sz w:val="24"/>
                <w:szCs w:val="24"/>
                <w:highlight w:val="none"/>
                <w:lang w:val="en-US" w:eastAsia="zh-CN" w:bidi="ar"/>
              </w:rPr>
              <w:t xml:space="preserve">-9 </w:t>
            </w:r>
            <w:r>
              <w:rPr>
                <w:rFonts w:hint="eastAsia" w:ascii="宋体" w:hAnsi="宋体" w:eastAsia="宋体" w:cs="宋体"/>
                <w:color w:val="auto"/>
                <w:kern w:val="0"/>
                <w:sz w:val="24"/>
                <w:szCs w:val="24"/>
                <w:highlight w:val="none"/>
                <w:lang w:val="en-US" w:eastAsia="zh-CN" w:bidi="ar"/>
              </w:rPr>
              <w:t>月环境空气质量及大渡河流域地表水水质状况公开公示</w:t>
            </w:r>
            <w:r>
              <w:rPr>
                <w:rFonts w:hint="eastAsia" w:ascii="宋体" w:hAnsi="宋体" w:cs="宋体"/>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 xml:space="preserve">泸定县 </w:t>
            </w:r>
            <w:r>
              <w:rPr>
                <w:rFonts w:hint="default" w:ascii="Times New Roman" w:hAnsi="Times New Roman" w:eastAsia="宋体" w:cs="Times New Roman"/>
                <w:color w:val="auto"/>
                <w:kern w:val="0"/>
                <w:sz w:val="24"/>
                <w:szCs w:val="24"/>
                <w:highlight w:val="none"/>
                <w:lang w:val="en-US" w:eastAsia="zh-CN" w:bidi="ar"/>
              </w:rPr>
              <w:t xml:space="preserve">2022 </w:t>
            </w:r>
            <w:r>
              <w:rPr>
                <w:rFonts w:hint="eastAsia" w:ascii="宋体" w:hAnsi="宋体" w:eastAsia="宋体" w:cs="宋体"/>
                <w:color w:val="auto"/>
                <w:kern w:val="0"/>
                <w:sz w:val="24"/>
                <w:szCs w:val="24"/>
                <w:highlight w:val="none"/>
                <w:lang w:val="en-US" w:eastAsia="zh-CN" w:bidi="ar"/>
              </w:rPr>
              <w:t xml:space="preserve">年 </w:t>
            </w:r>
            <w:r>
              <w:rPr>
                <w:rFonts w:hint="default" w:ascii="Times New Roman" w:hAnsi="Times New Roman" w:eastAsia="宋体" w:cs="Times New Roman"/>
                <w:color w:val="auto"/>
                <w:kern w:val="0"/>
                <w:sz w:val="24"/>
                <w:szCs w:val="24"/>
                <w:highlight w:val="none"/>
                <w:lang w:val="en-US" w:eastAsia="zh-CN" w:bidi="ar"/>
              </w:rPr>
              <w:t xml:space="preserve">11 </w:t>
            </w:r>
            <w:r>
              <w:rPr>
                <w:rFonts w:hint="eastAsia" w:ascii="宋体" w:hAnsi="宋体" w:eastAsia="宋体" w:cs="宋体"/>
                <w:color w:val="auto"/>
                <w:kern w:val="0"/>
                <w:sz w:val="24"/>
                <w:szCs w:val="24"/>
                <w:highlight w:val="none"/>
                <w:lang w:val="en-US" w:eastAsia="zh-CN" w:bidi="ar"/>
              </w:rPr>
              <w:t>月</w:t>
            </w:r>
            <w:r>
              <w:rPr>
                <w:rFonts w:hint="default" w:ascii="Times New Roman" w:hAnsi="Times New Roman" w:eastAsia="宋体" w:cs="Times New Roman"/>
                <w:color w:val="auto"/>
                <w:kern w:val="0"/>
                <w:sz w:val="24"/>
                <w:szCs w:val="24"/>
                <w:highlight w:val="none"/>
                <w:lang w:val="en-US" w:eastAsia="zh-CN" w:bidi="ar"/>
              </w:rPr>
              <w:t xml:space="preserve">-12 </w:t>
            </w:r>
            <w:r>
              <w:rPr>
                <w:rFonts w:hint="eastAsia" w:ascii="宋体" w:hAnsi="宋体" w:eastAsia="宋体" w:cs="宋体"/>
                <w:color w:val="auto"/>
                <w:kern w:val="0"/>
                <w:sz w:val="24"/>
                <w:szCs w:val="24"/>
                <w:highlight w:val="none"/>
                <w:lang w:val="en-US" w:eastAsia="zh-CN" w:bidi="ar"/>
              </w:rPr>
              <w:t>月环境空气质量及大渡河流域地表水水质状况公开公示》，该环保考核断面能满足Ⅱ类水要求，满足水质目标。</w:t>
            </w:r>
          </w:p>
          <w:p w14:paraId="4682A212">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本次评价收集了泸定县人民政府门户网站上公布的大渡河流域地表水水质状况公开公示，详见下表所示。</w:t>
            </w:r>
          </w:p>
          <w:p w14:paraId="0B3059ED">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大渡河大岗山出境断面（国控）2022年全年水质类别一览</w:t>
            </w:r>
            <w:r>
              <w:rPr>
                <w:rFonts w:hint="eastAsia" w:ascii="Times New Roman" w:hAnsi="Times New Roman" w:eastAsia="宋体" w:cs="Times New Roman"/>
                <w:b/>
                <w:bCs/>
                <w:color w:val="auto"/>
                <w:sz w:val="21"/>
                <w:szCs w:val="21"/>
                <w:highlight w:val="none"/>
              </w:rPr>
              <w:t>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644"/>
              <w:gridCol w:w="644"/>
              <w:gridCol w:w="644"/>
              <w:gridCol w:w="644"/>
              <w:gridCol w:w="645"/>
              <w:gridCol w:w="645"/>
              <w:gridCol w:w="645"/>
              <w:gridCol w:w="645"/>
              <w:gridCol w:w="789"/>
              <w:gridCol w:w="765"/>
              <w:gridCol w:w="1029"/>
            </w:tblGrid>
            <w:tr w14:paraId="03800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3" w:type="dxa"/>
                  <w:gridSpan w:val="12"/>
                  <w:tcBorders>
                    <w:right w:val="nil"/>
                  </w:tcBorders>
                  <w:vAlign w:val="top"/>
                </w:tcPr>
                <w:p w14:paraId="553E05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2022年</w:t>
                  </w:r>
                </w:p>
              </w:tc>
            </w:tr>
            <w:tr w14:paraId="2BC79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Borders>
                    <w:left w:val="nil"/>
                  </w:tcBorders>
                  <w:vAlign w:val="top"/>
                </w:tcPr>
                <w:p w14:paraId="53460ED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1月</w:t>
                  </w:r>
                </w:p>
              </w:tc>
              <w:tc>
                <w:tcPr>
                  <w:tcW w:w="644" w:type="dxa"/>
                  <w:vAlign w:val="top"/>
                </w:tcPr>
                <w:p w14:paraId="524974F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2</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4" w:type="dxa"/>
                  <w:vAlign w:val="top"/>
                </w:tcPr>
                <w:p w14:paraId="4EE0C1D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3</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4" w:type="dxa"/>
                  <w:vAlign w:val="top"/>
                </w:tcPr>
                <w:p w14:paraId="0FF48A6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4</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4" w:type="dxa"/>
                  <w:vAlign w:val="top"/>
                </w:tcPr>
                <w:p w14:paraId="2FC9373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5</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5" w:type="dxa"/>
                  <w:vAlign w:val="top"/>
                </w:tcPr>
                <w:p w14:paraId="1D19745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6</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5" w:type="dxa"/>
                  <w:vAlign w:val="top"/>
                </w:tcPr>
                <w:p w14:paraId="2596F19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7</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5" w:type="dxa"/>
                  <w:vAlign w:val="top"/>
                </w:tcPr>
                <w:p w14:paraId="47807D4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8</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645" w:type="dxa"/>
                  <w:vAlign w:val="top"/>
                </w:tcPr>
                <w:p w14:paraId="21DA505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9</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789" w:type="dxa"/>
                  <w:vAlign w:val="top"/>
                </w:tcPr>
                <w:p w14:paraId="3081031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10</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765" w:type="dxa"/>
                  <w:vAlign w:val="top"/>
                </w:tcPr>
                <w:p w14:paraId="3A76B90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1</w:t>
                  </w:r>
                  <w:r>
                    <w:rPr>
                      <w:rFonts w:hint="default" w:ascii="Times New Roman" w:hAnsi="Times New Roman" w:cs="Times New Roman"/>
                      <w:color w:val="auto"/>
                      <w:kern w:val="0"/>
                      <w:sz w:val="21"/>
                      <w:szCs w:val="21"/>
                      <w:highlight w:val="none"/>
                      <w:vertAlign w:val="baseline"/>
                      <w:lang w:val="en-US" w:eastAsia="zh-CN" w:bidi="ar"/>
                    </w:rPr>
                    <w:t>1</w:t>
                  </w:r>
                  <w:r>
                    <w:rPr>
                      <w:rFonts w:hint="default" w:ascii="Times New Roman" w:hAnsi="Times New Roman" w:eastAsia="宋体" w:cs="Times New Roman"/>
                      <w:color w:val="auto"/>
                      <w:kern w:val="0"/>
                      <w:sz w:val="21"/>
                      <w:szCs w:val="21"/>
                      <w:highlight w:val="none"/>
                      <w:vertAlign w:val="baseline"/>
                      <w:lang w:val="en-US" w:eastAsia="zh-CN" w:bidi="ar"/>
                    </w:rPr>
                    <w:t>月</w:t>
                  </w:r>
                </w:p>
              </w:tc>
              <w:tc>
                <w:tcPr>
                  <w:tcW w:w="1029" w:type="dxa"/>
                  <w:tcBorders>
                    <w:right w:val="nil"/>
                  </w:tcBorders>
                  <w:vAlign w:val="top"/>
                </w:tcPr>
                <w:p w14:paraId="33E4DEE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12月</w:t>
                  </w:r>
                </w:p>
              </w:tc>
            </w:tr>
            <w:tr w14:paraId="2E77D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dxa"/>
                  <w:tcBorders>
                    <w:left w:val="nil"/>
                  </w:tcBorders>
                  <w:vAlign w:val="top"/>
                </w:tcPr>
                <w:p w14:paraId="5B6D2A8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Ⅰ类</w:t>
                  </w:r>
                </w:p>
              </w:tc>
              <w:tc>
                <w:tcPr>
                  <w:tcW w:w="644" w:type="dxa"/>
                  <w:vAlign w:val="top"/>
                </w:tcPr>
                <w:p w14:paraId="1E9B95F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Ⅰ类</w:t>
                  </w:r>
                </w:p>
              </w:tc>
              <w:tc>
                <w:tcPr>
                  <w:tcW w:w="644" w:type="dxa"/>
                  <w:vAlign w:val="top"/>
                </w:tcPr>
                <w:p w14:paraId="5C63F59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644" w:type="dxa"/>
                  <w:vAlign w:val="top"/>
                </w:tcPr>
                <w:p w14:paraId="0985574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Ⅰ类</w:t>
                  </w:r>
                </w:p>
              </w:tc>
              <w:tc>
                <w:tcPr>
                  <w:tcW w:w="644" w:type="dxa"/>
                  <w:vAlign w:val="top"/>
                </w:tcPr>
                <w:p w14:paraId="792006B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645" w:type="dxa"/>
                  <w:vAlign w:val="top"/>
                </w:tcPr>
                <w:p w14:paraId="0D3F3E8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645" w:type="dxa"/>
                  <w:vAlign w:val="top"/>
                </w:tcPr>
                <w:p w14:paraId="7C35A44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645" w:type="dxa"/>
                  <w:vAlign w:val="top"/>
                </w:tcPr>
                <w:p w14:paraId="53C4E74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645" w:type="dxa"/>
                  <w:vAlign w:val="top"/>
                </w:tcPr>
                <w:p w14:paraId="07AC672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789" w:type="dxa"/>
                  <w:vAlign w:val="top"/>
                </w:tcPr>
                <w:p w14:paraId="67A5CCB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765" w:type="dxa"/>
                  <w:vAlign w:val="top"/>
                </w:tcPr>
                <w:p w14:paraId="289495C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Ⅱ类</w:t>
                  </w:r>
                </w:p>
              </w:tc>
              <w:tc>
                <w:tcPr>
                  <w:tcW w:w="1029" w:type="dxa"/>
                  <w:tcBorders>
                    <w:right w:val="nil"/>
                  </w:tcBorders>
                  <w:vAlign w:val="top"/>
                </w:tcPr>
                <w:p w14:paraId="7FC4AB0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Ⅰ类</w:t>
                  </w:r>
                </w:p>
              </w:tc>
            </w:tr>
          </w:tbl>
          <w:p w14:paraId="452E81F0">
            <w:pPr>
              <w:pStyle w:val="11"/>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default" w:ascii="Times New Roman" w:hAnsi="Times New Roman" w:eastAsia="宋体" w:cs="Times New Roman"/>
                <w:b/>
                <w:bCs/>
                <w:color w:val="auto"/>
                <w:szCs w:val="24"/>
                <w:highlight w:val="none"/>
                <w:lang w:val="en-US" w:eastAsia="zh-CN"/>
              </w:rPr>
            </w:pPr>
            <w:r>
              <w:rPr>
                <w:rFonts w:hint="default" w:ascii="Times New Roman" w:hAnsi="Times New Roman" w:eastAsia="宋体" w:cs="Times New Roman"/>
                <w:b/>
                <w:bCs/>
                <w:color w:val="auto"/>
                <w:szCs w:val="24"/>
                <w:highlight w:val="none"/>
              </w:rPr>
              <w:t>（2）</w:t>
            </w:r>
            <w:r>
              <w:rPr>
                <w:rFonts w:hint="eastAsia" w:cs="Times New Roman"/>
                <w:b/>
                <w:bCs/>
                <w:color w:val="auto"/>
                <w:szCs w:val="24"/>
                <w:highlight w:val="none"/>
                <w:lang w:val="en-US" w:eastAsia="zh-CN"/>
              </w:rPr>
              <w:t>补充监测</w:t>
            </w:r>
          </w:p>
          <w:p w14:paraId="2FE65C35">
            <w:pPr>
              <w:keepNext w:val="0"/>
              <w:keepLines w:val="0"/>
              <w:pageBreakBefore w:val="0"/>
              <w:widowControl w:val="0"/>
              <w:kinsoku/>
              <w:wordWrap/>
              <w:overflowPunct/>
              <w:topLinePunct w:val="0"/>
              <w:autoSpaceDE/>
              <w:autoSpaceDN/>
              <w:bidi w:val="0"/>
              <w:adjustRightInd/>
              <w:snapToGrid/>
              <w:spacing w:line="500" w:lineRule="exact"/>
              <w:ind w:left="102" w:right="102" w:firstLine="482"/>
              <w:jc w:val="both"/>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 xml:space="preserve">同时，磨西污水厂环评于 </w:t>
            </w:r>
            <w:r>
              <w:rPr>
                <w:rFonts w:hint="default" w:ascii="Times New Roman" w:hAnsi="Times New Roman" w:eastAsia="宋体" w:cs="Times New Roman"/>
                <w:color w:val="auto"/>
                <w:kern w:val="0"/>
                <w:sz w:val="24"/>
                <w:szCs w:val="24"/>
                <w:highlight w:val="none"/>
                <w:lang w:val="en-US" w:eastAsia="zh-CN" w:bidi="ar"/>
              </w:rPr>
              <w:t xml:space="preserve">2023 </w:t>
            </w:r>
            <w:r>
              <w:rPr>
                <w:rFonts w:hint="eastAsia" w:ascii="宋体" w:hAnsi="宋体" w:eastAsia="宋体" w:cs="宋体"/>
                <w:color w:val="auto"/>
                <w:kern w:val="0"/>
                <w:sz w:val="24"/>
                <w:szCs w:val="24"/>
                <w:highlight w:val="none"/>
                <w:lang w:val="en-US" w:eastAsia="zh-CN" w:bidi="ar"/>
              </w:rPr>
              <w:t xml:space="preserve">年 </w:t>
            </w:r>
            <w:r>
              <w:rPr>
                <w:rFonts w:hint="default" w:ascii="Times New Roman" w:hAnsi="Times New Roman" w:eastAsia="宋体" w:cs="Times New Roman"/>
                <w:color w:val="auto"/>
                <w:kern w:val="0"/>
                <w:sz w:val="24"/>
                <w:szCs w:val="24"/>
                <w:highlight w:val="none"/>
                <w:lang w:val="en-US" w:eastAsia="zh-CN" w:bidi="ar"/>
              </w:rPr>
              <w:t xml:space="preserve">3 </w:t>
            </w:r>
            <w:r>
              <w:rPr>
                <w:rFonts w:hint="eastAsia" w:ascii="宋体" w:hAnsi="宋体" w:eastAsia="宋体" w:cs="宋体"/>
                <w:color w:val="auto"/>
                <w:kern w:val="0"/>
                <w:sz w:val="24"/>
                <w:szCs w:val="24"/>
                <w:highlight w:val="none"/>
                <w:lang w:val="en-US" w:eastAsia="zh-CN" w:bidi="ar"/>
              </w:rPr>
              <w:t xml:space="preserve">月 </w:t>
            </w:r>
            <w:r>
              <w:rPr>
                <w:rFonts w:hint="default" w:ascii="Times New Roman" w:hAnsi="Times New Roman" w:eastAsia="宋体" w:cs="Times New Roman"/>
                <w:color w:val="auto"/>
                <w:kern w:val="0"/>
                <w:sz w:val="24"/>
                <w:szCs w:val="24"/>
                <w:highlight w:val="none"/>
                <w:lang w:val="en-US" w:eastAsia="zh-CN" w:bidi="ar"/>
              </w:rPr>
              <w:t xml:space="preserve">29 </w:t>
            </w:r>
            <w:r>
              <w:rPr>
                <w:rFonts w:hint="eastAsia" w:ascii="宋体" w:hAnsi="宋体" w:eastAsia="宋体" w:cs="宋体"/>
                <w:color w:val="auto"/>
                <w:kern w:val="0"/>
                <w:sz w:val="24"/>
                <w:szCs w:val="24"/>
                <w:highlight w:val="none"/>
                <w:lang w:val="en-US" w:eastAsia="zh-CN" w:bidi="ar"/>
              </w:rPr>
              <w:t>日</w:t>
            </w:r>
            <w:r>
              <w:rPr>
                <w:rFonts w:hint="default" w:ascii="Times New Roman" w:hAnsi="Times New Roman" w:eastAsia="宋体" w:cs="Times New Roman"/>
                <w:color w:val="auto"/>
                <w:kern w:val="0"/>
                <w:sz w:val="24"/>
                <w:szCs w:val="24"/>
                <w:highlight w:val="none"/>
                <w:lang w:val="en-US" w:eastAsia="zh-CN" w:bidi="ar"/>
              </w:rPr>
              <w:t xml:space="preserve">~4 </w:t>
            </w:r>
            <w:r>
              <w:rPr>
                <w:rFonts w:hint="eastAsia" w:ascii="宋体" w:hAnsi="宋体" w:eastAsia="宋体" w:cs="宋体"/>
                <w:color w:val="auto"/>
                <w:kern w:val="0"/>
                <w:sz w:val="24"/>
                <w:szCs w:val="24"/>
                <w:highlight w:val="none"/>
                <w:lang w:val="en-US" w:eastAsia="zh-CN" w:bidi="ar"/>
              </w:rPr>
              <w:t xml:space="preserve">月 </w:t>
            </w:r>
            <w:r>
              <w:rPr>
                <w:rFonts w:hint="default" w:ascii="Times New Roman" w:hAnsi="Times New Roman" w:eastAsia="宋体" w:cs="Times New Roman"/>
                <w:color w:val="auto"/>
                <w:kern w:val="0"/>
                <w:sz w:val="24"/>
                <w:szCs w:val="24"/>
                <w:highlight w:val="none"/>
                <w:lang w:val="en-US" w:eastAsia="zh-CN" w:bidi="ar"/>
              </w:rPr>
              <w:t xml:space="preserve">1 </w:t>
            </w:r>
            <w:r>
              <w:rPr>
                <w:rFonts w:hint="eastAsia" w:ascii="宋体" w:hAnsi="宋体" w:eastAsia="宋体" w:cs="宋体"/>
                <w:color w:val="auto"/>
                <w:kern w:val="0"/>
                <w:sz w:val="24"/>
                <w:szCs w:val="24"/>
                <w:highlight w:val="none"/>
                <w:lang w:val="en-US" w:eastAsia="zh-CN" w:bidi="ar"/>
              </w:rPr>
              <w:t>日对项目纳污地表水（燕子沟）质量现状进行了补充监测。</w:t>
            </w:r>
          </w:p>
          <w:p w14:paraId="36265A82">
            <w:pPr>
              <w:keepNext w:val="0"/>
              <w:keepLines w:val="0"/>
              <w:pageBreakBefore w:val="0"/>
              <w:widowControl w:val="0"/>
              <w:kinsoku/>
              <w:wordWrap/>
              <w:overflowPunct/>
              <w:topLinePunct w:val="0"/>
              <w:autoSpaceDE/>
              <w:autoSpaceDN/>
              <w:bidi w:val="0"/>
              <w:adjustRightInd/>
              <w:snapToGrid/>
              <w:spacing w:line="500" w:lineRule="exact"/>
              <w:ind w:left="102" w:right="102" w:firstLine="482"/>
              <w:jc w:val="both"/>
              <w:textAlignment w:val="auto"/>
              <w:rPr>
                <w:rFonts w:hint="eastAsia" w:ascii="Times New Roman" w:hAnsi="Times New Roman" w:cs="Times New Roman"/>
                <w:b w:val="0"/>
                <w:bCs w:val="0"/>
                <w:color w:val="auto"/>
                <w:szCs w:val="24"/>
                <w:highlight w:val="none"/>
                <w:lang w:val="en-US" w:eastAsia="zh-CN"/>
              </w:rPr>
            </w:pPr>
            <w:r>
              <w:rPr>
                <w:rFonts w:hint="eastAsia" w:cs="Times New Roman"/>
                <w:b w:val="0"/>
                <w:bCs w:val="0"/>
                <w:color w:val="auto"/>
                <w:szCs w:val="24"/>
                <w:highlight w:val="none"/>
                <w:lang w:val="en-US" w:eastAsia="zh-CN"/>
              </w:rPr>
              <w:t>磨西污水厂</w:t>
            </w:r>
            <w:r>
              <w:rPr>
                <w:rFonts w:hint="eastAsia" w:ascii="Times New Roman" w:hAnsi="Times New Roman" w:cs="Times New Roman"/>
                <w:b w:val="0"/>
                <w:bCs w:val="0"/>
                <w:color w:val="auto"/>
                <w:szCs w:val="24"/>
                <w:highlight w:val="none"/>
                <w:lang w:val="en-US" w:eastAsia="zh-CN"/>
              </w:rPr>
              <w:t xml:space="preserve">环评期间委托四川省川环源创检测科技有限公司对项目所在排污口上下游燕子沟河段及汇入的大渡河河段枯水期地表水环境质量进行了监测，监测日期为 2023 年 4 月 22~24 日，监测报告编号为川环源创检字（2023）第 CHYC/23H04001-1 </w:t>
            </w:r>
            <w:r>
              <w:rPr>
                <w:rFonts w:hint="eastAsia" w:cs="Times New Roman"/>
                <w:b w:val="0"/>
                <w:bCs w:val="0"/>
                <w:color w:val="auto"/>
                <w:szCs w:val="24"/>
                <w:highlight w:val="none"/>
                <w:lang w:val="en-US" w:eastAsia="zh-CN"/>
              </w:rPr>
              <w:t>号</w:t>
            </w:r>
            <w:r>
              <w:rPr>
                <w:rFonts w:hint="eastAsia" w:ascii="Times New Roman" w:hAnsi="Times New Roman" w:cs="Times New Roman"/>
                <w:b w:val="0"/>
                <w:bCs w:val="0"/>
                <w:color w:val="auto"/>
                <w:szCs w:val="24"/>
                <w:highlight w:val="none"/>
                <w:lang w:val="en-US" w:eastAsia="zh-CN"/>
              </w:rPr>
              <w:t>。监测结果如下：</w:t>
            </w:r>
          </w:p>
          <w:p w14:paraId="4D862C97">
            <w:pPr>
              <w:keepNext w:val="0"/>
              <w:keepLines w:val="0"/>
              <w:pageBreakBefore w:val="0"/>
              <w:widowControl w:val="0"/>
              <w:kinsoku/>
              <w:wordWrap/>
              <w:overflowPunct/>
              <w:topLinePunct w:val="0"/>
              <w:autoSpaceDE/>
              <w:autoSpaceDN/>
              <w:bidi w:val="0"/>
              <w:adjustRightInd/>
              <w:snapToGrid/>
              <w:spacing w:line="500" w:lineRule="exact"/>
              <w:ind w:left="102" w:right="102" w:firstLine="482"/>
              <w:jc w:val="both"/>
              <w:textAlignment w:val="auto"/>
              <w:rPr>
                <w:rFonts w:hint="eastAsia" w:ascii="Times New Roman" w:hAnsi="Times New Roman" w:cs="Times New Roman"/>
                <w:b w:val="0"/>
                <w:bCs w:val="0"/>
                <w:color w:val="auto"/>
                <w:szCs w:val="24"/>
                <w:highlight w:val="none"/>
                <w:lang w:val="en-US" w:eastAsia="zh-CN"/>
              </w:rPr>
            </w:pPr>
            <w:r>
              <w:rPr>
                <w:rFonts w:hint="eastAsia" w:ascii="Times New Roman" w:hAnsi="Times New Roman" w:cs="Times New Roman"/>
                <w:b w:val="0"/>
                <w:bCs w:val="0"/>
                <w:color w:val="auto"/>
                <w:szCs w:val="24"/>
                <w:highlight w:val="none"/>
                <w:lang w:val="en-US" w:eastAsia="zh-CN"/>
              </w:rPr>
              <w:t>（1）监测点位及监测因子</w:t>
            </w:r>
          </w:p>
          <w:p w14:paraId="72B61C7D">
            <w:pPr>
              <w:keepNext w:val="0"/>
              <w:keepLines w:val="0"/>
              <w:pageBreakBefore w:val="0"/>
              <w:widowControl w:val="0"/>
              <w:kinsoku/>
              <w:wordWrap/>
              <w:overflowPunct/>
              <w:topLinePunct w:val="0"/>
              <w:autoSpaceDE/>
              <w:autoSpaceDN/>
              <w:bidi w:val="0"/>
              <w:adjustRightInd/>
              <w:snapToGrid/>
              <w:spacing w:line="500" w:lineRule="exact"/>
              <w:ind w:left="102" w:right="102" w:firstLine="482"/>
              <w:jc w:val="both"/>
              <w:textAlignment w:val="auto"/>
              <w:rPr>
                <w:rFonts w:hint="eastAsia" w:ascii="Times New Roman" w:hAnsi="Times New Roman" w:cs="Times New Roman"/>
                <w:b w:val="0"/>
                <w:bCs w:val="0"/>
                <w:color w:val="auto"/>
                <w:szCs w:val="24"/>
                <w:highlight w:val="none"/>
                <w:lang w:val="en-US" w:eastAsia="zh-CN"/>
              </w:rPr>
            </w:pPr>
            <w:r>
              <w:rPr>
                <w:rFonts w:hint="eastAsia" w:cs="Times New Roman"/>
                <w:b w:val="0"/>
                <w:bCs w:val="0"/>
                <w:color w:val="auto"/>
                <w:szCs w:val="24"/>
                <w:highlight w:val="none"/>
                <w:lang w:val="en-US" w:eastAsia="zh-CN"/>
              </w:rPr>
              <w:t>磨西污水厂环评</w:t>
            </w:r>
            <w:r>
              <w:rPr>
                <w:rFonts w:hint="eastAsia" w:ascii="Times New Roman" w:hAnsi="Times New Roman" w:cs="Times New Roman"/>
                <w:b w:val="0"/>
                <w:bCs w:val="0"/>
                <w:color w:val="auto"/>
                <w:szCs w:val="24"/>
                <w:highlight w:val="none"/>
                <w:lang w:val="en-US" w:eastAsia="zh-CN"/>
              </w:rPr>
              <w:t>共布设 5 个地表水环境质量监测点，监测点位及监测因子设置情况详见下表所示。</w:t>
            </w:r>
          </w:p>
          <w:p w14:paraId="76686331">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燕子沟</w:t>
            </w:r>
            <w:r>
              <w:rPr>
                <w:rFonts w:hint="eastAsia" w:ascii="Times New Roman" w:hAnsi="Times New Roman" w:eastAsia="宋体" w:cs="Times New Roman"/>
                <w:b/>
                <w:bCs/>
                <w:color w:val="auto"/>
                <w:sz w:val="21"/>
                <w:szCs w:val="21"/>
                <w:highlight w:val="none"/>
              </w:rPr>
              <w:t>环境质量现状监测断面设置表</w:t>
            </w:r>
          </w:p>
          <w:tbl>
            <w:tblPr>
              <w:tblStyle w:val="3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41"/>
              <w:gridCol w:w="952"/>
              <w:gridCol w:w="2668"/>
              <w:gridCol w:w="2243"/>
              <w:gridCol w:w="1689"/>
            </w:tblGrid>
            <w:tr w14:paraId="770B3A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tblHeader/>
                <w:jc w:val="center"/>
              </w:trPr>
              <w:tc>
                <w:tcPr>
                  <w:tcW w:w="501" w:type="pct"/>
                  <w:tcBorders>
                    <w:tl2br w:val="nil"/>
                    <w:tr2bl w:val="nil"/>
                  </w:tcBorders>
                  <w:vAlign w:val="center"/>
                </w:tcPr>
                <w:p w14:paraId="44FD0A97">
                  <w:pPr>
                    <w:spacing w:line="240" w:lineRule="auto"/>
                    <w:ind w:firstLine="0" w:firstLineChars="0"/>
                    <w:jc w:val="center"/>
                    <w:rPr>
                      <w:rFonts w:ascii="Times New Roman" w:hAnsi="Times New Roman" w:cs="Times New Roman"/>
                      <w:b/>
                      <w:color w:val="auto"/>
                      <w:sz w:val="18"/>
                      <w:szCs w:val="18"/>
                      <w:highlight w:val="none"/>
                    </w:rPr>
                  </w:pPr>
                  <w:r>
                    <w:rPr>
                      <w:rFonts w:ascii="Times New Roman" w:hAnsi="Times New Roman" w:cs="Times New Roman"/>
                      <w:b/>
                      <w:color w:val="auto"/>
                      <w:sz w:val="18"/>
                      <w:szCs w:val="18"/>
                      <w:highlight w:val="none"/>
                    </w:rPr>
                    <w:t>检测断面编号</w:t>
                  </w:r>
                </w:p>
              </w:tc>
              <w:tc>
                <w:tcPr>
                  <w:tcW w:w="2156" w:type="pct"/>
                  <w:gridSpan w:val="2"/>
                  <w:tcBorders>
                    <w:tl2br w:val="nil"/>
                    <w:tr2bl w:val="nil"/>
                  </w:tcBorders>
                  <w:vAlign w:val="center"/>
                </w:tcPr>
                <w:p w14:paraId="336EFAB1">
                  <w:pPr>
                    <w:spacing w:line="240" w:lineRule="auto"/>
                    <w:ind w:firstLine="0" w:firstLineChars="0"/>
                    <w:jc w:val="center"/>
                    <w:rPr>
                      <w:rFonts w:ascii="Times New Roman" w:hAnsi="Times New Roman" w:cs="Times New Roman"/>
                      <w:b/>
                      <w:color w:val="auto"/>
                      <w:sz w:val="18"/>
                      <w:szCs w:val="18"/>
                      <w:highlight w:val="none"/>
                    </w:rPr>
                  </w:pPr>
                  <w:r>
                    <w:rPr>
                      <w:rFonts w:ascii="Times New Roman" w:hAnsi="Times New Roman" w:cs="Times New Roman"/>
                      <w:b/>
                      <w:bCs/>
                      <w:color w:val="auto"/>
                      <w:sz w:val="18"/>
                      <w:szCs w:val="18"/>
                      <w:highlight w:val="none"/>
                    </w:rPr>
                    <w:t>检测断面</w:t>
                  </w:r>
                </w:p>
              </w:tc>
              <w:tc>
                <w:tcPr>
                  <w:tcW w:w="1336" w:type="pct"/>
                  <w:tcBorders>
                    <w:tl2br w:val="nil"/>
                    <w:tr2bl w:val="nil"/>
                  </w:tcBorders>
                  <w:vAlign w:val="center"/>
                </w:tcPr>
                <w:p w14:paraId="4C5E2226">
                  <w:pPr>
                    <w:spacing w:line="240" w:lineRule="auto"/>
                    <w:ind w:firstLine="0" w:firstLineChars="0"/>
                    <w:jc w:val="center"/>
                    <w:rPr>
                      <w:rFonts w:ascii="Times New Roman" w:hAnsi="Times New Roman" w:cs="Times New Roman"/>
                      <w:b/>
                      <w:bCs/>
                      <w:color w:val="auto"/>
                      <w:sz w:val="18"/>
                      <w:szCs w:val="18"/>
                      <w:highlight w:val="none"/>
                    </w:rPr>
                  </w:pPr>
                  <w:r>
                    <w:rPr>
                      <w:rFonts w:ascii="Times New Roman" w:hAnsi="Times New Roman" w:cs="Times New Roman"/>
                      <w:b/>
                      <w:bCs/>
                      <w:color w:val="auto"/>
                      <w:sz w:val="18"/>
                      <w:szCs w:val="18"/>
                      <w:highlight w:val="none"/>
                    </w:rPr>
                    <w:t>检测项目</w:t>
                  </w:r>
                </w:p>
              </w:tc>
              <w:tc>
                <w:tcPr>
                  <w:tcW w:w="1005" w:type="pct"/>
                  <w:tcBorders>
                    <w:tl2br w:val="nil"/>
                    <w:tr2bl w:val="nil"/>
                  </w:tcBorders>
                  <w:vAlign w:val="center"/>
                </w:tcPr>
                <w:p w14:paraId="6FA9A30E">
                  <w:pPr>
                    <w:spacing w:line="240" w:lineRule="auto"/>
                    <w:ind w:firstLine="0" w:firstLineChars="0"/>
                    <w:jc w:val="center"/>
                    <w:rPr>
                      <w:rFonts w:ascii="Times New Roman" w:hAnsi="Times New Roman" w:cs="Times New Roman"/>
                      <w:b/>
                      <w:bCs/>
                      <w:color w:val="auto"/>
                      <w:sz w:val="18"/>
                      <w:szCs w:val="18"/>
                      <w:highlight w:val="none"/>
                    </w:rPr>
                  </w:pPr>
                  <w:r>
                    <w:rPr>
                      <w:rFonts w:ascii="Times New Roman" w:hAnsi="Times New Roman" w:cs="Times New Roman"/>
                      <w:b/>
                      <w:bCs/>
                      <w:color w:val="auto"/>
                      <w:sz w:val="18"/>
                      <w:szCs w:val="18"/>
                      <w:highlight w:val="none"/>
                    </w:rPr>
                    <w:t>采样时间及频率</w:t>
                  </w:r>
                </w:p>
              </w:tc>
            </w:tr>
            <w:tr w14:paraId="34EDDA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01" w:type="pct"/>
                  <w:tcBorders>
                    <w:tl2br w:val="nil"/>
                    <w:tr2bl w:val="nil"/>
                  </w:tcBorders>
                  <w:vAlign w:val="center"/>
                </w:tcPr>
                <w:p w14:paraId="2F897D71">
                  <w:pPr>
                    <w:spacing w:line="240" w:lineRule="auto"/>
                    <w:ind w:firstLine="0" w:firstLineChars="0"/>
                    <w:jc w:val="center"/>
                    <w:rPr>
                      <w:rFonts w:ascii="Times New Roman" w:hAnsi="Times New Roman" w:cs="Times New Roman"/>
                      <w:color w:val="auto"/>
                      <w:sz w:val="18"/>
                      <w:szCs w:val="18"/>
                      <w:highlight w:val="none"/>
                    </w:rPr>
                  </w:pPr>
                  <w:r>
                    <w:rPr>
                      <w:rFonts w:ascii="Times New Roman" w:hAnsi="Times New Roman" w:cs="Times New Roman"/>
                      <w:bCs/>
                      <w:color w:val="auto"/>
                      <w:sz w:val="18"/>
                      <w:szCs w:val="18"/>
                      <w:highlight w:val="none"/>
                    </w:rPr>
                    <w:t>I</w:t>
                  </w:r>
                </w:p>
              </w:tc>
              <w:tc>
                <w:tcPr>
                  <w:tcW w:w="567" w:type="pct"/>
                  <w:vMerge w:val="restart"/>
                  <w:tcBorders>
                    <w:tl2br w:val="nil"/>
                    <w:tr2bl w:val="nil"/>
                  </w:tcBorders>
                  <w:vAlign w:val="center"/>
                </w:tcPr>
                <w:p w14:paraId="607F0EAF">
                  <w:pPr>
                    <w:adjustRightInd/>
                    <w:snapToGrid/>
                    <w:spacing w:line="240" w:lineRule="auto"/>
                    <w:ind w:firstLine="0" w:firstLineChars="0"/>
                    <w:jc w:val="center"/>
                    <w:rPr>
                      <w:rFonts w:ascii="Times New Roman" w:hAnsi="Times New Roman" w:cs="Times New Roman"/>
                      <w:bCs/>
                      <w:color w:val="auto"/>
                      <w:sz w:val="18"/>
                      <w:szCs w:val="18"/>
                      <w:highlight w:val="none"/>
                    </w:rPr>
                  </w:pPr>
                  <w:r>
                    <w:rPr>
                      <w:rFonts w:hint="eastAsia" w:cs="Times New Roman"/>
                      <w:bCs/>
                      <w:color w:val="auto"/>
                      <w:sz w:val="18"/>
                      <w:szCs w:val="18"/>
                      <w:highlight w:val="none"/>
                      <w:lang w:eastAsia="zh-CN"/>
                    </w:rPr>
                    <w:t>燕子沟</w:t>
                  </w:r>
                </w:p>
              </w:tc>
              <w:tc>
                <w:tcPr>
                  <w:tcW w:w="1589" w:type="pct"/>
                  <w:tcBorders>
                    <w:tl2br w:val="nil"/>
                    <w:tr2bl w:val="nil"/>
                  </w:tcBorders>
                  <w:vAlign w:val="center"/>
                </w:tcPr>
                <w:p w14:paraId="23DC3A0D">
                  <w:pPr>
                    <w:widowControl/>
                    <w:spacing w:line="240" w:lineRule="auto"/>
                    <w:ind w:firstLine="0" w:firstLineChars="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磨西镇城市污水处理厂排污口上游</w:t>
                  </w:r>
                  <w:r>
                    <w:rPr>
                      <w:rFonts w:hint="eastAsia" w:cs="Times New Roman"/>
                      <w:color w:val="auto"/>
                      <w:sz w:val="18"/>
                      <w:szCs w:val="18"/>
                      <w:highlight w:val="none"/>
                      <w:lang w:val="en-US" w:eastAsia="zh-CN"/>
                    </w:rPr>
                    <w:t>5</w:t>
                  </w:r>
                  <w:r>
                    <w:rPr>
                      <w:rFonts w:ascii="Times New Roman" w:hAnsi="Times New Roman" w:cs="Times New Roman"/>
                      <w:color w:val="auto"/>
                      <w:sz w:val="18"/>
                      <w:szCs w:val="18"/>
                      <w:highlight w:val="none"/>
                    </w:rPr>
                    <w:t>00m处</w:t>
                  </w:r>
                </w:p>
              </w:tc>
              <w:tc>
                <w:tcPr>
                  <w:tcW w:w="1336" w:type="pct"/>
                  <w:vMerge w:val="restart"/>
                  <w:tcBorders>
                    <w:tl2br w:val="nil"/>
                    <w:tr2bl w:val="nil"/>
                  </w:tcBorders>
                  <w:vAlign w:val="center"/>
                </w:tcPr>
                <w:p w14:paraId="3BBB7B50">
                  <w:pPr>
                    <w:keepNext w:val="0"/>
                    <w:keepLines w:val="0"/>
                    <w:widowControl/>
                    <w:suppressLineNumbers w:val="0"/>
                    <w:jc w:val="left"/>
                    <w:rPr>
                      <w:color w:val="auto"/>
                      <w:highlight w:val="none"/>
                    </w:rPr>
                  </w:pPr>
                  <w:r>
                    <w:rPr>
                      <w:rFonts w:hint="default" w:ascii="Times New Roman" w:hAnsi="Times New Roman" w:eastAsia="宋体" w:cs="Times New Roman"/>
                      <w:color w:val="auto"/>
                      <w:kern w:val="0"/>
                      <w:sz w:val="18"/>
                      <w:szCs w:val="18"/>
                      <w:highlight w:val="none"/>
                      <w:lang w:val="en-US" w:eastAsia="zh-CN" w:bidi="ar"/>
                    </w:rPr>
                    <w:t>pH</w:t>
                  </w:r>
                  <w:r>
                    <w:rPr>
                      <w:rFonts w:hint="eastAsia" w:ascii="宋体" w:hAnsi="宋体" w:eastAsia="宋体" w:cs="宋体"/>
                      <w:color w:val="auto"/>
                      <w:kern w:val="0"/>
                      <w:sz w:val="18"/>
                      <w:szCs w:val="18"/>
                      <w:highlight w:val="none"/>
                      <w:lang w:val="en-US" w:eastAsia="zh-CN" w:bidi="ar"/>
                    </w:rPr>
                    <w:t>、溶解氧、化学需氧量（</w:t>
                  </w:r>
                  <w:r>
                    <w:rPr>
                      <w:rFonts w:hint="default" w:ascii="Times New Roman" w:hAnsi="Times New Roman" w:eastAsia="宋体" w:cs="Times New Roman"/>
                      <w:color w:val="auto"/>
                      <w:kern w:val="0"/>
                      <w:sz w:val="18"/>
                      <w:szCs w:val="18"/>
                      <w:highlight w:val="none"/>
                      <w:lang w:val="en-US" w:eastAsia="zh-CN" w:bidi="ar"/>
                    </w:rPr>
                    <w:t>COD</w:t>
                  </w:r>
                  <w:r>
                    <w:rPr>
                      <w:rFonts w:hint="eastAsia" w:ascii="Times New Roman" w:hAnsi="Times New Roman" w:eastAsia="宋体" w:cs="Times New Roman"/>
                      <w:color w:val="auto"/>
                      <w:kern w:val="0"/>
                      <w:sz w:val="18"/>
                      <w:szCs w:val="18"/>
                      <w:highlight w:val="none"/>
                      <w:lang w:val="en-US" w:eastAsia="zh-CN" w:bidi="ar"/>
                    </w:rPr>
                    <w:t>Cr</w:t>
                  </w:r>
                  <w:r>
                    <w:rPr>
                      <w:rFonts w:hint="eastAsia" w:ascii="宋体" w:hAnsi="宋体" w:eastAsia="宋体" w:cs="宋体"/>
                      <w:color w:val="auto"/>
                      <w:kern w:val="0"/>
                      <w:sz w:val="18"/>
                      <w:szCs w:val="18"/>
                      <w:highlight w:val="none"/>
                      <w:lang w:val="en-US" w:eastAsia="zh-CN" w:bidi="ar"/>
                    </w:rPr>
                    <w:t>）、五日生化需氧量（</w:t>
                  </w:r>
                  <w:r>
                    <w:rPr>
                      <w:rFonts w:hint="default" w:ascii="Times New Roman" w:hAnsi="Times New Roman" w:eastAsia="宋体" w:cs="Times New Roman"/>
                      <w:color w:val="auto"/>
                      <w:kern w:val="0"/>
                      <w:sz w:val="18"/>
                      <w:szCs w:val="18"/>
                      <w:highlight w:val="none"/>
                      <w:lang w:val="en-US" w:eastAsia="zh-CN" w:bidi="ar"/>
                    </w:rPr>
                    <w:t>BOD</w:t>
                  </w:r>
                  <w:r>
                    <w:rPr>
                      <w:rFonts w:hint="eastAsia" w:ascii="Times New Roman" w:hAnsi="Times New Roman" w:eastAsia="宋体" w:cs="Times New Roman"/>
                      <w:color w:val="auto"/>
                      <w:kern w:val="0"/>
                      <w:sz w:val="18"/>
                      <w:szCs w:val="18"/>
                      <w:highlight w:val="none"/>
                      <w:lang w:val="en-US" w:eastAsia="zh-CN" w:bidi="ar"/>
                    </w:rPr>
                    <w:t>5</w:t>
                  </w:r>
                  <w:r>
                    <w:rPr>
                      <w:rFonts w:hint="eastAsia" w:ascii="宋体" w:hAnsi="宋体" w:eastAsia="宋体" w:cs="宋体"/>
                      <w:color w:val="auto"/>
                      <w:kern w:val="0"/>
                      <w:sz w:val="18"/>
                      <w:szCs w:val="18"/>
                      <w:highlight w:val="none"/>
                      <w:lang w:val="en-US" w:eastAsia="zh-CN" w:bidi="ar"/>
                    </w:rPr>
                    <w:t>）、氨氮（</w:t>
                  </w:r>
                  <w:r>
                    <w:rPr>
                      <w:rFonts w:hint="default" w:ascii="Times New Roman" w:hAnsi="Times New Roman" w:eastAsia="宋体" w:cs="Times New Roman"/>
                      <w:color w:val="auto"/>
                      <w:kern w:val="0"/>
                      <w:sz w:val="18"/>
                      <w:szCs w:val="18"/>
                      <w:highlight w:val="none"/>
                      <w:lang w:val="en-US" w:eastAsia="zh-CN" w:bidi="ar"/>
                    </w:rPr>
                    <w:t>NH</w:t>
                  </w:r>
                  <w:r>
                    <w:rPr>
                      <w:rFonts w:hint="eastAsia" w:ascii="Times New Roman" w:hAnsi="Times New Roman" w:eastAsia="宋体" w:cs="Times New Roman"/>
                      <w:color w:val="auto"/>
                      <w:kern w:val="0"/>
                      <w:sz w:val="18"/>
                      <w:szCs w:val="18"/>
                      <w:highlight w:val="none"/>
                      <w:lang w:val="en-US" w:eastAsia="zh-CN" w:bidi="ar"/>
                    </w:rPr>
                    <w:t>3</w:t>
                  </w:r>
                  <w:r>
                    <w:rPr>
                      <w:rFonts w:hint="default" w:ascii="Times New Roman" w:hAnsi="Times New Roman" w:eastAsia="宋体" w:cs="Times New Roman"/>
                      <w:color w:val="auto"/>
                      <w:kern w:val="0"/>
                      <w:sz w:val="18"/>
                      <w:szCs w:val="18"/>
                      <w:highlight w:val="none"/>
                      <w:lang w:val="en-US" w:eastAsia="zh-CN" w:bidi="ar"/>
                    </w:rPr>
                    <w:t>-N</w:t>
                  </w:r>
                  <w:r>
                    <w:rPr>
                      <w:rFonts w:hint="eastAsia" w:ascii="宋体" w:hAnsi="宋体" w:eastAsia="宋体" w:cs="宋体"/>
                      <w:color w:val="auto"/>
                      <w:kern w:val="0"/>
                      <w:sz w:val="18"/>
                      <w:szCs w:val="18"/>
                      <w:highlight w:val="none"/>
                      <w:lang w:val="en-US" w:eastAsia="zh-CN" w:bidi="ar"/>
                    </w:rPr>
                    <w:t xml:space="preserve">）、总磷（以 </w:t>
                  </w:r>
                  <w:r>
                    <w:rPr>
                      <w:rFonts w:hint="default" w:ascii="Times New Roman" w:hAnsi="Times New Roman" w:eastAsia="宋体" w:cs="Times New Roman"/>
                      <w:color w:val="auto"/>
                      <w:kern w:val="0"/>
                      <w:sz w:val="18"/>
                      <w:szCs w:val="18"/>
                      <w:highlight w:val="none"/>
                      <w:lang w:val="en-US" w:eastAsia="zh-CN" w:bidi="ar"/>
                    </w:rPr>
                    <w:t xml:space="preserve">P </w:t>
                  </w:r>
                  <w:r>
                    <w:rPr>
                      <w:rFonts w:hint="eastAsia" w:ascii="宋体" w:hAnsi="宋体" w:eastAsia="宋体" w:cs="宋体"/>
                      <w:color w:val="auto"/>
                      <w:kern w:val="0"/>
                      <w:sz w:val="18"/>
                      <w:szCs w:val="18"/>
                      <w:highlight w:val="none"/>
                      <w:lang w:val="en-US" w:eastAsia="zh-CN" w:bidi="ar"/>
                    </w:rPr>
                    <w:t xml:space="preserve">计）、总氮（以 </w:t>
                  </w:r>
                  <w:r>
                    <w:rPr>
                      <w:rFonts w:hint="default" w:ascii="Times New Roman" w:hAnsi="Times New Roman" w:eastAsia="宋体" w:cs="Times New Roman"/>
                      <w:color w:val="auto"/>
                      <w:kern w:val="0"/>
                      <w:sz w:val="18"/>
                      <w:szCs w:val="18"/>
                      <w:highlight w:val="none"/>
                      <w:lang w:val="en-US" w:eastAsia="zh-CN" w:bidi="ar"/>
                    </w:rPr>
                    <w:t xml:space="preserve">N </w:t>
                  </w:r>
                  <w:r>
                    <w:rPr>
                      <w:rFonts w:hint="eastAsia" w:ascii="宋体" w:hAnsi="宋体" w:eastAsia="宋体" w:cs="宋体"/>
                      <w:color w:val="auto"/>
                      <w:kern w:val="0"/>
                      <w:sz w:val="18"/>
                      <w:szCs w:val="18"/>
                      <w:highlight w:val="none"/>
                      <w:lang w:val="en-US" w:eastAsia="zh-CN" w:bidi="ar"/>
                    </w:rPr>
                    <w:t xml:space="preserve">计）、悬浮物、粪大肠菌 </w:t>
                  </w:r>
                </w:p>
                <w:p w14:paraId="10F4DB20">
                  <w:pPr>
                    <w:keepNext w:val="0"/>
                    <w:keepLines w:val="0"/>
                    <w:widowControl/>
                    <w:suppressLineNumbers w:val="0"/>
                    <w:jc w:val="left"/>
                    <w:rPr>
                      <w:color w:val="auto"/>
                      <w:highlight w:val="none"/>
                    </w:rPr>
                  </w:pPr>
                  <w:r>
                    <w:rPr>
                      <w:rFonts w:hint="eastAsia" w:ascii="宋体" w:hAnsi="宋体" w:eastAsia="宋体" w:cs="宋体"/>
                      <w:color w:val="auto"/>
                      <w:kern w:val="0"/>
                      <w:sz w:val="18"/>
                      <w:szCs w:val="18"/>
                      <w:highlight w:val="none"/>
                      <w:lang w:val="en-US" w:eastAsia="zh-CN" w:bidi="ar"/>
                    </w:rPr>
                    <w:t>群、阴离子表面活性剂</w:t>
                  </w:r>
                </w:p>
                <w:p w14:paraId="55A3AD4B">
                  <w:pPr>
                    <w:adjustRightInd/>
                    <w:snapToGrid/>
                    <w:spacing w:line="240" w:lineRule="auto"/>
                    <w:ind w:firstLine="0" w:firstLineChars="0"/>
                    <w:jc w:val="center"/>
                    <w:rPr>
                      <w:rFonts w:ascii="Times New Roman" w:hAnsi="Times New Roman" w:cs="Times New Roman"/>
                      <w:color w:val="auto"/>
                      <w:sz w:val="18"/>
                      <w:szCs w:val="18"/>
                      <w:highlight w:val="none"/>
                    </w:rPr>
                  </w:pPr>
                </w:p>
              </w:tc>
              <w:tc>
                <w:tcPr>
                  <w:tcW w:w="1005" w:type="pct"/>
                  <w:vMerge w:val="restart"/>
                  <w:tcBorders>
                    <w:tl2br w:val="nil"/>
                    <w:tr2bl w:val="nil"/>
                  </w:tcBorders>
                  <w:vAlign w:val="center"/>
                </w:tcPr>
                <w:p w14:paraId="02A3D7D1">
                  <w:pPr>
                    <w:adjustRightInd/>
                    <w:snapToGrid/>
                    <w:spacing w:line="240" w:lineRule="auto"/>
                    <w:ind w:firstLine="0" w:firstLineChars="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连续检测3天；每天取样1次</w:t>
                  </w:r>
                </w:p>
              </w:tc>
            </w:tr>
            <w:tr w14:paraId="5F9B12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01" w:type="pct"/>
                  <w:tcBorders>
                    <w:tl2br w:val="nil"/>
                    <w:tr2bl w:val="nil"/>
                  </w:tcBorders>
                  <w:vAlign w:val="center"/>
                </w:tcPr>
                <w:p w14:paraId="0E6C969E">
                  <w:pPr>
                    <w:adjustRightInd/>
                    <w:snapToGrid/>
                    <w:spacing w:line="240" w:lineRule="auto"/>
                    <w:ind w:firstLine="0" w:firstLineChars="0"/>
                    <w:jc w:val="center"/>
                    <w:rPr>
                      <w:rFonts w:ascii="Times New Roman" w:hAnsi="Times New Roman" w:cs="Times New Roman"/>
                      <w:color w:val="auto"/>
                      <w:sz w:val="18"/>
                      <w:szCs w:val="18"/>
                      <w:highlight w:val="none"/>
                    </w:rPr>
                  </w:pPr>
                  <w:r>
                    <w:rPr>
                      <w:rFonts w:ascii="Times New Roman" w:hAnsi="Times New Roman" w:cs="Times New Roman"/>
                      <w:bCs/>
                      <w:color w:val="auto"/>
                      <w:sz w:val="18"/>
                      <w:szCs w:val="18"/>
                      <w:highlight w:val="none"/>
                    </w:rPr>
                    <w:t>II</w:t>
                  </w:r>
                </w:p>
              </w:tc>
              <w:tc>
                <w:tcPr>
                  <w:tcW w:w="567" w:type="pct"/>
                  <w:vMerge w:val="continue"/>
                  <w:tcBorders>
                    <w:tl2br w:val="nil"/>
                    <w:tr2bl w:val="nil"/>
                  </w:tcBorders>
                  <w:vAlign w:val="center"/>
                </w:tcPr>
                <w:p w14:paraId="510F3711">
                  <w:pPr>
                    <w:adjustRightInd/>
                    <w:snapToGrid/>
                    <w:spacing w:line="240" w:lineRule="auto"/>
                    <w:ind w:firstLine="0" w:firstLineChars="0"/>
                    <w:jc w:val="center"/>
                    <w:rPr>
                      <w:rFonts w:ascii="Times New Roman" w:hAnsi="Times New Roman" w:cs="Times New Roman"/>
                      <w:bCs/>
                      <w:color w:val="auto"/>
                      <w:sz w:val="18"/>
                      <w:szCs w:val="18"/>
                      <w:highlight w:val="none"/>
                    </w:rPr>
                  </w:pPr>
                </w:p>
              </w:tc>
              <w:tc>
                <w:tcPr>
                  <w:tcW w:w="1589" w:type="pct"/>
                  <w:tcBorders>
                    <w:tl2br w:val="nil"/>
                    <w:tr2bl w:val="nil"/>
                  </w:tcBorders>
                  <w:vAlign w:val="center"/>
                </w:tcPr>
                <w:p w14:paraId="68302003">
                  <w:pPr>
                    <w:adjustRightInd/>
                    <w:snapToGrid/>
                    <w:spacing w:line="240" w:lineRule="auto"/>
                    <w:ind w:firstLine="0" w:firstLineChars="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磨西镇城市污水处理厂排污口下游100</w:t>
                  </w:r>
                  <w:r>
                    <w:rPr>
                      <w:rFonts w:hint="eastAsia" w:cs="Times New Roman"/>
                      <w:color w:val="auto"/>
                      <w:sz w:val="18"/>
                      <w:szCs w:val="18"/>
                      <w:highlight w:val="none"/>
                      <w:lang w:val="en-US" w:eastAsia="zh-CN"/>
                    </w:rPr>
                    <w:t>0</w:t>
                  </w:r>
                  <w:r>
                    <w:rPr>
                      <w:rFonts w:ascii="Times New Roman" w:hAnsi="Times New Roman" w:cs="Times New Roman"/>
                      <w:color w:val="auto"/>
                      <w:sz w:val="18"/>
                      <w:szCs w:val="18"/>
                      <w:highlight w:val="none"/>
                    </w:rPr>
                    <w:t>m处</w:t>
                  </w:r>
                </w:p>
              </w:tc>
              <w:tc>
                <w:tcPr>
                  <w:tcW w:w="1336" w:type="pct"/>
                  <w:vMerge w:val="continue"/>
                  <w:tcBorders>
                    <w:tl2br w:val="nil"/>
                    <w:tr2bl w:val="nil"/>
                  </w:tcBorders>
                  <w:vAlign w:val="center"/>
                </w:tcPr>
                <w:p w14:paraId="4701B75D">
                  <w:pPr>
                    <w:spacing w:line="240" w:lineRule="auto"/>
                    <w:ind w:firstLine="0" w:firstLineChars="0"/>
                    <w:jc w:val="center"/>
                    <w:rPr>
                      <w:rFonts w:ascii="Times New Roman" w:hAnsi="Times New Roman" w:cs="Times New Roman"/>
                      <w:color w:val="auto"/>
                      <w:sz w:val="18"/>
                      <w:szCs w:val="18"/>
                      <w:highlight w:val="none"/>
                    </w:rPr>
                  </w:pPr>
                </w:p>
              </w:tc>
              <w:tc>
                <w:tcPr>
                  <w:tcW w:w="1005" w:type="pct"/>
                  <w:vMerge w:val="continue"/>
                  <w:tcBorders>
                    <w:tl2br w:val="nil"/>
                    <w:tr2bl w:val="nil"/>
                  </w:tcBorders>
                  <w:vAlign w:val="center"/>
                </w:tcPr>
                <w:p w14:paraId="449B1FA3">
                  <w:pPr>
                    <w:spacing w:line="240" w:lineRule="auto"/>
                    <w:ind w:firstLine="0" w:firstLineChars="0"/>
                    <w:jc w:val="center"/>
                    <w:rPr>
                      <w:rFonts w:ascii="Times New Roman" w:hAnsi="Times New Roman" w:cs="Times New Roman"/>
                      <w:color w:val="auto"/>
                      <w:sz w:val="18"/>
                      <w:szCs w:val="18"/>
                      <w:highlight w:val="none"/>
                    </w:rPr>
                  </w:pPr>
                </w:p>
              </w:tc>
            </w:tr>
            <w:tr w14:paraId="43CB10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01" w:type="pct"/>
                  <w:tcBorders>
                    <w:tl2br w:val="nil"/>
                    <w:tr2bl w:val="nil"/>
                  </w:tcBorders>
                  <w:vAlign w:val="center"/>
                </w:tcPr>
                <w:p w14:paraId="00BFD638">
                  <w:pPr>
                    <w:adjustRightInd/>
                    <w:snapToGrid/>
                    <w:spacing w:line="240" w:lineRule="auto"/>
                    <w:ind w:firstLine="0" w:firstLineChars="0"/>
                    <w:jc w:val="center"/>
                    <w:rPr>
                      <w:rFonts w:ascii="Times New Roman" w:hAnsi="Times New Roman" w:cs="Times New Roman"/>
                      <w:bCs/>
                      <w:color w:val="auto"/>
                      <w:sz w:val="18"/>
                      <w:szCs w:val="18"/>
                      <w:highlight w:val="none"/>
                    </w:rPr>
                  </w:pPr>
                  <w:r>
                    <w:rPr>
                      <w:rFonts w:ascii="Times New Roman" w:hAnsi="Times New Roman" w:cs="Times New Roman"/>
                      <w:bCs/>
                      <w:color w:val="auto"/>
                      <w:sz w:val="18"/>
                      <w:szCs w:val="18"/>
                      <w:highlight w:val="none"/>
                    </w:rPr>
                    <w:t>Ⅲ</w:t>
                  </w:r>
                </w:p>
              </w:tc>
              <w:tc>
                <w:tcPr>
                  <w:tcW w:w="567" w:type="pct"/>
                  <w:vMerge w:val="continue"/>
                  <w:tcBorders>
                    <w:tl2br w:val="nil"/>
                    <w:tr2bl w:val="nil"/>
                  </w:tcBorders>
                  <w:vAlign w:val="center"/>
                </w:tcPr>
                <w:p w14:paraId="43986366">
                  <w:pPr>
                    <w:adjustRightInd/>
                    <w:snapToGrid/>
                    <w:spacing w:line="240" w:lineRule="auto"/>
                    <w:ind w:firstLine="0" w:firstLineChars="0"/>
                    <w:jc w:val="center"/>
                    <w:rPr>
                      <w:rFonts w:ascii="Times New Roman" w:hAnsi="Times New Roman" w:cs="Times New Roman"/>
                      <w:bCs/>
                      <w:color w:val="auto"/>
                      <w:sz w:val="18"/>
                      <w:szCs w:val="18"/>
                      <w:highlight w:val="none"/>
                    </w:rPr>
                  </w:pPr>
                </w:p>
              </w:tc>
              <w:tc>
                <w:tcPr>
                  <w:tcW w:w="1589" w:type="pct"/>
                  <w:tcBorders>
                    <w:tl2br w:val="nil"/>
                    <w:tr2bl w:val="nil"/>
                  </w:tcBorders>
                  <w:vAlign w:val="center"/>
                </w:tcPr>
                <w:p w14:paraId="1D9E80F5">
                  <w:pPr>
                    <w:adjustRightInd/>
                    <w:snapToGrid/>
                    <w:spacing w:line="240" w:lineRule="auto"/>
                    <w:ind w:firstLine="0" w:firstLineChars="0"/>
                    <w:jc w:val="center"/>
                    <w:rPr>
                      <w:rFonts w:ascii="Times New Roman" w:hAnsi="Times New Roman" w:cs="Times New Roman"/>
                      <w:color w:val="auto"/>
                      <w:sz w:val="18"/>
                      <w:szCs w:val="18"/>
                      <w:highlight w:val="none"/>
                    </w:rPr>
                  </w:pPr>
                  <w:r>
                    <w:rPr>
                      <w:rFonts w:ascii="Times New Roman" w:hAnsi="Times New Roman" w:cs="Times New Roman"/>
                      <w:color w:val="auto"/>
                      <w:sz w:val="18"/>
                      <w:szCs w:val="18"/>
                      <w:highlight w:val="none"/>
                    </w:rPr>
                    <w:t>磨西镇城市污水处理厂排污口下游</w:t>
                  </w:r>
                  <w:r>
                    <w:rPr>
                      <w:rFonts w:hint="eastAsia" w:cs="Times New Roman"/>
                      <w:color w:val="auto"/>
                      <w:sz w:val="18"/>
                      <w:szCs w:val="18"/>
                      <w:highlight w:val="none"/>
                      <w:lang w:val="en-US" w:eastAsia="zh-CN"/>
                    </w:rPr>
                    <w:t>5</w:t>
                  </w:r>
                  <w:r>
                    <w:rPr>
                      <w:rFonts w:ascii="Times New Roman" w:hAnsi="Times New Roman" w:cs="Times New Roman"/>
                      <w:color w:val="auto"/>
                      <w:sz w:val="18"/>
                      <w:szCs w:val="18"/>
                      <w:highlight w:val="none"/>
                    </w:rPr>
                    <w:t>00</w:t>
                  </w:r>
                  <w:r>
                    <w:rPr>
                      <w:rFonts w:hint="eastAsia" w:cs="Times New Roman"/>
                      <w:color w:val="auto"/>
                      <w:sz w:val="18"/>
                      <w:szCs w:val="18"/>
                      <w:highlight w:val="none"/>
                      <w:lang w:val="en-US" w:eastAsia="zh-CN"/>
                    </w:rPr>
                    <w:t>0</w:t>
                  </w:r>
                  <w:r>
                    <w:rPr>
                      <w:rFonts w:ascii="Times New Roman" w:hAnsi="Times New Roman" w:cs="Times New Roman"/>
                      <w:color w:val="auto"/>
                      <w:sz w:val="18"/>
                      <w:szCs w:val="18"/>
                      <w:highlight w:val="none"/>
                    </w:rPr>
                    <w:t>m处</w:t>
                  </w:r>
                </w:p>
              </w:tc>
              <w:tc>
                <w:tcPr>
                  <w:tcW w:w="1336" w:type="pct"/>
                  <w:vMerge w:val="continue"/>
                  <w:tcBorders>
                    <w:tl2br w:val="nil"/>
                    <w:tr2bl w:val="nil"/>
                  </w:tcBorders>
                  <w:vAlign w:val="center"/>
                </w:tcPr>
                <w:p w14:paraId="716F6B99">
                  <w:pPr>
                    <w:spacing w:line="240" w:lineRule="auto"/>
                    <w:ind w:firstLine="0" w:firstLineChars="0"/>
                    <w:jc w:val="center"/>
                    <w:rPr>
                      <w:rFonts w:ascii="Times New Roman" w:hAnsi="Times New Roman" w:cs="Times New Roman"/>
                      <w:color w:val="auto"/>
                      <w:sz w:val="21"/>
                      <w:szCs w:val="21"/>
                      <w:highlight w:val="none"/>
                    </w:rPr>
                  </w:pPr>
                </w:p>
              </w:tc>
              <w:tc>
                <w:tcPr>
                  <w:tcW w:w="1005" w:type="pct"/>
                  <w:vMerge w:val="continue"/>
                  <w:tcBorders>
                    <w:tl2br w:val="nil"/>
                    <w:tr2bl w:val="nil"/>
                  </w:tcBorders>
                  <w:vAlign w:val="center"/>
                </w:tcPr>
                <w:p w14:paraId="27483152">
                  <w:pPr>
                    <w:spacing w:line="240" w:lineRule="auto"/>
                    <w:ind w:firstLine="0" w:firstLineChars="0"/>
                    <w:jc w:val="center"/>
                    <w:rPr>
                      <w:rFonts w:ascii="Times New Roman" w:hAnsi="Times New Roman" w:cs="Times New Roman"/>
                      <w:color w:val="auto"/>
                      <w:sz w:val="21"/>
                      <w:szCs w:val="21"/>
                      <w:highlight w:val="none"/>
                    </w:rPr>
                  </w:pPr>
                </w:p>
              </w:tc>
            </w:tr>
            <w:tr w14:paraId="053D26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01" w:type="pct"/>
                  <w:tcBorders>
                    <w:tl2br w:val="nil"/>
                    <w:tr2bl w:val="nil"/>
                  </w:tcBorders>
                  <w:vAlign w:val="center"/>
                </w:tcPr>
                <w:p w14:paraId="732C28E2">
                  <w:pPr>
                    <w:adjustRightInd/>
                    <w:snapToGrid/>
                    <w:spacing w:line="240" w:lineRule="auto"/>
                    <w:ind w:firstLine="0" w:firstLineChars="0"/>
                    <w:jc w:val="center"/>
                    <w:rPr>
                      <w:rFonts w:ascii="Times New Roman" w:hAnsi="Times New Roman" w:cs="Times New Roman"/>
                      <w:bCs/>
                      <w:color w:val="auto"/>
                      <w:sz w:val="18"/>
                      <w:szCs w:val="18"/>
                      <w:highlight w:val="none"/>
                    </w:rPr>
                  </w:pPr>
                  <w:r>
                    <w:rPr>
                      <w:rFonts w:ascii="Times New Roman" w:hAnsi="Times New Roman" w:cs="Times New Roman"/>
                      <w:bCs/>
                      <w:color w:val="auto"/>
                      <w:sz w:val="18"/>
                      <w:szCs w:val="18"/>
                      <w:highlight w:val="none"/>
                    </w:rPr>
                    <w:t>Ⅳ</w:t>
                  </w:r>
                </w:p>
              </w:tc>
              <w:tc>
                <w:tcPr>
                  <w:tcW w:w="567" w:type="pct"/>
                  <w:vMerge w:val="restart"/>
                  <w:tcBorders>
                    <w:tl2br w:val="nil"/>
                    <w:tr2bl w:val="nil"/>
                  </w:tcBorders>
                  <w:vAlign w:val="center"/>
                </w:tcPr>
                <w:p w14:paraId="72DC1F6D">
                  <w:pPr>
                    <w:adjustRightInd/>
                    <w:snapToGrid/>
                    <w:spacing w:line="240" w:lineRule="auto"/>
                    <w:ind w:firstLine="0" w:firstLineChars="0"/>
                    <w:jc w:val="center"/>
                    <w:rPr>
                      <w:rFonts w:hint="eastAsia"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大渡河</w:t>
                  </w:r>
                </w:p>
              </w:tc>
              <w:tc>
                <w:tcPr>
                  <w:tcW w:w="1589" w:type="pct"/>
                  <w:tcBorders>
                    <w:tl2br w:val="nil"/>
                    <w:tr2bl w:val="nil"/>
                  </w:tcBorders>
                  <w:vAlign w:val="center"/>
                </w:tcPr>
                <w:p w14:paraId="138CE153">
                  <w:pPr>
                    <w:adjustRightInd/>
                    <w:snapToGrid/>
                    <w:spacing w:line="240" w:lineRule="auto"/>
                    <w:ind w:firstLine="0" w:firstLineChars="0"/>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燕子沟汇入大渡口汇入口上游500m处</w:t>
                  </w:r>
                </w:p>
              </w:tc>
              <w:tc>
                <w:tcPr>
                  <w:tcW w:w="1336" w:type="pct"/>
                  <w:vMerge w:val="continue"/>
                  <w:tcBorders>
                    <w:tl2br w:val="nil"/>
                    <w:tr2bl w:val="nil"/>
                  </w:tcBorders>
                  <w:vAlign w:val="center"/>
                </w:tcPr>
                <w:p w14:paraId="3CAA5700">
                  <w:pPr>
                    <w:spacing w:line="240" w:lineRule="auto"/>
                    <w:ind w:firstLine="0" w:firstLineChars="0"/>
                    <w:jc w:val="center"/>
                    <w:rPr>
                      <w:rFonts w:ascii="Times New Roman" w:hAnsi="Times New Roman" w:cs="Times New Roman"/>
                      <w:color w:val="auto"/>
                      <w:sz w:val="21"/>
                      <w:szCs w:val="21"/>
                      <w:highlight w:val="none"/>
                    </w:rPr>
                  </w:pPr>
                </w:p>
              </w:tc>
              <w:tc>
                <w:tcPr>
                  <w:tcW w:w="1005" w:type="pct"/>
                  <w:vMerge w:val="continue"/>
                  <w:tcBorders>
                    <w:tl2br w:val="nil"/>
                    <w:tr2bl w:val="nil"/>
                  </w:tcBorders>
                  <w:vAlign w:val="center"/>
                </w:tcPr>
                <w:p w14:paraId="0E8B4AA9">
                  <w:pPr>
                    <w:spacing w:line="240" w:lineRule="auto"/>
                    <w:ind w:firstLine="0" w:firstLineChars="0"/>
                    <w:jc w:val="center"/>
                    <w:rPr>
                      <w:rFonts w:ascii="Times New Roman" w:hAnsi="Times New Roman" w:cs="Times New Roman"/>
                      <w:color w:val="auto"/>
                      <w:sz w:val="21"/>
                      <w:szCs w:val="21"/>
                      <w:highlight w:val="none"/>
                    </w:rPr>
                  </w:pPr>
                </w:p>
              </w:tc>
            </w:tr>
            <w:tr w14:paraId="0DECC0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01" w:type="pct"/>
                  <w:tcBorders>
                    <w:tl2br w:val="nil"/>
                    <w:tr2bl w:val="nil"/>
                  </w:tcBorders>
                  <w:vAlign w:val="center"/>
                </w:tcPr>
                <w:p w14:paraId="1B071D18">
                  <w:pPr>
                    <w:adjustRightInd/>
                    <w:snapToGrid/>
                    <w:spacing w:line="240" w:lineRule="auto"/>
                    <w:ind w:firstLine="0" w:firstLineChars="0"/>
                    <w:jc w:val="center"/>
                    <w:rPr>
                      <w:rFonts w:ascii="Times New Roman" w:hAnsi="Times New Roman" w:cs="Times New Roman"/>
                      <w:bCs/>
                      <w:color w:val="auto"/>
                      <w:sz w:val="18"/>
                      <w:szCs w:val="18"/>
                      <w:highlight w:val="none"/>
                    </w:rPr>
                  </w:pPr>
                  <w:r>
                    <w:rPr>
                      <w:rFonts w:hint="eastAsia" w:ascii="宋体" w:hAnsi="宋体" w:eastAsia="宋体" w:cs="宋体"/>
                      <w:bCs/>
                      <w:color w:val="auto"/>
                      <w:sz w:val="18"/>
                      <w:szCs w:val="18"/>
                      <w:highlight w:val="none"/>
                    </w:rPr>
                    <w:t>Ⅴ</w:t>
                  </w:r>
                </w:p>
              </w:tc>
              <w:tc>
                <w:tcPr>
                  <w:tcW w:w="567" w:type="pct"/>
                  <w:vMerge w:val="continue"/>
                  <w:tcBorders>
                    <w:tl2br w:val="nil"/>
                    <w:tr2bl w:val="nil"/>
                  </w:tcBorders>
                  <w:vAlign w:val="center"/>
                </w:tcPr>
                <w:p w14:paraId="79B3D161">
                  <w:pPr>
                    <w:adjustRightInd/>
                    <w:snapToGrid/>
                    <w:spacing w:line="240" w:lineRule="auto"/>
                    <w:ind w:firstLine="0" w:firstLineChars="0"/>
                    <w:jc w:val="center"/>
                    <w:rPr>
                      <w:rFonts w:hint="eastAsia" w:cs="Times New Roman"/>
                      <w:bCs/>
                      <w:color w:val="auto"/>
                      <w:sz w:val="18"/>
                      <w:szCs w:val="18"/>
                      <w:highlight w:val="none"/>
                      <w:lang w:val="en-US" w:eastAsia="zh-CN"/>
                    </w:rPr>
                  </w:pPr>
                </w:p>
              </w:tc>
              <w:tc>
                <w:tcPr>
                  <w:tcW w:w="1589" w:type="pct"/>
                  <w:tcBorders>
                    <w:tl2br w:val="nil"/>
                    <w:tr2bl w:val="nil"/>
                  </w:tcBorders>
                  <w:vAlign w:val="center"/>
                </w:tcPr>
                <w:p w14:paraId="51011032">
                  <w:pPr>
                    <w:adjustRightInd/>
                    <w:snapToGrid/>
                    <w:spacing w:line="240" w:lineRule="auto"/>
                    <w:ind w:firstLine="0" w:firstLineChars="0"/>
                    <w:jc w:val="center"/>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燕子沟汇入大渡口汇入口喜爱游1000m处</w:t>
                  </w:r>
                </w:p>
              </w:tc>
              <w:tc>
                <w:tcPr>
                  <w:tcW w:w="1336" w:type="pct"/>
                  <w:vMerge w:val="continue"/>
                  <w:tcBorders>
                    <w:tl2br w:val="nil"/>
                    <w:tr2bl w:val="nil"/>
                  </w:tcBorders>
                  <w:vAlign w:val="center"/>
                </w:tcPr>
                <w:p w14:paraId="60FA48AA">
                  <w:pPr>
                    <w:spacing w:line="240" w:lineRule="auto"/>
                    <w:ind w:firstLine="0" w:firstLineChars="0"/>
                    <w:jc w:val="center"/>
                    <w:rPr>
                      <w:rFonts w:ascii="Times New Roman" w:hAnsi="Times New Roman" w:cs="Times New Roman"/>
                      <w:color w:val="auto"/>
                      <w:sz w:val="21"/>
                      <w:szCs w:val="21"/>
                      <w:highlight w:val="none"/>
                    </w:rPr>
                  </w:pPr>
                </w:p>
              </w:tc>
              <w:tc>
                <w:tcPr>
                  <w:tcW w:w="1005" w:type="pct"/>
                  <w:vMerge w:val="continue"/>
                  <w:tcBorders>
                    <w:tl2br w:val="nil"/>
                    <w:tr2bl w:val="nil"/>
                  </w:tcBorders>
                  <w:vAlign w:val="center"/>
                </w:tcPr>
                <w:p w14:paraId="781FC252">
                  <w:pPr>
                    <w:spacing w:line="240" w:lineRule="auto"/>
                    <w:ind w:firstLine="0" w:firstLineChars="0"/>
                    <w:jc w:val="center"/>
                    <w:rPr>
                      <w:rFonts w:ascii="Times New Roman" w:hAnsi="Times New Roman" w:cs="Times New Roman"/>
                      <w:color w:val="auto"/>
                      <w:sz w:val="21"/>
                      <w:szCs w:val="21"/>
                      <w:highlight w:val="none"/>
                    </w:rPr>
                  </w:pPr>
                </w:p>
              </w:tc>
            </w:tr>
          </w:tbl>
          <w:p w14:paraId="515ACC4D">
            <w:pPr>
              <w:keepNext w:val="0"/>
              <w:keepLines w:val="0"/>
              <w:pageBreakBefore w:val="0"/>
              <w:widowControl w:val="0"/>
              <w:kinsoku/>
              <w:wordWrap/>
              <w:overflowPunct/>
              <w:topLinePunct w:val="0"/>
              <w:autoSpaceDE/>
              <w:autoSpaceDN/>
              <w:bidi w:val="0"/>
              <w:adjustRightInd/>
              <w:snapToGrid/>
              <w:spacing w:line="500" w:lineRule="exact"/>
              <w:ind w:left="102" w:right="102" w:firstLine="482"/>
              <w:jc w:val="both"/>
              <w:textAlignment w:val="auto"/>
              <w:rPr>
                <w:rFonts w:hint="eastAsia" w:ascii="Times New Roman" w:hAnsi="Times New Roman" w:cs="Times New Roman"/>
                <w:b w:val="0"/>
                <w:bCs w:val="0"/>
                <w:color w:val="auto"/>
                <w:szCs w:val="24"/>
                <w:highlight w:val="none"/>
                <w:lang w:val="en-US" w:eastAsia="zh-CN"/>
              </w:rPr>
            </w:pPr>
          </w:p>
          <w:p w14:paraId="2EE69D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Times New Roman" w:hAnsi="Times New Roman" w:cs="Times New Roman"/>
                <w:color w:val="auto"/>
                <w:highlight w:val="none"/>
              </w:rPr>
            </w:pPr>
            <w:r>
              <w:rPr>
                <w:rFonts w:hint="eastAsia" w:cs="Times New Roman"/>
                <w:color w:val="auto"/>
                <w:highlight w:val="none"/>
                <w:lang w:val="en-US" w:eastAsia="zh-CN"/>
              </w:rPr>
              <w:t>采用单项质量指数法对本次地表水补充监测进行评价（评价方法见上），具体详见下表所示。</w:t>
            </w:r>
          </w:p>
          <w:p w14:paraId="38E1AFDA">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地表水环境质量现状评价结果表      单位：Ci:mg/L</w:t>
            </w:r>
          </w:p>
          <w:tbl>
            <w:tblPr>
              <w:tblStyle w:val="103"/>
              <w:tblW w:w="7850" w:type="dxa"/>
              <w:tblInd w:w="1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74"/>
              <w:gridCol w:w="845"/>
              <w:gridCol w:w="658"/>
              <w:gridCol w:w="855"/>
              <w:gridCol w:w="650"/>
              <w:gridCol w:w="659"/>
              <w:gridCol w:w="1052"/>
              <w:gridCol w:w="853"/>
              <w:gridCol w:w="1016"/>
              <w:gridCol w:w="788"/>
            </w:tblGrid>
            <w:tr w14:paraId="195F6C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0" w:hRule="atLeast"/>
              </w:trPr>
              <w:tc>
                <w:tcPr>
                  <w:tcW w:w="474" w:type="dxa"/>
                  <w:tcBorders>
                    <w:top w:val="single" w:color="000000" w:sz="12" w:space="0"/>
                    <w:left w:val="nil"/>
                  </w:tcBorders>
                  <w:vAlign w:val="top"/>
                </w:tcPr>
                <w:p w14:paraId="41C7B681">
                  <w:pPr>
                    <w:pStyle w:val="109"/>
                    <w:spacing w:before="144" w:line="220" w:lineRule="auto"/>
                    <w:ind w:left="76"/>
                    <w:rPr>
                      <w:color w:val="auto"/>
                      <w:sz w:val="18"/>
                      <w:szCs w:val="18"/>
                      <w:highlight w:val="none"/>
                    </w:rPr>
                  </w:pPr>
                  <w:r>
                    <w:rPr>
                      <w:b/>
                      <w:bCs/>
                      <w:color w:val="auto"/>
                      <w:spacing w:val="-6"/>
                      <w:sz w:val="18"/>
                      <w:szCs w:val="18"/>
                      <w:highlight w:val="none"/>
                    </w:rPr>
                    <w:t>断面</w:t>
                  </w:r>
                </w:p>
              </w:tc>
              <w:tc>
                <w:tcPr>
                  <w:tcW w:w="846" w:type="dxa"/>
                  <w:tcBorders>
                    <w:top w:val="single" w:color="000000" w:sz="12" w:space="0"/>
                  </w:tcBorders>
                  <w:vAlign w:val="top"/>
                </w:tcPr>
                <w:p w14:paraId="7E9F272F">
                  <w:pPr>
                    <w:pStyle w:val="109"/>
                    <w:spacing w:before="145" w:line="220" w:lineRule="auto"/>
                    <w:ind w:left="248"/>
                    <w:rPr>
                      <w:color w:val="auto"/>
                      <w:sz w:val="18"/>
                      <w:szCs w:val="18"/>
                      <w:highlight w:val="none"/>
                    </w:rPr>
                  </w:pPr>
                  <w:r>
                    <w:rPr>
                      <w:b/>
                      <w:bCs/>
                      <w:color w:val="auto"/>
                      <w:spacing w:val="-5"/>
                      <w:sz w:val="18"/>
                      <w:szCs w:val="18"/>
                      <w:highlight w:val="none"/>
                    </w:rPr>
                    <w:t>项目</w:t>
                  </w:r>
                </w:p>
              </w:tc>
              <w:tc>
                <w:tcPr>
                  <w:tcW w:w="658" w:type="dxa"/>
                  <w:tcBorders>
                    <w:top w:val="single" w:color="000000" w:sz="12" w:space="0"/>
                  </w:tcBorders>
                  <w:vAlign w:val="top"/>
                </w:tcPr>
                <w:p w14:paraId="2BA242F8">
                  <w:pPr>
                    <w:spacing w:before="180" w:line="183" w:lineRule="auto"/>
                    <w:ind w:left="209"/>
                    <w:rPr>
                      <w:rFonts w:ascii="Times New Roman" w:hAnsi="Times New Roman" w:eastAsia="Times New Roman" w:cs="Times New Roman"/>
                      <w:color w:val="auto"/>
                      <w:sz w:val="18"/>
                      <w:szCs w:val="18"/>
                      <w:highlight w:val="none"/>
                    </w:rPr>
                  </w:pPr>
                  <w:r>
                    <w:rPr>
                      <w:rFonts w:ascii="Times New Roman" w:hAnsi="Times New Roman" w:eastAsia="Times New Roman" w:cs="Times New Roman"/>
                      <w:b/>
                      <w:bCs/>
                      <w:color w:val="auto"/>
                      <w:spacing w:val="-1"/>
                      <w:sz w:val="18"/>
                      <w:szCs w:val="18"/>
                      <w:highlight w:val="none"/>
                    </w:rPr>
                    <w:t>pH</w:t>
                  </w:r>
                </w:p>
              </w:tc>
              <w:tc>
                <w:tcPr>
                  <w:tcW w:w="855" w:type="dxa"/>
                  <w:tcBorders>
                    <w:top w:val="single" w:color="000000" w:sz="12" w:space="0"/>
                  </w:tcBorders>
                  <w:vAlign w:val="top"/>
                </w:tcPr>
                <w:p w14:paraId="02CFA40A">
                  <w:pPr>
                    <w:spacing w:before="178" w:line="186" w:lineRule="auto"/>
                    <w:ind w:left="290"/>
                    <w:rPr>
                      <w:rFonts w:ascii="Times New Roman" w:hAnsi="Times New Roman" w:eastAsia="Times New Roman" w:cs="Times New Roman"/>
                      <w:color w:val="auto"/>
                      <w:sz w:val="18"/>
                      <w:szCs w:val="18"/>
                      <w:highlight w:val="none"/>
                    </w:rPr>
                  </w:pPr>
                  <w:r>
                    <w:rPr>
                      <w:rFonts w:ascii="Times New Roman" w:hAnsi="Times New Roman" w:eastAsia="Times New Roman" w:cs="Times New Roman"/>
                      <w:b/>
                      <w:bCs/>
                      <w:color w:val="auto"/>
                      <w:spacing w:val="-1"/>
                      <w:sz w:val="18"/>
                      <w:szCs w:val="18"/>
                      <w:highlight w:val="none"/>
                    </w:rPr>
                    <w:t>DO</w:t>
                  </w:r>
                </w:p>
              </w:tc>
              <w:tc>
                <w:tcPr>
                  <w:tcW w:w="650" w:type="dxa"/>
                  <w:tcBorders>
                    <w:top w:val="single" w:color="000000" w:sz="12" w:space="0"/>
                  </w:tcBorders>
                  <w:vAlign w:val="top"/>
                </w:tcPr>
                <w:p w14:paraId="57EB9531">
                  <w:pPr>
                    <w:spacing w:before="73" w:line="224" w:lineRule="auto"/>
                    <w:ind w:left="287" w:right="60" w:hanging="225"/>
                    <w:rPr>
                      <w:rFonts w:ascii="Times New Roman" w:hAnsi="Times New Roman" w:eastAsia="Times New Roman" w:cs="Times New Roman"/>
                      <w:color w:val="auto"/>
                      <w:sz w:val="18"/>
                      <w:szCs w:val="18"/>
                      <w:highlight w:val="none"/>
                    </w:rPr>
                  </w:pPr>
                  <w:r>
                    <w:rPr>
                      <w:rFonts w:ascii="Times New Roman" w:hAnsi="Times New Roman" w:eastAsia="Times New Roman" w:cs="Times New Roman"/>
                      <w:b/>
                      <w:bCs/>
                      <w:color w:val="auto"/>
                      <w:spacing w:val="-2"/>
                      <w:sz w:val="18"/>
                      <w:szCs w:val="18"/>
                      <w:highlight w:val="none"/>
                    </w:rPr>
                    <w:t>CODC</w:t>
                  </w:r>
                  <w:r>
                    <w:rPr>
                      <w:rFonts w:ascii="Times New Roman" w:hAnsi="Times New Roman" w:eastAsia="Times New Roman" w:cs="Times New Roman"/>
                      <w:b/>
                      <w:bCs/>
                      <w:color w:val="auto"/>
                      <w:sz w:val="18"/>
                      <w:szCs w:val="18"/>
                      <w:highlight w:val="none"/>
                    </w:rPr>
                    <w:t xml:space="preserve"> r</w:t>
                  </w:r>
                </w:p>
              </w:tc>
              <w:tc>
                <w:tcPr>
                  <w:tcW w:w="658" w:type="dxa"/>
                  <w:tcBorders>
                    <w:top w:val="single" w:color="000000" w:sz="12" w:space="0"/>
                  </w:tcBorders>
                  <w:vAlign w:val="top"/>
                </w:tcPr>
                <w:p w14:paraId="15E48A56">
                  <w:pPr>
                    <w:spacing w:before="178" w:line="186" w:lineRule="auto"/>
                    <w:ind w:left="89"/>
                    <w:rPr>
                      <w:rFonts w:ascii="Times New Roman" w:hAnsi="Times New Roman" w:eastAsia="Times New Roman" w:cs="Times New Roman"/>
                      <w:color w:val="auto"/>
                      <w:sz w:val="18"/>
                      <w:szCs w:val="18"/>
                      <w:highlight w:val="none"/>
                    </w:rPr>
                  </w:pPr>
                  <w:r>
                    <w:rPr>
                      <w:rFonts w:ascii="Times New Roman" w:hAnsi="Times New Roman" w:eastAsia="Times New Roman" w:cs="Times New Roman"/>
                      <w:b/>
                      <w:bCs/>
                      <w:color w:val="auto"/>
                      <w:spacing w:val="-1"/>
                      <w:sz w:val="18"/>
                      <w:szCs w:val="18"/>
                      <w:highlight w:val="none"/>
                    </w:rPr>
                    <w:t>BOD5</w:t>
                  </w:r>
                </w:p>
              </w:tc>
              <w:tc>
                <w:tcPr>
                  <w:tcW w:w="1052" w:type="dxa"/>
                  <w:tcBorders>
                    <w:top w:val="single" w:color="000000" w:sz="12" w:space="0"/>
                  </w:tcBorders>
                  <w:vAlign w:val="top"/>
                </w:tcPr>
                <w:p w14:paraId="64431E5C">
                  <w:pPr>
                    <w:spacing w:before="178" w:line="186" w:lineRule="auto"/>
                    <w:ind w:left="249"/>
                    <w:rPr>
                      <w:rFonts w:ascii="Times New Roman" w:hAnsi="Times New Roman" w:eastAsia="Times New Roman" w:cs="Times New Roman"/>
                      <w:color w:val="auto"/>
                      <w:sz w:val="18"/>
                      <w:szCs w:val="18"/>
                      <w:highlight w:val="none"/>
                    </w:rPr>
                  </w:pPr>
                  <w:r>
                    <w:rPr>
                      <w:rFonts w:ascii="Times New Roman" w:hAnsi="Times New Roman" w:eastAsia="Times New Roman" w:cs="Times New Roman"/>
                      <w:b/>
                      <w:bCs/>
                      <w:color w:val="auto"/>
                      <w:spacing w:val="-1"/>
                      <w:sz w:val="18"/>
                      <w:szCs w:val="18"/>
                      <w:highlight w:val="none"/>
                    </w:rPr>
                    <w:t>NH3-N</w:t>
                  </w:r>
                </w:p>
              </w:tc>
              <w:tc>
                <w:tcPr>
                  <w:tcW w:w="853" w:type="dxa"/>
                  <w:tcBorders>
                    <w:top w:val="single" w:color="000000" w:sz="12" w:space="0"/>
                  </w:tcBorders>
                  <w:vAlign w:val="top"/>
                </w:tcPr>
                <w:p w14:paraId="21756C38">
                  <w:pPr>
                    <w:pStyle w:val="109"/>
                    <w:spacing w:before="144" w:line="220" w:lineRule="auto"/>
                    <w:ind w:left="254"/>
                    <w:rPr>
                      <w:color w:val="auto"/>
                      <w:sz w:val="18"/>
                      <w:szCs w:val="18"/>
                      <w:highlight w:val="none"/>
                    </w:rPr>
                  </w:pPr>
                  <w:r>
                    <w:rPr>
                      <w:b/>
                      <w:bCs/>
                      <w:color w:val="auto"/>
                      <w:spacing w:val="-5"/>
                      <w:sz w:val="18"/>
                      <w:szCs w:val="18"/>
                      <w:highlight w:val="none"/>
                    </w:rPr>
                    <w:t>总磷</w:t>
                  </w:r>
                </w:p>
              </w:tc>
              <w:tc>
                <w:tcPr>
                  <w:tcW w:w="1016" w:type="dxa"/>
                  <w:tcBorders>
                    <w:top w:val="single" w:color="000000" w:sz="12" w:space="0"/>
                  </w:tcBorders>
                  <w:vAlign w:val="top"/>
                </w:tcPr>
                <w:p w14:paraId="5AF61AEB">
                  <w:pPr>
                    <w:pStyle w:val="109"/>
                    <w:spacing w:before="145" w:line="219" w:lineRule="auto"/>
                    <w:ind w:left="335"/>
                    <w:rPr>
                      <w:color w:val="auto"/>
                      <w:sz w:val="18"/>
                      <w:szCs w:val="18"/>
                      <w:highlight w:val="none"/>
                    </w:rPr>
                  </w:pPr>
                  <w:r>
                    <w:rPr>
                      <w:b/>
                      <w:bCs/>
                      <w:color w:val="auto"/>
                      <w:spacing w:val="-5"/>
                      <w:sz w:val="18"/>
                      <w:szCs w:val="18"/>
                      <w:highlight w:val="none"/>
                    </w:rPr>
                    <w:t>总氮</w:t>
                  </w:r>
                </w:p>
              </w:tc>
              <w:tc>
                <w:tcPr>
                  <w:tcW w:w="788" w:type="dxa"/>
                  <w:tcBorders>
                    <w:top w:val="single" w:color="000000" w:sz="12" w:space="0"/>
                    <w:right w:val="nil"/>
                  </w:tcBorders>
                  <w:vAlign w:val="top"/>
                </w:tcPr>
                <w:p w14:paraId="76AD2B61">
                  <w:pPr>
                    <w:pStyle w:val="109"/>
                    <w:spacing w:before="29" w:line="221" w:lineRule="auto"/>
                    <w:ind w:left="220" w:right="123" w:hanging="92"/>
                    <w:rPr>
                      <w:color w:val="auto"/>
                      <w:sz w:val="18"/>
                      <w:szCs w:val="18"/>
                      <w:highlight w:val="none"/>
                    </w:rPr>
                  </w:pPr>
                  <w:r>
                    <w:rPr>
                      <w:b/>
                      <w:bCs/>
                      <w:color w:val="auto"/>
                      <w:spacing w:val="-4"/>
                      <w:sz w:val="18"/>
                      <w:szCs w:val="18"/>
                      <w:highlight w:val="none"/>
                    </w:rPr>
                    <w:t>粪大肠</w:t>
                  </w:r>
                  <w:r>
                    <w:rPr>
                      <w:color w:val="auto"/>
                      <w:sz w:val="18"/>
                      <w:szCs w:val="18"/>
                      <w:highlight w:val="none"/>
                    </w:rPr>
                    <w:t xml:space="preserve"> </w:t>
                  </w:r>
                  <w:r>
                    <w:rPr>
                      <w:b/>
                      <w:bCs/>
                      <w:color w:val="auto"/>
                      <w:spacing w:val="-5"/>
                      <w:sz w:val="18"/>
                      <w:szCs w:val="18"/>
                      <w:highlight w:val="none"/>
                    </w:rPr>
                    <w:t>菌群</w:t>
                  </w:r>
                </w:p>
              </w:tc>
            </w:tr>
            <w:tr w14:paraId="013EF5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474" w:type="dxa"/>
                  <w:vMerge w:val="restart"/>
                  <w:tcBorders>
                    <w:left w:val="nil"/>
                    <w:bottom w:val="nil"/>
                  </w:tcBorders>
                  <w:vAlign w:val="top"/>
                </w:tcPr>
                <w:p w14:paraId="1B94CE0E">
                  <w:pPr>
                    <w:spacing w:line="328" w:lineRule="auto"/>
                    <w:rPr>
                      <w:rFonts w:ascii="Arial"/>
                      <w:color w:val="auto"/>
                      <w:sz w:val="21"/>
                      <w:highlight w:val="none"/>
                    </w:rPr>
                  </w:pPr>
                </w:p>
                <w:p w14:paraId="2EFFD0D0">
                  <w:pPr>
                    <w:spacing w:before="52" w:line="186" w:lineRule="auto"/>
                    <w:ind w:left="11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W1</w:t>
                  </w:r>
                </w:p>
              </w:tc>
              <w:tc>
                <w:tcPr>
                  <w:tcW w:w="846" w:type="dxa"/>
                  <w:vAlign w:val="top"/>
                </w:tcPr>
                <w:p w14:paraId="23408535">
                  <w:pPr>
                    <w:pStyle w:val="109"/>
                    <w:spacing w:before="125" w:line="220" w:lineRule="auto"/>
                    <w:ind w:left="67"/>
                    <w:rPr>
                      <w:color w:val="auto"/>
                      <w:sz w:val="18"/>
                      <w:szCs w:val="18"/>
                      <w:highlight w:val="none"/>
                    </w:rPr>
                  </w:pPr>
                  <w:r>
                    <w:rPr>
                      <w:color w:val="auto"/>
                      <w:spacing w:val="-2"/>
                      <w:sz w:val="18"/>
                      <w:szCs w:val="18"/>
                      <w:highlight w:val="none"/>
                    </w:rPr>
                    <w:t>浓度范围</w:t>
                  </w:r>
                </w:p>
              </w:tc>
              <w:tc>
                <w:tcPr>
                  <w:tcW w:w="658" w:type="dxa"/>
                  <w:vAlign w:val="top"/>
                </w:tcPr>
                <w:p w14:paraId="0D3CD523">
                  <w:pPr>
                    <w:spacing w:before="53" w:line="210" w:lineRule="auto"/>
                    <w:ind w:left="256" w:right="52" w:hanging="19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6.87~7.</w:t>
                  </w:r>
                  <w:r>
                    <w:rPr>
                      <w:rFonts w:ascii="Times New Roman" w:hAnsi="Times New Roman" w:eastAsia="Times New Roman" w:cs="Times New Roman"/>
                      <w:color w:val="auto"/>
                      <w:spacing w:val="5"/>
                      <w:sz w:val="18"/>
                      <w:szCs w:val="18"/>
                      <w:highlight w:val="none"/>
                    </w:rPr>
                    <w:t xml:space="preserve"> </w:t>
                  </w:r>
                  <w:r>
                    <w:rPr>
                      <w:rFonts w:ascii="Times New Roman" w:hAnsi="Times New Roman" w:eastAsia="Times New Roman" w:cs="Times New Roman"/>
                      <w:color w:val="auto"/>
                      <w:spacing w:val="-6"/>
                      <w:sz w:val="18"/>
                      <w:szCs w:val="18"/>
                      <w:highlight w:val="none"/>
                    </w:rPr>
                    <w:t>12</w:t>
                  </w:r>
                </w:p>
              </w:tc>
              <w:tc>
                <w:tcPr>
                  <w:tcW w:w="855" w:type="dxa"/>
                  <w:vAlign w:val="top"/>
                </w:tcPr>
                <w:p w14:paraId="57D3910F">
                  <w:pPr>
                    <w:spacing w:before="156" w:line="186" w:lineRule="auto"/>
                    <w:ind w:left="21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13~15</w:t>
                  </w:r>
                </w:p>
              </w:tc>
              <w:tc>
                <w:tcPr>
                  <w:tcW w:w="650" w:type="dxa"/>
                  <w:vAlign w:val="top"/>
                </w:tcPr>
                <w:p w14:paraId="4D15DC80">
                  <w:pPr>
                    <w:spacing w:before="157" w:line="186" w:lineRule="auto"/>
                    <w:ind w:left="5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2.8~2.8</w:t>
                  </w:r>
                </w:p>
              </w:tc>
              <w:tc>
                <w:tcPr>
                  <w:tcW w:w="658" w:type="dxa"/>
                  <w:vAlign w:val="top"/>
                </w:tcPr>
                <w:p w14:paraId="6506EE5E">
                  <w:pPr>
                    <w:spacing w:before="53" w:line="210" w:lineRule="auto"/>
                    <w:ind w:left="129" w:right="76" w:hanging="4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0.084~</w:t>
                  </w:r>
                  <w:r>
                    <w:rPr>
                      <w:rFonts w:ascii="Times New Roman" w:hAnsi="Times New Roman" w:eastAsia="Times New Roman" w:cs="Times New Roman"/>
                      <w:color w:val="auto"/>
                      <w:sz w:val="18"/>
                      <w:szCs w:val="18"/>
                      <w:highlight w:val="none"/>
                    </w:rPr>
                    <w:t xml:space="preserve"> </w:t>
                  </w:r>
                  <w:r>
                    <w:rPr>
                      <w:rFonts w:ascii="Times New Roman" w:hAnsi="Times New Roman" w:eastAsia="Times New Roman" w:cs="Times New Roman"/>
                      <w:color w:val="auto"/>
                      <w:spacing w:val="-2"/>
                      <w:sz w:val="18"/>
                      <w:szCs w:val="18"/>
                      <w:highlight w:val="none"/>
                    </w:rPr>
                    <w:t>0.092</w:t>
                  </w:r>
                </w:p>
              </w:tc>
              <w:tc>
                <w:tcPr>
                  <w:tcW w:w="1052" w:type="dxa"/>
                  <w:vAlign w:val="top"/>
                </w:tcPr>
                <w:p w14:paraId="5E78AD04">
                  <w:pPr>
                    <w:spacing w:before="157" w:line="186" w:lineRule="auto"/>
                    <w:ind w:left="16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0.01~0.02</w:t>
                  </w:r>
                </w:p>
              </w:tc>
              <w:tc>
                <w:tcPr>
                  <w:tcW w:w="853" w:type="dxa"/>
                  <w:vAlign w:val="top"/>
                </w:tcPr>
                <w:p w14:paraId="0B3CCF18">
                  <w:pPr>
                    <w:spacing w:before="157" w:line="186" w:lineRule="auto"/>
                    <w:ind w:left="6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0.38~0.42</w:t>
                  </w:r>
                </w:p>
              </w:tc>
              <w:tc>
                <w:tcPr>
                  <w:tcW w:w="1016" w:type="dxa"/>
                  <w:vAlign w:val="top"/>
                </w:tcPr>
                <w:p w14:paraId="6FE5DAAE">
                  <w:pPr>
                    <w:spacing w:before="156" w:line="186" w:lineRule="auto"/>
                    <w:ind w:left="24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84~120</w:t>
                  </w:r>
                </w:p>
              </w:tc>
              <w:tc>
                <w:tcPr>
                  <w:tcW w:w="788" w:type="dxa"/>
                  <w:tcBorders>
                    <w:right w:val="nil"/>
                  </w:tcBorders>
                  <w:vAlign w:val="top"/>
                </w:tcPr>
                <w:p w14:paraId="67C15231">
                  <w:pPr>
                    <w:spacing w:before="157" w:line="186" w:lineRule="auto"/>
                    <w:ind w:left="3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6.87~7.12</w:t>
                  </w:r>
                </w:p>
              </w:tc>
            </w:tr>
            <w:tr w14:paraId="0C5162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 w:hRule="atLeast"/>
              </w:trPr>
              <w:tc>
                <w:tcPr>
                  <w:tcW w:w="474" w:type="dxa"/>
                  <w:vMerge w:val="continue"/>
                  <w:tcBorders>
                    <w:top w:val="nil"/>
                    <w:left w:val="nil"/>
                    <w:bottom w:val="nil"/>
                  </w:tcBorders>
                  <w:vAlign w:val="top"/>
                </w:tcPr>
                <w:p w14:paraId="3B48F779">
                  <w:pPr>
                    <w:rPr>
                      <w:rFonts w:ascii="Arial"/>
                      <w:color w:val="auto"/>
                      <w:sz w:val="21"/>
                      <w:highlight w:val="none"/>
                    </w:rPr>
                  </w:pPr>
                </w:p>
              </w:tc>
              <w:tc>
                <w:tcPr>
                  <w:tcW w:w="846" w:type="dxa"/>
                  <w:vAlign w:val="top"/>
                </w:tcPr>
                <w:p w14:paraId="2359F8E0">
                  <w:pPr>
                    <w:pStyle w:val="109"/>
                    <w:spacing w:before="29" w:line="198" w:lineRule="auto"/>
                    <w:ind w:left="156"/>
                    <w:rPr>
                      <w:color w:val="auto"/>
                      <w:sz w:val="18"/>
                      <w:szCs w:val="18"/>
                      <w:highlight w:val="none"/>
                    </w:rPr>
                  </w:pPr>
                  <w:r>
                    <w:rPr>
                      <w:color w:val="auto"/>
                      <w:spacing w:val="-2"/>
                      <w:sz w:val="18"/>
                      <w:szCs w:val="18"/>
                      <w:highlight w:val="none"/>
                    </w:rPr>
                    <w:t>平均值</w:t>
                  </w:r>
                </w:p>
              </w:tc>
              <w:tc>
                <w:tcPr>
                  <w:tcW w:w="658" w:type="dxa"/>
                  <w:vAlign w:val="top"/>
                </w:tcPr>
                <w:p w14:paraId="49998C87">
                  <w:pPr>
                    <w:spacing w:before="63" w:line="185" w:lineRule="auto"/>
                    <w:ind w:left="17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7.02</w:t>
                  </w:r>
                </w:p>
              </w:tc>
              <w:tc>
                <w:tcPr>
                  <w:tcW w:w="855" w:type="dxa"/>
                  <w:vAlign w:val="top"/>
                </w:tcPr>
                <w:p w14:paraId="1DEB6853">
                  <w:pPr>
                    <w:spacing w:before="63" w:line="185" w:lineRule="auto"/>
                    <w:ind w:left="35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6"/>
                      <w:sz w:val="18"/>
                      <w:szCs w:val="18"/>
                      <w:highlight w:val="none"/>
                    </w:rPr>
                    <w:t>14</w:t>
                  </w:r>
                </w:p>
              </w:tc>
              <w:tc>
                <w:tcPr>
                  <w:tcW w:w="650" w:type="dxa"/>
                  <w:vAlign w:val="top"/>
                </w:tcPr>
                <w:p w14:paraId="50B09705">
                  <w:pPr>
                    <w:spacing w:before="63" w:line="185" w:lineRule="auto"/>
                    <w:ind w:left="21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2.8</w:t>
                  </w:r>
                </w:p>
              </w:tc>
              <w:tc>
                <w:tcPr>
                  <w:tcW w:w="658" w:type="dxa"/>
                  <w:vAlign w:val="top"/>
                </w:tcPr>
                <w:p w14:paraId="7D637E3A">
                  <w:pPr>
                    <w:spacing w:before="63" w:line="185"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0.087</w:t>
                  </w:r>
                </w:p>
              </w:tc>
              <w:tc>
                <w:tcPr>
                  <w:tcW w:w="1052" w:type="dxa"/>
                  <w:vAlign w:val="top"/>
                </w:tcPr>
                <w:p w14:paraId="6EE77361">
                  <w:pPr>
                    <w:spacing w:before="63" w:line="185" w:lineRule="auto"/>
                    <w:ind w:left="3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0.017</w:t>
                  </w:r>
                </w:p>
              </w:tc>
              <w:tc>
                <w:tcPr>
                  <w:tcW w:w="853" w:type="dxa"/>
                  <w:vAlign w:val="top"/>
                </w:tcPr>
                <w:p w14:paraId="3AAC2D4B">
                  <w:pPr>
                    <w:spacing w:before="63" w:line="185" w:lineRule="auto"/>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0.397</w:t>
                  </w:r>
                </w:p>
              </w:tc>
              <w:tc>
                <w:tcPr>
                  <w:tcW w:w="1016" w:type="dxa"/>
                  <w:vAlign w:val="top"/>
                </w:tcPr>
                <w:p w14:paraId="3147371D">
                  <w:pPr>
                    <w:spacing w:before="63" w:line="185" w:lineRule="auto"/>
                    <w:ind w:left="278"/>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4"/>
                      <w:sz w:val="18"/>
                      <w:szCs w:val="18"/>
                      <w:highlight w:val="none"/>
                    </w:rPr>
                    <w:t>104.67</w:t>
                  </w:r>
                </w:p>
              </w:tc>
              <w:tc>
                <w:tcPr>
                  <w:tcW w:w="788" w:type="dxa"/>
                  <w:tcBorders>
                    <w:right w:val="nil"/>
                  </w:tcBorders>
                  <w:vAlign w:val="top"/>
                </w:tcPr>
                <w:p w14:paraId="05574F3A">
                  <w:pPr>
                    <w:spacing w:before="63" w:line="185" w:lineRule="auto"/>
                    <w:ind w:left="24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7.02</w:t>
                  </w:r>
                </w:p>
              </w:tc>
            </w:tr>
            <w:tr w14:paraId="0DBDB9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474" w:type="dxa"/>
                  <w:vMerge w:val="continue"/>
                  <w:tcBorders>
                    <w:top w:val="nil"/>
                    <w:left w:val="nil"/>
                  </w:tcBorders>
                  <w:vAlign w:val="top"/>
                </w:tcPr>
                <w:p w14:paraId="01962F5A">
                  <w:pPr>
                    <w:rPr>
                      <w:rFonts w:ascii="Arial"/>
                      <w:color w:val="auto"/>
                      <w:sz w:val="21"/>
                      <w:highlight w:val="none"/>
                    </w:rPr>
                  </w:pPr>
                </w:p>
              </w:tc>
              <w:tc>
                <w:tcPr>
                  <w:tcW w:w="846" w:type="dxa"/>
                  <w:vAlign w:val="top"/>
                </w:tcPr>
                <w:p w14:paraId="5B66F60F">
                  <w:pPr>
                    <w:spacing w:before="45" w:line="174" w:lineRule="auto"/>
                    <w:ind w:left="3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Pi</w:t>
                  </w:r>
                </w:p>
              </w:tc>
              <w:tc>
                <w:tcPr>
                  <w:tcW w:w="658" w:type="dxa"/>
                  <w:vAlign w:val="top"/>
                </w:tcPr>
                <w:p w14:paraId="72594C39">
                  <w:pPr>
                    <w:spacing w:before="49" w:line="170"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0.665</w:t>
                  </w:r>
                </w:p>
              </w:tc>
              <w:tc>
                <w:tcPr>
                  <w:tcW w:w="855" w:type="dxa"/>
                  <w:vAlign w:val="top"/>
                </w:tcPr>
                <w:p w14:paraId="2EB35A3E">
                  <w:pPr>
                    <w:spacing w:before="49" w:line="170" w:lineRule="auto"/>
                    <w:ind w:left="31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0.7</w:t>
                  </w:r>
                </w:p>
              </w:tc>
              <w:tc>
                <w:tcPr>
                  <w:tcW w:w="650" w:type="dxa"/>
                  <w:vAlign w:val="top"/>
                </w:tcPr>
                <w:p w14:paraId="093A2741">
                  <w:pPr>
                    <w:spacing w:before="49" w:line="170" w:lineRule="auto"/>
                    <w:ind w:left="21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0.7</w:t>
                  </w:r>
                </w:p>
              </w:tc>
              <w:tc>
                <w:tcPr>
                  <w:tcW w:w="658" w:type="dxa"/>
                  <w:vAlign w:val="top"/>
                </w:tcPr>
                <w:p w14:paraId="5915244C">
                  <w:pPr>
                    <w:spacing w:before="49" w:line="170"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0.087</w:t>
                  </w:r>
                </w:p>
              </w:tc>
              <w:tc>
                <w:tcPr>
                  <w:tcW w:w="1052" w:type="dxa"/>
                  <w:vAlign w:val="top"/>
                </w:tcPr>
                <w:p w14:paraId="5087B552">
                  <w:pPr>
                    <w:spacing w:before="49" w:line="170" w:lineRule="auto"/>
                    <w:ind w:left="3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0.085</w:t>
                  </w:r>
                </w:p>
              </w:tc>
              <w:tc>
                <w:tcPr>
                  <w:tcW w:w="853" w:type="dxa"/>
                  <w:vAlign w:val="top"/>
                </w:tcPr>
                <w:p w14:paraId="0F21526E">
                  <w:pPr>
                    <w:spacing w:before="49" w:line="170" w:lineRule="auto"/>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0.397</w:t>
                  </w:r>
                </w:p>
              </w:tc>
              <w:tc>
                <w:tcPr>
                  <w:tcW w:w="1016" w:type="dxa"/>
                  <w:vAlign w:val="top"/>
                </w:tcPr>
                <w:p w14:paraId="4BDAF14A">
                  <w:pPr>
                    <w:spacing w:before="45" w:line="174" w:lineRule="auto"/>
                    <w:ind w:left="4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z w:val="18"/>
                      <w:szCs w:val="18"/>
                      <w:highlight w:val="none"/>
                    </w:rPr>
                    <w:t>/</w:t>
                  </w:r>
                </w:p>
              </w:tc>
              <w:tc>
                <w:tcPr>
                  <w:tcW w:w="788" w:type="dxa"/>
                  <w:tcBorders>
                    <w:right w:val="nil"/>
                  </w:tcBorders>
                  <w:vAlign w:val="top"/>
                </w:tcPr>
                <w:p w14:paraId="309971B6">
                  <w:pPr>
                    <w:spacing w:before="49" w:line="170" w:lineRule="auto"/>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0.665</w:t>
                  </w:r>
                </w:p>
              </w:tc>
            </w:tr>
            <w:tr w14:paraId="1018EE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 w:hRule="atLeast"/>
              </w:trPr>
              <w:tc>
                <w:tcPr>
                  <w:tcW w:w="474" w:type="dxa"/>
                  <w:vMerge w:val="restart"/>
                  <w:tcBorders>
                    <w:left w:val="nil"/>
                    <w:bottom w:val="nil"/>
                  </w:tcBorders>
                  <w:vAlign w:val="top"/>
                </w:tcPr>
                <w:p w14:paraId="14C0F992">
                  <w:pPr>
                    <w:spacing w:line="333" w:lineRule="auto"/>
                    <w:rPr>
                      <w:rFonts w:ascii="Arial"/>
                      <w:color w:val="auto"/>
                      <w:sz w:val="21"/>
                      <w:highlight w:val="none"/>
                    </w:rPr>
                  </w:pPr>
                </w:p>
                <w:p w14:paraId="27247FAE">
                  <w:pPr>
                    <w:spacing w:before="51" w:line="186" w:lineRule="auto"/>
                    <w:ind w:left="11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W2</w:t>
                  </w:r>
                </w:p>
              </w:tc>
              <w:tc>
                <w:tcPr>
                  <w:tcW w:w="846" w:type="dxa"/>
                  <w:vAlign w:val="top"/>
                </w:tcPr>
                <w:p w14:paraId="5C9A6846">
                  <w:pPr>
                    <w:pStyle w:val="109"/>
                    <w:spacing w:before="129" w:line="220" w:lineRule="auto"/>
                    <w:ind w:left="67"/>
                    <w:rPr>
                      <w:color w:val="auto"/>
                      <w:sz w:val="18"/>
                      <w:szCs w:val="18"/>
                      <w:highlight w:val="none"/>
                    </w:rPr>
                  </w:pPr>
                  <w:r>
                    <w:rPr>
                      <w:color w:val="auto"/>
                      <w:spacing w:val="-2"/>
                      <w:sz w:val="18"/>
                      <w:szCs w:val="18"/>
                      <w:highlight w:val="none"/>
                    </w:rPr>
                    <w:t>浓度范围</w:t>
                  </w:r>
                </w:p>
              </w:tc>
              <w:tc>
                <w:tcPr>
                  <w:tcW w:w="658" w:type="dxa"/>
                  <w:vAlign w:val="top"/>
                </w:tcPr>
                <w:p w14:paraId="14B8417F">
                  <w:pPr>
                    <w:spacing w:before="58" w:line="207" w:lineRule="auto"/>
                    <w:ind w:left="239" w:right="52" w:hanging="18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7.02~7.</w:t>
                  </w:r>
                  <w:r>
                    <w:rPr>
                      <w:rFonts w:ascii="Times New Roman" w:hAnsi="Times New Roman" w:eastAsia="Times New Roman" w:cs="Times New Roman"/>
                      <w:color w:val="auto"/>
                      <w:sz w:val="18"/>
                      <w:szCs w:val="18"/>
                      <w:highlight w:val="none"/>
                    </w:rPr>
                    <w:t xml:space="preserve"> </w:t>
                  </w:r>
                  <w:r>
                    <w:rPr>
                      <w:rFonts w:ascii="Times New Roman" w:hAnsi="Times New Roman" w:eastAsia="Times New Roman" w:cs="Times New Roman"/>
                      <w:color w:val="auto"/>
                      <w:spacing w:val="-1"/>
                      <w:sz w:val="18"/>
                      <w:szCs w:val="18"/>
                      <w:highlight w:val="none"/>
                    </w:rPr>
                    <w:t>22</w:t>
                  </w:r>
                </w:p>
              </w:tc>
              <w:tc>
                <w:tcPr>
                  <w:tcW w:w="855" w:type="dxa"/>
                  <w:vAlign w:val="top"/>
                </w:tcPr>
                <w:p w14:paraId="55A48F73">
                  <w:pPr>
                    <w:spacing w:before="161" w:line="186" w:lineRule="auto"/>
                    <w:ind w:left="21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14~14</w:t>
                  </w:r>
                </w:p>
              </w:tc>
              <w:tc>
                <w:tcPr>
                  <w:tcW w:w="650" w:type="dxa"/>
                  <w:vAlign w:val="top"/>
                </w:tcPr>
                <w:p w14:paraId="239FEF24">
                  <w:pPr>
                    <w:spacing w:before="161" w:line="186" w:lineRule="auto"/>
                    <w:ind w:left="5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2.7~3.0</w:t>
                  </w:r>
                </w:p>
              </w:tc>
              <w:tc>
                <w:tcPr>
                  <w:tcW w:w="658" w:type="dxa"/>
                  <w:vAlign w:val="top"/>
                </w:tcPr>
                <w:p w14:paraId="06E553B8">
                  <w:pPr>
                    <w:spacing w:before="58" w:line="207" w:lineRule="auto"/>
                    <w:ind w:left="129" w:right="76" w:hanging="4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0.061~</w:t>
                  </w:r>
                  <w:r>
                    <w:rPr>
                      <w:rFonts w:ascii="Times New Roman" w:hAnsi="Times New Roman" w:eastAsia="Times New Roman" w:cs="Times New Roman"/>
                      <w:color w:val="auto"/>
                      <w:sz w:val="18"/>
                      <w:szCs w:val="18"/>
                      <w:highlight w:val="none"/>
                    </w:rPr>
                    <w:t xml:space="preserve"> </w:t>
                  </w:r>
                  <w:r>
                    <w:rPr>
                      <w:rFonts w:ascii="Times New Roman" w:hAnsi="Times New Roman" w:eastAsia="Times New Roman" w:cs="Times New Roman"/>
                      <w:color w:val="auto"/>
                      <w:spacing w:val="-2"/>
                      <w:sz w:val="18"/>
                      <w:szCs w:val="18"/>
                      <w:highlight w:val="none"/>
                    </w:rPr>
                    <w:t>0.069</w:t>
                  </w:r>
                </w:p>
              </w:tc>
              <w:tc>
                <w:tcPr>
                  <w:tcW w:w="1052" w:type="dxa"/>
                  <w:vAlign w:val="top"/>
                </w:tcPr>
                <w:p w14:paraId="24C999F5">
                  <w:pPr>
                    <w:spacing w:before="161" w:line="186" w:lineRule="auto"/>
                    <w:ind w:left="37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0.01</w:t>
                  </w:r>
                </w:p>
              </w:tc>
              <w:tc>
                <w:tcPr>
                  <w:tcW w:w="853" w:type="dxa"/>
                  <w:vAlign w:val="top"/>
                </w:tcPr>
                <w:p w14:paraId="01B419D0">
                  <w:pPr>
                    <w:spacing w:before="161" w:line="186" w:lineRule="auto"/>
                    <w:ind w:left="6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0.38~0.40</w:t>
                  </w:r>
                </w:p>
              </w:tc>
              <w:tc>
                <w:tcPr>
                  <w:tcW w:w="1016" w:type="dxa"/>
                  <w:vAlign w:val="top"/>
                </w:tcPr>
                <w:p w14:paraId="6CA03FAA">
                  <w:pPr>
                    <w:spacing w:before="161" w:line="186" w:lineRule="auto"/>
                    <w:ind w:left="11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1700~1800</w:t>
                  </w:r>
                </w:p>
              </w:tc>
              <w:tc>
                <w:tcPr>
                  <w:tcW w:w="788" w:type="dxa"/>
                  <w:tcBorders>
                    <w:right w:val="nil"/>
                  </w:tcBorders>
                  <w:vAlign w:val="top"/>
                </w:tcPr>
                <w:p w14:paraId="7D6A24B6">
                  <w:pPr>
                    <w:spacing w:before="161" w:line="186" w:lineRule="auto"/>
                    <w:ind w:left="3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7.02~7.22</w:t>
                  </w:r>
                </w:p>
              </w:tc>
            </w:tr>
            <w:tr w14:paraId="46A99D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 w:hRule="atLeast"/>
              </w:trPr>
              <w:tc>
                <w:tcPr>
                  <w:tcW w:w="474" w:type="dxa"/>
                  <w:vMerge w:val="continue"/>
                  <w:tcBorders>
                    <w:top w:val="nil"/>
                    <w:left w:val="nil"/>
                    <w:bottom w:val="nil"/>
                  </w:tcBorders>
                  <w:vAlign w:val="top"/>
                </w:tcPr>
                <w:p w14:paraId="6ECD3C35">
                  <w:pPr>
                    <w:rPr>
                      <w:rFonts w:ascii="Arial"/>
                      <w:color w:val="auto"/>
                      <w:sz w:val="21"/>
                      <w:highlight w:val="none"/>
                    </w:rPr>
                  </w:pPr>
                </w:p>
              </w:tc>
              <w:tc>
                <w:tcPr>
                  <w:tcW w:w="846" w:type="dxa"/>
                  <w:vAlign w:val="top"/>
                </w:tcPr>
                <w:p w14:paraId="5090D52A">
                  <w:pPr>
                    <w:pStyle w:val="109"/>
                    <w:spacing w:before="34" w:line="193" w:lineRule="auto"/>
                    <w:ind w:left="156"/>
                    <w:rPr>
                      <w:color w:val="auto"/>
                      <w:sz w:val="18"/>
                      <w:szCs w:val="18"/>
                      <w:highlight w:val="none"/>
                    </w:rPr>
                  </w:pPr>
                  <w:r>
                    <w:rPr>
                      <w:color w:val="auto"/>
                      <w:spacing w:val="-2"/>
                      <w:sz w:val="18"/>
                      <w:szCs w:val="18"/>
                      <w:highlight w:val="none"/>
                    </w:rPr>
                    <w:t>平均值</w:t>
                  </w:r>
                </w:p>
              </w:tc>
              <w:tc>
                <w:tcPr>
                  <w:tcW w:w="658" w:type="dxa"/>
                  <w:vAlign w:val="top"/>
                </w:tcPr>
                <w:p w14:paraId="039FE36D">
                  <w:pPr>
                    <w:spacing w:before="67" w:line="180" w:lineRule="auto"/>
                    <w:ind w:left="17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7.14</w:t>
                  </w:r>
                </w:p>
              </w:tc>
              <w:tc>
                <w:tcPr>
                  <w:tcW w:w="855" w:type="dxa"/>
                  <w:vAlign w:val="top"/>
                </w:tcPr>
                <w:p w14:paraId="3CF48691">
                  <w:pPr>
                    <w:spacing w:before="67" w:line="180" w:lineRule="auto"/>
                    <w:ind w:left="35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6"/>
                      <w:sz w:val="18"/>
                      <w:szCs w:val="18"/>
                      <w:highlight w:val="none"/>
                    </w:rPr>
                    <w:t>14</w:t>
                  </w:r>
                </w:p>
              </w:tc>
              <w:tc>
                <w:tcPr>
                  <w:tcW w:w="650" w:type="dxa"/>
                  <w:vAlign w:val="top"/>
                </w:tcPr>
                <w:p w14:paraId="4C60FA88">
                  <w:pPr>
                    <w:spacing w:before="67" w:line="180" w:lineRule="auto"/>
                    <w:ind w:left="16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2.87</w:t>
                  </w:r>
                </w:p>
              </w:tc>
              <w:tc>
                <w:tcPr>
                  <w:tcW w:w="658" w:type="dxa"/>
                  <w:vAlign w:val="top"/>
                </w:tcPr>
                <w:p w14:paraId="6D7B4D3F">
                  <w:pPr>
                    <w:spacing w:before="67" w:line="180"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0.066</w:t>
                  </w:r>
                </w:p>
              </w:tc>
              <w:tc>
                <w:tcPr>
                  <w:tcW w:w="1052" w:type="dxa"/>
                  <w:vAlign w:val="top"/>
                </w:tcPr>
                <w:p w14:paraId="03151EC1">
                  <w:pPr>
                    <w:spacing w:before="67" w:line="180" w:lineRule="auto"/>
                    <w:ind w:left="37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0.01</w:t>
                  </w:r>
                </w:p>
              </w:tc>
              <w:tc>
                <w:tcPr>
                  <w:tcW w:w="853" w:type="dxa"/>
                  <w:vAlign w:val="top"/>
                </w:tcPr>
                <w:p w14:paraId="1D4DC107">
                  <w:pPr>
                    <w:spacing w:before="67" w:line="180" w:lineRule="auto"/>
                    <w:ind w:left="27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0.39</w:t>
                  </w:r>
                </w:p>
              </w:tc>
              <w:tc>
                <w:tcPr>
                  <w:tcW w:w="1016" w:type="dxa"/>
                  <w:vAlign w:val="top"/>
                </w:tcPr>
                <w:p w14:paraId="034D7DE9">
                  <w:pPr>
                    <w:spacing w:before="67" w:line="180" w:lineRule="auto"/>
                    <w:ind w:left="23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1766.67</w:t>
                  </w:r>
                </w:p>
              </w:tc>
              <w:tc>
                <w:tcPr>
                  <w:tcW w:w="788" w:type="dxa"/>
                  <w:tcBorders>
                    <w:right w:val="nil"/>
                  </w:tcBorders>
                  <w:vAlign w:val="top"/>
                </w:tcPr>
                <w:p w14:paraId="24B2C8F2">
                  <w:pPr>
                    <w:spacing w:before="67" w:line="180" w:lineRule="auto"/>
                    <w:ind w:left="24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7.14</w:t>
                  </w:r>
                </w:p>
              </w:tc>
            </w:tr>
            <w:tr w14:paraId="33D410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474" w:type="dxa"/>
                  <w:vMerge w:val="continue"/>
                  <w:tcBorders>
                    <w:top w:val="nil"/>
                    <w:left w:val="nil"/>
                  </w:tcBorders>
                  <w:vAlign w:val="top"/>
                </w:tcPr>
                <w:p w14:paraId="3157D7AB">
                  <w:pPr>
                    <w:rPr>
                      <w:rFonts w:ascii="Arial"/>
                      <w:color w:val="auto"/>
                      <w:sz w:val="21"/>
                      <w:highlight w:val="none"/>
                    </w:rPr>
                  </w:pPr>
                </w:p>
              </w:tc>
              <w:tc>
                <w:tcPr>
                  <w:tcW w:w="846" w:type="dxa"/>
                  <w:vAlign w:val="top"/>
                </w:tcPr>
                <w:p w14:paraId="4538B0CC">
                  <w:pPr>
                    <w:spacing w:before="50" w:line="169" w:lineRule="auto"/>
                    <w:ind w:left="3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Pi</w:t>
                  </w:r>
                </w:p>
              </w:tc>
              <w:tc>
                <w:tcPr>
                  <w:tcW w:w="658" w:type="dxa"/>
                  <w:vAlign w:val="top"/>
                </w:tcPr>
                <w:p w14:paraId="066D3A7E">
                  <w:pPr>
                    <w:spacing w:before="53" w:line="165"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0.640</w:t>
                  </w:r>
                </w:p>
              </w:tc>
              <w:tc>
                <w:tcPr>
                  <w:tcW w:w="855" w:type="dxa"/>
                  <w:vAlign w:val="top"/>
                </w:tcPr>
                <w:p w14:paraId="5C2E38D2">
                  <w:pPr>
                    <w:spacing w:before="53" w:line="165" w:lineRule="auto"/>
                    <w:ind w:left="31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0.7</w:t>
                  </w:r>
                </w:p>
              </w:tc>
              <w:tc>
                <w:tcPr>
                  <w:tcW w:w="650" w:type="dxa"/>
                  <w:vAlign w:val="top"/>
                </w:tcPr>
                <w:p w14:paraId="6ABE8D87">
                  <w:pPr>
                    <w:spacing w:before="53" w:line="165" w:lineRule="auto"/>
                    <w:ind w:left="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0.7175</w:t>
                  </w:r>
                </w:p>
              </w:tc>
              <w:tc>
                <w:tcPr>
                  <w:tcW w:w="658" w:type="dxa"/>
                  <w:vAlign w:val="top"/>
                </w:tcPr>
                <w:p w14:paraId="2A3688E9">
                  <w:pPr>
                    <w:spacing w:before="53" w:line="165"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0.066</w:t>
                  </w:r>
                </w:p>
              </w:tc>
              <w:tc>
                <w:tcPr>
                  <w:tcW w:w="1052" w:type="dxa"/>
                  <w:vAlign w:val="top"/>
                </w:tcPr>
                <w:p w14:paraId="23058355">
                  <w:pPr>
                    <w:spacing w:before="53" w:line="165" w:lineRule="auto"/>
                    <w:ind w:left="37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0.05</w:t>
                  </w:r>
                </w:p>
              </w:tc>
              <w:tc>
                <w:tcPr>
                  <w:tcW w:w="853" w:type="dxa"/>
                  <w:vAlign w:val="top"/>
                </w:tcPr>
                <w:p w14:paraId="22FFB1FE">
                  <w:pPr>
                    <w:spacing w:before="53" w:line="165" w:lineRule="auto"/>
                    <w:ind w:left="27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0.39</w:t>
                  </w:r>
                </w:p>
              </w:tc>
              <w:tc>
                <w:tcPr>
                  <w:tcW w:w="1016" w:type="dxa"/>
                  <w:vAlign w:val="top"/>
                </w:tcPr>
                <w:p w14:paraId="5BCF09FB">
                  <w:pPr>
                    <w:spacing w:before="50" w:line="169" w:lineRule="auto"/>
                    <w:ind w:left="4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z w:val="18"/>
                      <w:szCs w:val="18"/>
                      <w:highlight w:val="none"/>
                    </w:rPr>
                    <w:t>/</w:t>
                  </w:r>
                </w:p>
              </w:tc>
              <w:tc>
                <w:tcPr>
                  <w:tcW w:w="788" w:type="dxa"/>
                  <w:tcBorders>
                    <w:right w:val="nil"/>
                  </w:tcBorders>
                  <w:vAlign w:val="top"/>
                </w:tcPr>
                <w:p w14:paraId="47C047D8">
                  <w:pPr>
                    <w:spacing w:before="53" w:line="165" w:lineRule="auto"/>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0.640</w:t>
                  </w:r>
                </w:p>
              </w:tc>
            </w:tr>
            <w:tr w14:paraId="44D1B1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474" w:type="dxa"/>
                  <w:vMerge w:val="restart"/>
                  <w:tcBorders>
                    <w:left w:val="nil"/>
                    <w:bottom w:val="nil"/>
                  </w:tcBorders>
                  <w:vAlign w:val="top"/>
                </w:tcPr>
                <w:p w14:paraId="010366E1">
                  <w:pPr>
                    <w:spacing w:line="330" w:lineRule="auto"/>
                    <w:rPr>
                      <w:rFonts w:ascii="Arial"/>
                      <w:color w:val="auto"/>
                      <w:sz w:val="21"/>
                      <w:highlight w:val="none"/>
                    </w:rPr>
                  </w:pPr>
                </w:p>
                <w:p w14:paraId="213DB5FC">
                  <w:pPr>
                    <w:spacing w:before="52" w:line="186" w:lineRule="auto"/>
                    <w:ind w:left="11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W3</w:t>
                  </w:r>
                </w:p>
              </w:tc>
              <w:tc>
                <w:tcPr>
                  <w:tcW w:w="846" w:type="dxa"/>
                  <w:vAlign w:val="top"/>
                </w:tcPr>
                <w:p w14:paraId="7902B378">
                  <w:pPr>
                    <w:pStyle w:val="109"/>
                    <w:spacing w:before="126" w:line="220" w:lineRule="auto"/>
                    <w:ind w:left="67"/>
                    <w:rPr>
                      <w:color w:val="auto"/>
                      <w:sz w:val="18"/>
                      <w:szCs w:val="18"/>
                      <w:highlight w:val="none"/>
                    </w:rPr>
                  </w:pPr>
                  <w:r>
                    <w:rPr>
                      <w:color w:val="auto"/>
                      <w:spacing w:val="-2"/>
                      <w:sz w:val="18"/>
                      <w:szCs w:val="18"/>
                      <w:highlight w:val="none"/>
                    </w:rPr>
                    <w:t>浓度范围</w:t>
                  </w:r>
                </w:p>
              </w:tc>
              <w:tc>
                <w:tcPr>
                  <w:tcW w:w="658" w:type="dxa"/>
                  <w:vAlign w:val="top"/>
                </w:tcPr>
                <w:p w14:paraId="3E321013">
                  <w:pPr>
                    <w:spacing w:before="54" w:line="202" w:lineRule="auto"/>
                    <w:ind w:left="242" w:right="52" w:hanging="18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7.44~7.</w:t>
                  </w:r>
                  <w:r>
                    <w:rPr>
                      <w:rFonts w:ascii="Times New Roman" w:hAnsi="Times New Roman" w:eastAsia="Times New Roman" w:cs="Times New Roman"/>
                      <w:color w:val="auto"/>
                      <w:sz w:val="18"/>
                      <w:szCs w:val="18"/>
                      <w:highlight w:val="none"/>
                    </w:rPr>
                    <w:t xml:space="preserve"> </w:t>
                  </w:r>
                  <w:r>
                    <w:rPr>
                      <w:rFonts w:ascii="Times New Roman" w:hAnsi="Times New Roman" w:eastAsia="Times New Roman" w:cs="Times New Roman"/>
                      <w:color w:val="auto"/>
                      <w:spacing w:val="-2"/>
                      <w:sz w:val="18"/>
                      <w:szCs w:val="18"/>
                      <w:highlight w:val="none"/>
                    </w:rPr>
                    <w:t>72</w:t>
                  </w:r>
                </w:p>
              </w:tc>
              <w:tc>
                <w:tcPr>
                  <w:tcW w:w="855" w:type="dxa"/>
                  <w:vAlign w:val="top"/>
                </w:tcPr>
                <w:p w14:paraId="24C1AD6C">
                  <w:pPr>
                    <w:spacing w:before="159" w:line="186" w:lineRule="auto"/>
                    <w:ind w:left="21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14~15</w:t>
                  </w:r>
                </w:p>
              </w:tc>
              <w:tc>
                <w:tcPr>
                  <w:tcW w:w="650" w:type="dxa"/>
                  <w:vAlign w:val="top"/>
                </w:tcPr>
                <w:p w14:paraId="2866AC7A">
                  <w:pPr>
                    <w:spacing w:before="159" w:line="186" w:lineRule="auto"/>
                    <w:ind w:left="5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2.6~3.0</w:t>
                  </w:r>
                </w:p>
              </w:tc>
              <w:tc>
                <w:tcPr>
                  <w:tcW w:w="658" w:type="dxa"/>
                  <w:vAlign w:val="top"/>
                </w:tcPr>
                <w:p w14:paraId="0BB69225">
                  <w:pPr>
                    <w:spacing w:before="54" w:line="202" w:lineRule="auto"/>
                    <w:ind w:left="129" w:right="76" w:hanging="4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0.064~</w:t>
                  </w:r>
                  <w:r>
                    <w:rPr>
                      <w:rFonts w:ascii="Times New Roman" w:hAnsi="Times New Roman" w:eastAsia="Times New Roman" w:cs="Times New Roman"/>
                      <w:color w:val="auto"/>
                      <w:sz w:val="18"/>
                      <w:szCs w:val="18"/>
                      <w:highlight w:val="none"/>
                    </w:rPr>
                    <w:t xml:space="preserve"> </w:t>
                  </w:r>
                  <w:r>
                    <w:rPr>
                      <w:rFonts w:ascii="Times New Roman" w:hAnsi="Times New Roman" w:eastAsia="Times New Roman" w:cs="Times New Roman"/>
                      <w:color w:val="auto"/>
                      <w:spacing w:val="-2"/>
                      <w:sz w:val="18"/>
                      <w:szCs w:val="18"/>
                      <w:highlight w:val="none"/>
                    </w:rPr>
                    <w:t>0.069</w:t>
                  </w:r>
                </w:p>
              </w:tc>
              <w:tc>
                <w:tcPr>
                  <w:tcW w:w="1052" w:type="dxa"/>
                  <w:vAlign w:val="top"/>
                </w:tcPr>
                <w:p w14:paraId="59E2966B">
                  <w:pPr>
                    <w:spacing w:before="159" w:line="186" w:lineRule="auto"/>
                    <w:ind w:left="37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0.01</w:t>
                  </w:r>
                </w:p>
              </w:tc>
              <w:tc>
                <w:tcPr>
                  <w:tcW w:w="853" w:type="dxa"/>
                  <w:vAlign w:val="top"/>
                </w:tcPr>
                <w:p w14:paraId="562511F2">
                  <w:pPr>
                    <w:spacing w:before="159" w:line="186" w:lineRule="auto"/>
                    <w:ind w:left="6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0.37~0.39</w:t>
                  </w:r>
                </w:p>
              </w:tc>
              <w:tc>
                <w:tcPr>
                  <w:tcW w:w="1016" w:type="dxa"/>
                  <w:vAlign w:val="top"/>
                </w:tcPr>
                <w:p w14:paraId="67EA436E">
                  <w:pPr>
                    <w:spacing w:before="159" w:line="186" w:lineRule="auto"/>
                    <w:ind w:left="188"/>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440~480</w:t>
                  </w:r>
                </w:p>
              </w:tc>
              <w:tc>
                <w:tcPr>
                  <w:tcW w:w="788" w:type="dxa"/>
                  <w:tcBorders>
                    <w:right w:val="nil"/>
                  </w:tcBorders>
                  <w:vAlign w:val="top"/>
                </w:tcPr>
                <w:p w14:paraId="394CB018">
                  <w:pPr>
                    <w:spacing w:before="159" w:line="186" w:lineRule="auto"/>
                    <w:ind w:left="3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7.44~7.72</w:t>
                  </w:r>
                </w:p>
              </w:tc>
            </w:tr>
            <w:tr w14:paraId="1A57BE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 w:hRule="atLeast"/>
              </w:trPr>
              <w:tc>
                <w:tcPr>
                  <w:tcW w:w="474" w:type="dxa"/>
                  <w:vMerge w:val="continue"/>
                  <w:tcBorders>
                    <w:top w:val="nil"/>
                    <w:left w:val="nil"/>
                    <w:bottom w:val="nil"/>
                  </w:tcBorders>
                  <w:vAlign w:val="top"/>
                </w:tcPr>
                <w:p w14:paraId="11ABAB0C">
                  <w:pPr>
                    <w:rPr>
                      <w:rFonts w:ascii="Arial"/>
                      <w:color w:val="auto"/>
                      <w:sz w:val="21"/>
                      <w:highlight w:val="none"/>
                    </w:rPr>
                  </w:pPr>
                </w:p>
              </w:tc>
              <w:tc>
                <w:tcPr>
                  <w:tcW w:w="846" w:type="dxa"/>
                  <w:vAlign w:val="top"/>
                </w:tcPr>
                <w:p w14:paraId="03337701">
                  <w:pPr>
                    <w:pStyle w:val="109"/>
                    <w:spacing w:before="37" w:line="188" w:lineRule="auto"/>
                    <w:ind w:left="156"/>
                    <w:rPr>
                      <w:color w:val="auto"/>
                      <w:sz w:val="18"/>
                      <w:szCs w:val="18"/>
                      <w:highlight w:val="none"/>
                    </w:rPr>
                  </w:pPr>
                  <w:r>
                    <w:rPr>
                      <w:color w:val="auto"/>
                      <w:spacing w:val="-2"/>
                      <w:sz w:val="18"/>
                      <w:szCs w:val="18"/>
                      <w:highlight w:val="none"/>
                    </w:rPr>
                    <w:t>平均值</w:t>
                  </w:r>
                </w:p>
              </w:tc>
              <w:tc>
                <w:tcPr>
                  <w:tcW w:w="658" w:type="dxa"/>
                  <w:vAlign w:val="top"/>
                </w:tcPr>
                <w:p w14:paraId="17AC76BE">
                  <w:pPr>
                    <w:spacing w:before="70" w:line="174" w:lineRule="auto"/>
                    <w:ind w:left="17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7.59</w:t>
                  </w:r>
                </w:p>
              </w:tc>
              <w:tc>
                <w:tcPr>
                  <w:tcW w:w="855" w:type="dxa"/>
                  <w:vAlign w:val="top"/>
                </w:tcPr>
                <w:p w14:paraId="2D3D9C05">
                  <w:pPr>
                    <w:spacing w:before="70" w:line="174" w:lineRule="auto"/>
                    <w:ind w:left="28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6"/>
                      <w:sz w:val="18"/>
                      <w:szCs w:val="18"/>
                      <w:highlight w:val="none"/>
                    </w:rPr>
                    <w:t>14.5</w:t>
                  </w:r>
                </w:p>
              </w:tc>
              <w:tc>
                <w:tcPr>
                  <w:tcW w:w="650" w:type="dxa"/>
                  <w:vAlign w:val="top"/>
                </w:tcPr>
                <w:p w14:paraId="27754034">
                  <w:pPr>
                    <w:spacing w:before="70" w:line="174" w:lineRule="auto"/>
                    <w:ind w:left="16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2.77</w:t>
                  </w:r>
                </w:p>
              </w:tc>
              <w:tc>
                <w:tcPr>
                  <w:tcW w:w="658" w:type="dxa"/>
                  <w:vAlign w:val="top"/>
                </w:tcPr>
                <w:p w14:paraId="19AA83AA">
                  <w:pPr>
                    <w:spacing w:before="70" w:line="174"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0.067</w:t>
                  </w:r>
                </w:p>
              </w:tc>
              <w:tc>
                <w:tcPr>
                  <w:tcW w:w="1052" w:type="dxa"/>
                  <w:vAlign w:val="top"/>
                </w:tcPr>
                <w:p w14:paraId="7A21FE4F">
                  <w:pPr>
                    <w:spacing w:before="70" w:line="174" w:lineRule="auto"/>
                    <w:ind w:left="37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0.01</w:t>
                  </w:r>
                </w:p>
              </w:tc>
              <w:tc>
                <w:tcPr>
                  <w:tcW w:w="853" w:type="dxa"/>
                  <w:vAlign w:val="top"/>
                </w:tcPr>
                <w:p w14:paraId="3BDEDF8A">
                  <w:pPr>
                    <w:spacing w:before="70" w:line="174" w:lineRule="auto"/>
                    <w:ind w:left="27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0.38</w:t>
                  </w:r>
                </w:p>
              </w:tc>
              <w:tc>
                <w:tcPr>
                  <w:tcW w:w="1016" w:type="dxa"/>
                  <w:vAlign w:val="top"/>
                </w:tcPr>
                <w:p w14:paraId="1AFD3C74">
                  <w:pPr>
                    <w:spacing w:before="70" w:line="174" w:lineRule="auto"/>
                    <w:ind w:left="26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453.33</w:t>
                  </w:r>
                </w:p>
              </w:tc>
              <w:tc>
                <w:tcPr>
                  <w:tcW w:w="788" w:type="dxa"/>
                  <w:tcBorders>
                    <w:right w:val="nil"/>
                  </w:tcBorders>
                  <w:vAlign w:val="top"/>
                </w:tcPr>
                <w:p w14:paraId="28F425E6">
                  <w:pPr>
                    <w:spacing w:before="70" w:line="174" w:lineRule="auto"/>
                    <w:ind w:left="24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7.59</w:t>
                  </w:r>
                </w:p>
              </w:tc>
            </w:tr>
            <w:tr w14:paraId="73574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474" w:type="dxa"/>
                  <w:vMerge w:val="continue"/>
                  <w:tcBorders>
                    <w:top w:val="nil"/>
                    <w:left w:val="nil"/>
                  </w:tcBorders>
                  <w:vAlign w:val="top"/>
                </w:tcPr>
                <w:p w14:paraId="1749A400">
                  <w:pPr>
                    <w:rPr>
                      <w:rFonts w:ascii="Arial"/>
                      <w:color w:val="auto"/>
                      <w:sz w:val="21"/>
                      <w:highlight w:val="none"/>
                    </w:rPr>
                  </w:pPr>
                </w:p>
              </w:tc>
              <w:tc>
                <w:tcPr>
                  <w:tcW w:w="846" w:type="dxa"/>
                  <w:vAlign w:val="top"/>
                </w:tcPr>
                <w:p w14:paraId="4F9ECC72">
                  <w:pPr>
                    <w:spacing w:before="57" w:line="161" w:lineRule="auto"/>
                    <w:ind w:left="3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Pi</w:t>
                  </w:r>
                </w:p>
              </w:tc>
              <w:tc>
                <w:tcPr>
                  <w:tcW w:w="658" w:type="dxa"/>
                  <w:vAlign w:val="top"/>
                </w:tcPr>
                <w:p w14:paraId="4B89479E">
                  <w:pPr>
                    <w:spacing w:before="59" w:line="158"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0.573</w:t>
                  </w:r>
                </w:p>
              </w:tc>
              <w:tc>
                <w:tcPr>
                  <w:tcW w:w="855" w:type="dxa"/>
                  <w:vAlign w:val="top"/>
                </w:tcPr>
                <w:p w14:paraId="6C2BC644">
                  <w:pPr>
                    <w:spacing w:before="59" w:line="158" w:lineRule="auto"/>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0.725</w:t>
                  </w:r>
                </w:p>
              </w:tc>
              <w:tc>
                <w:tcPr>
                  <w:tcW w:w="650" w:type="dxa"/>
                  <w:vAlign w:val="top"/>
                </w:tcPr>
                <w:p w14:paraId="32F6F9D1">
                  <w:pPr>
                    <w:spacing w:before="59" w:line="158" w:lineRule="auto"/>
                    <w:ind w:left="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0.6925</w:t>
                  </w:r>
                </w:p>
              </w:tc>
              <w:tc>
                <w:tcPr>
                  <w:tcW w:w="658" w:type="dxa"/>
                  <w:vAlign w:val="top"/>
                </w:tcPr>
                <w:p w14:paraId="6328A79A">
                  <w:pPr>
                    <w:spacing w:before="59" w:line="158" w:lineRule="auto"/>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0.067</w:t>
                  </w:r>
                </w:p>
              </w:tc>
              <w:tc>
                <w:tcPr>
                  <w:tcW w:w="1052" w:type="dxa"/>
                  <w:vAlign w:val="top"/>
                </w:tcPr>
                <w:p w14:paraId="70F58E2C">
                  <w:pPr>
                    <w:spacing w:before="59" w:line="158" w:lineRule="auto"/>
                    <w:ind w:left="37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0.05</w:t>
                  </w:r>
                </w:p>
              </w:tc>
              <w:tc>
                <w:tcPr>
                  <w:tcW w:w="853" w:type="dxa"/>
                  <w:vAlign w:val="top"/>
                </w:tcPr>
                <w:p w14:paraId="606C6E4A">
                  <w:pPr>
                    <w:spacing w:before="59" w:line="158" w:lineRule="auto"/>
                    <w:ind w:left="27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0.38</w:t>
                  </w:r>
                </w:p>
              </w:tc>
              <w:tc>
                <w:tcPr>
                  <w:tcW w:w="1016" w:type="dxa"/>
                  <w:vAlign w:val="top"/>
                </w:tcPr>
                <w:p w14:paraId="34C72ED7">
                  <w:pPr>
                    <w:spacing w:before="57" w:line="161" w:lineRule="auto"/>
                    <w:ind w:left="4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z w:val="18"/>
                      <w:szCs w:val="18"/>
                      <w:highlight w:val="none"/>
                    </w:rPr>
                    <w:t>/</w:t>
                  </w:r>
                </w:p>
              </w:tc>
              <w:tc>
                <w:tcPr>
                  <w:tcW w:w="788" w:type="dxa"/>
                  <w:tcBorders>
                    <w:right w:val="nil"/>
                  </w:tcBorders>
                  <w:vAlign w:val="top"/>
                </w:tcPr>
                <w:p w14:paraId="4B4C9A6A">
                  <w:pPr>
                    <w:spacing w:before="59" w:line="158" w:lineRule="auto"/>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0.573</w:t>
                  </w:r>
                </w:p>
              </w:tc>
            </w:tr>
            <w:tr w14:paraId="4861D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320" w:type="dxa"/>
                  <w:gridSpan w:val="2"/>
                  <w:tcBorders>
                    <w:left w:val="nil"/>
                  </w:tcBorders>
                  <w:vAlign w:val="top"/>
                </w:tcPr>
                <w:p w14:paraId="77184428">
                  <w:pPr>
                    <w:spacing w:before="66" w:line="186" w:lineRule="auto"/>
                    <w:ind w:left="15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GB3838-2002</w:t>
                  </w:r>
                </w:p>
                <w:p w14:paraId="7C055AEF">
                  <w:pPr>
                    <w:pStyle w:val="109"/>
                    <w:spacing w:before="26" w:line="220" w:lineRule="auto"/>
                    <w:ind w:left="243"/>
                    <w:rPr>
                      <w:color w:val="auto"/>
                      <w:sz w:val="18"/>
                      <w:szCs w:val="18"/>
                      <w:highlight w:val="none"/>
                    </w:rPr>
                  </w:pPr>
                  <w:r>
                    <w:rPr>
                      <w:color w:val="auto"/>
                      <w:spacing w:val="-5"/>
                      <w:sz w:val="18"/>
                      <w:szCs w:val="18"/>
                      <w:highlight w:val="none"/>
                    </w:rPr>
                    <w:t>中</w:t>
                  </w:r>
                  <w:r>
                    <w:rPr>
                      <w:rFonts w:ascii="Times New Roman" w:hAnsi="Times New Roman" w:eastAsia="Times New Roman" w:cs="Times New Roman"/>
                      <w:color w:val="auto"/>
                      <w:spacing w:val="-5"/>
                      <w:sz w:val="18"/>
                      <w:szCs w:val="18"/>
                      <w:highlight w:val="none"/>
                    </w:rPr>
                    <w:t>Ⅲ</w:t>
                  </w:r>
                  <w:r>
                    <w:rPr>
                      <w:color w:val="auto"/>
                      <w:spacing w:val="-5"/>
                      <w:sz w:val="18"/>
                      <w:szCs w:val="18"/>
                      <w:highlight w:val="none"/>
                    </w:rPr>
                    <w:t>类水域</w:t>
                  </w:r>
                </w:p>
                <w:p w14:paraId="221467CB">
                  <w:pPr>
                    <w:pStyle w:val="109"/>
                    <w:spacing w:before="18" w:line="188" w:lineRule="auto"/>
                    <w:ind w:left="493"/>
                    <w:rPr>
                      <w:color w:val="auto"/>
                      <w:sz w:val="18"/>
                      <w:szCs w:val="18"/>
                      <w:highlight w:val="none"/>
                    </w:rPr>
                  </w:pPr>
                  <w:r>
                    <w:rPr>
                      <w:color w:val="auto"/>
                      <w:spacing w:val="-2"/>
                      <w:sz w:val="18"/>
                      <w:szCs w:val="18"/>
                      <w:highlight w:val="none"/>
                    </w:rPr>
                    <w:t>标准</w:t>
                  </w:r>
                </w:p>
              </w:tc>
              <w:tc>
                <w:tcPr>
                  <w:tcW w:w="658" w:type="dxa"/>
                  <w:vAlign w:val="top"/>
                </w:tcPr>
                <w:p w14:paraId="5690B05D">
                  <w:pPr>
                    <w:spacing w:line="245" w:lineRule="auto"/>
                    <w:rPr>
                      <w:rFonts w:ascii="Arial"/>
                      <w:color w:val="auto"/>
                      <w:sz w:val="21"/>
                      <w:highlight w:val="none"/>
                    </w:rPr>
                  </w:pPr>
                </w:p>
                <w:p w14:paraId="0DA0703A">
                  <w:pPr>
                    <w:spacing w:before="52" w:line="186" w:lineRule="auto"/>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6~9</w:t>
                  </w:r>
                </w:p>
              </w:tc>
              <w:tc>
                <w:tcPr>
                  <w:tcW w:w="855" w:type="dxa"/>
                  <w:vAlign w:val="top"/>
                </w:tcPr>
                <w:p w14:paraId="520C889C">
                  <w:pPr>
                    <w:spacing w:line="246" w:lineRule="auto"/>
                    <w:rPr>
                      <w:rFonts w:ascii="Arial"/>
                      <w:color w:val="auto"/>
                      <w:sz w:val="21"/>
                      <w:highlight w:val="none"/>
                    </w:rPr>
                  </w:pPr>
                </w:p>
                <w:p w14:paraId="5BC1FC92">
                  <w:pPr>
                    <w:spacing w:before="52" w:line="185" w:lineRule="auto"/>
                    <w:ind w:left="33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≥5</w:t>
                  </w:r>
                </w:p>
              </w:tc>
              <w:tc>
                <w:tcPr>
                  <w:tcW w:w="650" w:type="dxa"/>
                  <w:vAlign w:val="top"/>
                </w:tcPr>
                <w:p w14:paraId="3DC47D31">
                  <w:pPr>
                    <w:spacing w:line="244" w:lineRule="auto"/>
                    <w:rPr>
                      <w:rFonts w:ascii="Arial"/>
                      <w:color w:val="auto"/>
                      <w:sz w:val="21"/>
                      <w:highlight w:val="none"/>
                    </w:rPr>
                  </w:pPr>
                </w:p>
                <w:p w14:paraId="41720687">
                  <w:pPr>
                    <w:spacing w:before="51" w:line="188" w:lineRule="auto"/>
                    <w:ind w:left="18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≤20</w:t>
                  </w:r>
                </w:p>
              </w:tc>
              <w:tc>
                <w:tcPr>
                  <w:tcW w:w="658" w:type="dxa"/>
                  <w:vAlign w:val="top"/>
                </w:tcPr>
                <w:p w14:paraId="48F21AF9">
                  <w:pPr>
                    <w:spacing w:line="244" w:lineRule="auto"/>
                    <w:rPr>
                      <w:rFonts w:ascii="Arial"/>
                      <w:color w:val="auto"/>
                      <w:sz w:val="21"/>
                      <w:highlight w:val="none"/>
                    </w:rPr>
                  </w:pPr>
                </w:p>
                <w:p w14:paraId="5F6D4BBD">
                  <w:pPr>
                    <w:spacing w:before="51" w:line="188" w:lineRule="auto"/>
                    <w:ind w:left="23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≤4</w:t>
                  </w:r>
                </w:p>
              </w:tc>
              <w:tc>
                <w:tcPr>
                  <w:tcW w:w="1052" w:type="dxa"/>
                  <w:vAlign w:val="top"/>
                </w:tcPr>
                <w:p w14:paraId="64BFE25D">
                  <w:pPr>
                    <w:spacing w:line="244" w:lineRule="auto"/>
                    <w:rPr>
                      <w:rFonts w:ascii="Arial"/>
                      <w:color w:val="auto"/>
                      <w:sz w:val="21"/>
                      <w:highlight w:val="none"/>
                    </w:rPr>
                  </w:pPr>
                </w:p>
                <w:p w14:paraId="241D06A9">
                  <w:pPr>
                    <w:spacing w:before="51" w:line="188" w:lineRule="auto"/>
                    <w:ind w:left="4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≤1</w:t>
                  </w:r>
                </w:p>
              </w:tc>
              <w:tc>
                <w:tcPr>
                  <w:tcW w:w="853" w:type="dxa"/>
                  <w:vAlign w:val="top"/>
                </w:tcPr>
                <w:p w14:paraId="37291F82">
                  <w:pPr>
                    <w:spacing w:line="244" w:lineRule="auto"/>
                    <w:rPr>
                      <w:rFonts w:ascii="Arial"/>
                      <w:color w:val="auto"/>
                      <w:sz w:val="21"/>
                      <w:highlight w:val="none"/>
                    </w:rPr>
                  </w:pPr>
                </w:p>
                <w:p w14:paraId="02E4F2BA">
                  <w:pPr>
                    <w:spacing w:before="51" w:line="188" w:lineRule="auto"/>
                    <w:ind w:left="26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≤0.2</w:t>
                  </w:r>
                </w:p>
              </w:tc>
              <w:tc>
                <w:tcPr>
                  <w:tcW w:w="1016" w:type="dxa"/>
                  <w:vAlign w:val="top"/>
                </w:tcPr>
                <w:p w14:paraId="6A26352A">
                  <w:pPr>
                    <w:spacing w:line="242" w:lineRule="auto"/>
                    <w:rPr>
                      <w:rFonts w:ascii="Arial"/>
                      <w:color w:val="auto"/>
                      <w:sz w:val="21"/>
                      <w:highlight w:val="none"/>
                    </w:rPr>
                  </w:pPr>
                </w:p>
                <w:p w14:paraId="29995EE5">
                  <w:pPr>
                    <w:spacing w:before="52" w:line="190" w:lineRule="auto"/>
                    <w:ind w:left="4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z w:val="18"/>
                      <w:szCs w:val="18"/>
                      <w:highlight w:val="none"/>
                    </w:rPr>
                    <w:t>/</w:t>
                  </w:r>
                </w:p>
              </w:tc>
              <w:tc>
                <w:tcPr>
                  <w:tcW w:w="788" w:type="dxa"/>
                  <w:tcBorders>
                    <w:right w:val="nil"/>
                  </w:tcBorders>
                  <w:vAlign w:val="top"/>
                </w:tcPr>
                <w:p w14:paraId="6EC5D62C">
                  <w:pPr>
                    <w:spacing w:line="244" w:lineRule="auto"/>
                    <w:rPr>
                      <w:rFonts w:ascii="Arial"/>
                      <w:color w:val="auto"/>
                      <w:sz w:val="21"/>
                      <w:highlight w:val="none"/>
                    </w:rPr>
                  </w:pPr>
                </w:p>
                <w:p w14:paraId="2FD2BFA9">
                  <w:pPr>
                    <w:spacing w:before="51" w:line="188" w:lineRule="auto"/>
                    <w:ind w:left="118"/>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≤10000</w:t>
                  </w:r>
                </w:p>
              </w:tc>
            </w:tr>
            <w:tr w14:paraId="33CEB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 w:hRule="atLeast"/>
              </w:trPr>
              <w:tc>
                <w:tcPr>
                  <w:tcW w:w="474" w:type="dxa"/>
                  <w:vMerge w:val="restart"/>
                  <w:tcBorders>
                    <w:left w:val="nil"/>
                    <w:bottom w:val="nil"/>
                  </w:tcBorders>
                  <w:vAlign w:val="top"/>
                </w:tcPr>
                <w:p w14:paraId="5682AFA3">
                  <w:pPr>
                    <w:spacing w:line="253" w:lineRule="auto"/>
                    <w:rPr>
                      <w:rFonts w:ascii="Arial"/>
                      <w:color w:val="auto"/>
                      <w:sz w:val="21"/>
                      <w:highlight w:val="none"/>
                    </w:rPr>
                  </w:pPr>
                </w:p>
                <w:p w14:paraId="047A448A">
                  <w:pPr>
                    <w:spacing w:before="51" w:line="186" w:lineRule="auto"/>
                    <w:ind w:left="11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W4</w:t>
                  </w:r>
                </w:p>
              </w:tc>
              <w:tc>
                <w:tcPr>
                  <w:tcW w:w="846" w:type="dxa"/>
                  <w:vAlign w:val="top"/>
                </w:tcPr>
                <w:p w14:paraId="1C41ABA2">
                  <w:pPr>
                    <w:pStyle w:val="109"/>
                    <w:spacing w:before="48" w:line="186" w:lineRule="auto"/>
                    <w:ind w:left="67"/>
                    <w:rPr>
                      <w:color w:val="auto"/>
                      <w:sz w:val="18"/>
                      <w:szCs w:val="18"/>
                      <w:highlight w:val="none"/>
                    </w:rPr>
                  </w:pPr>
                  <w:r>
                    <w:rPr>
                      <w:color w:val="auto"/>
                      <w:spacing w:val="-2"/>
                      <w:sz w:val="18"/>
                      <w:szCs w:val="18"/>
                      <w:highlight w:val="none"/>
                    </w:rPr>
                    <w:t>浓度范围</w:t>
                  </w:r>
                </w:p>
              </w:tc>
              <w:tc>
                <w:tcPr>
                  <w:tcW w:w="658" w:type="dxa"/>
                  <w:vAlign w:val="top"/>
                </w:tcPr>
                <w:p w14:paraId="2EA9C064">
                  <w:pPr>
                    <w:spacing w:before="82" w:line="171" w:lineRule="auto"/>
                    <w:ind w:left="5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7.6~7.7</w:t>
                  </w:r>
                </w:p>
              </w:tc>
              <w:tc>
                <w:tcPr>
                  <w:tcW w:w="855" w:type="dxa"/>
                  <w:vAlign w:val="top"/>
                </w:tcPr>
                <w:p w14:paraId="7CDD8C52">
                  <w:pPr>
                    <w:spacing w:before="82" w:line="171" w:lineRule="auto"/>
                    <w:ind w:left="7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8.06~8.22</w:t>
                  </w:r>
                </w:p>
              </w:tc>
              <w:tc>
                <w:tcPr>
                  <w:tcW w:w="650" w:type="dxa"/>
                  <w:vAlign w:val="top"/>
                </w:tcPr>
                <w:p w14:paraId="52C4C8C6">
                  <w:pPr>
                    <w:spacing w:before="82" w:line="171" w:lineRule="auto"/>
                    <w:ind w:left="11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11~12</w:t>
                  </w:r>
                </w:p>
              </w:tc>
              <w:tc>
                <w:tcPr>
                  <w:tcW w:w="658" w:type="dxa"/>
                  <w:vAlign w:val="top"/>
                </w:tcPr>
                <w:p w14:paraId="7EC9BBAC">
                  <w:pPr>
                    <w:spacing w:before="82" w:line="171" w:lineRule="auto"/>
                    <w:ind w:left="5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2.9~3.0</w:t>
                  </w:r>
                </w:p>
              </w:tc>
              <w:tc>
                <w:tcPr>
                  <w:tcW w:w="1052" w:type="dxa"/>
                  <w:vAlign w:val="top"/>
                </w:tcPr>
                <w:p w14:paraId="5F0B097C">
                  <w:pPr>
                    <w:spacing w:before="82" w:line="171" w:lineRule="auto"/>
                    <w:ind w:left="7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0.047~0.055</w:t>
                  </w:r>
                </w:p>
              </w:tc>
              <w:tc>
                <w:tcPr>
                  <w:tcW w:w="853" w:type="dxa"/>
                  <w:vAlign w:val="top"/>
                </w:tcPr>
                <w:p w14:paraId="7FA87F8E">
                  <w:pPr>
                    <w:spacing w:before="82" w:line="171" w:lineRule="auto"/>
                    <w:ind w:left="6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0.02~0.04</w:t>
                  </w:r>
                </w:p>
              </w:tc>
              <w:tc>
                <w:tcPr>
                  <w:tcW w:w="1016" w:type="dxa"/>
                  <w:vAlign w:val="top"/>
                </w:tcPr>
                <w:p w14:paraId="032D9CFB">
                  <w:pPr>
                    <w:spacing w:before="82" w:line="171" w:lineRule="auto"/>
                    <w:ind w:left="1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0.38~0.41</w:t>
                  </w:r>
                </w:p>
              </w:tc>
              <w:tc>
                <w:tcPr>
                  <w:tcW w:w="788" w:type="dxa"/>
                  <w:tcBorders>
                    <w:right w:val="nil"/>
                  </w:tcBorders>
                  <w:vAlign w:val="top"/>
                </w:tcPr>
                <w:p w14:paraId="5CFB5280">
                  <w:pPr>
                    <w:spacing w:before="82" w:line="171" w:lineRule="auto"/>
                    <w:ind w:left="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670~720</w:t>
                  </w:r>
                </w:p>
              </w:tc>
            </w:tr>
            <w:tr w14:paraId="1D1B3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 w:hRule="atLeast"/>
              </w:trPr>
              <w:tc>
                <w:tcPr>
                  <w:tcW w:w="474" w:type="dxa"/>
                  <w:vMerge w:val="continue"/>
                  <w:tcBorders>
                    <w:top w:val="nil"/>
                    <w:left w:val="nil"/>
                    <w:bottom w:val="nil"/>
                  </w:tcBorders>
                  <w:vAlign w:val="top"/>
                </w:tcPr>
                <w:p w14:paraId="0870DECA">
                  <w:pPr>
                    <w:rPr>
                      <w:rFonts w:ascii="Arial"/>
                      <w:color w:val="auto"/>
                      <w:sz w:val="21"/>
                      <w:highlight w:val="none"/>
                    </w:rPr>
                  </w:pPr>
                </w:p>
              </w:tc>
              <w:tc>
                <w:tcPr>
                  <w:tcW w:w="846" w:type="dxa"/>
                  <w:vAlign w:val="top"/>
                </w:tcPr>
                <w:p w14:paraId="196DF646">
                  <w:pPr>
                    <w:pStyle w:val="109"/>
                    <w:spacing w:before="46" w:line="181" w:lineRule="auto"/>
                    <w:ind w:left="156"/>
                    <w:rPr>
                      <w:color w:val="auto"/>
                      <w:sz w:val="18"/>
                      <w:szCs w:val="18"/>
                      <w:highlight w:val="none"/>
                    </w:rPr>
                  </w:pPr>
                  <w:r>
                    <w:rPr>
                      <w:color w:val="auto"/>
                      <w:spacing w:val="-2"/>
                      <w:sz w:val="18"/>
                      <w:szCs w:val="18"/>
                      <w:highlight w:val="none"/>
                    </w:rPr>
                    <w:t>平均值</w:t>
                  </w:r>
                </w:p>
              </w:tc>
              <w:tc>
                <w:tcPr>
                  <w:tcW w:w="658" w:type="dxa"/>
                  <w:vAlign w:val="top"/>
                </w:tcPr>
                <w:p w14:paraId="625EA0E6">
                  <w:pPr>
                    <w:spacing w:before="78" w:line="168" w:lineRule="auto"/>
                    <w:ind w:left="17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7.67</w:t>
                  </w:r>
                </w:p>
              </w:tc>
              <w:tc>
                <w:tcPr>
                  <w:tcW w:w="855" w:type="dxa"/>
                  <w:vAlign w:val="top"/>
                </w:tcPr>
                <w:p w14:paraId="17F6F748">
                  <w:pPr>
                    <w:spacing w:before="78" w:line="168" w:lineRule="auto"/>
                    <w:ind w:left="27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8.15</w:t>
                  </w:r>
                </w:p>
              </w:tc>
              <w:tc>
                <w:tcPr>
                  <w:tcW w:w="650" w:type="dxa"/>
                  <w:vAlign w:val="top"/>
                </w:tcPr>
                <w:p w14:paraId="386D1339">
                  <w:pPr>
                    <w:spacing w:before="78" w:line="168" w:lineRule="auto"/>
                    <w:ind w:left="13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11.33</w:t>
                  </w:r>
                </w:p>
              </w:tc>
              <w:tc>
                <w:tcPr>
                  <w:tcW w:w="658" w:type="dxa"/>
                  <w:vAlign w:val="top"/>
                </w:tcPr>
                <w:p w14:paraId="59A67EA7">
                  <w:pPr>
                    <w:spacing w:before="78" w:line="168" w:lineRule="auto"/>
                    <w:ind w:left="17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2.97</w:t>
                  </w:r>
                </w:p>
              </w:tc>
              <w:tc>
                <w:tcPr>
                  <w:tcW w:w="1052" w:type="dxa"/>
                  <w:vAlign w:val="top"/>
                </w:tcPr>
                <w:p w14:paraId="51A616AE">
                  <w:pPr>
                    <w:spacing w:before="78" w:line="168" w:lineRule="auto"/>
                    <w:ind w:left="3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0.051</w:t>
                  </w:r>
                </w:p>
              </w:tc>
              <w:tc>
                <w:tcPr>
                  <w:tcW w:w="853" w:type="dxa"/>
                  <w:vAlign w:val="top"/>
                </w:tcPr>
                <w:p w14:paraId="15F72323">
                  <w:pPr>
                    <w:spacing w:before="78" w:line="168" w:lineRule="auto"/>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0.033</w:t>
                  </w:r>
                </w:p>
              </w:tc>
              <w:tc>
                <w:tcPr>
                  <w:tcW w:w="1016" w:type="dxa"/>
                  <w:vAlign w:val="top"/>
                </w:tcPr>
                <w:p w14:paraId="423B6CD3">
                  <w:pPr>
                    <w:spacing w:before="78" w:line="168" w:lineRule="auto"/>
                    <w:ind w:left="308"/>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0.397</w:t>
                  </w:r>
                </w:p>
              </w:tc>
              <w:tc>
                <w:tcPr>
                  <w:tcW w:w="788" w:type="dxa"/>
                  <w:tcBorders>
                    <w:right w:val="nil"/>
                  </w:tcBorders>
                  <w:vAlign w:val="top"/>
                </w:tcPr>
                <w:p w14:paraId="263F6E08">
                  <w:pPr>
                    <w:spacing w:before="78" w:line="168" w:lineRule="auto"/>
                    <w:ind w:left="26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690</w:t>
                  </w:r>
                </w:p>
              </w:tc>
            </w:tr>
            <w:tr w14:paraId="1F6A87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474" w:type="dxa"/>
                  <w:vMerge w:val="continue"/>
                  <w:tcBorders>
                    <w:top w:val="nil"/>
                    <w:left w:val="nil"/>
                  </w:tcBorders>
                  <w:vAlign w:val="top"/>
                </w:tcPr>
                <w:p w14:paraId="245268ED">
                  <w:pPr>
                    <w:rPr>
                      <w:rFonts w:ascii="Arial"/>
                      <w:color w:val="auto"/>
                      <w:sz w:val="21"/>
                      <w:highlight w:val="none"/>
                    </w:rPr>
                  </w:pPr>
                </w:p>
              </w:tc>
              <w:tc>
                <w:tcPr>
                  <w:tcW w:w="846" w:type="dxa"/>
                  <w:vAlign w:val="top"/>
                </w:tcPr>
                <w:p w14:paraId="702FE516">
                  <w:pPr>
                    <w:spacing w:before="62" w:line="133" w:lineRule="exact"/>
                    <w:ind w:left="3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3"/>
                      <w:sz w:val="18"/>
                      <w:szCs w:val="18"/>
                      <w:highlight w:val="none"/>
                    </w:rPr>
                    <w:t>Pi</w:t>
                  </w:r>
                </w:p>
              </w:tc>
              <w:tc>
                <w:tcPr>
                  <w:tcW w:w="658" w:type="dxa"/>
                  <w:vAlign w:val="top"/>
                </w:tcPr>
                <w:p w14:paraId="25F83B9F">
                  <w:pPr>
                    <w:spacing w:before="65" w:line="130" w:lineRule="exact"/>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0.500</w:t>
                  </w:r>
                </w:p>
              </w:tc>
              <w:tc>
                <w:tcPr>
                  <w:tcW w:w="855" w:type="dxa"/>
                  <w:vAlign w:val="top"/>
                </w:tcPr>
                <w:p w14:paraId="176DE9EE">
                  <w:pPr>
                    <w:spacing w:before="65" w:line="130" w:lineRule="exact"/>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0.468</w:t>
                  </w:r>
                </w:p>
              </w:tc>
              <w:tc>
                <w:tcPr>
                  <w:tcW w:w="650" w:type="dxa"/>
                  <w:vAlign w:val="top"/>
                </w:tcPr>
                <w:p w14:paraId="6E8F6696">
                  <w:pPr>
                    <w:spacing w:before="65" w:line="130" w:lineRule="exact"/>
                    <w:ind w:left="1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0.756</w:t>
                  </w:r>
                </w:p>
              </w:tc>
              <w:tc>
                <w:tcPr>
                  <w:tcW w:w="658" w:type="dxa"/>
                  <w:vAlign w:val="top"/>
                </w:tcPr>
                <w:p w14:paraId="720DDA95">
                  <w:pPr>
                    <w:spacing w:before="65" w:line="130" w:lineRule="exact"/>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0.989</w:t>
                  </w:r>
                </w:p>
              </w:tc>
              <w:tc>
                <w:tcPr>
                  <w:tcW w:w="1052" w:type="dxa"/>
                  <w:vAlign w:val="top"/>
                </w:tcPr>
                <w:p w14:paraId="622B3E54">
                  <w:pPr>
                    <w:spacing w:before="65" w:line="130" w:lineRule="exact"/>
                    <w:ind w:left="3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0.101</w:t>
                  </w:r>
                </w:p>
              </w:tc>
              <w:tc>
                <w:tcPr>
                  <w:tcW w:w="853" w:type="dxa"/>
                  <w:vAlign w:val="top"/>
                </w:tcPr>
                <w:p w14:paraId="19585F06">
                  <w:pPr>
                    <w:spacing w:before="65" w:line="130" w:lineRule="exact"/>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0.333</w:t>
                  </w:r>
                </w:p>
              </w:tc>
              <w:tc>
                <w:tcPr>
                  <w:tcW w:w="1016" w:type="dxa"/>
                  <w:vAlign w:val="top"/>
                </w:tcPr>
                <w:p w14:paraId="609925D6">
                  <w:pPr>
                    <w:spacing w:before="65" w:line="130" w:lineRule="exact"/>
                    <w:ind w:left="308"/>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0.793</w:t>
                  </w:r>
                </w:p>
              </w:tc>
              <w:tc>
                <w:tcPr>
                  <w:tcW w:w="788" w:type="dxa"/>
                  <w:tcBorders>
                    <w:right w:val="nil"/>
                  </w:tcBorders>
                  <w:vAlign w:val="top"/>
                </w:tcPr>
                <w:p w14:paraId="11707EBE">
                  <w:pPr>
                    <w:spacing w:before="65" w:line="130" w:lineRule="exact"/>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0.345</w:t>
                  </w:r>
                </w:p>
              </w:tc>
            </w:tr>
            <w:tr w14:paraId="3BD73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 w:hRule="atLeast"/>
              </w:trPr>
              <w:tc>
                <w:tcPr>
                  <w:tcW w:w="474" w:type="dxa"/>
                  <w:vMerge w:val="restart"/>
                  <w:tcBorders>
                    <w:left w:val="nil"/>
                    <w:bottom w:val="nil"/>
                  </w:tcBorders>
                  <w:vAlign w:val="top"/>
                </w:tcPr>
                <w:p w14:paraId="728233C4">
                  <w:pPr>
                    <w:spacing w:line="258" w:lineRule="auto"/>
                    <w:rPr>
                      <w:rFonts w:ascii="Arial"/>
                      <w:color w:val="auto"/>
                      <w:sz w:val="21"/>
                      <w:highlight w:val="none"/>
                    </w:rPr>
                  </w:pPr>
                </w:p>
                <w:p w14:paraId="44782301">
                  <w:pPr>
                    <w:spacing w:before="52" w:line="183" w:lineRule="auto"/>
                    <w:ind w:left="11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W5</w:t>
                  </w:r>
                </w:p>
              </w:tc>
              <w:tc>
                <w:tcPr>
                  <w:tcW w:w="846" w:type="dxa"/>
                  <w:vAlign w:val="top"/>
                </w:tcPr>
                <w:p w14:paraId="33BE46E7">
                  <w:pPr>
                    <w:pStyle w:val="109"/>
                    <w:spacing w:before="51" w:line="183" w:lineRule="auto"/>
                    <w:ind w:left="67"/>
                    <w:rPr>
                      <w:color w:val="auto"/>
                      <w:sz w:val="18"/>
                      <w:szCs w:val="18"/>
                      <w:highlight w:val="none"/>
                    </w:rPr>
                  </w:pPr>
                  <w:r>
                    <w:rPr>
                      <w:color w:val="auto"/>
                      <w:spacing w:val="-2"/>
                      <w:sz w:val="18"/>
                      <w:szCs w:val="18"/>
                      <w:highlight w:val="none"/>
                    </w:rPr>
                    <w:t>浓度范围</w:t>
                  </w:r>
                </w:p>
              </w:tc>
              <w:tc>
                <w:tcPr>
                  <w:tcW w:w="658" w:type="dxa"/>
                  <w:vAlign w:val="top"/>
                </w:tcPr>
                <w:p w14:paraId="2895E119">
                  <w:pPr>
                    <w:spacing w:before="84" w:line="169" w:lineRule="auto"/>
                    <w:ind w:left="22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7.8</w:t>
                  </w:r>
                </w:p>
              </w:tc>
              <w:tc>
                <w:tcPr>
                  <w:tcW w:w="855" w:type="dxa"/>
                  <w:vAlign w:val="top"/>
                </w:tcPr>
                <w:p w14:paraId="06C39C16">
                  <w:pPr>
                    <w:spacing w:before="84" w:line="169" w:lineRule="auto"/>
                    <w:ind w:left="7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8.07~8.32</w:t>
                  </w:r>
                </w:p>
              </w:tc>
              <w:tc>
                <w:tcPr>
                  <w:tcW w:w="650" w:type="dxa"/>
                  <w:vAlign w:val="top"/>
                </w:tcPr>
                <w:p w14:paraId="48E41BAC">
                  <w:pPr>
                    <w:spacing w:before="84" w:line="169" w:lineRule="auto"/>
                    <w:ind w:left="11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14~15</w:t>
                  </w:r>
                </w:p>
              </w:tc>
              <w:tc>
                <w:tcPr>
                  <w:tcW w:w="658" w:type="dxa"/>
                  <w:vAlign w:val="top"/>
                </w:tcPr>
                <w:p w14:paraId="0A1A4D8E">
                  <w:pPr>
                    <w:spacing w:before="84" w:line="169" w:lineRule="auto"/>
                    <w:ind w:left="5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2.6~3.0</w:t>
                  </w:r>
                </w:p>
              </w:tc>
              <w:tc>
                <w:tcPr>
                  <w:tcW w:w="1052" w:type="dxa"/>
                  <w:vAlign w:val="top"/>
                </w:tcPr>
                <w:p w14:paraId="4166CEE1">
                  <w:pPr>
                    <w:spacing w:before="84" w:line="169" w:lineRule="auto"/>
                    <w:ind w:left="7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0.074~0.084</w:t>
                  </w:r>
                </w:p>
              </w:tc>
              <w:tc>
                <w:tcPr>
                  <w:tcW w:w="853" w:type="dxa"/>
                  <w:vAlign w:val="top"/>
                </w:tcPr>
                <w:p w14:paraId="1310AB3C">
                  <w:pPr>
                    <w:spacing w:before="84" w:line="169" w:lineRule="auto"/>
                    <w:ind w:left="6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0.03~0.04</w:t>
                  </w:r>
                </w:p>
              </w:tc>
              <w:tc>
                <w:tcPr>
                  <w:tcW w:w="1016" w:type="dxa"/>
                  <w:vAlign w:val="top"/>
                </w:tcPr>
                <w:p w14:paraId="746653EE">
                  <w:pPr>
                    <w:spacing w:before="84" w:line="169" w:lineRule="auto"/>
                    <w:ind w:left="1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0.38~0.41</w:t>
                  </w:r>
                </w:p>
              </w:tc>
              <w:tc>
                <w:tcPr>
                  <w:tcW w:w="788" w:type="dxa"/>
                  <w:tcBorders>
                    <w:right w:val="nil"/>
                  </w:tcBorders>
                  <w:vAlign w:val="top"/>
                </w:tcPr>
                <w:p w14:paraId="6DE38845">
                  <w:pPr>
                    <w:spacing w:before="84" w:line="169" w:lineRule="auto"/>
                    <w:ind w:left="48"/>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170~1300</w:t>
                  </w:r>
                </w:p>
              </w:tc>
            </w:tr>
            <w:tr w14:paraId="7A9BA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 w:hRule="atLeast"/>
              </w:trPr>
              <w:tc>
                <w:tcPr>
                  <w:tcW w:w="474" w:type="dxa"/>
                  <w:vMerge w:val="continue"/>
                  <w:tcBorders>
                    <w:top w:val="nil"/>
                    <w:left w:val="nil"/>
                    <w:bottom w:val="nil"/>
                  </w:tcBorders>
                  <w:vAlign w:val="top"/>
                </w:tcPr>
                <w:p w14:paraId="7BE6941B">
                  <w:pPr>
                    <w:rPr>
                      <w:rFonts w:ascii="Arial"/>
                      <w:color w:val="auto"/>
                      <w:sz w:val="21"/>
                      <w:highlight w:val="none"/>
                    </w:rPr>
                  </w:pPr>
                </w:p>
              </w:tc>
              <w:tc>
                <w:tcPr>
                  <w:tcW w:w="846" w:type="dxa"/>
                  <w:vAlign w:val="top"/>
                </w:tcPr>
                <w:p w14:paraId="6B1CD6B5">
                  <w:pPr>
                    <w:pStyle w:val="109"/>
                    <w:spacing w:before="48" w:line="177" w:lineRule="auto"/>
                    <w:ind w:left="156"/>
                    <w:rPr>
                      <w:color w:val="auto"/>
                      <w:sz w:val="18"/>
                      <w:szCs w:val="18"/>
                      <w:highlight w:val="none"/>
                    </w:rPr>
                  </w:pPr>
                  <w:r>
                    <w:rPr>
                      <w:color w:val="auto"/>
                      <w:spacing w:val="-2"/>
                      <w:sz w:val="18"/>
                      <w:szCs w:val="18"/>
                      <w:highlight w:val="none"/>
                    </w:rPr>
                    <w:t>平均值</w:t>
                  </w:r>
                </w:p>
              </w:tc>
              <w:tc>
                <w:tcPr>
                  <w:tcW w:w="658" w:type="dxa"/>
                  <w:vAlign w:val="top"/>
                </w:tcPr>
                <w:p w14:paraId="533F3B07">
                  <w:pPr>
                    <w:spacing w:before="81" w:line="162" w:lineRule="auto"/>
                    <w:ind w:left="220"/>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7.8</w:t>
                  </w:r>
                </w:p>
              </w:tc>
              <w:tc>
                <w:tcPr>
                  <w:tcW w:w="855" w:type="dxa"/>
                  <w:vAlign w:val="top"/>
                </w:tcPr>
                <w:p w14:paraId="20B3B7ED">
                  <w:pPr>
                    <w:spacing w:before="81" w:line="162" w:lineRule="auto"/>
                    <w:ind w:left="276"/>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8.18</w:t>
                  </w:r>
                </w:p>
              </w:tc>
              <w:tc>
                <w:tcPr>
                  <w:tcW w:w="650" w:type="dxa"/>
                  <w:vAlign w:val="top"/>
                </w:tcPr>
                <w:p w14:paraId="079ACBCA">
                  <w:pPr>
                    <w:spacing w:before="81" w:line="162" w:lineRule="auto"/>
                    <w:ind w:left="13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5"/>
                      <w:sz w:val="18"/>
                      <w:szCs w:val="18"/>
                      <w:highlight w:val="none"/>
                    </w:rPr>
                    <w:t>14.33</w:t>
                  </w:r>
                </w:p>
              </w:tc>
              <w:tc>
                <w:tcPr>
                  <w:tcW w:w="658" w:type="dxa"/>
                  <w:vAlign w:val="top"/>
                </w:tcPr>
                <w:p w14:paraId="7444702B">
                  <w:pPr>
                    <w:spacing w:before="81" w:line="162" w:lineRule="auto"/>
                    <w:ind w:left="17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2.83</w:t>
                  </w:r>
                </w:p>
              </w:tc>
              <w:tc>
                <w:tcPr>
                  <w:tcW w:w="1052" w:type="dxa"/>
                  <w:vAlign w:val="top"/>
                </w:tcPr>
                <w:p w14:paraId="4E749B71">
                  <w:pPr>
                    <w:spacing w:before="81" w:line="162" w:lineRule="auto"/>
                    <w:ind w:left="3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0.079</w:t>
                  </w:r>
                </w:p>
              </w:tc>
              <w:tc>
                <w:tcPr>
                  <w:tcW w:w="853" w:type="dxa"/>
                  <w:vAlign w:val="top"/>
                </w:tcPr>
                <w:p w14:paraId="599101E7">
                  <w:pPr>
                    <w:spacing w:before="81" w:line="162" w:lineRule="auto"/>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0.037</w:t>
                  </w:r>
                </w:p>
              </w:tc>
              <w:tc>
                <w:tcPr>
                  <w:tcW w:w="1016" w:type="dxa"/>
                  <w:vAlign w:val="top"/>
                </w:tcPr>
                <w:p w14:paraId="452CEEF4">
                  <w:pPr>
                    <w:spacing w:before="81" w:line="162" w:lineRule="auto"/>
                    <w:ind w:left="35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0.39</w:t>
                  </w:r>
                </w:p>
              </w:tc>
              <w:tc>
                <w:tcPr>
                  <w:tcW w:w="788" w:type="dxa"/>
                  <w:tcBorders>
                    <w:right w:val="nil"/>
                  </w:tcBorders>
                  <w:vAlign w:val="top"/>
                </w:tcPr>
                <w:p w14:paraId="36E8192E">
                  <w:pPr>
                    <w:spacing w:before="81" w:line="162" w:lineRule="auto"/>
                    <w:ind w:left="15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sz w:val="18"/>
                      <w:szCs w:val="18"/>
                      <w:highlight w:val="none"/>
                    </w:rPr>
                    <w:t>856.67</w:t>
                  </w:r>
                </w:p>
              </w:tc>
            </w:tr>
            <w:tr w14:paraId="28CBFD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6" w:hRule="atLeast"/>
              </w:trPr>
              <w:tc>
                <w:tcPr>
                  <w:tcW w:w="474" w:type="dxa"/>
                  <w:vMerge w:val="continue"/>
                  <w:tcBorders>
                    <w:top w:val="nil"/>
                    <w:left w:val="nil"/>
                  </w:tcBorders>
                  <w:vAlign w:val="top"/>
                </w:tcPr>
                <w:p w14:paraId="1F33D61C">
                  <w:pPr>
                    <w:rPr>
                      <w:rFonts w:ascii="Arial"/>
                      <w:color w:val="auto"/>
                      <w:sz w:val="21"/>
                      <w:highlight w:val="none"/>
                    </w:rPr>
                  </w:pPr>
                </w:p>
              </w:tc>
              <w:tc>
                <w:tcPr>
                  <w:tcW w:w="846" w:type="dxa"/>
                  <w:vAlign w:val="top"/>
                </w:tcPr>
                <w:p w14:paraId="50154C38">
                  <w:pPr>
                    <w:spacing w:before="67" w:line="128" w:lineRule="exact"/>
                    <w:ind w:left="34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3"/>
                      <w:sz w:val="18"/>
                      <w:szCs w:val="18"/>
                      <w:highlight w:val="none"/>
                    </w:rPr>
                    <w:t>Pi</w:t>
                  </w:r>
                </w:p>
              </w:tc>
              <w:tc>
                <w:tcPr>
                  <w:tcW w:w="658" w:type="dxa"/>
                  <w:vAlign w:val="top"/>
                </w:tcPr>
                <w:p w14:paraId="35D6452D">
                  <w:pPr>
                    <w:spacing w:before="71" w:line="124" w:lineRule="exact"/>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0.667</w:t>
                  </w:r>
                </w:p>
              </w:tc>
              <w:tc>
                <w:tcPr>
                  <w:tcW w:w="855" w:type="dxa"/>
                  <w:vAlign w:val="top"/>
                </w:tcPr>
                <w:p w14:paraId="3FDBFC13">
                  <w:pPr>
                    <w:spacing w:before="71" w:line="124" w:lineRule="exact"/>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0.460</w:t>
                  </w:r>
                </w:p>
              </w:tc>
              <w:tc>
                <w:tcPr>
                  <w:tcW w:w="650" w:type="dxa"/>
                  <w:vAlign w:val="top"/>
                </w:tcPr>
                <w:p w14:paraId="3938141B">
                  <w:pPr>
                    <w:spacing w:before="71" w:line="124" w:lineRule="exact"/>
                    <w:ind w:left="1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0.956</w:t>
                  </w:r>
                </w:p>
              </w:tc>
              <w:tc>
                <w:tcPr>
                  <w:tcW w:w="658" w:type="dxa"/>
                  <w:vAlign w:val="top"/>
                </w:tcPr>
                <w:p w14:paraId="17D24577">
                  <w:pPr>
                    <w:spacing w:before="71" w:line="124" w:lineRule="exact"/>
                    <w:ind w:left="12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0.944</w:t>
                  </w:r>
                </w:p>
              </w:tc>
              <w:tc>
                <w:tcPr>
                  <w:tcW w:w="1052" w:type="dxa"/>
                  <w:vAlign w:val="top"/>
                </w:tcPr>
                <w:p w14:paraId="605C3CBC">
                  <w:pPr>
                    <w:spacing w:before="71" w:line="124" w:lineRule="exact"/>
                    <w:ind w:left="325"/>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0.157</w:t>
                  </w:r>
                </w:p>
              </w:tc>
              <w:tc>
                <w:tcPr>
                  <w:tcW w:w="853" w:type="dxa"/>
                  <w:vAlign w:val="top"/>
                </w:tcPr>
                <w:p w14:paraId="18D0C541">
                  <w:pPr>
                    <w:spacing w:before="71" w:line="124" w:lineRule="exact"/>
                    <w:ind w:left="22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0.367</w:t>
                  </w:r>
                </w:p>
              </w:tc>
              <w:tc>
                <w:tcPr>
                  <w:tcW w:w="1016" w:type="dxa"/>
                  <w:vAlign w:val="top"/>
                </w:tcPr>
                <w:p w14:paraId="54A107F9">
                  <w:pPr>
                    <w:spacing w:before="71" w:line="124" w:lineRule="exact"/>
                    <w:ind w:left="35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0.78</w:t>
                  </w:r>
                </w:p>
              </w:tc>
              <w:tc>
                <w:tcPr>
                  <w:tcW w:w="788" w:type="dxa"/>
                  <w:tcBorders>
                    <w:right w:val="nil"/>
                  </w:tcBorders>
                  <w:vAlign w:val="top"/>
                </w:tcPr>
                <w:p w14:paraId="6308E39D">
                  <w:pPr>
                    <w:spacing w:before="71" w:line="124" w:lineRule="exact"/>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2"/>
                      <w:position w:val="-2"/>
                      <w:sz w:val="18"/>
                      <w:szCs w:val="18"/>
                      <w:highlight w:val="none"/>
                    </w:rPr>
                    <w:t>0.428</w:t>
                  </w:r>
                </w:p>
              </w:tc>
            </w:tr>
            <w:tr w14:paraId="300729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8" w:hRule="atLeast"/>
              </w:trPr>
              <w:tc>
                <w:tcPr>
                  <w:tcW w:w="1320" w:type="dxa"/>
                  <w:gridSpan w:val="2"/>
                  <w:tcBorders>
                    <w:left w:val="nil"/>
                    <w:bottom w:val="single" w:color="000000" w:sz="12" w:space="0"/>
                  </w:tcBorders>
                  <w:vAlign w:val="top"/>
                </w:tcPr>
                <w:p w14:paraId="757C4A06">
                  <w:pPr>
                    <w:spacing w:before="76" w:line="186" w:lineRule="auto"/>
                    <w:ind w:left="157"/>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GB3838-2002</w:t>
                  </w:r>
                </w:p>
                <w:p w14:paraId="0D8C3DFB">
                  <w:pPr>
                    <w:pStyle w:val="109"/>
                    <w:spacing w:before="26" w:line="220" w:lineRule="auto"/>
                    <w:ind w:left="271"/>
                    <w:rPr>
                      <w:color w:val="auto"/>
                      <w:sz w:val="18"/>
                      <w:szCs w:val="18"/>
                      <w:highlight w:val="none"/>
                    </w:rPr>
                  </w:pPr>
                  <w:r>
                    <w:rPr>
                      <w:color w:val="auto"/>
                      <w:spacing w:val="-5"/>
                      <w:sz w:val="18"/>
                      <w:szCs w:val="18"/>
                      <w:highlight w:val="none"/>
                    </w:rPr>
                    <w:t>中</w:t>
                  </w:r>
                  <w:r>
                    <w:rPr>
                      <w:rFonts w:ascii="Times New Roman" w:hAnsi="Times New Roman" w:eastAsia="Times New Roman" w:cs="Times New Roman"/>
                      <w:color w:val="auto"/>
                      <w:spacing w:val="-5"/>
                      <w:sz w:val="18"/>
                      <w:szCs w:val="18"/>
                      <w:highlight w:val="none"/>
                    </w:rPr>
                    <w:t>Ⅱ</w:t>
                  </w:r>
                  <w:r>
                    <w:rPr>
                      <w:color w:val="auto"/>
                      <w:spacing w:val="-5"/>
                      <w:sz w:val="18"/>
                      <w:szCs w:val="18"/>
                      <w:highlight w:val="none"/>
                    </w:rPr>
                    <w:t>类水域</w:t>
                  </w:r>
                </w:p>
                <w:p w14:paraId="0E8B0173">
                  <w:pPr>
                    <w:pStyle w:val="109"/>
                    <w:spacing w:before="20" w:line="205" w:lineRule="auto"/>
                    <w:ind w:left="493"/>
                    <w:rPr>
                      <w:color w:val="auto"/>
                      <w:sz w:val="18"/>
                      <w:szCs w:val="18"/>
                      <w:highlight w:val="none"/>
                    </w:rPr>
                  </w:pPr>
                  <w:r>
                    <w:rPr>
                      <w:color w:val="auto"/>
                      <w:spacing w:val="-2"/>
                      <w:sz w:val="18"/>
                      <w:szCs w:val="18"/>
                      <w:highlight w:val="none"/>
                    </w:rPr>
                    <w:t>标准</w:t>
                  </w:r>
                </w:p>
              </w:tc>
              <w:tc>
                <w:tcPr>
                  <w:tcW w:w="658" w:type="dxa"/>
                  <w:tcBorders>
                    <w:bottom w:val="single" w:color="000000" w:sz="12" w:space="0"/>
                  </w:tcBorders>
                  <w:vAlign w:val="top"/>
                </w:tcPr>
                <w:p w14:paraId="45CA2A3A">
                  <w:pPr>
                    <w:spacing w:line="256" w:lineRule="auto"/>
                    <w:rPr>
                      <w:rFonts w:ascii="Arial"/>
                      <w:color w:val="auto"/>
                      <w:sz w:val="21"/>
                      <w:highlight w:val="none"/>
                    </w:rPr>
                  </w:pPr>
                </w:p>
                <w:p w14:paraId="36D2F8D9">
                  <w:pPr>
                    <w:spacing w:before="52" w:line="186" w:lineRule="auto"/>
                    <w:ind w:left="19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3"/>
                      <w:sz w:val="18"/>
                      <w:szCs w:val="18"/>
                      <w:highlight w:val="none"/>
                    </w:rPr>
                    <w:t>6~9</w:t>
                  </w:r>
                </w:p>
              </w:tc>
              <w:tc>
                <w:tcPr>
                  <w:tcW w:w="855" w:type="dxa"/>
                  <w:tcBorders>
                    <w:bottom w:val="single" w:color="000000" w:sz="12" w:space="0"/>
                  </w:tcBorders>
                  <w:vAlign w:val="top"/>
                </w:tcPr>
                <w:p w14:paraId="53F6BE89">
                  <w:pPr>
                    <w:spacing w:line="255" w:lineRule="auto"/>
                    <w:rPr>
                      <w:rFonts w:ascii="Arial"/>
                      <w:color w:val="auto"/>
                      <w:sz w:val="21"/>
                      <w:highlight w:val="none"/>
                    </w:rPr>
                  </w:pPr>
                </w:p>
                <w:p w14:paraId="1403BC3E">
                  <w:pPr>
                    <w:spacing w:before="51" w:line="188" w:lineRule="auto"/>
                    <w:ind w:left="331"/>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≥6</w:t>
                  </w:r>
                </w:p>
              </w:tc>
              <w:tc>
                <w:tcPr>
                  <w:tcW w:w="650" w:type="dxa"/>
                  <w:tcBorders>
                    <w:bottom w:val="single" w:color="000000" w:sz="12" w:space="0"/>
                  </w:tcBorders>
                  <w:vAlign w:val="top"/>
                </w:tcPr>
                <w:p w14:paraId="166B660B">
                  <w:pPr>
                    <w:spacing w:line="255" w:lineRule="auto"/>
                    <w:rPr>
                      <w:rFonts w:ascii="Arial"/>
                      <w:color w:val="auto"/>
                      <w:sz w:val="21"/>
                      <w:highlight w:val="none"/>
                    </w:rPr>
                  </w:pPr>
                </w:p>
                <w:p w14:paraId="3A481DFE">
                  <w:pPr>
                    <w:spacing w:before="51" w:line="188" w:lineRule="auto"/>
                    <w:ind w:left="18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≤15</w:t>
                  </w:r>
                </w:p>
              </w:tc>
              <w:tc>
                <w:tcPr>
                  <w:tcW w:w="658" w:type="dxa"/>
                  <w:tcBorders>
                    <w:bottom w:val="single" w:color="000000" w:sz="12" w:space="0"/>
                  </w:tcBorders>
                  <w:vAlign w:val="top"/>
                </w:tcPr>
                <w:p w14:paraId="7D3157FD">
                  <w:pPr>
                    <w:spacing w:line="255" w:lineRule="auto"/>
                    <w:rPr>
                      <w:rFonts w:ascii="Arial"/>
                      <w:color w:val="auto"/>
                      <w:sz w:val="21"/>
                      <w:highlight w:val="none"/>
                    </w:rPr>
                  </w:pPr>
                </w:p>
                <w:p w14:paraId="2D3AC6C9">
                  <w:pPr>
                    <w:spacing w:before="51" w:line="188" w:lineRule="auto"/>
                    <w:ind w:left="23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≤3</w:t>
                  </w:r>
                </w:p>
              </w:tc>
              <w:tc>
                <w:tcPr>
                  <w:tcW w:w="1052" w:type="dxa"/>
                  <w:tcBorders>
                    <w:bottom w:val="single" w:color="000000" w:sz="12" w:space="0"/>
                  </w:tcBorders>
                  <w:vAlign w:val="top"/>
                </w:tcPr>
                <w:p w14:paraId="013A169A">
                  <w:pPr>
                    <w:spacing w:line="255" w:lineRule="auto"/>
                    <w:rPr>
                      <w:rFonts w:ascii="Arial"/>
                      <w:color w:val="auto"/>
                      <w:sz w:val="21"/>
                      <w:highlight w:val="none"/>
                    </w:rPr>
                  </w:pPr>
                </w:p>
                <w:p w14:paraId="3DD93E0A">
                  <w:pPr>
                    <w:spacing w:before="51" w:line="188" w:lineRule="auto"/>
                    <w:ind w:left="362"/>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≤0.5</w:t>
                  </w:r>
                </w:p>
              </w:tc>
              <w:tc>
                <w:tcPr>
                  <w:tcW w:w="853" w:type="dxa"/>
                  <w:tcBorders>
                    <w:bottom w:val="single" w:color="000000" w:sz="12" w:space="0"/>
                  </w:tcBorders>
                  <w:vAlign w:val="top"/>
                </w:tcPr>
                <w:p w14:paraId="366CF7FA">
                  <w:pPr>
                    <w:spacing w:line="255" w:lineRule="auto"/>
                    <w:rPr>
                      <w:rFonts w:ascii="Arial"/>
                      <w:color w:val="auto"/>
                      <w:sz w:val="21"/>
                      <w:highlight w:val="none"/>
                    </w:rPr>
                  </w:pPr>
                </w:p>
                <w:p w14:paraId="3431DEF5">
                  <w:pPr>
                    <w:spacing w:before="51" w:line="188" w:lineRule="auto"/>
                    <w:ind w:left="263"/>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≤0.1</w:t>
                  </w:r>
                </w:p>
              </w:tc>
              <w:tc>
                <w:tcPr>
                  <w:tcW w:w="1016" w:type="dxa"/>
                  <w:tcBorders>
                    <w:bottom w:val="single" w:color="000000" w:sz="12" w:space="0"/>
                  </w:tcBorders>
                  <w:vAlign w:val="top"/>
                </w:tcPr>
                <w:p w14:paraId="69A1C7B2">
                  <w:pPr>
                    <w:spacing w:line="253" w:lineRule="auto"/>
                    <w:rPr>
                      <w:rFonts w:ascii="Arial"/>
                      <w:color w:val="auto"/>
                      <w:sz w:val="21"/>
                      <w:highlight w:val="none"/>
                    </w:rPr>
                  </w:pPr>
                </w:p>
                <w:p w14:paraId="6BEB82D2">
                  <w:pPr>
                    <w:spacing w:before="52" w:line="190" w:lineRule="auto"/>
                    <w:ind w:left="479"/>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z w:val="18"/>
                      <w:szCs w:val="18"/>
                      <w:highlight w:val="none"/>
                    </w:rPr>
                    <w:t>/</w:t>
                  </w:r>
                </w:p>
              </w:tc>
              <w:tc>
                <w:tcPr>
                  <w:tcW w:w="788" w:type="dxa"/>
                  <w:tcBorders>
                    <w:bottom w:val="single" w:color="000000" w:sz="12" w:space="0"/>
                    <w:right w:val="nil"/>
                  </w:tcBorders>
                  <w:vAlign w:val="top"/>
                </w:tcPr>
                <w:p w14:paraId="0F65FC26">
                  <w:pPr>
                    <w:spacing w:line="255" w:lineRule="auto"/>
                    <w:rPr>
                      <w:rFonts w:ascii="Arial"/>
                      <w:color w:val="auto"/>
                      <w:sz w:val="21"/>
                      <w:highlight w:val="none"/>
                    </w:rPr>
                  </w:pPr>
                </w:p>
                <w:p w14:paraId="687934E4">
                  <w:pPr>
                    <w:spacing w:before="51" w:line="188" w:lineRule="auto"/>
                    <w:ind w:left="164"/>
                    <w:rPr>
                      <w:rFonts w:ascii="Times New Roman" w:hAnsi="Times New Roman" w:eastAsia="Times New Roman" w:cs="Times New Roman"/>
                      <w:color w:val="auto"/>
                      <w:sz w:val="18"/>
                      <w:szCs w:val="18"/>
                      <w:highlight w:val="none"/>
                    </w:rPr>
                  </w:pPr>
                  <w:r>
                    <w:rPr>
                      <w:rFonts w:ascii="Times New Roman" w:hAnsi="Times New Roman" w:eastAsia="Times New Roman" w:cs="Times New Roman"/>
                      <w:color w:val="auto"/>
                      <w:spacing w:val="-1"/>
                      <w:sz w:val="18"/>
                      <w:szCs w:val="18"/>
                      <w:highlight w:val="none"/>
                    </w:rPr>
                    <w:t>≤2000</w:t>
                  </w:r>
                </w:p>
              </w:tc>
            </w:tr>
          </w:tbl>
          <w:p w14:paraId="689B5CAB">
            <w:pPr>
              <w:pStyle w:val="109"/>
              <w:spacing w:before="35" w:line="346" w:lineRule="auto"/>
              <w:ind w:left="111" w:right="155" w:firstLine="507"/>
              <w:rPr>
                <w:color w:val="auto"/>
                <w:sz w:val="24"/>
                <w:szCs w:val="24"/>
                <w:highlight w:val="none"/>
              </w:rPr>
            </w:pPr>
            <w:r>
              <w:rPr>
                <w:color w:val="auto"/>
                <w:spacing w:val="-1"/>
                <w:sz w:val="24"/>
                <w:szCs w:val="24"/>
                <w:highlight w:val="none"/>
              </w:rPr>
              <w:t>由上表监测结果可知，在本次监测期间，在枯水期</w:t>
            </w:r>
            <w:r>
              <w:rPr>
                <w:color w:val="auto"/>
                <w:spacing w:val="-2"/>
                <w:sz w:val="24"/>
                <w:szCs w:val="24"/>
                <w:highlight w:val="none"/>
              </w:rPr>
              <w:t>，污水处理厂排污口</w:t>
            </w:r>
            <w:r>
              <w:rPr>
                <w:color w:val="auto"/>
                <w:spacing w:val="-3"/>
                <w:sz w:val="24"/>
                <w:szCs w:val="24"/>
                <w:highlight w:val="none"/>
              </w:rPr>
              <w:t>上游</w:t>
            </w:r>
            <w:r>
              <w:rPr>
                <w:rFonts w:ascii="Times New Roman" w:hAnsi="Times New Roman" w:eastAsia="Times New Roman" w:cs="Times New Roman"/>
                <w:color w:val="auto"/>
                <w:spacing w:val="-3"/>
                <w:sz w:val="24"/>
                <w:szCs w:val="24"/>
                <w:highlight w:val="none"/>
              </w:rPr>
              <w:t>500m</w:t>
            </w:r>
            <w:r>
              <w:rPr>
                <w:color w:val="auto"/>
                <w:spacing w:val="-3"/>
                <w:sz w:val="24"/>
                <w:szCs w:val="24"/>
                <w:highlight w:val="none"/>
              </w:rPr>
              <w:t xml:space="preserve">、排放口、下游 </w:t>
            </w:r>
            <w:r>
              <w:rPr>
                <w:rFonts w:ascii="Times New Roman" w:hAnsi="Times New Roman" w:eastAsia="Times New Roman" w:cs="Times New Roman"/>
                <w:color w:val="auto"/>
                <w:spacing w:val="-3"/>
                <w:sz w:val="24"/>
                <w:szCs w:val="24"/>
                <w:highlight w:val="none"/>
              </w:rPr>
              <w:t xml:space="preserve">1000m </w:t>
            </w:r>
            <w:r>
              <w:rPr>
                <w:color w:val="auto"/>
                <w:spacing w:val="-3"/>
                <w:sz w:val="24"/>
                <w:szCs w:val="24"/>
                <w:highlight w:val="none"/>
              </w:rPr>
              <w:t>监测断面处各地表水污染物均可以满足</w:t>
            </w:r>
          </w:p>
          <w:p w14:paraId="1ACF7680">
            <w:pPr>
              <w:pStyle w:val="109"/>
              <w:spacing w:before="35" w:line="350" w:lineRule="auto"/>
              <w:ind w:left="110" w:right="231"/>
              <w:rPr>
                <w:color w:val="auto"/>
                <w:sz w:val="24"/>
                <w:szCs w:val="24"/>
                <w:highlight w:val="none"/>
              </w:rPr>
            </w:pPr>
            <w:r>
              <w:rPr>
                <w:color w:val="auto"/>
                <w:sz w:val="24"/>
                <w:szCs w:val="24"/>
                <w:highlight w:val="none"/>
              </w:rPr>
              <w:t>《地表水环境质量标准》（</w:t>
            </w:r>
            <w:r>
              <w:rPr>
                <w:rFonts w:ascii="Times New Roman" w:hAnsi="Times New Roman" w:eastAsia="Times New Roman" w:cs="Times New Roman"/>
                <w:color w:val="auto"/>
                <w:sz w:val="24"/>
                <w:szCs w:val="24"/>
                <w:highlight w:val="none"/>
              </w:rPr>
              <w:t>GB3838-2002</w:t>
            </w:r>
            <w:r>
              <w:rPr>
                <w:color w:val="auto"/>
                <w:sz w:val="24"/>
                <w:szCs w:val="24"/>
                <w:highlight w:val="none"/>
              </w:rPr>
              <w:t>）中</w:t>
            </w:r>
            <w:r>
              <w:rPr>
                <w:rFonts w:ascii="Times New Roman" w:hAnsi="Times New Roman" w:eastAsia="Times New Roman" w:cs="Times New Roman"/>
                <w:color w:val="auto"/>
                <w:sz w:val="24"/>
                <w:szCs w:val="24"/>
                <w:highlight w:val="none"/>
              </w:rPr>
              <w:t>Ⅲ</w:t>
            </w:r>
            <w:r>
              <w:rPr>
                <w:color w:val="auto"/>
                <w:sz w:val="24"/>
                <w:szCs w:val="24"/>
                <w:highlight w:val="none"/>
              </w:rPr>
              <w:t>类</w:t>
            </w:r>
            <w:r>
              <w:rPr>
                <w:color w:val="auto"/>
                <w:spacing w:val="-1"/>
                <w:sz w:val="24"/>
                <w:szCs w:val="24"/>
                <w:highlight w:val="none"/>
              </w:rPr>
              <w:t>水域标准，大渡河</w:t>
            </w:r>
            <w:r>
              <w:rPr>
                <w:rFonts w:hint="eastAsia"/>
                <w:color w:val="auto"/>
                <w:spacing w:val="-1"/>
                <w:sz w:val="24"/>
                <w:szCs w:val="24"/>
                <w:highlight w:val="none"/>
                <w:lang w:val="en-US" w:eastAsia="zh-CN"/>
              </w:rPr>
              <w:t>汇口（燕子沟汇入）</w:t>
            </w:r>
            <w:r>
              <w:rPr>
                <w:color w:val="auto"/>
                <w:spacing w:val="-5"/>
                <w:sz w:val="24"/>
                <w:szCs w:val="24"/>
                <w:highlight w:val="none"/>
              </w:rPr>
              <w:t>上游</w:t>
            </w:r>
            <w:r>
              <w:rPr>
                <w:rFonts w:ascii="Times New Roman" w:hAnsi="Times New Roman" w:eastAsia="Times New Roman" w:cs="Times New Roman"/>
                <w:color w:val="auto"/>
                <w:spacing w:val="-5"/>
                <w:sz w:val="24"/>
                <w:szCs w:val="24"/>
                <w:highlight w:val="none"/>
              </w:rPr>
              <w:t>500m</w:t>
            </w:r>
            <w:r>
              <w:rPr>
                <w:color w:val="auto"/>
                <w:spacing w:val="-5"/>
                <w:sz w:val="24"/>
                <w:szCs w:val="24"/>
                <w:highlight w:val="none"/>
              </w:rPr>
              <w:t xml:space="preserve">、下游 </w:t>
            </w:r>
            <w:r>
              <w:rPr>
                <w:rFonts w:ascii="Times New Roman" w:hAnsi="Times New Roman" w:eastAsia="Times New Roman" w:cs="Times New Roman"/>
                <w:color w:val="auto"/>
                <w:spacing w:val="-5"/>
                <w:sz w:val="24"/>
                <w:szCs w:val="24"/>
                <w:highlight w:val="none"/>
              </w:rPr>
              <w:t>1000m</w:t>
            </w:r>
            <w:r>
              <w:rPr>
                <w:color w:val="auto"/>
                <w:spacing w:val="-5"/>
                <w:sz w:val="24"/>
                <w:szCs w:val="24"/>
                <w:highlight w:val="none"/>
              </w:rPr>
              <w:t>断面处各地表水污</w:t>
            </w:r>
            <w:r>
              <w:rPr>
                <w:color w:val="auto"/>
                <w:sz w:val="24"/>
                <w:szCs w:val="24"/>
                <w:highlight w:val="none"/>
              </w:rPr>
              <w:t>染物均可以满足《地表水环境质量标准》（</w:t>
            </w:r>
            <w:r>
              <w:rPr>
                <w:rFonts w:ascii="Times New Roman" w:hAnsi="Times New Roman" w:eastAsia="Times New Roman" w:cs="Times New Roman"/>
                <w:color w:val="auto"/>
                <w:sz w:val="24"/>
                <w:szCs w:val="24"/>
                <w:highlight w:val="none"/>
              </w:rPr>
              <w:t>GB38</w:t>
            </w:r>
            <w:r>
              <w:rPr>
                <w:rFonts w:ascii="Times New Roman" w:hAnsi="Times New Roman" w:eastAsia="Times New Roman" w:cs="Times New Roman"/>
                <w:color w:val="auto"/>
                <w:spacing w:val="-1"/>
                <w:sz w:val="24"/>
                <w:szCs w:val="24"/>
                <w:highlight w:val="none"/>
              </w:rPr>
              <w:t>38-2002</w:t>
            </w:r>
            <w:r>
              <w:rPr>
                <w:color w:val="auto"/>
                <w:spacing w:val="-1"/>
                <w:sz w:val="24"/>
                <w:szCs w:val="24"/>
                <w:highlight w:val="none"/>
              </w:rPr>
              <w:t>）中</w:t>
            </w:r>
            <w:r>
              <w:rPr>
                <w:rFonts w:ascii="Times New Roman" w:hAnsi="Times New Roman" w:eastAsia="Times New Roman" w:cs="Times New Roman"/>
                <w:color w:val="auto"/>
                <w:spacing w:val="-1"/>
                <w:sz w:val="24"/>
                <w:szCs w:val="24"/>
                <w:highlight w:val="none"/>
              </w:rPr>
              <w:t>Ⅱ</w:t>
            </w:r>
            <w:r>
              <w:rPr>
                <w:color w:val="auto"/>
                <w:spacing w:val="-1"/>
                <w:sz w:val="24"/>
                <w:szCs w:val="24"/>
                <w:highlight w:val="none"/>
              </w:rPr>
              <w:t>类水域标</w:t>
            </w:r>
            <w:r>
              <w:rPr>
                <w:color w:val="auto"/>
                <w:spacing w:val="-12"/>
                <w:sz w:val="24"/>
                <w:szCs w:val="24"/>
                <w:highlight w:val="none"/>
              </w:rPr>
              <w:t>准。</w:t>
            </w:r>
          </w:p>
          <w:p w14:paraId="66F201F6">
            <w:pPr>
              <w:pStyle w:val="109"/>
              <w:spacing w:before="180" w:line="219" w:lineRule="auto"/>
              <w:ind w:left="594"/>
              <w:rPr>
                <w:color w:val="auto"/>
                <w:sz w:val="24"/>
                <w:szCs w:val="24"/>
                <w:highlight w:val="none"/>
              </w:rPr>
            </w:pPr>
            <w:r>
              <w:rPr>
                <w:b/>
                <w:bCs/>
                <w:color w:val="auto"/>
                <w:spacing w:val="-3"/>
                <w:sz w:val="24"/>
                <w:szCs w:val="24"/>
                <w:highlight w:val="none"/>
                <w:u w:val="single" w:color="auto"/>
              </w:rPr>
              <w:t>综上，本项目所在区域的水环境质量现状良好。</w:t>
            </w:r>
          </w:p>
          <w:p w14:paraId="0D6E29C1">
            <w:pPr>
              <w:pStyle w:val="17"/>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default" w:ascii="Times New Roman" w:hAnsi="Times New Roman" w:eastAsia="宋体" w:cs="Times New Roman"/>
                <w:b/>
                <w:color w:val="auto"/>
                <w:szCs w:val="24"/>
                <w:highlight w:val="none"/>
              </w:rPr>
            </w:pPr>
            <w:r>
              <w:rPr>
                <w:rFonts w:hint="default" w:ascii="Times New Roman" w:hAnsi="Times New Roman" w:eastAsia="宋体" w:cs="Times New Roman"/>
                <w:b/>
                <w:color w:val="auto"/>
                <w:kern w:val="0"/>
                <w:szCs w:val="24"/>
                <w:highlight w:val="none"/>
              </w:rPr>
              <w:t>三、声环境质量</w:t>
            </w:r>
          </w:p>
          <w:p w14:paraId="1566AE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s="Times New Roman"/>
                <w:bCs/>
                <w:color w:val="auto"/>
                <w:highlight w:val="none"/>
                <w:lang w:val="en-US" w:eastAsia="zh-CN"/>
              </w:rPr>
            </w:pPr>
            <w:r>
              <w:rPr>
                <w:rFonts w:hint="default" w:ascii="Times New Roman" w:hAnsi="Times New Roman" w:eastAsia="宋体" w:cs="Times New Roman"/>
                <w:color w:val="auto"/>
                <w:highlight w:val="none"/>
              </w:rPr>
              <w:t>项目位于</w:t>
            </w:r>
            <w:r>
              <w:rPr>
                <w:rFonts w:hint="eastAsia" w:cs="Times New Roman"/>
                <w:bCs/>
                <w:color w:val="auto"/>
                <w:highlight w:val="none"/>
                <w:lang w:val="en-US" w:eastAsia="zh-CN"/>
              </w:rPr>
              <w:t>甘孜州泸定县磨西镇磨岗岭村。本次环评委托监测单位对项目厂界和邻近居民敏感点的声环境现状进行了监测。</w:t>
            </w:r>
          </w:p>
          <w:p w14:paraId="348ECB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s="Times New Roman"/>
                <w:bCs/>
                <w:color w:val="auto"/>
                <w:highlight w:val="none"/>
                <w:lang w:val="en-US" w:eastAsia="zh-CN"/>
              </w:rPr>
            </w:pPr>
            <w:r>
              <w:rPr>
                <w:rFonts w:hint="eastAsia" w:cs="Times New Roman"/>
                <w:bCs/>
                <w:color w:val="auto"/>
                <w:highlight w:val="none"/>
                <w:lang w:val="en-US" w:eastAsia="zh-CN"/>
              </w:rPr>
              <w:t>1、监测因子</w:t>
            </w:r>
          </w:p>
          <w:p w14:paraId="7D48F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s="Times New Roman"/>
                <w:bCs/>
                <w:color w:val="auto"/>
                <w:highlight w:val="none"/>
                <w:lang w:val="en-US" w:eastAsia="zh-CN"/>
              </w:rPr>
            </w:pPr>
            <w:r>
              <w:rPr>
                <w:rFonts w:hint="eastAsia" w:cs="Times New Roman"/>
                <w:bCs/>
                <w:color w:val="auto"/>
                <w:highlight w:val="none"/>
                <w:lang w:val="en-US" w:eastAsia="zh-CN"/>
              </w:rPr>
              <w:t>连续等效A声级。</w:t>
            </w:r>
          </w:p>
          <w:p w14:paraId="0D92944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s="Times New Roman"/>
                <w:bCs/>
                <w:color w:val="auto"/>
                <w:highlight w:val="none"/>
                <w:lang w:val="en-US" w:eastAsia="zh-CN"/>
              </w:rPr>
            </w:pPr>
            <w:r>
              <w:rPr>
                <w:rFonts w:hint="eastAsia" w:cs="Times New Roman"/>
                <w:bCs/>
                <w:color w:val="auto"/>
                <w:highlight w:val="none"/>
                <w:lang w:val="en-US" w:eastAsia="zh-CN"/>
              </w:rPr>
              <w:t>2、监测时间和频次</w:t>
            </w:r>
          </w:p>
          <w:p w14:paraId="314F585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s="Times New Roman"/>
                <w:bCs/>
                <w:color w:val="auto"/>
                <w:highlight w:val="none"/>
                <w:lang w:val="en-US" w:eastAsia="zh-CN"/>
              </w:rPr>
            </w:pPr>
            <w:r>
              <w:rPr>
                <w:rFonts w:hint="eastAsia" w:cs="Times New Roman"/>
                <w:bCs/>
                <w:color w:val="auto"/>
                <w:highlight w:val="none"/>
                <w:lang w:val="en-US" w:eastAsia="zh-CN"/>
              </w:rPr>
              <w:t>连续监测2天，每天2次，昼夜各1次，昼间监测时段为6：00～22：00，夜间监测时段为22：00～6：00。对有超标的数据请在监测报告中标明主要噪声源。</w:t>
            </w:r>
          </w:p>
          <w:p w14:paraId="7752255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eastAsiaTheme="minorEastAsia"/>
                <w:color w:val="auto"/>
                <w:sz w:val="24"/>
                <w:highlight w:val="none"/>
              </w:rPr>
            </w:pPr>
            <w:r>
              <w:rPr>
                <w:rFonts w:hint="eastAsia" w:ascii="Times New Roman" w:hAnsi="Times New Roman" w:cs="Times New Roman"/>
                <w:color w:val="auto"/>
                <w:sz w:val="24"/>
                <w:highlight w:val="none"/>
                <w:lang w:val="en-US" w:eastAsia="zh-CN"/>
              </w:rPr>
              <w:t>3</w:t>
            </w:r>
            <w:r>
              <w:rPr>
                <w:rFonts w:hint="default" w:ascii="Times New Roman" w:hAnsi="Times New Roman" w:cs="Times New Roman" w:eastAsiaTheme="minorEastAsia"/>
                <w:color w:val="auto"/>
                <w:sz w:val="24"/>
                <w:highlight w:val="none"/>
              </w:rPr>
              <w:t>、监测点布设</w:t>
            </w:r>
          </w:p>
          <w:p w14:paraId="2C226F6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cs="Times New Roman" w:eastAsiaTheme="minorEastAsia"/>
                <w:color w:val="auto"/>
                <w:sz w:val="24"/>
                <w:highlight w:val="none"/>
              </w:rPr>
            </w:pPr>
            <w:r>
              <w:rPr>
                <w:rFonts w:hint="default" w:ascii="Times New Roman" w:hAnsi="Times New Roman" w:cs="Times New Roman" w:eastAsiaTheme="minorEastAsia"/>
                <w:color w:val="auto"/>
                <w:sz w:val="24"/>
                <w:highlight w:val="none"/>
              </w:rPr>
              <w:t>噪声监测点位置及监测项目见</w:t>
            </w:r>
            <w:r>
              <w:rPr>
                <w:rFonts w:hint="eastAsia" w:ascii="Times New Roman" w:hAnsi="Times New Roman" w:cs="Times New Roman"/>
                <w:color w:val="auto"/>
                <w:sz w:val="24"/>
                <w:highlight w:val="none"/>
                <w:lang w:eastAsia="zh-CN"/>
              </w:rPr>
              <w:t>表</w:t>
            </w:r>
            <w:r>
              <w:rPr>
                <w:rFonts w:hint="eastAsia" w:cs="Times New Roman"/>
                <w:color w:val="auto"/>
                <w:sz w:val="24"/>
                <w:highlight w:val="none"/>
                <w:lang w:val="en-US" w:eastAsia="zh-CN"/>
              </w:rPr>
              <w:t>3-7</w:t>
            </w:r>
            <w:r>
              <w:rPr>
                <w:rFonts w:hint="eastAsia" w:ascii="Times New Roman" w:hAnsi="Times New Roman" w:cs="Times New Roman"/>
                <w:color w:val="auto"/>
                <w:sz w:val="24"/>
                <w:highlight w:val="none"/>
                <w:lang w:val="en-US" w:eastAsia="zh-CN"/>
              </w:rPr>
              <w:t>和</w:t>
            </w:r>
            <w:r>
              <w:rPr>
                <w:rFonts w:hint="default" w:ascii="Times New Roman" w:hAnsi="Times New Roman" w:cs="Times New Roman" w:eastAsiaTheme="minorEastAsia"/>
                <w:color w:val="auto"/>
                <w:sz w:val="24"/>
                <w:highlight w:val="none"/>
              </w:rPr>
              <w:t>附图1。</w:t>
            </w:r>
          </w:p>
          <w:p w14:paraId="510BB52C">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 xml:space="preserve"> 噪声监测布点位置</w:t>
            </w:r>
          </w:p>
          <w:tbl>
            <w:tblPr>
              <w:tblStyle w:val="32"/>
              <w:tblW w:w="852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324"/>
              <w:gridCol w:w="3600"/>
              <w:gridCol w:w="3598"/>
            </w:tblGrid>
            <w:tr w14:paraId="09D631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4" w:type="dxa"/>
                  <w:shd w:val="clear" w:color="auto" w:fill="auto"/>
                  <w:vAlign w:val="center"/>
                </w:tcPr>
                <w:p w14:paraId="26509B7D">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监测点编号</w:t>
                  </w:r>
                </w:p>
              </w:tc>
              <w:tc>
                <w:tcPr>
                  <w:tcW w:w="3600" w:type="dxa"/>
                  <w:shd w:val="clear" w:color="auto" w:fill="auto"/>
                  <w:vAlign w:val="center"/>
                </w:tcPr>
                <w:p w14:paraId="6C7E15AC">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监测点位</w:t>
                  </w:r>
                </w:p>
              </w:tc>
              <w:tc>
                <w:tcPr>
                  <w:tcW w:w="3598" w:type="dxa"/>
                </w:tcPr>
                <w:p w14:paraId="7DB826E9">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监测性质</w:t>
                  </w:r>
                </w:p>
              </w:tc>
            </w:tr>
            <w:tr w14:paraId="4C0439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4" w:type="dxa"/>
                  <w:shd w:val="clear" w:color="auto" w:fill="auto"/>
                  <w:vAlign w:val="center"/>
                </w:tcPr>
                <w:p w14:paraId="62779E78">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600" w:type="dxa"/>
                  <w:shd w:val="clear" w:color="auto" w:fill="auto"/>
                  <w:vAlign w:val="center"/>
                </w:tcPr>
                <w:p w14:paraId="6D52F92F">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lang w:eastAsia="zh-CN"/>
                    </w:rPr>
                    <w:t>面</w:t>
                  </w:r>
                  <w:r>
                    <w:rPr>
                      <w:rFonts w:hint="eastAsia" w:ascii="Times New Roman" w:hAnsi="Times New Roman" w:eastAsia="宋体" w:cs="Times New Roman"/>
                      <w:color w:val="auto"/>
                      <w:sz w:val="21"/>
                      <w:szCs w:val="21"/>
                      <w:highlight w:val="none"/>
                      <w:lang w:eastAsia="zh-CN"/>
                    </w:rPr>
                    <w:t>外</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米</w:t>
                  </w:r>
                </w:p>
              </w:tc>
              <w:tc>
                <w:tcPr>
                  <w:tcW w:w="3598" w:type="dxa"/>
                  <w:vMerge w:val="restart"/>
                  <w:vAlign w:val="center"/>
                </w:tcPr>
                <w:p w14:paraId="5EA4E27B">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本项目边界外环境噪声</w:t>
                  </w:r>
                </w:p>
              </w:tc>
            </w:tr>
            <w:tr w14:paraId="1D6655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4" w:type="dxa"/>
                  <w:shd w:val="clear" w:color="auto" w:fill="auto"/>
                  <w:vAlign w:val="center"/>
                </w:tcPr>
                <w:p w14:paraId="649C32E0">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3600" w:type="dxa"/>
                  <w:shd w:val="clear" w:color="auto" w:fill="auto"/>
                  <w:vAlign w:val="center"/>
                </w:tcPr>
                <w:p w14:paraId="540BFAA6">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南</w:t>
                  </w:r>
                  <w:r>
                    <w:rPr>
                      <w:rFonts w:hint="default" w:ascii="Times New Roman" w:hAnsi="Times New Roman" w:eastAsia="宋体" w:cs="Times New Roman"/>
                      <w:color w:val="auto"/>
                      <w:sz w:val="21"/>
                      <w:szCs w:val="21"/>
                      <w:highlight w:val="none"/>
                    </w:rPr>
                    <w:t>面</w:t>
                  </w:r>
                  <w:r>
                    <w:rPr>
                      <w:rFonts w:hint="eastAsia" w:ascii="Times New Roman" w:hAnsi="Times New Roman" w:eastAsia="宋体" w:cs="Times New Roman"/>
                      <w:color w:val="auto"/>
                      <w:sz w:val="21"/>
                      <w:szCs w:val="21"/>
                      <w:highlight w:val="none"/>
                      <w:lang w:eastAsia="zh-CN"/>
                    </w:rPr>
                    <w:t>外</w:t>
                  </w:r>
                  <w:r>
                    <w:rPr>
                      <w:rFonts w:hint="default" w:ascii="Times New Roman" w:hAnsi="Times New Roman" w:eastAsia="宋体" w:cs="Times New Roman"/>
                      <w:color w:val="auto"/>
                      <w:sz w:val="21"/>
                      <w:szCs w:val="21"/>
                      <w:highlight w:val="none"/>
                    </w:rPr>
                    <w:t>1米</w:t>
                  </w:r>
                </w:p>
              </w:tc>
              <w:tc>
                <w:tcPr>
                  <w:tcW w:w="3598" w:type="dxa"/>
                  <w:vMerge w:val="continue"/>
                </w:tcPr>
                <w:p w14:paraId="0E24C46B">
                  <w:pPr>
                    <w:spacing w:line="320" w:lineRule="exact"/>
                    <w:jc w:val="center"/>
                    <w:rPr>
                      <w:rFonts w:hint="default" w:ascii="Times New Roman" w:hAnsi="Times New Roman" w:eastAsia="宋体" w:cs="Times New Roman"/>
                      <w:color w:val="auto"/>
                      <w:sz w:val="21"/>
                      <w:szCs w:val="21"/>
                      <w:highlight w:val="none"/>
                    </w:rPr>
                  </w:pPr>
                </w:p>
              </w:tc>
            </w:tr>
            <w:tr w14:paraId="044409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4" w:type="dxa"/>
                  <w:shd w:val="clear" w:color="auto" w:fill="auto"/>
                  <w:vAlign w:val="center"/>
                </w:tcPr>
                <w:p w14:paraId="6A83C515">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3600" w:type="dxa"/>
                  <w:shd w:val="clear" w:color="auto" w:fill="auto"/>
                  <w:vAlign w:val="center"/>
                </w:tcPr>
                <w:p w14:paraId="627598C9">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西</w:t>
                  </w:r>
                  <w:r>
                    <w:rPr>
                      <w:rFonts w:hint="default" w:ascii="Times New Roman" w:hAnsi="Times New Roman" w:eastAsia="宋体" w:cs="Times New Roman"/>
                      <w:color w:val="auto"/>
                      <w:sz w:val="21"/>
                      <w:szCs w:val="21"/>
                      <w:highlight w:val="none"/>
                    </w:rPr>
                    <w:t>面外1米</w:t>
                  </w:r>
                </w:p>
              </w:tc>
              <w:tc>
                <w:tcPr>
                  <w:tcW w:w="3598" w:type="dxa"/>
                  <w:vMerge w:val="continue"/>
                </w:tcPr>
                <w:p w14:paraId="163AF7CB">
                  <w:pPr>
                    <w:spacing w:line="320" w:lineRule="exact"/>
                    <w:jc w:val="center"/>
                    <w:rPr>
                      <w:rFonts w:hint="default" w:ascii="Times New Roman" w:hAnsi="Times New Roman" w:eastAsia="宋体" w:cs="Times New Roman"/>
                      <w:color w:val="auto"/>
                      <w:sz w:val="21"/>
                      <w:szCs w:val="21"/>
                      <w:highlight w:val="none"/>
                    </w:rPr>
                  </w:pPr>
                </w:p>
              </w:tc>
            </w:tr>
            <w:tr w14:paraId="42BC03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4" w:type="dxa"/>
                  <w:shd w:val="clear" w:color="auto" w:fill="auto"/>
                  <w:vAlign w:val="center"/>
                </w:tcPr>
                <w:p w14:paraId="74C7E0E8">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3600" w:type="dxa"/>
                  <w:shd w:val="clear" w:color="auto" w:fill="auto"/>
                  <w:vAlign w:val="center"/>
                </w:tcPr>
                <w:p w14:paraId="574FDF6C">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北</w:t>
                  </w:r>
                  <w:r>
                    <w:rPr>
                      <w:rFonts w:hint="default" w:ascii="Times New Roman" w:hAnsi="Times New Roman" w:eastAsia="宋体" w:cs="Times New Roman"/>
                      <w:color w:val="auto"/>
                      <w:sz w:val="21"/>
                      <w:szCs w:val="21"/>
                      <w:highlight w:val="none"/>
                    </w:rPr>
                    <w:t>面外1米</w:t>
                  </w:r>
                </w:p>
              </w:tc>
              <w:tc>
                <w:tcPr>
                  <w:tcW w:w="3598" w:type="dxa"/>
                  <w:vMerge w:val="continue"/>
                </w:tcPr>
                <w:p w14:paraId="30C467D5">
                  <w:pPr>
                    <w:spacing w:line="320" w:lineRule="exact"/>
                    <w:jc w:val="center"/>
                    <w:rPr>
                      <w:rFonts w:hint="default" w:ascii="Times New Roman" w:hAnsi="Times New Roman" w:eastAsia="宋体" w:cs="Times New Roman"/>
                      <w:color w:val="auto"/>
                      <w:sz w:val="21"/>
                      <w:szCs w:val="21"/>
                      <w:highlight w:val="none"/>
                    </w:rPr>
                  </w:pPr>
                </w:p>
              </w:tc>
            </w:tr>
            <w:tr w14:paraId="5B4269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324" w:type="dxa"/>
                  <w:shd w:val="clear" w:color="auto" w:fill="auto"/>
                  <w:vAlign w:val="center"/>
                </w:tcPr>
                <w:p w14:paraId="7A2AE95C">
                  <w:pPr>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3600" w:type="dxa"/>
                  <w:shd w:val="clear" w:color="auto" w:fill="auto"/>
                  <w:vAlign w:val="center"/>
                </w:tcPr>
                <w:p w14:paraId="04782545">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本项目</w:t>
                  </w:r>
                  <w:r>
                    <w:rPr>
                      <w:rFonts w:hint="eastAsia" w:ascii="Times New Roman" w:hAnsi="Times New Roman" w:eastAsia="宋体" w:cs="Times New Roman"/>
                      <w:color w:val="auto"/>
                      <w:sz w:val="21"/>
                      <w:szCs w:val="21"/>
                      <w:highlight w:val="none"/>
                      <w:lang w:val="en-US" w:eastAsia="zh-CN"/>
                    </w:rPr>
                    <w:t>西</w:t>
                  </w:r>
                  <w:r>
                    <w:rPr>
                      <w:rFonts w:hint="eastAsia" w:ascii="Times New Roman" w:hAnsi="Times New Roman" w:eastAsia="宋体" w:cs="Times New Roman"/>
                      <w:color w:val="auto"/>
                      <w:sz w:val="21"/>
                      <w:szCs w:val="21"/>
                      <w:highlight w:val="none"/>
                      <w:lang w:eastAsia="zh-CN"/>
                    </w:rPr>
                    <w:t>侧敏感点处</w:t>
                  </w:r>
                </w:p>
              </w:tc>
              <w:tc>
                <w:tcPr>
                  <w:tcW w:w="3598" w:type="dxa"/>
                </w:tcPr>
                <w:p w14:paraId="442A94D0">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敏感点噪声</w:t>
                  </w:r>
                </w:p>
              </w:tc>
            </w:tr>
          </w:tbl>
          <w:p w14:paraId="40E5F302">
            <w:pPr>
              <w:pStyle w:val="20"/>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default"/>
                <w:color w:val="auto"/>
                <w:highlight w:val="none"/>
                <w:lang w:val="en-US" w:eastAsia="zh-CN"/>
              </w:rPr>
            </w:pPr>
            <w:r>
              <w:rPr>
                <w:rFonts w:hint="eastAsia"/>
                <w:color w:val="auto"/>
                <w:highlight w:val="none"/>
                <w:lang w:val="en-US" w:eastAsia="zh-CN"/>
              </w:rPr>
              <w:t>4、监测结果</w:t>
            </w:r>
          </w:p>
          <w:p w14:paraId="3FD0D919">
            <w:pPr>
              <w:keepNext w:val="0"/>
              <w:keepLines w:val="0"/>
              <w:pageBreakBefore w:val="0"/>
              <w:widowControl w:val="0"/>
              <w:kinsoku/>
              <w:wordWrap/>
              <w:overflowPunct/>
              <w:topLinePunct w:val="0"/>
              <w:autoSpaceDE/>
              <w:autoSpaceDN/>
              <w:bidi w:val="0"/>
              <w:snapToGrid/>
              <w:spacing w:line="500" w:lineRule="exact"/>
              <w:ind w:firstLine="480" w:firstLineChars="200"/>
              <w:rPr>
                <w:rFonts w:hint="eastAsia" w:cs="Times New Roman"/>
                <w:color w:val="auto"/>
                <w:highlight w:val="none"/>
                <w:lang w:val="en-US" w:eastAsia="zh-CN"/>
              </w:rPr>
            </w:pPr>
            <w:r>
              <w:rPr>
                <w:rFonts w:hint="eastAsia" w:cs="Times New Roman"/>
                <w:color w:val="auto"/>
                <w:highlight w:val="none"/>
                <w:lang w:val="en-US" w:eastAsia="zh-CN"/>
              </w:rPr>
              <w:t>噪声监测和评价结果详见下表。</w:t>
            </w:r>
          </w:p>
          <w:p w14:paraId="35172110">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 xml:space="preserve"> 噪声监测布点位置</w:t>
            </w:r>
          </w:p>
          <w:tbl>
            <w:tblPr>
              <w:tblStyle w:val="32"/>
              <w:tblW w:w="828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59"/>
              <w:gridCol w:w="525"/>
              <w:gridCol w:w="2601"/>
              <w:gridCol w:w="1565"/>
              <w:gridCol w:w="1307"/>
              <w:gridCol w:w="1323"/>
            </w:tblGrid>
            <w:tr w14:paraId="2FDF6B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84" w:type="dxa"/>
                  <w:gridSpan w:val="2"/>
                  <w:shd w:val="clear" w:color="auto" w:fill="auto"/>
                  <w:vAlign w:val="center"/>
                </w:tcPr>
                <w:p w14:paraId="0F4B4FFF">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监测点编号</w:t>
                  </w:r>
                </w:p>
              </w:tc>
              <w:tc>
                <w:tcPr>
                  <w:tcW w:w="2601" w:type="dxa"/>
                  <w:tcBorders>
                    <w:right w:val="single" w:color="auto" w:sz="4" w:space="0"/>
                  </w:tcBorders>
                  <w:shd w:val="clear" w:color="auto" w:fill="auto"/>
                  <w:vAlign w:val="center"/>
                </w:tcPr>
                <w:p w14:paraId="0F53336C">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监测点位</w:t>
                  </w:r>
                </w:p>
              </w:tc>
              <w:tc>
                <w:tcPr>
                  <w:tcW w:w="1565" w:type="dxa"/>
                  <w:tcBorders>
                    <w:left w:val="single" w:color="auto" w:sz="4" w:space="0"/>
                    <w:right w:val="single" w:color="auto" w:sz="4" w:space="0"/>
                  </w:tcBorders>
                  <w:shd w:val="clear" w:color="auto" w:fill="auto"/>
                  <w:vAlign w:val="center"/>
                </w:tcPr>
                <w:p w14:paraId="54443E63">
                  <w:pPr>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昼间噪声</w:t>
                  </w:r>
                </w:p>
              </w:tc>
              <w:tc>
                <w:tcPr>
                  <w:tcW w:w="1307" w:type="dxa"/>
                  <w:tcBorders>
                    <w:left w:val="single" w:color="auto" w:sz="4" w:space="0"/>
                  </w:tcBorders>
                  <w:shd w:val="clear" w:color="auto" w:fill="auto"/>
                  <w:vAlign w:val="center"/>
                </w:tcPr>
                <w:p w14:paraId="27F5A7B7">
                  <w:pPr>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夜间噪声</w:t>
                  </w:r>
                </w:p>
              </w:tc>
              <w:tc>
                <w:tcPr>
                  <w:tcW w:w="1323" w:type="dxa"/>
                </w:tcPr>
                <w:p w14:paraId="37370CB5">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监测性质</w:t>
                  </w:r>
                </w:p>
              </w:tc>
            </w:tr>
            <w:tr w14:paraId="21277A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restart"/>
                  <w:tcBorders>
                    <w:right w:val="single" w:color="auto" w:sz="4" w:space="0"/>
                  </w:tcBorders>
                  <w:shd w:val="clear" w:color="auto" w:fill="auto"/>
                  <w:vAlign w:val="center"/>
                </w:tcPr>
                <w:p w14:paraId="16555457">
                  <w:pPr>
                    <w:spacing w:line="320" w:lineRule="exact"/>
                    <w:jc w:val="center"/>
                    <w:rPr>
                      <w:color w:val="auto"/>
                      <w:sz w:val="21"/>
                      <w:szCs w:val="21"/>
                      <w:highlight w:val="none"/>
                    </w:rPr>
                  </w:pPr>
                  <w:r>
                    <w:rPr>
                      <w:rFonts w:hint="eastAsia"/>
                      <w:b w:val="0"/>
                      <w:bCs w:val="0"/>
                      <w:color w:val="auto"/>
                      <w:sz w:val="21"/>
                      <w:szCs w:val="21"/>
                      <w:highlight w:val="none"/>
                      <w:lang w:val="en-US" w:eastAsia="zh-CN"/>
                    </w:rPr>
                    <w:t>12.09</w:t>
                  </w:r>
                </w:p>
                <w:p w14:paraId="48CFD682">
                  <w:pPr>
                    <w:spacing w:line="320" w:lineRule="exact"/>
                    <w:jc w:val="center"/>
                    <w:rPr>
                      <w:rFonts w:hint="default" w:ascii="Times New Roman" w:hAnsi="Times New Roman" w:eastAsia="宋体" w:cs="Times New Roman"/>
                      <w:color w:val="auto"/>
                      <w:sz w:val="21"/>
                      <w:szCs w:val="21"/>
                      <w:highlight w:val="none"/>
                      <w:lang w:val="en-US" w:eastAsia="zh-CN"/>
                    </w:rPr>
                  </w:pPr>
                </w:p>
              </w:tc>
              <w:tc>
                <w:tcPr>
                  <w:tcW w:w="525" w:type="dxa"/>
                  <w:tcBorders>
                    <w:left w:val="single" w:color="auto" w:sz="4" w:space="0"/>
                  </w:tcBorders>
                  <w:shd w:val="clear" w:color="auto" w:fill="auto"/>
                  <w:vAlign w:val="center"/>
                </w:tcPr>
                <w:p w14:paraId="34AF39F3">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601" w:type="dxa"/>
                  <w:tcBorders>
                    <w:right w:val="single" w:color="auto" w:sz="4" w:space="0"/>
                  </w:tcBorders>
                  <w:shd w:val="clear" w:color="auto" w:fill="auto"/>
                  <w:vAlign w:val="center"/>
                </w:tcPr>
                <w:p w14:paraId="4893D419">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lang w:eastAsia="zh-CN"/>
                    </w:rPr>
                    <w:t>面</w:t>
                  </w:r>
                  <w:r>
                    <w:rPr>
                      <w:rFonts w:hint="eastAsia" w:ascii="Times New Roman" w:hAnsi="Times New Roman" w:eastAsia="宋体" w:cs="Times New Roman"/>
                      <w:color w:val="auto"/>
                      <w:sz w:val="21"/>
                      <w:szCs w:val="21"/>
                      <w:highlight w:val="none"/>
                      <w:lang w:eastAsia="zh-CN"/>
                    </w:rPr>
                    <w:t>外</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米</w:t>
                  </w:r>
                </w:p>
              </w:tc>
              <w:tc>
                <w:tcPr>
                  <w:tcW w:w="1565" w:type="dxa"/>
                  <w:tcBorders>
                    <w:left w:val="single" w:color="auto" w:sz="4" w:space="0"/>
                    <w:right w:val="single" w:color="auto" w:sz="4" w:space="0"/>
                  </w:tcBorders>
                  <w:shd w:val="clear" w:color="auto" w:fill="auto"/>
                  <w:vAlign w:val="center"/>
                </w:tcPr>
                <w:p w14:paraId="63104C86">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53.5</w:t>
                  </w:r>
                </w:p>
              </w:tc>
              <w:tc>
                <w:tcPr>
                  <w:tcW w:w="1307" w:type="dxa"/>
                  <w:tcBorders>
                    <w:left w:val="single" w:color="auto" w:sz="4" w:space="0"/>
                  </w:tcBorders>
                  <w:shd w:val="clear" w:color="auto" w:fill="auto"/>
                  <w:vAlign w:val="center"/>
                </w:tcPr>
                <w:p w14:paraId="232F21FB">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45.5</w:t>
                  </w:r>
                </w:p>
              </w:tc>
              <w:tc>
                <w:tcPr>
                  <w:tcW w:w="1323" w:type="dxa"/>
                  <w:vMerge w:val="restart"/>
                  <w:vAlign w:val="center"/>
                </w:tcPr>
                <w:p w14:paraId="3D26930D">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本项目边界外环境噪声</w:t>
                  </w:r>
                </w:p>
              </w:tc>
            </w:tr>
            <w:tr w14:paraId="53D4E3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183C8C17">
                  <w:pPr>
                    <w:spacing w:line="320" w:lineRule="exact"/>
                    <w:jc w:val="center"/>
                    <w:rPr>
                      <w:rFonts w:hint="default" w:ascii="Times New Roman" w:hAnsi="Times New Roman" w:eastAsia="宋体" w:cs="Times New Roman"/>
                      <w:color w:val="auto"/>
                      <w:sz w:val="21"/>
                      <w:szCs w:val="21"/>
                      <w:highlight w:val="none"/>
                    </w:rPr>
                  </w:pPr>
                </w:p>
              </w:tc>
              <w:tc>
                <w:tcPr>
                  <w:tcW w:w="525" w:type="dxa"/>
                  <w:tcBorders>
                    <w:left w:val="single" w:color="auto" w:sz="4" w:space="0"/>
                  </w:tcBorders>
                  <w:shd w:val="clear" w:color="auto" w:fill="auto"/>
                  <w:vAlign w:val="center"/>
                </w:tcPr>
                <w:p w14:paraId="3A63979B">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601" w:type="dxa"/>
                  <w:tcBorders>
                    <w:right w:val="single" w:color="auto" w:sz="4" w:space="0"/>
                  </w:tcBorders>
                  <w:shd w:val="clear" w:color="auto" w:fill="auto"/>
                  <w:vAlign w:val="center"/>
                </w:tcPr>
                <w:p w14:paraId="0D6D13CB">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南</w:t>
                  </w:r>
                  <w:r>
                    <w:rPr>
                      <w:rFonts w:hint="default" w:ascii="Times New Roman" w:hAnsi="Times New Roman" w:eastAsia="宋体" w:cs="Times New Roman"/>
                      <w:color w:val="auto"/>
                      <w:sz w:val="21"/>
                      <w:szCs w:val="21"/>
                      <w:highlight w:val="none"/>
                    </w:rPr>
                    <w:t>面</w:t>
                  </w:r>
                  <w:r>
                    <w:rPr>
                      <w:rFonts w:hint="eastAsia" w:ascii="Times New Roman" w:hAnsi="Times New Roman" w:eastAsia="宋体" w:cs="Times New Roman"/>
                      <w:color w:val="auto"/>
                      <w:sz w:val="21"/>
                      <w:szCs w:val="21"/>
                      <w:highlight w:val="none"/>
                      <w:lang w:eastAsia="zh-CN"/>
                    </w:rPr>
                    <w:t>外</w:t>
                  </w:r>
                  <w:r>
                    <w:rPr>
                      <w:rFonts w:hint="default" w:ascii="Times New Roman" w:hAnsi="Times New Roman" w:eastAsia="宋体" w:cs="Times New Roman"/>
                      <w:color w:val="auto"/>
                      <w:sz w:val="21"/>
                      <w:szCs w:val="21"/>
                      <w:highlight w:val="none"/>
                    </w:rPr>
                    <w:t>1米</w:t>
                  </w:r>
                </w:p>
              </w:tc>
              <w:tc>
                <w:tcPr>
                  <w:tcW w:w="1565" w:type="dxa"/>
                  <w:tcBorders>
                    <w:left w:val="single" w:color="auto" w:sz="4" w:space="0"/>
                    <w:right w:val="single" w:color="auto" w:sz="4" w:space="0"/>
                  </w:tcBorders>
                  <w:shd w:val="clear" w:color="auto" w:fill="auto"/>
                  <w:vAlign w:val="center"/>
                </w:tcPr>
                <w:p w14:paraId="59723A63">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53.4</w:t>
                  </w:r>
                </w:p>
              </w:tc>
              <w:tc>
                <w:tcPr>
                  <w:tcW w:w="1307" w:type="dxa"/>
                  <w:tcBorders>
                    <w:left w:val="single" w:color="auto" w:sz="4" w:space="0"/>
                  </w:tcBorders>
                  <w:shd w:val="clear" w:color="auto" w:fill="auto"/>
                  <w:vAlign w:val="center"/>
                </w:tcPr>
                <w:p w14:paraId="695CC43B">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43.9</w:t>
                  </w:r>
                </w:p>
              </w:tc>
              <w:tc>
                <w:tcPr>
                  <w:tcW w:w="1323" w:type="dxa"/>
                  <w:vMerge w:val="continue"/>
                </w:tcPr>
                <w:p w14:paraId="182FAC9C">
                  <w:pPr>
                    <w:spacing w:line="320" w:lineRule="exact"/>
                    <w:jc w:val="center"/>
                    <w:rPr>
                      <w:rFonts w:hint="default" w:ascii="Times New Roman" w:hAnsi="Times New Roman" w:eastAsia="宋体" w:cs="Times New Roman"/>
                      <w:color w:val="auto"/>
                      <w:sz w:val="21"/>
                      <w:szCs w:val="21"/>
                      <w:highlight w:val="none"/>
                    </w:rPr>
                  </w:pPr>
                </w:p>
              </w:tc>
            </w:tr>
            <w:tr w14:paraId="068E85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4E9AC660">
                  <w:pPr>
                    <w:spacing w:line="320" w:lineRule="exact"/>
                    <w:jc w:val="center"/>
                    <w:rPr>
                      <w:rFonts w:hint="default" w:ascii="Times New Roman" w:hAnsi="Times New Roman" w:eastAsia="宋体" w:cs="Times New Roman"/>
                      <w:color w:val="auto"/>
                      <w:sz w:val="21"/>
                      <w:szCs w:val="21"/>
                      <w:highlight w:val="none"/>
                    </w:rPr>
                  </w:pPr>
                </w:p>
              </w:tc>
              <w:tc>
                <w:tcPr>
                  <w:tcW w:w="525" w:type="dxa"/>
                  <w:tcBorders>
                    <w:left w:val="single" w:color="auto" w:sz="4" w:space="0"/>
                  </w:tcBorders>
                  <w:shd w:val="clear" w:color="auto" w:fill="auto"/>
                  <w:vAlign w:val="center"/>
                </w:tcPr>
                <w:p w14:paraId="330882C8">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601" w:type="dxa"/>
                  <w:tcBorders>
                    <w:right w:val="single" w:color="auto" w:sz="4" w:space="0"/>
                  </w:tcBorders>
                  <w:shd w:val="clear" w:color="auto" w:fill="auto"/>
                  <w:vAlign w:val="center"/>
                </w:tcPr>
                <w:p w14:paraId="735CC58C">
                  <w:pPr>
                    <w:spacing w:line="32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西</w:t>
                  </w:r>
                  <w:r>
                    <w:rPr>
                      <w:rFonts w:hint="default" w:ascii="Times New Roman" w:hAnsi="Times New Roman" w:eastAsia="宋体" w:cs="Times New Roman"/>
                      <w:color w:val="auto"/>
                      <w:sz w:val="21"/>
                      <w:szCs w:val="21"/>
                      <w:highlight w:val="none"/>
                    </w:rPr>
                    <w:t>面外1米</w:t>
                  </w:r>
                </w:p>
              </w:tc>
              <w:tc>
                <w:tcPr>
                  <w:tcW w:w="1565" w:type="dxa"/>
                  <w:tcBorders>
                    <w:left w:val="single" w:color="auto" w:sz="4" w:space="0"/>
                    <w:right w:val="single" w:color="auto" w:sz="4" w:space="0"/>
                  </w:tcBorders>
                  <w:shd w:val="clear" w:color="auto" w:fill="auto"/>
                  <w:vAlign w:val="center"/>
                </w:tcPr>
                <w:p w14:paraId="33F907B3">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54.7</w:t>
                  </w:r>
                </w:p>
              </w:tc>
              <w:tc>
                <w:tcPr>
                  <w:tcW w:w="1307" w:type="dxa"/>
                  <w:tcBorders>
                    <w:left w:val="single" w:color="auto" w:sz="4" w:space="0"/>
                  </w:tcBorders>
                  <w:shd w:val="clear" w:color="auto" w:fill="auto"/>
                  <w:vAlign w:val="center"/>
                </w:tcPr>
                <w:p w14:paraId="46BF4F9C">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43.0</w:t>
                  </w:r>
                </w:p>
              </w:tc>
              <w:tc>
                <w:tcPr>
                  <w:tcW w:w="1323" w:type="dxa"/>
                  <w:vMerge w:val="continue"/>
                </w:tcPr>
                <w:p w14:paraId="26A75D9F">
                  <w:pPr>
                    <w:spacing w:line="320" w:lineRule="exact"/>
                    <w:jc w:val="center"/>
                    <w:rPr>
                      <w:rFonts w:hint="default" w:ascii="Times New Roman" w:hAnsi="Times New Roman" w:eastAsia="宋体" w:cs="Times New Roman"/>
                      <w:color w:val="auto"/>
                      <w:sz w:val="21"/>
                      <w:szCs w:val="21"/>
                      <w:highlight w:val="none"/>
                    </w:rPr>
                  </w:pPr>
                </w:p>
              </w:tc>
            </w:tr>
            <w:tr w14:paraId="583B4D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3AF10CD5">
                  <w:pPr>
                    <w:spacing w:line="320" w:lineRule="exact"/>
                    <w:jc w:val="center"/>
                    <w:rPr>
                      <w:rFonts w:hint="default" w:ascii="Times New Roman" w:hAnsi="Times New Roman" w:eastAsia="宋体" w:cs="Times New Roman"/>
                      <w:color w:val="auto"/>
                      <w:sz w:val="21"/>
                      <w:szCs w:val="21"/>
                      <w:highlight w:val="none"/>
                    </w:rPr>
                  </w:pPr>
                </w:p>
              </w:tc>
              <w:tc>
                <w:tcPr>
                  <w:tcW w:w="525" w:type="dxa"/>
                  <w:tcBorders>
                    <w:left w:val="single" w:color="auto" w:sz="4" w:space="0"/>
                  </w:tcBorders>
                  <w:shd w:val="clear" w:color="auto" w:fill="auto"/>
                  <w:vAlign w:val="center"/>
                </w:tcPr>
                <w:p w14:paraId="541CC37D">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601" w:type="dxa"/>
                  <w:tcBorders>
                    <w:right w:val="single" w:color="auto" w:sz="4" w:space="0"/>
                  </w:tcBorders>
                  <w:shd w:val="clear" w:color="auto" w:fill="auto"/>
                  <w:vAlign w:val="center"/>
                </w:tcPr>
                <w:p w14:paraId="100BFBCC">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北</w:t>
                  </w:r>
                  <w:r>
                    <w:rPr>
                      <w:rFonts w:hint="default" w:ascii="Times New Roman" w:hAnsi="Times New Roman" w:eastAsia="宋体" w:cs="Times New Roman"/>
                      <w:color w:val="auto"/>
                      <w:sz w:val="21"/>
                      <w:szCs w:val="21"/>
                      <w:highlight w:val="none"/>
                    </w:rPr>
                    <w:t>面外1米</w:t>
                  </w:r>
                </w:p>
              </w:tc>
              <w:tc>
                <w:tcPr>
                  <w:tcW w:w="1565" w:type="dxa"/>
                  <w:tcBorders>
                    <w:left w:val="single" w:color="auto" w:sz="4" w:space="0"/>
                    <w:right w:val="single" w:color="auto" w:sz="4" w:space="0"/>
                  </w:tcBorders>
                  <w:shd w:val="clear" w:color="auto" w:fill="auto"/>
                  <w:vAlign w:val="center"/>
                </w:tcPr>
                <w:p w14:paraId="4E33E696">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54.4</w:t>
                  </w:r>
                </w:p>
              </w:tc>
              <w:tc>
                <w:tcPr>
                  <w:tcW w:w="1307" w:type="dxa"/>
                  <w:tcBorders>
                    <w:left w:val="single" w:color="auto" w:sz="4" w:space="0"/>
                  </w:tcBorders>
                  <w:shd w:val="clear" w:color="auto" w:fill="auto"/>
                  <w:vAlign w:val="center"/>
                </w:tcPr>
                <w:p w14:paraId="5ACFB5D3">
                  <w:pPr>
                    <w:jc w:val="center"/>
                    <w:rPr>
                      <w:rFonts w:hint="default" w:ascii="Times New Roman" w:hAnsi="Times New Roman" w:eastAsia="宋体" w:cs="Times New Roman"/>
                      <w:color w:val="auto"/>
                      <w:sz w:val="21"/>
                      <w:szCs w:val="21"/>
                      <w:highlight w:val="none"/>
                    </w:rPr>
                  </w:pPr>
                  <w:r>
                    <w:rPr>
                      <w:rFonts w:hint="eastAsia"/>
                      <w:b w:val="0"/>
                      <w:bCs w:val="0"/>
                      <w:color w:val="auto"/>
                      <w:sz w:val="21"/>
                      <w:szCs w:val="21"/>
                      <w:highlight w:val="none"/>
                      <w:lang w:val="en-US" w:eastAsia="zh-CN"/>
                    </w:rPr>
                    <w:t>43.3</w:t>
                  </w:r>
                </w:p>
              </w:tc>
              <w:tc>
                <w:tcPr>
                  <w:tcW w:w="1323" w:type="dxa"/>
                  <w:vMerge w:val="continue"/>
                </w:tcPr>
                <w:p w14:paraId="46B6DCA1">
                  <w:pPr>
                    <w:spacing w:line="320" w:lineRule="exact"/>
                    <w:jc w:val="center"/>
                    <w:rPr>
                      <w:rFonts w:hint="default" w:ascii="Times New Roman" w:hAnsi="Times New Roman" w:eastAsia="宋体" w:cs="Times New Roman"/>
                      <w:color w:val="auto"/>
                      <w:sz w:val="21"/>
                      <w:szCs w:val="21"/>
                      <w:highlight w:val="none"/>
                    </w:rPr>
                  </w:pPr>
                </w:p>
              </w:tc>
            </w:tr>
            <w:tr w14:paraId="68B70B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79807AD8">
                  <w:pPr>
                    <w:spacing w:line="320" w:lineRule="exact"/>
                    <w:jc w:val="center"/>
                    <w:rPr>
                      <w:rFonts w:hint="default" w:ascii="Times New Roman" w:hAnsi="Times New Roman" w:eastAsia="宋体" w:cs="Times New Roman"/>
                      <w:color w:val="auto"/>
                      <w:sz w:val="21"/>
                      <w:szCs w:val="21"/>
                      <w:highlight w:val="none"/>
                      <w:lang w:val="en-US" w:eastAsia="zh-CN"/>
                    </w:rPr>
                  </w:pPr>
                </w:p>
              </w:tc>
              <w:tc>
                <w:tcPr>
                  <w:tcW w:w="525" w:type="dxa"/>
                  <w:tcBorders>
                    <w:left w:val="single" w:color="auto" w:sz="4" w:space="0"/>
                  </w:tcBorders>
                  <w:shd w:val="clear" w:color="auto" w:fill="auto"/>
                  <w:vAlign w:val="center"/>
                </w:tcPr>
                <w:p w14:paraId="51CF8B33">
                  <w:pPr>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2601" w:type="dxa"/>
                  <w:tcBorders>
                    <w:right w:val="single" w:color="auto" w:sz="4" w:space="0"/>
                  </w:tcBorders>
                  <w:shd w:val="clear" w:color="auto" w:fill="auto"/>
                  <w:vAlign w:val="center"/>
                </w:tcPr>
                <w:p w14:paraId="06BEF41D">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本项目</w:t>
                  </w:r>
                  <w:r>
                    <w:rPr>
                      <w:rFonts w:hint="eastAsia" w:ascii="Times New Roman" w:hAnsi="Times New Roman" w:eastAsia="宋体" w:cs="Times New Roman"/>
                      <w:color w:val="auto"/>
                      <w:sz w:val="21"/>
                      <w:szCs w:val="21"/>
                      <w:highlight w:val="none"/>
                      <w:lang w:val="en-US" w:eastAsia="zh-CN"/>
                    </w:rPr>
                    <w:t>西</w:t>
                  </w:r>
                  <w:r>
                    <w:rPr>
                      <w:rFonts w:hint="eastAsia" w:ascii="Times New Roman" w:hAnsi="Times New Roman" w:eastAsia="宋体" w:cs="Times New Roman"/>
                      <w:color w:val="auto"/>
                      <w:sz w:val="21"/>
                      <w:szCs w:val="21"/>
                      <w:highlight w:val="none"/>
                      <w:lang w:eastAsia="zh-CN"/>
                    </w:rPr>
                    <w:t>侧敏感点处</w:t>
                  </w:r>
                </w:p>
              </w:tc>
              <w:tc>
                <w:tcPr>
                  <w:tcW w:w="1565" w:type="dxa"/>
                  <w:tcBorders>
                    <w:left w:val="single" w:color="auto" w:sz="4" w:space="0"/>
                    <w:right w:val="single" w:color="auto" w:sz="4" w:space="0"/>
                  </w:tcBorders>
                  <w:shd w:val="clear" w:color="auto" w:fill="auto"/>
                  <w:vAlign w:val="center"/>
                </w:tcPr>
                <w:p w14:paraId="6A1E249C">
                  <w:pPr>
                    <w:jc w:val="center"/>
                    <w:rPr>
                      <w:rFonts w:hint="eastAsia" w:ascii="Times New Roman" w:hAnsi="Times New Roman" w:eastAsia="宋体" w:cs="Times New Roman"/>
                      <w:color w:val="auto"/>
                      <w:sz w:val="21"/>
                      <w:szCs w:val="21"/>
                      <w:highlight w:val="none"/>
                      <w:lang w:eastAsia="zh-CN"/>
                    </w:rPr>
                  </w:pPr>
                  <w:r>
                    <w:rPr>
                      <w:rFonts w:hint="eastAsia"/>
                      <w:b w:val="0"/>
                      <w:bCs w:val="0"/>
                      <w:color w:val="auto"/>
                      <w:sz w:val="21"/>
                      <w:szCs w:val="21"/>
                      <w:highlight w:val="none"/>
                      <w:lang w:val="en-US" w:eastAsia="zh-CN"/>
                    </w:rPr>
                    <w:t>52.7</w:t>
                  </w:r>
                </w:p>
              </w:tc>
              <w:tc>
                <w:tcPr>
                  <w:tcW w:w="1307" w:type="dxa"/>
                  <w:tcBorders>
                    <w:left w:val="single" w:color="auto" w:sz="4" w:space="0"/>
                  </w:tcBorders>
                  <w:shd w:val="clear" w:color="auto" w:fill="auto"/>
                  <w:vAlign w:val="center"/>
                </w:tcPr>
                <w:p w14:paraId="7A4240F0">
                  <w:pPr>
                    <w:jc w:val="center"/>
                    <w:rPr>
                      <w:rFonts w:hint="eastAsia" w:ascii="Times New Roman" w:hAnsi="Times New Roman" w:eastAsia="宋体" w:cs="Times New Roman"/>
                      <w:color w:val="auto"/>
                      <w:sz w:val="21"/>
                      <w:szCs w:val="21"/>
                      <w:highlight w:val="none"/>
                      <w:lang w:eastAsia="zh-CN"/>
                    </w:rPr>
                  </w:pPr>
                  <w:r>
                    <w:rPr>
                      <w:rFonts w:hint="eastAsia"/>
                      <w:b w:val="0"/>
                      <w:bCs w:val="0"/>
                      <w:color w:val="auto"/>
                      <w:sz w:val="21"/>
                      <w:szCs w:val="21"/>
                      <w:highlight w:val="none"/>
                      <w:lang w:val="en-US" w:eastAsia="zh-CN"/>
                    </w:rPr>
                    <w:t>41.2</w:t>
                  </w:r>
                </w:p>
              </w:tc>
              <w:tc>
                <w:tcPr>
                  <w:tcW w:w="1323" w:type="dxa"/>
                </w:tcPr>
                <w:p w14:paraId="2080BE0C">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敏感点噪声</w:t>
                  </w:r>
                </w:p>
              </w:tc>
            </w:tr>
            <w:tr w14:paraId="73A6C5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restart"/>
                  <w:tcBorders>
                    <w:right w:val="single" w:color="auto" w:sz="4" w:space="0"/>
                  </w:tcBorders>
                  <w:shd w:val="clear" w:color="auto" w:fill="auto"/>
                  <w:vAlign w:val="center"/>
                </w:tcPr>
                <w:p w14:paraId="1BCE315C">
                  <w:pPr>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b w:val="0"/>
                      <w:bCs w:val="0"/>
                      <w:color w:val="auto"/>
                      <w:sz w:val="21"/>
                      <w:szCs w:val="21"/>
                      <w:highlight w:val="none"/>
                      <w:lang w:val="en-US" w:eastAsia="zh-CN"/>
                    </w:rPr>
                    <w:t>12.10</w:t>
                  </w:r>
                </w:p>
              </w:tc>
              <w:tc>
                <w:tcPr>
                  <w:tcW w:w="525" w:type="dxa"/>
                  <w:tcBorders>
                    <w:left w:val="single" w:color="auto" w:sz="4" w:space="0"/>
                  </w:tcBorders>
                  <w:shd w:val="clear" w:color="auto" w:fill="auto"/>
                  <w:vAlign w:val="center"/>
                </w:tcPr>
                <w:p w14:paraId="5783209D">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601" w:type="dxa"/>
                  <w:tcBorders>
                    <w:right w:val="single" w:color="auto" w:sz="4" w:space="0"/>
                  </w:tcBorders>
                  <w:shd w:val="clear" w:color="auto" w:fill="auto"/>
                  <w:vAlign w:val="center"/>
                </w:tcPr>
                <w:p w14:paraId="00BA81AB">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lang w:eastAsia="zh-CN"/>
                    </w:rPr>
                    <w:t>面</w:t>
                  </w:r>
                  <w:r>
                    <w:rPr>
                      <w:rFonts w:hint="eastAsia" w:ascii="Times New Roman" w:hAnsi="Times New Roman" w:eastAsia="宋体" w:cs="Times New Roman"/>
                      <w:color w:val="auto"/>
                      <w:sz w:val="21"/>
                      <w:szCs w:val="21"/>
                      <w:highlight w:val="none"/>
                      <w:lang w:eastAsia="zh-CN"/>
                    </w:rPr>
                    <w:t>外</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米</w:t>
                  </w:r>
                </w:p>
              </w:tc>
              <w:tc>
                <w:tcPr>
                  <w:tcW w:w="1565" w:type="dxa"/>
                  <w:tcBorders>
                    <w:left w:val="single" w:color="auto" w:sz="4" w:space="0"/>
                    <w:right w:val="single" w:color="auto" w:sz="4" w:space="0"/>
                  </w:tcBorders>
                  <w:shd w:val="clear" w:color="auto" w:fill="auto"/>
                  <w:vAlign w:val="center"/>
                </w:tcPr>
                <w:p w14:paraId="6C7651BE">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52.9</w:t>
                  </w:r>
                </w:p>
              </w:tc>
              <w:tc>
                <w:tcPr>
                  <w:tcW w:w="1307" w:type="dxa"/>
                  <w:tcBorders>
                    <w:left w:val="single" w:color="auto" w:sz="4" w:space="0"/>
                  </w:tcBorders>
                  <w:shd w:val="clear" w:color="auto" w:fill="auto"/>
                  <w:vAlign w:val="center"/>
                </w:tcPr>
                <w:p w14:paraId="44DD41AC">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43.5</w:t>
                  </w:r>
                </w:p>
              </w:tc>
              <w:tc>
                <w:tcPr>
                  <w:tcW w:w="1323" w:type="dxa"/>
                  <w:vMerge w:val="restart"/>
                </w:tcPr>
                <w:p w14:paraId="6EE750F8">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本项目边界外环境噪声</w:t>
                  </w:r>
                </w:p>
              </w:tc>
            </w:tr>
            <w:tr w14:paraId="7E8FBD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4B58B42B">
                  <w:pPr>
                    <w:spacing w:line="320" w:lineRule="exact"/>
                    <w:jc w:val="center"/>
                    <w:rPr>
                      <w:rFonts w:hint="eastAsia" w:ascii="Times New Roman" w:hAnsi="Times New Roman" w:eastAsia="宋体" w:cs="Times New Roman"/>
                      <w:color w:val="auto"/>
                      <w:sz w:val="21"/>
                      <w:szCs w:val="21"/>
                      <w:highlight w:val="none"/>
                      <w:lang w:val="en-US" w:eastAsia="zh-CN"/>
                    </w:rPr>
                  </w:pPr>
                </w:p>
              </w:tc>
              <w:tc>
                <w:tcPr>
                  <w:tcW w:w="525" w:type="dxa"/>
                  <w:tcBorders>
                    <w:left w:val="single" w:color="auto" w:sz="4" w:space="0"/>
                  </w:tcBorders>
                  <w:shd w:val="clear" w:color="auto" w:fill="auto"/>
                  <w:vAlign w:val="center"/>
                </w:tcPr>
                <w:p w14:paraId="58CF00F7">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601" w:type="dxa"/>
                  <w:tcBorders>
                    <w:right w:val="single" w:color="auto" w:sz="4" w:space="0"/>
                  </w:tcBorders>
                  <w:shd w:val="clear" w:color="auto" w:fill="auto"/>
                  <w:vAlign w:val="center"/>
                </w:tcPr>
                <w:p w14:paraId="61BE0BA5">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南</w:t>
                  </w:r>
                  <w:r>
                    <w:rPr>
                      <w:rFonts w:hint="default" w:ascii="Times New Roman" w:hAnsi="Times New Roman" w:eastAsia="宋体" w:cs="Times New Roman"/>
                      <w:color w:val="auto"/>
                      <w:sz w:val="21"/>
                      <w:szCs w:val="21"/>
                      <w:highlight w:val="none"/>
                    </w:rPr>
                    <w:t>面</w:t>
                  </w:r>
                  <w:r>
                    <w:rPr>
                      <w:rFonts w:hint="eastAsia" w:ascii="Times New Roman" w:hAnsi="Times New Roman" w:eastAsia="宋体" w:cs="Times New Roman"/>
                      <w:color w:val="auto"/>
                      <w:sz w:val="21"/>
                      <w:szCs w:val="21"/>
                      <w:highlight w:val="none"/>
                      <w:lang w:eastAsia="zh-CN"/>
                    </w:rPr>
                    <w:t>外</w:t>
                  </w:r>
                  <w:r>
                    <w:rPr>
                      <w:rFonts w:hint="default" w:ascii="Times New Roman" w:hAnsi="Times New Roman" w:eastAsia="宋体" w:cs="Times New Roman"/>
                      <w:color w:val="auto"/>
                      <w:sz w:val="21"/>
                      <w:szCs w:val="21"/>
                      <w:highlight w:val="none"/>
                    </w:rPr>
                    <w:t>1米</w:t>
                  </w:r>
                </w:p>
              </w:tc>
              <w:tc>
                <w:tcPr>
                  <w:tcW w:w="1565" w:type="dxa"/>
                  <w:tcBorders>
                    <w:left w:val="single" w:color="auto" w:sz="4" w:space="0"/>
                    <w:right w:val="single" w:color="auto" w:sz="4" w:space="0"/>
                  </w:tcBorders>
                  <w:shd w:val="clear" w:color="auto" w:fill="auto"/>
                  <w:vAlign w:val="center"/>
                </w:tcPr>
                <w:p w14:paraId="6127ACF9">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52.8</w:t>
                  </w:r>
                </w:p>
              </w:tc>
              <w:tc>
                <w:tcPr>
                  <w:tcW w:w="1307" w:type="dxa"/>
                  <w:tcBorders>
                    <w:left w:val="single" w:color="auto" w:sz="4" w:space="0"/>
                  </w:tcBorders>
                  <w:shd w:val="clear" w:color="auto" w:fill="auto"/>
                  <w:vAlign w:val="center"/>
                </w:tcPr>
                <w:p w14:paraId="71730D26">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43.1</w:t>
                  </w:r>
                </w:p>
              </w:tc>
              <w:tc>
                <w:tcPr>
                  <w:tcW w:w="1323" w:type="dxa"/>
                  <w:vMerge w:val="continue"/>
                </w:tcPr>
                <w:p w14:paraId="63BFC017">
                  <w:pPr>
                    <w:spacing w:line="320" w:lineRule="exact"/>
                    <w:jc w:val="center"/>
                    <w:rPr>
                      <w:rFonts w:hint="eastAsia" w:ascii="Times New Roman" w:hAnsi="Times New Roman" w:eastAsia="宋体" w:cs="Times New Roman"/>
                      <w:color w:val="auto"/>
                      <w:sz w:val="21"/>
                      <w:szCs w:val="21"/>
                      <w:highlight w:val="none"/>
                      <w:lang w:eastAsia="zh-CN"/>
                    </w:rPr>
                  </w:pPr>
                </w:p>
              </w:tc>
            </w:tr>
            <w:tr w14:paraId="35AA4D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5FAB6B67">
                  <w:pPr>
                    <w:spacing w:line="320" w:lineRule="exact"/>
                    <w:jc w:val="center"/>
                    <w:rPr>
                      <w:rFonts w:hint="eastAsia" w:ascii="Times New Roman" w:hAnsi="Times New Roman" w:eastAsia="宋体" w:cs="Times New Roman"/>
                      <w:color w:val="auto"/>
                      <w:sz w:val="21"/>
                      <w:szCs w:val="21"/>
                      <w:highlight w:val="none"/>
                      <w:lang w:val="en-US" w:eastAsia="zh-CN"/>
                    </w:rPr>
                  </w:pPr>
                </w:p>
              </w:tc>
              <w:tc>
                <w:tcPr>
                  <w:tcW w:w="525" w:type="dxa"/>
                  <w:tcBorders>
                    <w:left w:val="single" w:color="auto" w:sz="4" w:space="0"/>
                  </w:tcBorders>
                  <w:shd w:val="clear" w:color="auto" w:fill="auto"/>
                  <w:vAlign w:val="center"/>
                </w:tcPr>
                <w:p w14:paraId="45C5AE0D">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601" w:type="dxa"/>
                  <w:tcBorders>
                    <w:right w:val="single" w:color="auto" w:sz="4" w:space="0"/>
                  </w:tcBorders>
                  <w:shd w:val="clear" w:color="auto" w:fill="auto"/>
                  <w:vAlign w:val="center"/>
                </w:tcPr>
                <w:p w14:paraId="507436BB">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西</w:t>
                  </w:r>
                  <w:r>
                    <w:rPr>
                      <w:rFonts w:hint="default" w:ascii="Times New Roman" w:hAnsi="Times New Roman" w:eastAsia="宋体" w:cs="Times New Roman"/>
                      <w:color w:val="auto"/>
                      <w:sz w:val="21"/>
                      <w:szCs w:val="21"/>
                      <w:highlight w:val="none"/>
                    </w:rPr>
                    <w:t>面外1米</w:t>
                  </w:r>
                </w:p>
              </w:tc>
              <w:tc>
                <w:tcPr>
                  <w:tcW w:w="1565" w:type="dxa"/>
                  <w:tcBorders>
                    <w:left w:val="single" w:color="auto" w:sz="4" w:space="0"/>
                    <w:right w:val="single" w:color="auto" w:sz="4" w:space="0"/>
                  </w:tcBorders>
                  <w:shd w:val="clear" w:color="auto" w:fill="auto"/>
                  <w:vAlign w:val="center"/>
                </w:tcPr>
                <w:p w14:paraId="1ACBB2F8">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53.9</w:t>
                  </w:r>
                </w:p>
              </w:tc>
              <w:tc>
                <w:tcPr>
                  <w:tcW w:w="1307" w:type="dxa"/>
                  <w:tcBorders>
                    <w:left w:val="single" w:color="auto" w:sz="4" w:space="0"/>
                  </w:tcBorders>
                  <w:shd w:val="clear" w:color="auto" w:fill="auto"/>
                  <w:vAlign w:val="center"/>
                </w:tcPr>
                <w:p w14:paraId="47FB3B17">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43.8</w:t>
                  </w:r>
                </w:p>
              </w:tc>
              <w:tc>
                <w:tcPr>
                  <w:tcW w:w="1323" w:type="dxa"/>
                  <w:vMerge w:val="continue"/>
                </w:tcPr>
                <w:p w14:paraId="0BC9FFA0">
                  <w:pPr>
                    <w:spacing w:line="320" w:lineRule="exact"/>
                    <w:jc w:val="center"/>
                    <w:rPr>
                      <w:rFonts w:hint="eastAsia" w:ascii="Times New Roman" w:hAnsi="Times New Roman" w:eastAsia="宋体" w:cs="Times New Roman"/>
                      <w:color w:val="auto"/>
                      <w:sz w:val="21"/>
                      <w:szCs w:val="21"/>
                      <w:highlight w:val="none"/>
                      <w:lang w:eastAsia="zh-CN"/>
                    </w:rPr>
                  </w:pPr>
                </w:p>
              </w:tc>
            </w:tr>
            <w:tr w14:paraId="31FE98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703F1E97">
                  <w:pPr>
                    <w:spacing w:line="320" w:lineRule="exact"/>
                    <w:jc w:val="center"/>
                    <w:rPr>
                      <w:rFonts w:hint="eastAsia" w:ascii="Times New Roman" w:hAnsi="Times New Roman" w:eastAsia="宋体" w:cs="Times New Roman"/>
                      <w:color w:val="auto"/>
                      <w:sz w:val="21"/>
                      <w:szCs w:val="21"/>
                      <w:highlight w:val="none"/>
                      <w:lang w:val="en-US" w:eastAsia="zh-CN"/>
                    </w:rPr>
                  </w:pPr>
                </w:p>
              </w:tc>
              <w:tc>
                <w:tcPr>
                  <w:tcW w:w="525" w:type="dxa"/>
                  <w:tcBorders>
                    <w:left w:val="single" w:color="auto" w:sz="4" w:space="0"/>
                  </w:tcBorders>
                  <w:shd w:val="clear" w:color="auto" w:fill="auto"/>
                  <w:vAlign w:val="center"/>
                </w:tcPr>
                <w:p w14:paraId="59F1C1F7">
                  <w:pPr>
                    <w:spacing w:line="32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601" w:type="dxa"/>
                  <w:tcBorders>
                    <w:right w:val="single" w:color="auto" w:sz="4" w:space="0"/>
                  </w:tcBorders>
                  <w:shd w:val="clear" w:color="auto" w:fill="auto"/>
                  <w:vAlign w:val="center"/>
                </w:tcPr>
                <w:p w14:paraId="29D46A4F">
                  <w:pPr>
                    <w:spacing w:line="320" w:lineRule="exact"/>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w:t>
                  </w:r>
                  <w:r>
                    <w:rPr>
                      <w:rFonts w:hint="default" w:ascii="Times New Roman" w:hAnsi="Times New Roman" w:eastAsia="宋体" w:cs="Times New Roman"/>
                      <w:color w:val="auto"/>
                      <w:sz w:val="21"/>
                      <w:szCs w:val="21"/>
                      <w:highlight w:val="none"/>
                      <w:lang w:eastAsia="zh-CN"/>
                    </w:rPr>
                    <w:t>厂界</w:t>
                  </w:r>
                  <w:r>
                    <w:rPr>
                      <w:rFonts w:hint="eastAsia" w:ascii="Times New Roman" w:hAnsi="Times New Roman" w:eastAsia="宋体" w:cs="Times New Roman"/>
                      <w:color w:val="auto"/>
                      <w:sz w:val="21"/>
                      <w:szCs w:val="21"/>
                      <w:highlight w:val="none"/>
                      <w:lang w:eastAsia="zh-CN"/>
                    </w:rPr>
                    <w:t>北</w:t>
                  </w:r>
                  <w:r>
                    <w:rPr>
                      <w:rFonts w:hint="default" w:ascii="Times New Roman" w:hAnsi="Times New Roman" w:eastAsia="宋体" w:cs="Times New Roman"/>
                      <w:color w:val="auto"/>
                      <w:sz w:val="21"/>
                      <w:szCs w:val="21"/>
                      <w:highlight w:val="none"/>
                    </w:rPr>
                    <w:t>面外1米</w:t>
                  </w:r>
                </w:p>
              </w:tc>
              <w:tc>
                <w:tcPr>
                  <w:tcW w:w="1565" w:type="dxa"/>
                  <w:tcBorders>
                    <w:left w:val="single" w:color="auto" w:sz="4" w:space="0"/>
                    <w:right w:val="single" w:color="auto" w:sz="4" w:space="0"/>
                  </w:tcBorders>
                  <w:shd w:val="clear" w:color="auto" w:fill="auto"/>
                  <w:vAlign w:val="center"/>
                </w:tcPr>
                <w:p w14:paraId="6FC09D89">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52.2</w:t>
                  </w:r>
                </w:p>
              </w:tc>
              <w:tc>
                <w:tcPr>
                  <w:tcW w:w="1307" w:type="dxa"/>
                  <w:tcBorders>
                    <w:left w:val="single" w:color="auto" w:sz="4" w:space="0"/>
                  </w:tcBorders>
                  <w:shd w:val="clear" w:color="auto" w:fill="auto"/>
                  <w:vAlign w:val="center"/>
                </w:tcPr>
                <w:p w14:paraId="0E961F21">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43.8</w:t>
                  </w:r>
                </w:p>
              </w:tc>
              <w:tc>
                <w:tcPr>
                  <w:tcW w:w="1323" w:type="dxa"/>
                  <w:vMerge w:val="continue"/>
                </w:tcPr>
                <w:p w14:paraId="0A950E8B">
                  <w:pPr>
                    <w:spacing w:line="320" w:lineRule="exact"/>
                    <w:jc w:val="center"/>
                    <w:rPr>
                      <w:rFonts w:hint="eastAsia" w:ascii="Times New Roman" w:hAnsi="Times New Roman" w:eastAsia="宋体" w:cs="Times New Roman"/>
                      <w:color w:val="auto"/>
                      <w:sz w:val="21"/>
                      <w:szCs w:val="21"/>
                      <w:highlight w:val="none"/>
                      <w:lang w:eastAsia="zh-CN"/>
                    </w:rPr>
                  </w:pPr>
                </w:p>
              </w:tc>
            </w:tr>
            <w:tr w14:paraId="3E9600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59" w:type="dxa"/>
                  <w:vMerge w:val="continue"/>
                  <w:tcBorders>
                    <w:right w:val="single" w:color="auto" w:sz="4" w:space="0"/>
                  </w:tcBorders>
                  <w:shd w:val="clear" w:color="auto" w:fill="auto"/>
                  <w:vAlign w:val="center"/>
                </w:tcPr>
                <w:p w14:paraId="462EFCA1">
                  <w:pPr>
                    <w:spacing w:line="320" w:lineRule="exact"/>
                    <w:jc w:val="center"/>
                    <w:rPr>
                      <w:rFonts w:hint="eastAsia" w:ascii="Times New Roman" w:hAnsi="Times New Roman" w:eastAsia="宋体" w:cs="Times New Roman"/>
                      <w:color w:val="auto"/>
                      <w:sz w:val="21"/>
                      <w:szCs w:val="21"/>
                      <w:highlight w:val="none"/>
                      <w:lang w:val="en-US" w:eastAsia="zh-CN"/>
                    </w:rPr>
                  </w:pPr>
                </w:p>
              </w:tc>
              <w:tc>
                <w:tcPr>
                  <w:tcW w:w="525" w:type="dxa"/>
                  <w:tcBorders>
                    <w:left w:val="single" w:color="auto" w:sz="4" w:space="0"/>
                  </w:tcBorders>
                  <w:shd w:val="clear" w:color="auto" w:fill="auto"/>
                  <w:vAlign w:val="center"/>
                </w:tcPr>
                <w:p w14:paraId="0CBE788A">
                  <w:pPr>
                    <w:spacing w:line="320" w:lineRule="exact"/>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2601" w:type="dxa"/>
                  <w:tcBorders>
                    <w:right w:val="single" w:color="auto" w:sz="4" w:space="0"/>
                  </w:tcBorders>
                  <w:shd w:val="clear" w:color="auto" w:fill="auto"/>
                  <w:vAlign w:val="center"/>
                </w:tcPr>
                <w:p w14:paraId="2E83B44C">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本项目</w:t>
                  </w:r>
                  <w:r>
                    <w:rPr>
                      <w:rFonts w:hint="eastAsia" w:ascii="Times New Roman" w:hAnsi="Times New Roman" w:eastAsia="宋体" w:cs="Times New Roman"/>
                      <w:color w:val="auto"/>
                      <w:sz w:val="21"/>
                      <w:szCs w:val="21"/>
                      <w:highlight w:val="none"/>
                      <w:lang w:val="en-US" w:eastAsia="zh-CN"/>
                    </w:rPr>
                    <w:t>西</w:t>
                  </w:r>
                  <w:r>
                    <w:rPr>
                      <w:rFonts w:hint="eastAsia" w:ascii="Times New Roman" w:hAnsi="Times New Roman" w:eastAsia="宋体" w:cs="Times New Roman"/>
                      <w:color w:val="auto"/>
                      <w:sz w:val="21"/>
                      <w:szCs w:val="21"/>
                      <w:highlight w:val="none"/>
                      <w:lang w:eastAsia="zh-CN"/>
                    </w:rPr>
                    <w:t>侧敏感点处</w:t>
                  </w:r>
                </w:p>
              </w:tc>
              <w:tc>
                <w:tcPr>
                  <w:tcW w:w="1565" w:type="dxa"/>
                  <w:tcBorders>
                    <w:left w:val="single" w:color="auto" w:sz="4" w:space="0"/>
                    <w:right w:val="single" w:color="auto" w:sz="4" w:space="0"/>
                  </w:tcBorders>
                  <w:shd w:val="clear" w:color="auto" w:fill="auto"/>
                  <w:vAlign w:val="center"/>
                </w:tcPr>
                <w:p w14:paraId="788DF64C">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53.0</w:t>
                  </w:r>
                </w:p>
              </w:tc>
              <w:tc>
                <w:tcPr>
                  <w:tcW w:w="1307" w:type="dxa"/>
                  <w:tcBorders>
                    <w:left w:val="single" w:color="auto" w:sz="4" w:space="0"/>
                  </w:tcBorders>
                  <w:shd w:val="clear" w:color="auto" w:fill="auto"/>
                  <w:vAlign w:val="center"/>
                </w:tcPr>
                <w:p w14:paraId="3BE64AA6">
                  <w:pPr>
                    <w:jc w:val="center"/>
                    <w:rPr>
                      <w:rFonts w:hint="eastAsia"/>
                      <w:b w:val="0"/>
                      <w:bCs w:val="0"/>
                      <w:color w:val="auto"/>
                      <w:sz w:val="21"/>
                      <w:szCs w:val="21"/>
                      <w:highlight w:val="none"/>
                      <w:lang w:val="en-US" w:eastAsia="zh-CN"/>
                    </w:rPr>
                  </w:pPr>
                  <w:r>
                    <w:rPr>
                      <w:rFonts w:hint="eastAsia"/>
                      <w:b w:val="0"/>
                      <w:bCs w:val="0"/>
                      <w:color w:val="auto"/>
                      <w:sz w:val="21"/>
                      <w:szCs w:val="21"/>
                      <w:highlight w:val="none"/>
                      <w:lang w:val="en-US" w:eastAsia="zh-CN"/>
                    </w:rPr>
                    <w:t>41.7</w:t>
                  </w:r>
                </w:p>
              </w:tc>
              <w:tc>
                <w:tcPr>
                  <w:tcW w:w="1323" w:type="dxa"/>
                </w:tcPr>
                <w:p w14:paraId="0C503A1E">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敏感点噪声</w:t>
                  </w:r>
                </w:p>
              </w:tc>
            </w:tr>
            <w:tr w14:paraId="253F44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85" w:type="dxa"/>
                  <w:gridSpan w:val="3"/>
                  <w:tcBorders>
                    <w:right w:val="single" w:color="auto" w:sz="4" w:space="0"/>
                  </w:tcBorders>
                  <w:shd w:val="clear" w:color="auto" w:fill="auto"/>
                  <w:vAlign w:val="center"/>
                </w:tcPr>
                <w:p w14:paraId="399AAC85">
                  <w:pPr>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评价标准</w:t>
                  </w:r>
                </w:p>
              </w:tc>
              <w:tc>
                <w:tcPr>
                  <w:tcW w:w="1565" w:type="dxa"/>
                  <w:tcBorders>
                    <w:left w:val="single" w:color="auto" w:sz="4" w:space="0"/>
                    <w:right w:val="single" w:color="auto" w:sz="4" w:space="0"/>
                  </w:tcBorders>
                  <w:shd w:val="clear" w:color="auto" w:fill="auto"/>
                  <w:vAlign w:val="center"/>
                </w:tcPr>
                <w:p w14:paraId="1CF84D71">
                  <w:pPr>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≤60dB（A）</w:t>
                  </w:r>
                </w:p>
              </w:tc>
              <w:tc>
                <w:tcPr>
                  <w:tcW w:w="1307" w:type="dxa"/>
                  <w:tcBorders>
                    <w:left w:val="single" w:color="auto" w:sz="4" w:space="0"/>
                  </w:tcBorders>
                  <w:shd w:val="clear" w:color="auto" w:fill="auto"/>
                  <w:vAlign w:val="center"/>
                </w:tcPr>
                <w:p w14:paraId="7FBE651C">
                  <w:pPr>
                    <w:spacing w:line="320" w:lineRule="exact"/>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≤50dB（A）</w:t>
                  </w:r>
                </w:p>
              </w:tc>
              <w:tc>
                <w:tcPr>
                  <w:tcW w:w="1323" w:type="dxa"/>
                </w:tcPr>
                <w:p w14:paraId="35C4520D">
                  <w:pPr>
                    <w:spacing w:line="320" w:lineRule="exact"/>
                    <w:jc w:val="center"/>
                    <w:rPr>
                      <w:rFonts w:hint="eastAsia" w:ascii="Times New Roman" w:hAnsi="Times New Roman" w:eastAsia="宋体" w:cs="Times New Roman"/>
                      <w:color w:val="auto"/>
                      <w:sz w:val="21"/>
                      <w:szCs w:val="21"/>
                      <w:highlight w:val="none"/>
                      <w:lang w:eastAsia="zh-CN"/>
                    </w:rPr>
                  </w:pPr>
                </w:p>
              </w:tc>
            </w:tr>
          </w:tbl>
          <w:p w14:paraId="65FA16E3">
            <w:pPr>
              <w:keepNext w:val="0"/>
              <w:keepLines w:val="0"/>
              <w:pageBreakBefore w:val="0"/>
              <w:widowControl w:val="0"/>
              <w:kinsoku/>
              <w:wordWrap/>
              <w:overflowPunct/>
              <w:topLinePunct w:val="0"/>
              <w:autoSpaceDE/>
              <w:autoSpaceDN/>
              <w:bidi w:val="0"/>
              <w:snapToGrid/>
              <w:spacing w:line="500" w:lineRule="exact"/>
              <w:ind w:firstLine="480" w:firstLineChars="200"/>
              <w:rPr>
                <w:rFonts w:hint="default" w:ascii="Times New Roman" w:hAnsi="Times New Roman" w:eastAsia="宋体" w:cs="Times New Roman"/>
                <w:bCs/>
                <w:color w:val="auto"/>
                <w:highlight w:val="none"/>
              </w:rPr>
            </w:pPr>
            <w:r>
              <w:rPr>
                <w:rFonts w:hint="eastAsia" w:cs="Times New Roman"/>
                <w:color w:val="auto"/>
                <w:highlight w:val="none"/>
                <w:lang w:val="en-US" w:eastAsia="zh-CN"/>
              </w:rPr>
              <w:t>监测结果可知，</w:t>
            </w:r>
            <w:r>
              <w:rPr>
                <w:rFonts w:hint="default" w:ascii="Times New Roman" w:hAnsi="Times New Roman" w:eastAsia="宋体" w:cs="Times New Roman"/>
                <w:color w:val="auto"/>
                <w:highlight w:val="none"/>
              </w:rPr>
              <w:t>评价区内的声学环境质量应满足《声环境质量标准》(GB3096-2008</w:t>
            </w:r>
            <w:r>
              <w:rPr>
                <w:rFonts w:hint="eastAsia" w:cs="Times New Roman"/>
                <w:color w:val="auto"/>
                <w:highlight w:val="none"/>
                <w:lang w:eastAsia="zh-CN"/>
              </w:rPr>
              <w:t>）</w:t>
            </w:r>
            <w:r>
              <w:rPr>
                <w:rFonts w:hint="default" w:ascii="Times New Roman" w:hAnsi="Times New Roman" w:eastAsia="宋体" w:cs="Times New Roman"/>
                <w:color w:val="auto"/>
                <w:highlight w:val="none"/>
              </w:rPr>
              <w:t>中的</w:t>
            </w:r>
            <w:r>
              <w:rPr>
                <w:rFonts w:hint="eastAsia" w:cs="Times New Roman"/>
                <w:color w:val="auto"/>
                <w:highlight w:val="none"/>
                <w:lang w:val="en-US" w:eastAsia="zh-CN"/>
              </w:rPr>
              <w:t>2</w:t>
            </w:r>
            <w:r>
              <w:rPr>
                <w:rFonts w:hint="default" w:ascii="Times New Roman" w:hAnsi="Times New Roman" w:eastAsia="宋体" w:cs="Times New Roman"/>
                <w:color w:val="auto"/>
                <w:highlight w:val="none"/>
              </w:rPr>
              <w:t>类标准要求。</w:t>
            </w:r>
          </w:p>
          <w:p w14:paraId="5E8ADC28">
            <w:pPr>
              <w:pStyle w:val="84"/>
              <w:keepNext w:val="0"/>
              <w:keepLines w:val="0"/>
              <w:pageBreakBefore w:val="0"/>
              <w:widowControl w:val="0"/>
              <w:kinsoku/>
              <w:wordWrap/>
              <w:overflowPunct/>
              <w:topLinePunct w:val="0"/>
              <w:autoSpaceDE/>
              <w:autoSpaceDN/>
              <w:bidi w:val="0"/>
              <w:snapToGrid/>
              <w:spacing w:line="500" w:lineRule="exact"/>
              <w:ind w:left="0" w:right="0" w:firstLineChars="200"/>
              <w:rPr>
                <w:rFonts w:hint="default" w:ascii="Times New Roman" w:hAnsi="Times New Roman" w:eastAsia="宋体" w:cs="Times New Roman"/>
                <w:b/>
                <w:color w:val="auto"/>
                <w:szCs w:val="24"/>
                <w:highlight w:val="none"/>
              </w:rPr>
            </w:pPr>
            <w:r>
              <w:rPr>
                <w:rFonts w:hint="default" w:ascii="Times New Roman" w:hAnsi="Times New Roman" w:eastAsia="宋体" w:cs="Times New Roman"/>
                <w:b/>
                <w:color w:val="auto"/>
                <w:szCs w:val="24"/>
                <w:highlight w:val="none"/>
              </w:rPr>
              <w:t>四、生态环境现状</w:t>
            </w:r>
          </w:p>
          <w:p w14:paraId="1904F167">
            <w:pPr>
              <w:pStyle w:val="15"/>
              <w:keepNext w:val="0"/>
              <w:keepLines w:val="0"/>
              <w:pageBreakBefore w:val="0"/>
              <w:widowControl w:val="0"/>
              <w:kinsoku/>
              <w:wordWrap/>
              <w:overflowPunct/>
              <w:topLinePunct w:val="0"/>
              <w:autoSpaceDE/>
              <w:autoSpaceDN/>
              <w:bidi w:val="0"/>
              <w:snapToGrid/>
              <w:spacing w:line="500" w:lineRule="exact"/>
              <w:ind w:left="0" w:right="0" w:firstLine="480" w:firstLineChars="200"/>
              <w:jc w:val="both"/>
              <w:textAlignment w:val="auto"/>
              <w:rPr>
                <w:rFonts w:hint="default" w:cs="Times New Roman"/>
                <w:b w:val="0"/>
                <w:bCs/>
                <w:color w:val="auto"/>
                <w:sz w:val="24"/>
                <w:szCs w:val="24"/>
                <w:highlight w:val="none"/>
                <w:lang w:val="en-US" w:eastAsia="zh-CN"/>
              </w:rPr>
            </w:pPr>
            <w:r>
              <w:rPr>
                <w:rFonts w:hint="eastAsia" w:cs="Times New Roman"/>
                <w:b w:val="0"/>
                <w:bCs/>
                <w:color w:val="auto"/>
                <w:sz w:val="24"/>
                <w:szCs w:val="24"/>
                <w:highlight w:val="none"/>
                <w:lang w:val="en-US" w:eastAsia="zh-CN"/>
              </w:rPr>
              <w:t>本项目距离贡嘎山自然保护区和海螺沟国家冰川森林公园在3km以上，距离海螺沟国家地质公园边界在600m以上，距离海螺沟国家地质公园一、二、三级保护区在6km以上，距离贡嘎山风景名胜区一般控制区最近约155m、距离其核心区最近约4.5km。贡嘎山风景名胜区一般控制区位于项目500m评价范围内，但海拔较本项目高约50m以上，本项目运输路线、活动范围均相对远离风景名胜区一般控制区，项目不涉及无害化处理设施，仅排放的恶臭废气经统一治理后排放。因此，本项目对风景名胜区一般控制区不造成负面影响。</w:t>
            </w:r>
          </w:p>
          <w:p w14:paraId="4F79334D">
            <w:pPr>
              <w:pStyle w:val="15"/>
              <w:keepNext w:val="0"/>
              <w:keepLines w:val="0"/>
              <w:pageBreakBefore w:val="0"/>
              <w:widowControl w:val="0"/>
              <w:kinsoku/>
              <w:wordWrap/>
              <w:overflowPunct/>
              <w:topLinePunct w:val="0"/>
              <w:autoSpaceDE/>
              <w:autoSpaceDN/>
              <w:bidi w:val="0"/>
              <w:adjustRightInd/>
              <w:snapToGrid/>
              <w:spacing w:line="500" w:lineRule="exact"/>
              <w:ind w:left="0" w:right="0" w:firstLine="480" w:firstLineChars="200"/>
              <w:jc w:val="both"/>
              <w:textAlignment w:val="auto"/>
              <w:rPr>
                <w:rFonts w:hint="default" w:ascii="Times New Roman" w:hAnsi="Times New Roman" w:eastAsia="宋体" w:cs="Times New Roman"/>
                <w:color w:val="auto"/>
                <w:sz w:val="24"/>
                <w:szCs w:val="24"/>
                <w:highlight w:val="none"/>
              </w:rPr>
            </w:pPr>
            <w:r>
              <w:rPr>
                <w:rFonts w:hint="eastAsia" w:cs="Times New Roman"/>
                <w:b w:val="0"/>
                <w:bCs/>
                <w:color w:val="auto"/>
                <w:sz w:val="24"/>
                <w:szCs w:val="24"/>
                <w:highlight w:val="none"/>
                <w:lang w:val="en-US" w:eastAsia="zh-CN"/>
              </w:rPr>
              <w:t>项目位于泸定县磨西镇磨岗岭村，虽然靠近风景名胜区一般控制区，但所在地周边为村庄、受人为影响较多，周边用地主要为商品林地、农田和农村宅基地。</w:t>
            </w:r>
            <w:r>
              <w:rPr>
                <w:rFonts w:hint="default" w:ascii="Times New Roman" w:hAnsi="Times New Roman" w:eastAsia="宋体" w:cs="Times New Roman"/>
                <w:color w:val="auto"/>
                <w:sz w:val="24"/>
                <w:szCs w:val="24"/>
                <w:highlight w:val="none"/>
              </w:rPr>
              <w:t>五、地下水环境和土壤调查</w:t>
            </w:r>
          </w:p>
          <w:p w14:paraId="767F90F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建设项目环境影响报告表编制技术指南（污染影响类）（试行）》中区域环境质量现状：“原则上不开展环境质量现状调查。建设项目存在土壤、地下水环境污染途径的，应结合污染源、保护目标分布情况开展现状调查以留作背景值。”</w:t>
            </w:r>
          </w:p>
          <w:p w14:paraId="23B8F95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highlight w:val="none"/>
              </w:rPr>
            </w:pPr>
            <w:r>
              <w:rPr>
                <w:rFonts w:hint="eastAsia" w:cs="Times New Roman"/>
                <w:color w:val="auto"/>
                <w:highlight w:val="none"/>
                <w:lang w:val="en-US" w:eastAsia="zh-CN"/>
              </w:rPr>
              <w:t>项目周边不涉及集中式饮用水水源和热水、矿泉水、温泉等特殊地下水资源保护区，不开展地下水环境调查和评价，不开展土壤环境调查和评价。</w:t>
            </w:r>
          </w:p>
        </w:tc>
      </w:tr>
      <w:tr w14:paraId="78A75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0" w:type="dxa"/>
            <w:vAlign w:val="center"/>
          </w:tcPr>
          <w:p w14:paraId="48C715F5">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环境保护目标</w:t>
            </w:r>
          </w:p>
        </w:tc>
        <w:tc>
          <w:tcPr>
            <w:tcW w:w="8222" w:type="dxa"/>
            <w:vAlign w:val="center"/>
          </w:tcPr>
          <w:p w14:paraId="57830CA3">
            <w:pPr>
              <w:pStyle w:val="97"/>
              <w:keepNext w:val="0"/>
              <w:keepLines w:val="0"/>
              <w:pageBreakBefore w:val="0"/>
              <w:widowControl w:val="0"/>
              <w:kinsoku/>
              <w:wordWrap/>
              <w:overflowPunct/>
              <w:topLinePunct w:val="0"/>
              <w:autoSpaceDE/>
              <w:autoSpaceDN/>
              <w:bidi w:val="0"/>
              <w:adjustRightInd w:val="0"/>
              <w:snapToGrid w:val="0"/>
              <w:spacing w:line="500" w:lineRule="exact"/>
              <w:ind w:firstLine="480"/>
              <w:textAlignment w:val="auto"/>
              <w:rPr>
                <w:rFonts w:hint="default" w:cs="Times New Roman"/>
                <w:color w:val="auto"/>
                <w:highlight w:val="none"/>
                <w:lang w:val="en-US" w:eastAsia="zh-CN"/>
              </w:rPr>
            </w:pPr>
            <w:r>
              <w:rPr>
                <w:rFonts w:hint="eastAsia" w:cs="Times New Roman"/>
                <w:color w:val="auto"/>
                <w:highlight w:val="none"/>
                <w:lang w:val="en-US" w:eastAsia="zh-CN"/>
              </w:rPr>
              <w:t>本项目周边500米评价范围内主要分布有泸定县磨西镇磨岗岭村村民、牛坪村村民以及磨西镇场镇，以及地表水雅家梗河（相距最近约150m），不涉及地下水集中式饮用水水源、热水、矿泉水、温泉等特殊地下水资源。</w:t>
            </w:r>
          </w:p>
          <w:p w14:paraId="5B1AFFD4">
            <w:pPr>
              <w:pStyle w:val="97"/>
              <w:keepNext w:val="0"/>
              <w:keepLines w:val="0"/>
              <w:pageBreakBefore w:val="0"/>
              <w:widowControl w:val="0"/>
              <w:kinsoku/>
              <w:wordWrap/>
              <w:overflowPunct/>
              <w:topLinePunct w:val="0"/>
              <w:autoSpaceDE/>
              <w:autoSpaceDN/>
              <w:bidi w:val="0"/>
              <w:adjustRightInd w:val="0"/>
              <w:snapToGrid w:val="0"/>
              <w:spacing w:line="500" w:lineRule="exact"/>
              <w:ind w:firstLine="480"/>
              <w:textAlignment w:val="auto"/>
              <w:rPr>
                <w:rFonts w:hint="eastAsia" w:cs="Times New Roman"/>
                <w:color w:val="auto"/>
                <w:highlight w:val="none"/>
                <w:lang w:val="en-US" w:eastAsia="zh-CN"/>
              </w:rPr>
            </w:pPr>
            <w:r>
              <w:rPr>
                <w:rFonts w:hint="eastAsia" w:cs="Times New Roman"/>
                <w:color w:val="auto"/>
                <w:highlight w:val="none"/>
                <w:lang w:val="en-US" w:eastAsia="zh-CN"/>
              </w:rPr>
              <w:t>此外，环评评价范围外，磨西镇镇域位于本项目西南侧至西北侧300m~1.5km范围内。项目周边的地表水体还有燕子沟，燕子沟位于项目西侧约850m处，是本项目废水最终纳污水体（废水预处理后，罐车运输至磨西镇生活污水处理厂处理达标后，排至燕子沟）。</w:t>
            </w:r>
          </w:p>
          <w:p w14:paraId="54C7D487">
            <w:pPr>
              <w:pStyle w:val="15"/>
              <w:keepNext w:val="0"/>
              <w:keepLines w:val="0"/>
              <w:pageBreakBefore w:val="0"/>
              <w:widowControl w:val="0"/>
              <w:kinsoku/>
              <w:wordWrap/>
              <w:overflowPunct/>
              <w:topLinePunct w:val="0"/>
              <w:autoSpaceDE/>
              <w:autoSpaceDN/>
              <w:bidi w:val="0"/>
              <w:snapToGrid/>
              <w:spacing w:line="500" w:lineRule="exact"/>
              <w:ind w:left="0" w:right="0" w:firstLine="480" w:firstLineChars="200"/>
              <w:jc w:val="both"/>
              <w:textAlignment w:val="auto"/>
              <w:rPr>
                <w:rFonts w:hint="default" w:cs="Times New Roman"/>
                <w:b w:val="0"/>
                <w:bCs/>
                <w:color w:val="auto"/>
                <w:sz w:val="24"/>
                <w:szCs w:val="24"/>
                <w:highlight w:val="none"/>
                <w:lang w:val="en-US" w:eastAsia="zh-CN"/>
              </w:rPr>
            </w:pPr>
            <w:r>
              <w:rPr>
                <w:rFonts w:hint="eastAsia" w:cs="Times New Roman"/>
                <w:b w:val="0"/>
                <w:bCs/>
                <w:color w:val="auto"/>
                <w:sz w:val="24"/>
                <w:szCs w:val="24"/>
                <w:highlight w:val="none"/>
                <w:lang w:val="en-US" w:eastAsia="zh-CN"/>
              </w:rPr>
              <w:t>本项目距离贡嘎山自然保护区和海螺沟国家冰川森林公园在3km以上，距离海螺沟国家地质公园边界在600m以上，距离海螺沟国家地质公园一、二、三级保护区在6km以上，距离贡嘎山风景名胜区一般控制区（东侧）最近约155m、距一般控制区（西侧）最近约700m，距离贡嘎山风景名胜区核心区（西侧）最近约4.5km。贡嘎山风景名胜区一般控制区位于项目500m评价范围内。</w:t>
            </w:r>
          </w:p>
          <w:p w14:paraId="33E2373E">
            <w:pPr>
              <w:pStyle w:val="97"/>
              <w:keepNext w:val="0"/>
              <w:keepLines w:val="0"/>
              <w:pageBreakBefore w:val="0"/>
              <w:widowControl w:val="0"/>
              <w:kinsoku/>
              <w:wordWrap/>
              <w:overflowPunct/>
              <w:topLinePunct w:val="0"/>
              <w:autoSpaceDE/>
              <w:autoSpaceDN/>
              <w:bidi w:val="0"/>
              <w:adjustRightInd w:val="0"/>
              <w:snapToGrid w:val="0"/>
              <w:spacing w:before="157" w:beforeLines="50"/>
              <w:ind w:firstLine="48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本项目主要环境保护目标情况见下表。</w:t>
            </w:r>
          </w:p>
          <w:p w14:paraId="37550A76">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项目主要环境保护目标一览表</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871"/>
              <w:gridCol w:w="1000"/>
              <w:gridCol w:w="1148"/>
              <w:gridCol w:w="906"/>
              <w:gridCol w:w="1148"/>
              <w:gridCol w:w="1372"/>
              <w:gridCol w:w="6"/>
              <w:gridCol w:w="1942"/>
            </w:tblGrid>
            <w:tr w14:paraId="60AFA0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Align w:val="center"/>
                </w:tcPr>
                <w:p w14:paraId="0E1E5E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环境</w:t>
                  </w:r>
                </w:p>
                <w:p w14:paraId="122789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要素</w:t>
                  </w:r>
                </w:p>
              </w:tc>
              <w:tc>
                <w:tcPr>
                  <w:tcW w:w="1000" w:type="dxa"/>
                  <w:vAlign w:val="center"/>
                </w:tcPr>
                <w:p w14:paraId="42D69A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环境目标保护名称</w:t>
                  </w:r>
                </w:p>
              </w:tc>
              <w:tc>
                <w:tcPr>
                  <w:tcW w:w="1148" w:type="dxa"/>
                  <w:vAlign w:val="center"/>
                </w:tcPr>
                <w:p w14:paraId="77B182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相对方位/距离m</w:t>
                  </w:r>
                </w:p>
              </w:tc>
              <w:tc>
                <w:tcPr>
                  <w:tcW w:w="906" w:type="dxa"/>
                  <w:vAlign w:val="center"/>
                </w:tcPr>
                <w:p w14:paraId="3710AE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eastAsia" w:cs="Times New Roman"/>
                      <w:b/>
                      <w:bCs/>
                      <w:color w:val="auto"/>
                      <w:sz w:val="18"/>
                      <w:szCs w:val="18"/>
                      <w:highlight w:val="none"/>
                      <w:lang w:val="en-US" w:eastAsia="zh-CN"/>
                    </w:rPr>
                    <w:t>海拔高差</w:t>
                  </w:r>
                </w:p>
              </w:tc>
              <w:tc>
                <w:tcPr>
                  <w:tcW w:w="1148" w:type="dxa"/>
                  <w:vAlign w:val="center"/>
                </w:tcPr>
                <w:p w14:paraId="154064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保护对象</w:t>
                  </w:r>
                </w:p>
              </w:tc>
              <w:tc>
                <w:tcPr>
                  <w:tcW w:w="1372" w:type="dxa"/>
                  <w:vAlign w:val="center"/>
                </w:tcPr>
                <w:p w14:paraId="3B7172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保护内容</w:t>
                  </w:r>
                </w:p>
              </w:tc>
              <w:tc>
                <w:tcPr>
                  <w:tcW w:w="1948" w:type="dxa"/>
                  <w:gridSpan w:val="2"/>
                  <w:vAlign w:val="center"/>
                </w:tcPr>
                <w:p w14:paraId="6180F6F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保护级别</w:t>
                  </w:r>
                </w:p>
              </w:tc>
            </w:tr>
            <w:tr w14:paraId="5896E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restart"/>
                  <w:vAlign w:val="center"/>
                </w:tcPr>
                <w:p w14:paraId="21C1285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大气环境</w:t>
                  </w:r>
                </w:p>
              </w:tc>
              <w:tc>
                <w:tcPr>
                  <w:tcW w:w="1000" w:type="dxa"/>
                  <w:vAlign w:val="center"/>
                </w:tcPr>
                <w:p w14:paraId="0663C3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磨岗岭村居民聚集点一</w:t>
                  </w:r>
                </w:p>
              </w:tc>
              <w:tc>
                <w:tcPr>
                  <w:tcW w:w="1148" w:type="dxa"/>
                  <w:vAlign w:val="center"/>
                </w:tcPr>
                <w:p w14:paraId="35589A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西</w:t>
                  </w:r>
                  <w:r>
                    <w:rPr>
                      <w:rFonts w:hint="eastAsia" w:cs="Times New Roman"/>
                      <w:color w:val="auto"/>
                      <w:sz w:val="18"/>
                      <w:szCs w:val="18"/>
                      <w:highlight w:val="none"/>
                      <w:lang w:val="en-US" w:eastAsia="zh-CN"/>
                    </w:rPr>
                    <w:t>北</w:t>
                  </w:r>
                  <w:r>
                    <w:rPr>
                      <w:rFonts w:hint="default" w:ascii="Times New Roman" w:hAnsi="Times New Roman" w:eastAsia="宋体" w:cs="Times New Roman"/>
                      <w:color w:val="auto"/>
                      <w:sz w:val="18"/>
                      <w:szCs w:val="18"/>
                      <w:highlight w:val="none"/>
                      <w:lang w:val="en-US" w:eastAsia="zh-CN"/>
                    </w:rPr>
                    <w:t>侧，</w:t>
                  </w:r>
                  <w:r>
                    <w:rPr>
                      <w:rFonts w:hint="eastAsia" w:cs="Times New Roman"/>
                      <w:color w:val="auto"/>
                      <w:sz w:val="18"/>
                      <w:szCs w:val="18"/>
                      <w:highlight w:val="none"/>
                      <w:lang w:val="en-US" w:eastAsia="zh-CN"/>
                    </w:rPr>
                    <w:t>约43</w:t>
                  </w:r>
                  <w:r>
                    <w:rPr>
                      <w:rFonts w:hint="default" w:ascii="Times New Roman" w:hAnsi="Times New Roman" w:eastAsia="宋体" w:cs="Times New Roman"/>
                      <w:color w:val="auto"/>
                      <w:sz w:val="18"/>
                      <w:szCs w:val="18"/>
                      <w:highlight w:val="none"/>
                      <w:lang w:val="en-US" w:eastAsia="zh-CN"/>
                    </w:rPr>
                    <w:t>m</w:t>
                  </w:r>
                </w:p>
              </w:tc>
              <w:tc>
                <w:tcPr>
                  <w:tcW w:w="906" w:type="dxa"/>
                  <w:vAlign w:val="center"/>
                </w:tcPr>
                <w:p w14:paraId="30B6453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-10m</w:t>
                  </w:r>
                </w:p>
              </w:tc>
              <w:tc>
                <w:tcPr>
                  <w:tcW w:w="1148" w:type="dxa"/>
                  <w:vAlign w:val="center"/>
                </w:tcPr>
                <w:p w14:paraId="2FB553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居民区</w:t>
                  </w:r>
                </w:p>
              </w:tc>
              <w:tc>
                <w:tcPr>
                  <w:tcW w:w="1372" w:type="dxa"/>
                  <w:vAlign w:val="center"/>
                </w:tcPr>
                <w:p w14:paraId="4DCD22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约</w:t>
                  </w:r>
                  <w:r>
                    <w:rPr>
                      <w:rFonts w:hint="eastAsia" w:cs="Times New Roman"/>
                      <w:color w:val="auto"/>
                      <w:sz w:val="18"/>
                      <w:szCs w:val="18"/>
                      <w:highlight w:val="none"/>
                      <w:lang w:val="en-US" w:eastAsia="zh-CN"/>
                    </w:rPr>
                    <w:t>1户、</w:t>
                  </w:r>
                </w:p>
                <w:p w14:paraId="7B403F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5人</w:t>
                  </w:r>
                </w:p>
              </w:tc>
              <w:tc>
                <w:tcPr>
                  <w:tcW w:w="1948" w:type="dxa"/>
                  <w:gridSpan w:val="2"/>
                  <w:vMerge w:val="restart"/>
                  <w:vAlign w:val="center"/>
                </w:tcPr>
                <w:p w14:paraId="16A49F5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《环境空气质量标准》(GB3095-2012</w:t>
                  </w:r>
                  <w:r>
                    <w:rPr>
                      <w:rFonts w:hint="eastAsia"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中二级标准</w:t>
                  </w:r>
                </w:p>
                <w:p w14:paraId="120EEF4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（评价范围内）</w:t>
                  </w:r>
                </w:p>
              </w:tc>
            </w:tr>
            <w:tr w14:paraId="4E56A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21A666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00" w:type="dxa"/>
                  <w:shd w:val="clear" w:color="auto" w:fill="auto"/>
                  <w:vAlign w:val="center"/>
                </w:tcPr>
                <w:p w14:paraId="14D0707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磨岗岭村居民聚集点一</w:t>
                  </w:r>
                </w:p>
              </w:tc>
              <w:tc>
                <w:tcPr>
                  <w:tcW w:w="1148" w:type="dxa"/>
                  <w:shd w:val="clear" w:color="auto" w:fill="auto"/>
                  <w:vAlign w:val="center"/>
                </w:tcPr>
                <w:p w14:paraId="73609B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西</w:t>
                  </w:r>
                  <w:r>
                    <w:rPr>
                      <w:rFonts w:hint="eastAsia" w:cs="Times New Roman"/>
                      <w:color w:val="auto"/>
                      <w:sz w:val="18"/>
                      <w:szCs w:val="18"/>
                      <w:highlight w:val="none"/>
                      <w:lang w:val="en-US" w:eastAsia="zh-CN"/>
                    </w:rPr>
                    <w:t>北</w:t>
                  </w:r>
                  <w:r>
                    <w:rPr>
                      <w:rFonts w:hint="default" w:ascii="Times New Roman" w:hAnsi="Times New Roman" w:eastAsia="宋体" w:cs="Times New Roman"/>
                      <w:color w:val="auto"/>
                      <w:sz w:val="18"/>
                      <w:szCs w:val="18"/>
                      <w:highlight w:val="none"/>
                      <w:lang w:val="en-US" w:eastAsia="zh-CN"/>
                    </w:rPr>
                    <w:t>侧，</w:t>
                  </w:r>
                  <w:r>
                    <w:rPr>
                      <w:rFonts w:hint="eastAsia" w:ascii="Times New Roman" w:hAnsi="Times New Roman" w:eastAsia="宋体" w:cs="Times New Roman"/>
                      <w:color w:val="auto"/>
                      <w:sz w:val="18"/>
                      <w:szCs w:val="18"/>
                      <w:highlight w:val="none"/>
                      <w:lang w:val="en-US" w:eastAsia="zh-CN"/>
                    </w:rPr>
                    <w:t>约</w:t>
                  </w:r>
                  <w:r>
                    <w:rPr>
                      <w:rFonts w:hint="eastAsia" w:cs="Times New Roman"/>
                      <w:color w:val="auto"/>
                      <w:sz w:val="18"/>
                      <w:szCs w:val="18"/>
                      <w:highlight w:val="none"/>
                      <w:lang w:val="en-US" w:eastAsia="zh-CN"/>
                    </w:rPr>
                    <w:t>50~100</w:t>
                  </w:r>
                  <w:r>
                    <w:rPr>
                      <w:rFonts w:hint="default" w:ascii="Times New Roman" w:hAnsi="Times New Roman" w:eastAsia="宋体" w:cs="Times New Roman"/>
                      <w:color w:val="auto"/>
                      <w:sz w:val="18"/>
                      <w:szCs w:val="18"/>
                      <w:highlight w:val="none"/>
                      <w:lang w:val="en-US" w:eastAsia="zh-CN"/>
                    </w:rPr>
                    <w:t>m</w:t>
                  </w:r>
                </w:p>
              </w:tc>
              <w:tc>
                <w:tcPr>
                  <w:tcW w:w="906" w:type="dxa"/>
                  <w:shd w:val="clear" w:color="auto" w:fill="auto"/>
                  <w:vAlign w:val="center"/>
                </w:tcPr>
                <w:p w14:paraId="0A6D80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-10m</w:t>
                  </w:r>
                </w:p>
              </w:tc>
              <w:tc>
                <w:tcPr>
                  <w:tcW w:w="1148" w:type="dxa"/>
                  <w:shd w:val="clear" w:color="auto" w:fill="auto"/>
                  <w:vAlign w:val="center"/>
                </w:tcPr>
                <w:p w14:paraId="3FB7F1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居民区</w:t>
                  </w:r>
                </w:p>
              </w:tc>
              <w:tc>
                <w:tcPr>
                  <w:tcW w:w="1372" w:type="dxa"/>
                  <w:shd w:val="clear" w:color="auto" w:fill="auto"/>
                  <w:vAlign w:val="center"/>
                </w:tcPr>
                <w:p w14:paraId="1C4FDD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约</w:t>
                  </w:r>
                  <w:r>
                    <w:rPr>
                      <w:rFonts w:hint="eastAsia" w:cs="Times New Roman"/>
                      <w:color w:val="auto"/>
                      <w:sz w:val="18"/>
                      <w:szCs w:val="18"/>
                      <w:highlight w:val="none"/>
                      <w:lang w:val="en-US" w:eastAsia="zh-CN"/>
                    </w:rPr>
                    <w:t>2户、</w:t>
                  </w:r>
                </w:p>
                <w:p w14:paraId="6D7696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s="Times New Roman"/>
                      <w:color w:val="auto"/>
                      <w:sz w:val="18"/>
                      <w:szCs w:val="18"/>
                      <w:highlight w:val="none"/>
                      <w:lang w:val="en-US" w:eastAsia="zh-CN"/>
                    </w:rPr>
                    <w:t>8人</w:t>
                  </w:r>
                </w:p>
              </w:tc>
              <w:tc>
                <w:tcPr>
                  <w:tcW w:w="1948" w:type="dxa"/>
                  <w:gridSpan w:val="2"/>
                  <w:vMerge w:val="continue"/>
                  <w:vAlign w:val="center"/>
                </w:tcPr>
                <w:p w14:paraId="432A43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p>
              </w:tc>
            </w:tr>
            <w:tr w14:paraId="1B18A2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76943D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00" w:type="dxa"/>
                  <w:vAlign w:val="center"/>
                </w:tcPr>
                <w:p w14:paraId="4D1693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磨岗岭村居民聚集点二</w:t>
                  </w:r>
                </w:p>
              </w:tc>
              <w:tc>
                <w:tcPr>
                  <w:tcW w:w="1148" w:type="dxa"/>
                  <w:vAlign w:val="center"/>
                </w:tcPr>
                <w:p w14:paraId="015F4A2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西北北侧，</w:t>
                  </w:r>
                </w:p>
                <w:p w14:paraId="612131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约100~400m</w:t>
                  </w:r>
                </w:p>
              </w:tc>
              <w:tc>
                <w:tcPr>
                  <w:tcW w:w="906" w:type="dxa"/>
                  <w:vAlign w:val="center"/>
                </w:tcPr>
                <w:p w14:paraId="48AA7E6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+15m</w:t>
                  </w:r>
                </w:p>
              </w:tc>
              <w:tc>
                <w:tcPr>
                  <w:tcW w:w="1148" w:type="dxa"/>
                  <w:vAlign w:val="center"/>
                </w:tcPr>
                <w:p w14:paraId="7AD5F92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居民区</w:t>
                  </w:r>
                </w:p>
              </w:tc>
              <w:tc>
                <w:tcPr>
                  <w:tcW w:w="1372" w:type="dxa"/>
                  <w:vAlign w:val="center"/>
                </w:tcPr>
                <w:p w14:paraId="06BDAF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约13户、</w:t>
                  </w:r>
                </w:p>
                <w:p w14:paraId="7EE31A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70人</w:t>
                  </w:r>
                </w:p>
              </w:tc>
              <w:tc>
                <w:tcPr>
                  <w:tcW w:w="1948" w:type="dxa"/>
                  <w:gridSpan w:val="2"/>
                  <w:vMerge w:val="continue"/>
                  <w:vAlign w:val="center"/>
                </w:tcPr>
                <w:p w14:paraId="2D0539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1F1EC2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2D7888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00" w:type="dxa"/>
                  <w:vAlign w:val="center"/>
                </w:tcPr>
                <w:p w14:paraId="301F597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牛坪村</w:t>
                  </w:r>
                </w:p>
              </w:tc>
              <w:tc>
                <w:tcPr>
                  <w:tcW w:w="1148" w:type="dxa"/>
                  <w:vAlign w:val="center"/>
                </w:tcPr>
                <w:p w14:paraId="101E0D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西北侧</w:t>
                  </w:r>
                  <w:r>
                    <w:rPr>
                      <w:rFonts w:hint="default"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400~500</w:t>
                  </w:r>
                  <w:r>
                    <w:rPr>
                      <w:rFonts w:hint="default" w:ascii="Times New Roman" w:hAnsi="Times New Roman" w:eastAsia="宋体" w:cs="Times New Roman"/>
                      <w:color w:val="auto"/>
                      <w:sz w:val="18"/>
                      <w:szCs w:val="18"/>
                      <w:highlight w:val="none"/>
                      <w:lang w:val="en-US" w:eastAsia="zh-CN"/>
                    </w:rPr>
                    <w:t>m</w:t>
                  </w:r>
                </w:p>
              </w:tc>
              <w:tc>
                <w:tcPr>
                  <w:tcW w:w="906" w:type="dxa"/>
                  <w:vAlign w:val="center"/>
                </w:tcPr>
                <w:p w14:paraId="5B4B33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+30m</w:t>
                  </w:r>
                </w:p>
              </w:tc>
              <w:tc>
                <w:tcPr>
                  <w:tcW w:w="1148" w:type="dxa"/>
                  <w:vAlign w:val="center"/>
                </w:tcPr>
                <w:p w14:paraId="4A396EC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居民区</w:t>
                  </w:r>
                </w:p>
              </w:tc>
              <w:tc>
                <w:tcPr>
                  <w:tcW w:w="1372" w:type="dxa"/>
                  <w:vAlign w:val="center"/>
                </w:tcPr>
                <w:p w14:paraId="424AA06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约</w:t>
                  </w:r>
                  <w:r>
                    <w:rPr>
                      <w:rFonts w:hint="eastAsia" w:cs="Times New Roman"/>
                      <w:color w:val="auto"/>
                      <w:sz w:val="18"/>
                      <w:szCs w:val="18"/>
                      <w:highlight w:val="none"/>
                      <w:lang w:val="en-US" w:eastAsia="zh-CN"/>
                    </w:rPr>
                    <w:t>3户、</w:t>
                  </w:r>
                </w:p>
                <w:p w14:paraId="21138B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15人</w:t>
                  </w:r>
                </w:p>
              </w:tc>
              <w:tc>
                <w:tcPr>
                  <w:tcW w:w="1948" w:type="dxa"/>
                  <w:gridSpan w:val="2"/>
                  <w:vMerge w:val="continue"/>
                  <w:vAlign w:val="center"/>
                </w:tcPr>
                <w:p w14:paraId="6EA369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01FD8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65D210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00" w:type="dxa"/>
                  <w:vAlign w:val="center"/>
                </w:tcPr>
                <w:p w14:paraId="6E5395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磨西镇</w:t>
                  </w:r>
                </w:p>
                <w:p w14:paraId="262591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场镇（含民宿、咱地村村委会）</w:t>
                  </w:r>
                </w:p>
              </w:tc>
              <w:tc>
                <w:tcPr>
                  <w:tcW w:w="1148" w:type="dxa"/>
                  <w:vAlign w:val="center"/>
                </w:tcPr>
                <w:p w14:paraId="0237C2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西南侧，</w:t>
                  </w:r>
                  <w:r>
                    <w:rPr>
                      <w:rFonts w:hint="eastAsia" w:cs="Times New Roman"/>
                      <w:color w:val="auto"/>
                      <w:sz w:val="18"/>
                      <w:szCs w:val="18"/>
                      <w:highlight w:val="none"/>
                      <w:lang w:val="en-US" w:eastAsia="zh-CN"/>
                    </w:rPr>
                    <w:t>300~500</w:t>
                  </w:r>
                  <w:r>
                    <w:rPr>
                      <w:rFonts w:hint="default" w:ascii="Times New Roman" w:hAnsi="Times New Roman" w:eastAsia="宋体" w:cs="Times New Roman"/>
                      <w:color w:val="auto"/>
                      <w:sz w:val="18"/>
                      <w:szCs w:val="18"/>
                      <w:highlight w:val="none"/>
                      <w:lang w:val="en-US" w:eastAsia="zh-CN"/>
                    </w:rPr>
                    <w:t>m</w:t>
                  </w:r>
                </w:p>
              </w:tc>
              <w:tc>
                <w:tcPr>
                  <w:tcW w:w="906" w:type="dxa"/>
                  <w:vAlign w:val="center"/>
                </w:tcPr>
                <w:p w14:paraId="7303313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-7m~-15m</w:t>
                  </w:r>
                </w:p>
              </w:tc>
              <w:tc>
                <w:tcPr>
                  <w:tcW w:w="1148" w:type="dxa"/>
                  <w:vAlign w:val="center"/>
                </w:tcPr>
                <w:p w14:paraId="4B9EFE9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集镇区</w:t>
                  </w:r>
                </w:p>
              </w:tc>
              <w:tc>
                <w:tcPr>
                  <w:tcW w:w="1372" w:type="dxa"/>
                  <w:vAlign w:val="center"/>
                </w:tcPr>
                <w:p w14:paraId="484E6F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约200人</w:t>
                  </w:r>
                </w:p>
              </w:tc>
              <w:tc>
                <w:tcPr>
                  <w:tcW w:w="1948" w:type="dxa"/>
                  <w:gridSpan w:val="2"/>
                  <w:vMerge w:val="continue"/>
                  <w:vAlign w:val="center"/>
                </w:tcPr>
                <w:p w14:paraId="7819AB4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r>
            <w:tr w14:paraId="7DF617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6406DA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00" w:type="dxa"/>
                  <w:vAlign w:val="center"/>
                </w:tcPr>
                <w:p w14:paraId="1BE3376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磨西镇镇域（含海螺沟中学、海螺沟景区管理局、民宿宾馆等）</w:t>
                  </w:r>
                </w:p>
              </w:tc>
              <w:tc>
                <w:tcPr>
                  <w:tcW w:w="1148" w:type="dxa"/>
                  <w:vAlign w:val="center"/>
                </w:tcPr>
                <w:p w14:paraId="7AFCFA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西南侧、西北侧300m~1.5km</w:t>
                  </w:r>
                </w:p>
              </w:tc>
              <w:tc>
                <w:tcPr>
                  <w:tcW w:w="906" w:type="dxa"/>
                  <w:vAlign w:val="center"/>
                </w:tcPr>
                <w:p w14:paraId="1BDEA0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color w:val="auto"/>
                      <w:sz w:val="18"/>
                      <w:szCs w:val="18"/>
                      <w:highlight w:val="none"/>
                      <w:lang w:val="en-US" w:eastAsia="zh-CN"/>
                    </w:rPr>
                  </w:pPr>
                  <w:r>
                    <w:rPr>
                      <w:rFonts w:hint="eastAsia" w:cs="Times New Roman"/>
                      <w:color w:val="auto"/>
                      <w:sz w:val="18"/>
                      <w:szCs w:val="18"/>
                      <w:highlight w:val="none"/>
                      <w:lang w:val="en-US" w:eastAsia="zh-CN"/>
                    </w:rPr>
                    <w:t>-7m~-20m</w:t>
                  </w:r>
                </w:p>
              </w:tc>
              <w:tc>
                <w:tcPr>
                  <w:tcW w:w="1148" w:type="dxa"/>
                  <w:vAlign w:val="center"/>
                </w:tcPr>
                <w:p w14:paraId="4E485B7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集镇区</w:t>
                  </w:r>
                </w:p>
              </w:tc>
              <w:tc>
                <w:tcPr>
                  <w:tcW w:w="1372" w:type="dxa"/>
                  <w:vAlign w:val="center"/>
                </w:tcPr>
                <w:p w14:paraId="634DA95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5000~6000人</w:t>
                  </w:r>
                </w:p>
              </w:tc>
              <w:tc>
                <w:tcPr>
                  <w:tcW w:w="1948" w:type="dxa"/>
                  <w:gridSpan w:val="2"/>
                  <w:vAlign w:val="center"/>
                </w:tcPr>
                <w:p w14:paraId="3DE4DF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《环境空气质量标准》(GB3095-2012</w:t>
                  </w:r>
                  <w:r>
                    <w:rPr>
                      <w:rFonts w:hint="eastAsia"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中二级标准</w:t>
                  </w:r>
                </w:p>
              </w:tc>
            </w:tr>
            <w:tr w14:paraId="69EEEB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549625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p>
              </w:tc>
              <w:tc>
                <w:tcPr>
                  <w:tcW w:w="1000" w:type="dxa"/>
                  <w:vAlign w:val="center"/>
                </w:tcPr>
                <w:p w14:paraId="7DE1FA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贡嘎山风景名胜区一般控制区</w:t>
                  </w:r>
                </w:p>
              </w:tc>
              <w:tc>
                <w:tcPr>
                  <w:tcW w:w="1148" w:type="dxa"/>
                  <w:vAlign w:val="center"/>
                </w:tcPr>
                <w:p w14:paraId="21A3B6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东侧155m</w:t>
                  </w:r>
                </w:p>
              </w:tc>
              <w:tc>
                <w:tcPr>
                  <w:tcW w:w="906" w:type="dxa"/>
                  <w:vAlign w:val="center"/>
                </w:tcPr>
                <w:p w14:paraId="5F51F1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50m</w:t>
                  </w:r>
                </w:p>
              </w:tc>
              <w:tc>
                <w:tcPr>
                  <w:tcW w:w="1148" w:type="dxa"/>
                  <w:vAlign w:val="center"/>
                </w:tcPr>
                <w:p w14:paraId="561AA5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风景名胜区一般控制区</w:t>
                  </w:r>
                </w:p>
              </w:tc>
              <w:tc>
                <w:tcPr>
                  <w:tcW w:w="1372" w:type="dxa"/>
                  <w:vAlign w:val="center"/>
                </w:tcPr>
                <w:p w14:paraId="74FCDC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w:t>
                  </w:r>
                </w:p>
              </w:tc>
              <w:tc>
                <w:tcPr>
                  <w:tcW w:w="1948" w:type="dxa"/>
                  <w:gridSpan w:val="2"/>
                  <w:vAlign w:val="center"/>
                </w:tcPr>
                <w:p w14:paraId="666933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《环境空气质量标准》(GB3095-2012</w:t>
                  </w:r>
                  <w:r>
                    <w:rPr>
                      <w:rFonts w:hint="eastAsia" w:cs="Times New Roman"/>
                      <w:color w:val="auto"/>
                      <w:sz w:val="18"/>
                      <w:szCs w:val="18"/>
                      <w:highlight w:val="none"/>
                      <w:lang w:val="en-US" w:eastAsia="zh-CN"/>
                    </w:rPr>
                    <w:t>）</w:t>
                  </w:r>
                  <w:r>
                    <w:rPr>
                      <w:rFonts w:hint="default" w:ascii="Times New Roman" w:hAnsi="Times New Roman" w:eastAsia="宋体" w:cs="Times New Roman"/>
                      <w:color w:val="auto"/>
                      <w:sz w:val="18"/>
                      <w:szCs w:val="18"/>
                      <w:highlight w:val="none"/>
                      <w:lang w:val="en-US" w:eastAsia="zh-CN"/>
                    </w:rPr>
                    <w:t>中</w:t>
                  </w:r>
                  <w:r>
                    <w:rPr>
                      <w:rFonts w:hint="eastAsia" w:cs="Times New Roman"/>
                      <w:color w:val="auto"/>
                      <w:sz w:val="18"/>
                      <w:szCs w:val="18"/>
                      <w:highlight w:val="none"/>
                      <w:lang w:val="en-US" w:eastAsia="zh-CN"/>
                    </w:rPr>
                    <w:t>一</w:t>
                  </w:r>
                  <w:r>
                    <w:rPr>
                      <w:rFonts w:hint="default" w:ascii="Times New Roman" w:hAnsi="Times New Roman" w:eastAsia="宋体" w:cs="Times New Roman"/>
                      <w:color w:val="auto"/>
                      <w:sz w:val="18"/>
                      <w:szCs w:val="18"/>
                      <w:highlight w:val="none"/>
                      <w:lang w:val="en-US" w:eastAsia="zh-CN"/>
                    </w:rPr>
                    <w:t>级标准</w:t>
                  </w:r>
                </w:p>
              </w:tc>
            </w:tr>
            <w:tr w14:paraId="73264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Align w:val="center"/>
                </w:tcPr>
                <w:p w14:paraId="1DC129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声环境</w:t>
                  </w:r>
                </w:p>
              </w:tc>
              <w:tc>
                <w:tcPr>
                  <w:tcW w:w="1000" w:type="dxa"/>
                  <w:vAlign w:val="center"/>
                </w:tcPr>
                <w:p w14:paraId="53AA44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4574" w:type="dxa"/>
                  <w:gridSpan w:val="4"/>
                  <w:vAlign w:val="center"/>
                </w:tcPr>
                <w:p w14:paraId="771B8B3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项目厂界外</w:t>
                  </w:r>
                  <w:r>
                    <w:rPr>
                      <w:rFonts w:hint="eastAsia" w:cs="Times New Roman"/>
                      <w:color w:val="auto"/>
                      <w:sz w:val="18"/>
                      <w:szCs w:val="18"/>
                      <w:highlight w:val="none"/>
                      <w:lang w:val="en-US" w:eastAsia="zh-CN"/>
                    </w:rPr>
                    <w:t>约43</w:t>
                  </w:r>
                  <w:r>
                    <w:rPr>
                      <w:rFonts w:hint="default" w:ascii="Times New Roman" w:hAnsi="Times New Roman" w:eastAsia="宋体" w:cs="Times New Roman"/>
                      <w:color w:val="auto"/>
                      <w:sz w:val="18"/>
                      <w:szCs w:val="18"/>
                      <w:highlight w:val="none"/>
                    </w:rPr>
                    <w:t>m</w:t>
                  </w:r>
                  <w:r>
                    <w:rPr>
                      <w:rFonts w:hint="eastAsia" w:cs="Times New Roman"/>
                      <w:color w:val="auto"/>
                      <w:sz w:val="18"/>
                      <w:szCs w:val="18"/>
                      <w:highlight w:val="none"/>
                      <w:lang w:val="en-US" w:eastAsia="zh-CN"/>
                    </w:rPr>
                    <w:t>处有一户磨岗岭村居民，由项目租用其住房</w:t>
                  </w:r>
                </w:p>
              </w:tc>
              <w:tc>
                <w:tcPr>
                  <w:tcW w:w="1948" w:type="dxa"/>
                  <w:gridSpan w:val="2"/>
                  <w:vAlign w:val="center"/>
                </w:tcPr>
                <w:p w14:paraId="4325CC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《声环境质量标准》(GB3096-2008</w:t>
                  </w:r>
                  <w:r>
                    <w:rPr>
                      <w:rFonts w:hint="eastAsia"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中</w:t>
                  </w:r>
                  <w:r>
                    <w:rPr>
                      <w:rFonts w:hint="eastAsia" w:cs="Times New Roman"/>
                      <w:color w:val="auto"/>
                      <w:sz w:val="18"/>
                      <w:szCs w:val="18"/>
                      <w:highlight w:val="none"/>
                      <w:lang w:val="en-US" w:eastAsia="zh-CN"/>
                    </w:rPr>
                    <w:t>2</w:t>
                  </w:r>
                  <w:r>
                    <w:rPr>
                      <w:rFonts w:hint="default" w:ascii="Times New Roman" w:hAnsi="Times New Roman" w:eastAsia="宋体" w:cs="Times New Roman"/>
                      <w:color w:val="auto"/>
                      <w:sz w:val="18"/>
                      <w:szCs w:val="18"/>
                      <w:highlight w:val="none"/>
                    </w:rPr>
                    <w:t>类标准</w:t>
                  </w:r>
                </w:p>
              </w:tc>
            </w:tr>
            <w:tr w14:paraId="277072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Align w:val="center"/>
                </w:tcPr>
                <w:p w14:paraId="195AA5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地下水环境</w:t>
                  </w:r>
                </w:p>
              </w:tc>
              <w:tc>
                <w:tcPr>
                  <w:tcW w:w="1000" w:type="dxa"/>
                  <w:vAlign w:val="center"/>
                </w:tcPr>
                <w:p w14:paraId="18F168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4574" w:type="dxa"/>
                  <w:gridSpan w:val="4"/>
                  <w:vAlign w:val="center"/>
                </w:tcPr>
                <w:p w14:paraId="6C74B2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本项目厂界500米范围内，不涉及地下水集中式饮用水水源、热水、矿泉水、温泉等特殊地下水资源</w:t>
                  </w:r>
                </w:p>
              </w:tc>
              <w:tc>
                <w:tcPr>
                  <w:tcW w:w="1948" w:type="dxa"/>
                  <w:gridSpan w:val="2"/>
                  <w:vAlign w:val="center"/>
                </w:tcPr>
                <w:p w14:paraId="44E3AA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地下水质量标准(GBT14848-2017</w:t>
                  </w:r>
                  <w:r>
                    <w:rPr>
                      <w:rFonts w:hint="eastAsia" w:cs="Times New Roman"/>
                      <w:color w:val="auto"/>
                      <w:sz w:val="18"/>
                      <w:szCs w:val="18"/>
                      <w:highlight w:val="none"/>
                      <w:lang w:eastAsia="zh-CN"/>
                    </w:rPr>
                    <w:t>）</w:t>
                  </w:r>
                  <w:r>
                    <w:rPr>
                      <w:rFonts w:hint="default" w:ascii="Times New Roman" w:hAnsi="Times New Roman" w:eastAsia="宋体" w:cs="Times New Roman"/>
                      <w:color w:val="auto"/>
                      <w:sz w:val="18"/>
                      <w:szCs w:val="18"/>
                      <w:highlight w:val="none"/>
                    </w:rPr>
                    <w:t>Ⅲ类</w:t>
                  </w:r>
                </w:p>
              </w:tc>
            </w:tr>
            <w:tr w14:paraId="242D26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5" w:hRule="atLeast"/>
                <w:jc w:val="center"/>
              </w:trPr>
              <w:tc>
                <w:tcPr>
                  <w:tcW w:w="871" w:type="dxa"/>
                  <w:vMerge w:val="restart"/>
                  <w:vAlign w:val="center"/>
                </w:tcPr>
                <w:p w14:paraId="3CD7D0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地表水环境</w:t>
                  </w:r>
                </w:p>
              </w:tc>
              <w:tc>
                <w:tcPr>
                  <w:tcW w:w="1000" w:type="dxa"/>
                  <w:vAlign w:val="center"/>
                </w:tcPr>
                <w:p w14:paraId="2744AB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雅家梗河</w:t>
                  </w:r>
                </w:p>
              </w:tc>
              <w:tc>
                <w:tcPr>
                  <w:tcW w:w="1148" w:type="dxa"/>
                  <w:vAlign w:val="center"/>
                </w:tcPr>
                <w:p w14:paraId="627EBE2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lang w:val="en-US" w:eastAsia="zh-CN"/>
                    </w:rPr>
                    <w:t>西侧</w:t>
                  </w:r>
                </w:p>
              </w:tc>
              <w:tc>
                <w:tcPr>
                  <w:tcW w:w="906" w:type="dxa"/>
                  <w:vAlign w:val="center"/>
                </w:tcPr>
                <w:p w14:paraId="5241C2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-80m</w:t>
                  </w:r>
                </w:p>
              </w:tc>
              <w:tc>
                <w:tcPr>
                  <w:tcW w:w="2526" w:type="dxa"/>
                  <w:gridSpan w:val="3"/>
                  <w:vAlign w:val="center"/>
                </w:tcPr>
                <w:p w14:paraId="009FC6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eastAsia" w:cs="Times New Roman"/>
                      <w:color w:val="auto"/>
                      <w:sz w:val="18"/>
                      <w:szCs w:val="18"/>
                      <w:highlight w:val="none"/>
                      <w:lang w:val="en-US" w:eastAsia="zh-CN"/>
                    </w:rPr>
                    <w:t>150</w:t>
                  </w:r>
                  <w:r>
                    <w:rPr>
                      <w:rFonts w:hint="default" w:ascii="Times New Roman" w:hAnsi="Times New Roman" w:eastAsia="宋体" w:cs="Times New Roman"/>
                      <w:color w:val="auto"/>
                      <w:sz w:val="18"/>
                      <w:szCs w:val="18"/>
                      <w:highlight w:val="none"/>
                    </w:rPr>
                    <w:t>m</w:t>
                  </w:r>
                </w:p>
              </w:tc>
              <w:tc>
                <w:tcPr>
                  <w:tcW w:w="1942" w:type="dxa"/>
                  <w:vMerge w:val="restart"/>
                  <w:vAlign w:val="center"/>
                </w:tcPr>
                <w:p w14:paraId="676F5F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rPr>
                    <w:t>《地表水环境质量标准》(GB3838-2002)Ⅲ类</w:t>
                  </w:r>
                  <w:r>
                    <w:rPr>
                      <w:rFonts w:hint="eastAsia" w:cs="Times New Roman"/>
                      <w:color w:val="auto"/>
                      <w:sz w:val="18"/>
                      <w:szCs w:val="18"/>
                      <w:highlight w:val="none"/>
                      <w:lang w:eastAsia="zh-CN"/>
                    </w:rPr>
                    <w:t>；</w:t>
                  </w:r>
                  <w:r>
                    <w:rPr>
                      <w:rFonts w:hint="eastAsia" w:cs="Times New Roman"/>
                      <w:color w:val="auto"/>
                      <w:sz w:val="18"/>
                      <w:szCs w:val="18"/>
                      <w:highlight w:val="none"/>
                      <w:lang w:val="en-US" w:eastAsia="zh-CN"/>
                    </w:rPr>
                    <w:t>其中，燕子沟为磨西镇生活污水处理厂的纳污水体</w:t>
                  </w:r>
                </w:p>
              </w:tc>
            </w:tr>
            <w:tr w14:paraId="1299F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Merge w:val="continue"/>
                  <w:vAlign w:val="center"/>
                </w:tcPr>
                <w:p w14:paraId="1632937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p>
              </w:tc>
              <w:tc>
                <w:tcPr>
                  <w:tcW w:w="1000" w:type="dxa"/>
                  <w:vAlign w:val="center"/>
                </w:tcPr>
                <w:p w14:paraId="067DC6F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燕子沟</w:t>
                  </w:r>
                </w:p>
              </w:tc>
              <w:tc>
                <w:tcPr>
                  <w:tcW w:w="1148" w:type="dxa"/>
                  <w:vAlign w:val="center"/>
                </w:tcPr>
                <w:p w14:paraId="33CB39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西侧</w:t>
                  </w:r>
                </w:p>
              </w:tc>
              <w:tc>
                <w:tcPr>
                  <w:tcW w:w="906" w:type="dxa"/>
                  <w:vAlign w:val="center"/>
                </w:tcPr>
                <w:p w14:paraId="76E253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-100m</w:t>
                  </w:r>
                </w:p>
              </w:tc>
              <w:tc>
                <w:tcPr>
                  <w:tcW w:w="2526" w:type="dxa"/>
                  <w:gridSpan w:val="3"/>
                  <w:vAlign w:val="center"/>
                </w:tcPr>
                <w:p w14:paraId="4EBBF7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color w:val="auto"/>
                      <w:sz w:val="18"/>
                      <w:szCs w:val="18"/>
                      <w:highlight w:val="none"/>
                      <w:lang w:val="en-US" w:eastAsia="zh-CN"/>
                    </w:rPr>
                  </w:pPr>
                  <w:r>
                    <w:rPr>
                      <w:rFonts w:hint="eastAsia" w:cs="Times New Roman"/>
                      <w:color w:val="auto"/>
                      <w:sz w:val="18"/>
                      <w:szCs w:val="18"/>
                      <w:highlight w:val="none"/>
                      <w:lang w:val="en-US" w:eastAsia="zh-CN"/>
                    </w:rPr>
                    <w:t>850m</w:t>
                  </w:r>
                </w:p>
              </w:tc>
              <w:tc>
                <w:tcPr>
                  <w:tcW w:w="1942" w:type="dxa"/>
                  <w:vMerge w:val="continue"/>
                  <w:vAlign w:val="center"/>
                </w:tcPr>
                <w:p w14:paraId="34B3B9E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p>
              </w:tc>
            </w:tr>
            <w:tr w14:paraId="206D5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871" w:type="dxa"/>
                  <w:vAlign w:val="center"/>
                </w:tcPr>
                <w:p w14:paraId="2520B4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生态环境</w:t>
                  </w:r>
                </w:p>
              </w:tc>
              <w:tc>
                <w:tcPr>
                  <w:tcW w:w="1000" w:type="dxa"/>
                  <w:vAlign w:val="center"/>
                </w:tcPr>
                <w:p w14:paraId="78ED974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w:t>
                  </w:r>
                </w:p>
              </w:tc>
              <w:tc>
                <w:tcPr>
                  <w:tcW w:w="4574" w:type="dxa"/>
                  <w:gridSpan w:val="4"/>
                  <w:vAlign w:val="center"/>
                </w:tcPr>
                <w:p w14:paraId="589733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本项目位于</w:t>
                  </w:r>
                  <w:r>
                    <w:rPr>
                      <w:rFonts w:hint="eastAsia" w:cs="Times New Roman"/>
                      <w:color w:val="auto"/>
                      <w:sz w:val="18"/>
                      <w:szCs w:val="18"/>
                      <w:highlight w:val="none"/>
                      <w:lang w:val="en-US" w:eastAsia="zh-CN"/>
                    </w:rPr>
                    <w:t>磨西镇镇郊区域</w:t>
                  </w:r>
                  <w:r>
                    <w:rPr>
                      <w:rFonts w:hint="default" w:ascii="Times New Roman" w:hAnsi="Times New Roman" w:eastAsia="宋体" w:cs="Times New Roman"/>
                      <w:color w:val="auto"/>
                      <w:sz w:val="18"/>
                      <w:szCs w:val="18"/>
                      <w:highlight w:val="none"/>
                    </w:rPr>
                    <w:t>，</w:t>
                  </w:r>
                  <w:r>
                    <w:rPr>
                      <w:rFonts w:hint="eastAsia" w:cs="Times New Roman"/>
                      <w:color w:val="auto"/>
                      <w:sz w:val="18"/>
                      <w:szCs w:val="18"/>
                      <w:highlight w:val="none"/>
                      <w:lang w:val="en-US" w:eastAsia="zh-CN"/>
                    </w:rPr>
                    <w:t>占地属于林地</w:t>
                  </w:r>
                  <w:r>
                    <w:rPr>
                      <w:rFonts w:hint="default" w:ascii="Times New Roman" w:hAnsi="Times New Roman" w:eastAsia="宋体" w:cs="Times New Roman"/>
                      <w:color w:val="auto"/>
                      <w:sz w:val="18"/>
                      <w:szCs w:val="18"/>
                      <w:highlight w:val="none"/>
                    </w:rPr>
                    <w:t>，</w:t>
                  </w:r>
                  <w:r>
                    <w:rPr>
                      <w:rFonts w:hint="eastAsia" w:cs="Times New Roman"/>
                      <w:color w:val="auto"/>
                      <w:sz w:val="18"/>
                      <w:szCs w:val="18"/>
                      <w:highlight w:val="none"/>
                      <w:lang w:val="en-US" w:eastAsia="zh-CN"/>
                    </w:rPr>
                    <w:t>周边用地属于林地和农田，以及农村宅基地，项目500m范围内仅涉及贡嘎山国家级风景名胜区的一般控制区、距离其核心保护区在3km以上</w:t>
                  </w:r>
                </w:p>
              </w:tc>
              <w:tc>
                <w:tcPr>
                  <w:tcW w:w="1948" w:type="dxa"/>
                  <w:gridSpan w:val="2"/>
                  <w:vAlign w:val="center"/>
                </w:tcPr>
                <w:p w14:paraId="6EAD05E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p>
              </w:tc>
            </w:tr>
          </w:tbl>
          <w:p w14:paraId="65A4C609">
            <w:pPr>
              <w:tabs>
                <w:tab w:val="left" w:pos="6692"/>
              </w:tabs>
              <w:adjustRightInd w:val="0"/>
              <w:snapToGrid w:val="0"/>
              <w:spacing w:line="360" w:lineRule="auto"/>
              <w:rPr>
                <w:rFonts w:hint="default" w:ascii="Times New Roman" w:hAnsi="Times New Roman" w:eastAsia="宋体" w:cs="Times New Roman"/>
                <w:color w:val="auto"/>
                <w:kern w:val="0"/>
                <w:highlight w:val="none"/>
              </w:rPr>
            </w:pPr>
          </w:p>
        </w:tc>
      </w:tr>
      <w:tr w14:paraId="7338CC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70" w:hRule="atLeast"/>
        </w:trPr>
        <w:tc>
          <w:tcPr>
            <w:tcW w:w="800" w:type="dxa"/>
            <w:tcMar>
              <w:left w:w="28" w:type="dxa"/>
              <w:right w:w="28" w:type="dxa"/>
            </w:tcMar>
            <w:vAlign w:val="center"/>
          </w:tcPr>
          <w:p w14:paraId="2EFD37C7">
            <w:pPr>
              <w:adjustRightInd w:val="0"/>
              <w:snapToGrid w:val="0"/>
              <w:jc w:val="center"/>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污染物排放控制标准</w:t>
            </w:r>
          </w:p>
        </w:tc>
        <w:tc>
          <w:tcPr>
            <w:tcW w:w="8222" w:type="dxa"/>
            <w:vAlign w:val="center"/>
          </w:tcPr>
          <w:p w14:paraId="39EE62A5">
            <w:pPr>
              <w:numPr>
                <w:ilvl w:val="0"/>
                <w:numId w:val="16"/>
              </w:numPr>
              <w:spacing w:line="360" w:lineRule="auto"/>
              <w:ind w:firstLine="466" w:firstLineChars="200"/>
              <w:rPr>
                <w:rFonts w:hint="eastAsia" w:cs="Times New Roman"/>
                <w:b/>
                <w:bCs/>
                <w:color w:val="auto"/>
                <w:spacing w:val="-4"/>
                <w:highlight w:val="none"/>
                <w:lang w:val="en-US" w:eastAsia="zh-CN"/>
              </w:rPr>
            </w:pPr>
            <w:r>
              <w:rPr>
                <w:rFonts w:hint="eastAsia" w:cs="Times New Roman"/>
                <w:b/>
                <w:bCs/>
                <w:color w:val="auto"/>
                <w:spacing w:val="-4"/>
                <w:highlight w:val="none"/>
                <w:lang w:val="en-US" w:eastAsia="zh-CN"/>
              </w:rPr>
              <w:t>质量标准</w:t>
            </w:r>
          </w:p>
          <w:p w14:paraId="439C60BB">
            <w:pPr>
              <w:widowControl/>
              <w:numPr>
                <w:ilvl w:val="0"/>
                <w:numId w:val="0"/>
              </w:numPr>
              <w:spacing w:before="0" w:line="360" w:lineRule="auto"/>
              <w:ind w:left="480" w:leftChars="200"/>
              <w:rPr>
                <w:rFonts w:ascii="Times New Roman" w:hAnsi="Times New Roman" w:eastAsia="宋体" w:cs="Times New Roman"/>
                <w:b/>
                <w:bCs/>
                <w:color w:val="auto"/>
                <w:spacing w:val="-4"/>
                <w:sz w:val="24"/>
                <w:szCs w:val="24"/>
                <w:highlight w:val="none"/>
              </w:rPr>
            </w:pPr>
            <w:r>
              <w:rPr>
                <w:rFonts w:ascii="Times New Roman" w:hAnsi="Times New Roman" w:eastAsia="宋体" w:cs="Times New Roman"/>
                <w:b/>
                <w:bCs/>
                <w:color w:val="auto"/>
                <w:spacing w:val="-4"/>
                <w:sz w:val="24"/>
                <w:szCs w:val="24"/>
                <w:highlight w:val="none"/>
              </w:rPr>
              <w:t>1 、大气环境质量标准</w:t>
            </w:r>
          </w:p>
          <w:p w14:paraId="2B5543FC">
            <w:pPr>
              <w:spacing w:before="35" w:line="356" w:lineRule="auto"/>
              <w:ind w:left="213" w:right="201" w:firstLine="475"/>
              <w:rPr>
                <w:rFonts w:ascii="宋体" w:hAnsi="宋体" w:eastAsia="宋体" w:cs="宋体"/>
                <w:color w:val="auto"/>
                <w:spacing w:val="1"/>
                <w:sz w:val="24"/>
                <w:szCs w:val="24"/>
                <w:highlight w:val="none"/>
              </w:rPr>
            </w:pPr>
            <w:r>
              <w:rPr>
                <w:rFonts w:ascii="宋体" w:hAnsi="宋体" w:eastAsia="宋体" w:cs="宋体"/>
                <w:color w:val="auto"/>
                <w:spacing w:val="1"/>
                <w:sz w:val="24"/>
                <w:szCs w:val="24"/>
                <w:highlight w:val="none"/>
              </w:rPr>
              <w:t>评价区域环境空气执行《环境空气质量标准》（GB3095-2012）二级标准，NH</w:t>
            </w:r>
            <w:r>
              <w:rPr>
                <w:rFonts w:ascii="宋体" w:hAnsi="宋体" w:eastAsia="宋体" w:cs="宋体"/>
                <w:color w:val="auto"/>
                <w:spacing w:val="1"/>
                <w:position w:val="0"/>
                <w:sz w:val="24"/>
                <w:szCs w:val="24"/>
                <w:highlight w:val="none"/>
              </w:rPr>
              <w:t xml:space="preserve">3 </w:t>
            </w:r>
            <w:r>
              <w:rPr>
                <w:rFonts w:ascii="宋体" w:hAnsi="宋体" w:eastAsia="宋体" w:cs="宋体"/>
                <w:color w:val="auto"/>
                <w:spacing w:val="1"/>
                <w:sz w:val="24"/>
                <w:szCs w:val="24"/>
                <w:highlight w:val="none"/>
              </w:rPr>
              <w:t>、H</w:t>
            </w:r>
            <w:r>
              <w:rPr>
                <w:rFonts w:ascii="宋体" w:hAnsi="宋体" w:eastAsia="宋体" w:cs="宋体"/>
                <w:color w:val="auto"/>
                <w:spacing w:val="1"/>
                <w:position w:val="0"/>
                <w:sz w:val="24"/>
                <w:szCs w:val="24"/>
                <w:highlight w:val="none"/>
              </w:rPr>
              <w:t>2</w:t>
            </w:r>
            <w:r>
              <w:rPr>
                <w:rFonts w:ascii="宋体" w:hAnsi="宋体" w:eastAsia="宋体" w:cs="宋体"/>
                <w:color w:val="auto"/>
                <w:spacing w:val="1"/>
                <w:sz w:val="24"/>
                <w:szCs w:val="24"/>
                <w:highlight w:val="none"/>
              </w:rPr>
              <w:t>S浓度低于《环境影响评价技术导则  大气环境》（HJ 2.2-2018） 附录D中的其他污染物空气质量浓度参考限值。</w:t>
            </w:r>
          </w:p>
          <w:p w14:paraId="278B0507">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环境空气质量标准 单位：mg/m</w:t>
            </w:r>
            <w:r>
              <w:rPr>
                <w:rFonts w:hint="eastAsia" w:ascii="Times New Roman" w:hAnsi="Times New Roman" w:eastAsia="宋体" w:cs="Times New Roman"/>
                <w:b/>
                <w:bCs/>
                <w:color w:val="auto"/>
                <w:sz w:val="21"/>
                <w:szCs w:val="21"/>
                <w:highlight w:val="none"/>
                <w:vertAlign w:val="superscript"/>
              </w:rPr>
              <w:t>3</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937"/>
              <w:gridCol w:w="1410"/>
              <w:gridCol w:w="1290"/>
              <w:gridCol w:w="1035"/>
              <w:gridCol w:w="2315"/>
            </w:tblGrid>
            <w:tr w14:paraId="7DFD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Merge w:val="restart"/>
                  <w:vAlign w:val="center"/>
                </w:tcPr>
                <w:p w14:paraId="18EF229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bCs/>
                      <w:color w:val="auto"/>
                      <w:spacing w:val="-4"/>
                      <w:sz w:val="18"/>
                      <w:szCs w:val="18"/>
                      <w:highlight w:val="none"/>
                      <w:vertAlign w:val="baseline"/>
                      <w:lang w:val="en-US" w:eastAsia="zh-CN"/>
                    </w:rPr>
                  </w:pPr>
                  <w:r>
                    <w:rPr>
                      <w:rFonts w:hint="eastAsia" w:eastAsia="宋体" w:cs="Times New Roman"/>
                      <w:b/>
                      <w:bCs/>
                      <w:color w:val="auto"/>
                      <w:spacing w:val="-4"/>
                      <w:sz w:val="18"/>
                      <w:szCs w:val="18"/>
                      <w:highlight w:val="none"/>
                      <w:vertAlign w:val="baseline"/>
                      <w:lang w:val="en-US" w:eastAsia="zh-CN"/>
                    </w:rPr>
                    <w:t>污染物名称</w:t>
                  </w:r>
                </w:p>
              </w:tc>
              <w:tc>
                <w:tcPr>
                  <w:tcW w:w="3637" w:type="dxa"/>
                  <w:gridSpan w:val="3"/>
                </w:tcPr>
                <w:p w14:paraId="2F988B34">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hint="eastAsia" w:eastAsia="宋体" w:cs="Times New Roman"/>
                      <w:b/>
                      <w:bCs/>
                      <w:color w:val="auto"/>
                      <w:spacing w:val="-4"/>
                      <w:sz w:val="18"/>
                      <w:szCs w:val="18"/>
                      <w:highlight w:val="none"/>
                      <w:vertAlign w:val="baseline"/>
                      <w:lang w:val="en-US" w:eastAsia="zh-CN"/>
                    </w:rPr>
                    <w:t>浓度限值</w:t>
                  </w:r>
                </w:p>
              </w:tc>
              <w:tc>
                <w:tcPr>
                  <w:tcW w:w="1035" w:type="dxa"/>
                  <w:vMerge w:val="restart"/>
                </w:tcPr>
                <w:p w14:paraId="227CC1B0">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eastAsia" w:ascii="Times New Roman" w:hAnsi="Times New Roman" w:eastAsia="宋体" w:cs="Times New Roman"/>
                      <w:b/>
                      <w:bCs/>
                      <w:color w:val="auto"/>
                      <w:spacing w:val="-4"/>
                      <w:sz w:val="18"/>
                      <w:szCs w:val="18"/>
                      <w:highlight w:val="none"/>
                      <w:vertAlign w:val="baseline"/>
                      <w:lang w:val="en-US" w:eastAsia="zh-CN"/>
                    </w:rPr>
                  </w:pPr>
                  <w:r>
                    <w:rPr>
                      <w:rFonts w:hint="eastAsia" w:eastAsia="宋体" w:cs="Times New Roman"/>
                      <w:b/>
                      <w:bCs/>
                      <w:color w:val="auto"/>
                      <w:spacing w:val="-4"/>
                      <w:sz w:val="18"/>
                      <w:szCs w:val="18"/>
                      <w:highlight w:val="none"/>
                      <w:vertAlign w:val="baseline"/>
                      <w:lang w:val="en-US" w:eastAsia="zh-CN"/>
                    </w:rPr>
                    <w:t>单位</w:t>
                  </w:r>
                </w:p>
              </w:tc>
              <w:tc>
                <w:tcPr>
                  <w:tcW w:w="2315" w:type="dxa"/>
                  <w:vMerge w:val="restart"/>
                </w:tcPr>
                <w:p w14:paraId="775E417F">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bCs/>
                      <w:color w:val="auto"/>
                      <w:spacing w:val="-4"/>
                      <w:sz w:val="18"/>
                      <w:szCs w:val="18"/>
                      <w:highlight w:val="none"/>
                      <w:vertAlign w:val="baseline"/>
                      <w:lang w:val="en-US" w:eastAsia="zh-CN"/>
                    </w:rPr>
                  </w:pPr>
                  <w:r>
                    <w:rPr>
                      <w:rFonts w:hint="eastAsia" w:eastAsia="宋体" w:cs="Times New Roman"/>
                      <w:b/>
                      <w:bCs/>
                      <w:color w:val="auto"/>
                      <w:spacing w:val="-4"/>
                      <w:sz w:val="18"/>
                      <w:szCs w:val="18"/>
                      <w:highlight w:val="none"/>
                      <w:vertAlign w:val="baseline"/>
                      <w:lang w:val="en-US" w:eastAsia="zh-CN"/>
                    </w:rPr>
                    <w:t>标准来源</w:t>
                  </w:r>
                </w:p>
              </w:tc>
            </w:tr>
            <w:tr w14:paraId="7F532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Merge w:val="continue"/>
                </w:tcPr>
                <w:p w14:paraId="52332749">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c>
                <w:tcPr>
                  <w:tcW w:w="937" w:type="dxa"/>
                </w:tcPr>
                <w:p w14:paraId="25E917B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bCs/>
                      <w:color w:val="auto"/>
                      <w:spacing w:val="-4"/>
                      <w:sz w:val="18"/>
                      <w:szCs w:val="18"/>
                      <w:highlight w:val="none"/>
                      <w:vertAlign w:val="baseline"/>
                      <w:lang w:val="en-US" w:eastAsia="zh-CN"/>
                    </w:rPr>
                  </w:pPr>
                  <w:r>
                    <w:rPr>
                      <w:rFonts w:hint="eastAsia" w:eastAsia="宋体" w:cs="Times New Roman"/>
                      <w:b/>
                      <w:bCs/>
                      <w:color w:val="auto"/>
                      <w:spacing w:val="-4"/>
                      <w:sz w:val="18"/>
                      <w:szCs w:val="18"/>
                      <w:highlight w:val="none"/>
                      <w:vertAlign w:val="baseline"/>
                      <w:lang w:val="en-US" w:eastAsia="zh-CN"/>
                    </w:rPr>
                    <w:t>年平均</w:t>
                  </w:r>
                </w:p>
              </w:tc>
              <w:tc>
                <w:tcPr>
                  <w:tcW w:w="1410" w:type="dxa"/>
                </w:tcPr>
                <w:p w14:paraId="6617EFA6">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bCs/>
                      <w:color w:val="auto"/>
                      <w:spacing w:val="-4"/>
                      <w:sz w:val="18"/>
                      <w:szCs w:val="18"/>
                      <w:highlight w:val="none"/>
                      <w:vertAlign w:val="baseline"/>
                      <w:lang w:val="en-US" w:eastAsia="zh-CN"/>
                    </w:rPr>
                  </w:pPr>
                  <w:r>
                    <w:rPr>
                      <w:rFonts w:hint="eastAsia" w:eastAsia="宋体" w:cs="Times New Roman"/>
                      <w:b/>
                      <w:bCs/>
                      <w:color w:val="auto"/>
                      <w:spacing w:val="-4"/>
                      <w:sz w:val="18"/>
                      <w:szCs w:val="18"/>
                      <w:highlight w:val="none"/>
                      <w:vertAlign w:val="baseline"/>
                      <w:lang w:val="en-US" w:eastAsia="zh-CN"/>
                    </w:rPr>
                    <w:t>24小时平均</w:t>
                  </w:r>
                </w:p>
              </w:tc>
              <w:tc>
                <w:tcPr>
                  <w:tcW w:w="1290" w:type="dxa"/>
                </w:tcPr>
                <w:p w14:paraId="0447F551">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bCs/>
                      <w:color w:val="auto"/>
                      <w:spacing w:val="-4"/>
                      <w:sz w:val="18"/>
                      <w:szCs w:val="18"/>
                      <w:highlight w:val="none"/>
                      <w:vertAlign w:val="baseline"/>
                      <w:lang w:val="en-US" w:eastAsia="zh-CN"/>
                    </w:rPr>
                  </w:pPr>
                  <w:r>
                    <w:rPr>
                      <w:rFonts w:hint="eastAsia" w:eastAsia="宋体" w:cs="Times New Roman"/>
                      <w:b/>
                      <w:bCs/>
                      <w:color w:val="auto"/>
                      <w:spacing w:val="-4"/>
                      <w:sz w:val="18"/>
                      <w:szCs w:val="18"/>
                      <w:highlight w:val="none"/>
                      <w:vertAlign w:val="baseline"/>
                      <w:lang w:val="en-US" w:eastAsia="zh-CN"/>
                    </w:rPr>
                    <w:t>1小时平均</w:t>
                  </w:r>
                </w:p>
              </w:tc>
              <w:tc>
                <w:tcPr>
                  <w:tcW w:w="1035" w:type="dxa"/>
                  <w:vMerge w:val="continue"/>
                </w:tcPr>
                <w:p w14:paraId="6218471B">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c>
                <w:tcPr>
                  <w:tcW w:w="2315" w:type="dxa"/>
                  <w:vMerge w:val="continue"/>
                </w:tcPr>
                <w:p w14:paraId="1867596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4E490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7244A9B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z w:val="20"/>
                      <w:szCs w:val="20"/>
                      <w:highlight w:val="none"/>
                    </w:rPr>
                    <w:t>PM</w:t>
                  </w:r>
                  <w:r>
                    <w:rPr>
                      <w:rFonts w:ascii="Times New Roman" w:hAnsi="Times New Roman" w:eastAsia="Times New Roman" w:cs="Times New Roman"/>
                      <w:color w:val="auto"/>
                      <w:spacing w:val="8"/>
                      <w:position w:val="-1"/>
                      <w:sz w:val="13"/>
                      <w:szCs w:val="13"/>
                      <w:highlight w:val="none"/>
                    </w:rPr>
                    <w:t>10</w:t>
                  </w:r>
                </w:p>
              </w:tc>
              <w:tc>
                <w:tcPr>
                  <w:tcW w:w="937" w:type="dxa"/>
                </w:tcPr>
                <w:p w14:paraId="5BBCE49E">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70</w:t>
                  </w:r>
                </w:p>
              </w:tc>
              <w:tc>
                <w:tcPr>
                  <w:tcW w:w="1410" w:type="dxa"/>
                </w:tcPr>
                <w:p w14:paraId="2993EBC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150</w:t>
                  </w:r>
                </w:p>
              </w:tc>
              <w:tc>
                <w:tcPr>
                  <w:tcW w:w="1290" w:type="dxa"/>
                </w:tcPr>
                <w:p w14:paraId="794CD737">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450</w:t>
                  </w:r>
                </w:p>
              </w:tc>
              <w:tc>
                <w:tcPr>
                  <w:tcW w:w="1035" w:type="dxa"/>
                </w:tcPr>
                <w:p w14:paraId="321DC41C">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restart"/>
                  <w:vAlign w:val="center"/>
                </w:tcPr>
                <w:p w14:paraId="2C20D75D">
                  <w:pPr>
                    <w:pStyle w:val="109"/>
                    <w:keepNext w:val="0"/>
                    <w:keepLines w:val="0"/>
                    <w:pageBreakBefore w:val="0"/>
                    <w:widowControl w:val="0"/>
                    <w:kinsoku/>
                    <w:wordWrap/>
                    <w:overflowPunct/>
                    <w:topLinePunct w:val="0"/>
                    <w:autoSpaceDE/>
                    <w:autoSpaceDN/>
                    <w:bidi w:val="0"/>
                    <w:adjustRightInd/>
                    <w:snapToGrid/>
                    <w:spacing w:line="228" w:lineRule="auto"/>
                    <w:ind w:left="0"/>
                    <w:jc w:val="center"/>
                    <w:textAlignment w:val="auto"/>
                    <w:rPr>
                      <w:color w:val="auto"/>
                      <w:sz w:val="18"/>
                      <w:szCs w:val="18"/>
                      <w:highlight w:val="none"/>
                    </w:rPr>
                  </w:pPr>
                  <w:r>
                    <w:rPr>
                      <w:color w:val="auto"/>
                      <w:spacing w:val="7"/>
                      <w:sz w:val="18"/>
                      <w:szCs w:val="18"/>
                      <w:highlight w:val="none"/>
                    </w:rPr>
                    <w:t>《环境空气质量标准》</w:t>
                  </w:r>
                </w:p>
                <w:p w14:paraId="4D062E71">
                  <w:pPr>
                    <w:pStyle w:val="109"/>
                    <w:keepNext w:val="0"/>
                    <w:keepLines w:val="0"/>
                    <w:pageBreakBefore w:val="0"/>
                    <w:widowControl w:val="0"/>
                    <w:kinsoku/>
                    <w:wordWrap/>
                    <w:overflowPunct/>
                    <w:topLinePunct w:val="0"/>
                    <w:autoSpaceDE/>
                    <w:autoSpaceDN/>
                    <w:bidi w:val="0"/>
                    <w:adjustRightInd/>
                    <w:snapToGrid/>
                    <w:ind w:left="0"/>
                    <w:jc w:val="center"/>
                    <w:textAlignment w:val="auto"/>
                    <w:rPr>
                      <w:color w:val="auto"/>
                      <w:sz w:val="18"/>
                      <w:szCs w:val="18"/>
                      <w:highlight w:val="none"/>
                    </w:rPr>
                  </w:pPr>
                  <w:r>
                    <w:rPr>
                      <w:color w:val="auto"/>
                      <w:spacing w:val="4"/>
                      <w:sz w:val="18"/>
                      <w:szCs w:val="18"/>
                      <w:highlight w:val="none"/>
                    </w:rPr>
                    <w:t>（</w:t>
                  </w:r>
                  <w:r>
                    <w:rPr>
                      <w:rFonts w:ascii="Times New Roman" w:hAnsi="Times New Roman" w:eastAsia="Times New Roman" w:cs="Times New Roman"/>
                      <w:color w:val="auto"/>
                      <w:sz w:val="18"/>
                      <w:szCs w:val="18"/>
                      <w:highlight w:val="none"/>
                    </w:rPr>
                    <w:t>GB</w:t>
                  </w:r>
                  <w:r>
                    <w:rPr>
                      <w:rFonts w:ascii="Times New Roman" w:hAnsi="Times New Roman" w:eastAsia="Times New Roman" w:cs="Times New Roman"/>
                      <w:color w:val="auto"/>
                      <w:spacing w:val="4"/>
                      <w:sz w:val="18"/>
                      <w:szCs w:val="18"/>
                      <w:highlight w:val="none"/>
                    </w:rPr>
                    <w:t>3095-2012</w:t>
                  </w:r>
                  <w:r>
                    <w:rPr>
                      <w:color w:val="auto"/>
                      <w:spacing w:val="4"/>
                      <w:sz w:val="18"/>
                      <w:szCs w:val="18"/>
                      <w:highlight w:val="none"/>
                    </w:rPr>
                    <w:t>）</w:t>
                  </w:r>
                </w:p>
                <w:p w14:paraId="5FAE95BE">
                  <w:pPr>
                    <w:keepNext w:val="0"/>
                    <w:keepLines w:val="0"/>
                    <w:pageBreakBefore w:val="0"/>
                    <w:widowControl w:val="0"/>
                    <w:kinsoku/>
                    <w:wordWrap/>
                    <w:overflowPunct/>
                    <w:topLinePunct w:val="0"/>
                    <w:autoSpaceDE/>
                    <w:autoSpaceDN/>
                    <w:bidi w:val="0"/>
                    <w:adjustRightInd/>
                    <w:snapToGrid/>
                    <w:spacing w:line="280" w:lineRule="exact"/>
                    <w:ind w:left="0" w:right="0"/>
                    <w:jc w:val="center"/>
                    <w:textAlignment w:val="auto"/>
                    <w:rPr>
                      <w:rFonts w:ascii="Times New Roman" w:hAnsi="Times New Roman" w:eastAsia="Times New Roman" w:cs="Times New Roman"/>
                      <w:b/>
                      <w:bCs/>
                      <w:color w:val="auto"/>
                      <w:spacing w:val="-4"/>
                      <w:sz w:val="18"/>
                      <w:szCs w:val="18"/>
                      <w:highlight w:val="none"/>
                      <w:vertAlign w:val="baseline"/>
                    </w:rPr>
                  </w:pPr>
                  <w:r>
                    <w:rPr>
                      <w:color w:val="auto"/>
                      <w:spacing w:val="4"/>
                      <w:sz w:val="18"/>
                      <w:szCs w:val="18"/>
                      <w:highlight w:val="none"/>
                    </w:rPr>
                    <w:t>中二级标准</w:t>
                  </w:r>
                </w:p>
              </w:tc>
            </w:tr>
            <w:tr w14:paraId="04353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19885FA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z w:val="20"/>
                      <w:szCs w:val="20"/>
                      <w:highlight w:val="none"/>
                    </w:rPr>
                    <w:t>SO</w:t>
                  </w:r>
                  <w:r>
                    <w:rPr>
                      <w:rFonts w:ascii="Times New Roman" w:hAnsi="Times New Roman" w:eastAsia="Times New Roman" w:cs="Times New Roman"/>
                      <w:color w:val="auto"/>
                      <w:spacing w:val="3"/>
                      <w:position w:val="-1"/>
                      <w:sz w:val="13"/>
                      <w:szCs w:val="13"/>
                      <w:highlight w:val="none"/>
                    </w:rPr>
                    <w:t>2</w:t>
                  </w:r>
                </w:p>
              </w:tc>
              <w:tc>
                <w:tcPr>
                  <w:tcW w:w="937" w:type="dxa"/>
                </w:tcPr>
                <w:p w14:paraId="43C6924B">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60</w:t>
                  </w:r>
                </w:p>
              </w:tc>
              <w:tc>
                <w:tcPr>
                  <w:tcW w:w="1410" w:type="dxa"/>
                </w:tcPr>
                <w:p w14:paraId="5BDB3FB0">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150</w:t>
                  </w:r>
                </w:p>
              </w:tc>
              <w:tc>
                <w:tcPr>
                  <w:tcW w:w="1290" w:type="dxa"/>
                </w:tcPr>
                <w:p w14:paraId="5AB4702E">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500</w:t>
                  </w:r>
                </w:p>
              </w:tc>
              <w:tc>
                <w:tcPr>
                  <w:tcW w:w="1035" w:type="dxa"/>
                </w:tcPr>
                <w:p w14:paraId="08C91091">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7A7E771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5A9F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05BE2336">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6"/>
                      <w:sz w:val="20"/>
                      <w:szCs w:val="20"/>
                      <w:highlight w:val="none"/>
                    </w:rPr>
                    <w:t>NO</w:t>
                  </w:r>
                  <w:r>
                    <w:rPr>
                      <w:rFonts w:ascii="Times New Roman" w:hAnsi="Times New Roman" w:eastAsia="Times New Roman" w:cs="Times New Roman"/>
                      <w:color w:val="auto"/>
                      <w:spacing w:val="6"/>
                      <w:position w:val="-1"/>
                      <w:sz w:val="13"/>
                      <w:szCs w:val="13"/>
                      <w:highlight w:val="none"/>
                    </w:rPr>
                    <w:t>2</w:t>
                  </w:r>
                </w:p>
              </w:tc>
              <w:tc>
                <w:tcPr>
                  <w:tcW w:w="937" w:type="dxa"/>
                </w:tcPr>
                <w:p w14:paraId="6D137A1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40</w:t>
                  </w:r>
                </w:p>
              </w:tc>
              <w:tc>
                <w:tcPr>
                  <w:tcW w:w="1410" w:type="dxa"/>
                </w:tcPr>
                <w:p w14:paraId="620B0F9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80</w:t>
                  </w:r>
                </w:p>
              </w:tc>
              <w:tc>
                <w:tcPr>
                  <w:tcW w:w="1290" w:type="dxa"/>
                </w:tcPr>
                <w:p w14:paraId="3D21DF6C">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200</w:t>
                  </w:r>
                </w:p>
              </w:tc>
              <w:tc>
                <w:tcPr>
                  <w:tcW w:w="1035" w:type="dxa"/>
                </w:tcPr>
                <w:p w14:paraId="073CB46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53760F39">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6C217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7A1CDE5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z w:val="20"/>
                      <w:szCs w:val="20"/>
                      <w:highlight w:val="none"/>
                    </w:rPr>
                    <w:t>PM</w:t>
                  </w:r>
                  <w:r>
                    <w:rPr>
                      <w:rFonts w:ascii="Times New Roman" w:hAnsi="Times New Roman" w:eastAsia="Times New Roman" w:cs="Times New Roman"/>
                      <w:color w:val="auto"/>
                      <w:spacing w:val="6"/>
                      <w:position w:val="-1"/>
                      <w:sz w:val="13"/>
                      <w:szCs w:val="13"/>
                      <w:highlight w:val="none"/>
                    </w:rPr>
                    <w:t>2.5</w:t>
                  </w:r>
                </w:p>
              </w:tc>
              <w:tc>
                <w:tcPr>
                  <w:tcW w:w="937" w:type="dxa"/>
                </w:tcPr>
                <w:p w14:paraId="41229AF4">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35</w:t>
                  </w:r>
                </w:p>
              </w:tc>
              <w:tc>
                <w:tcPr>
                  <w:tcW w:w="1410" w:type="dxa"/>
                </w:tcPr>
                <w:p w14:paraId="086FF88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75</w:t>
                  </w:r>
                </w:p>
              </w:tc>
              <w:tc>
                <w:tcPr>
                  <w:tcW w:w="1290" w:type="dxa"/>
                </w:tcPr>
                <w:p w14:paraId="73F8B3F0">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eastAsia"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w:t>
                  </w:r>
                </w:p>
              </w:tc>
              <w:tc>
                <w:tcPr>
                  <w:tcW w:w="1035" w:type="dxa"/>
                </w:tcPr>
                <w:p w14:paraId="03258A7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65804474">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20F46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6175490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CO</w:t>
                  </w:r>
                </w:p>
              </w:tc>
              <w:tc>
                <w:tcPr>
                  <w:tcW w:w="937" w:type="dxa"/>
                </w:tcPr>
                <w:p w14:paraId="5EF0847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410" w:type="dxa"/>
                </w:tcPr>
                <w:p w14:paraId="443E689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eastAsia"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4</w:t>
                  </w:r>
                </w:p>
              </w:tc>
              <w:tc>
                <w:tcPr>
                  <w:tcW w:w="1290" w:type="dxa"/>
                </w:tcPr>
                <w:p w14:paraId="2342F4EB">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10</w:t>
                  </w:r>
                </w:p>
              </w:tc>
              <w:tc>
                <w:tcPr>
                  <w:tcW w:w="1035" w:type="dxa"/>
                </w:tcPr>
                <w:p w14:paraId="6A517630">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hint="eastAsia" w:eastAsia="宋体" w:cs="Times New Roman"/>
                      <w:color w:val="auto"/>
                      <w:spacing w:val="2"/>
                      <w:sz w:val="20"/>
                      <w:szCs w:val="20"/>
                      <w:highlight w:val="none"/>
                      <w:lang w:val="en-US" w:eastAsia="zh-CN"/>
                    </w:rPr>
                    <w:t>m</w:t>
                  </w:r>
                  <w:r>
                    <w:rPr>
                      <w:rFonts w:ascii="Times New Roman" w:hAnsi="Times New Roman" w:eastAsia="Times New Roman" w:cs="Times New Roman"/>
                      <w:color w:val="auto"/>
                      <w:spacing w:val="2"/>
                      <w:sz w:val="20"/>
                      <w:szCs w:val="20"/>
                      <w:highlight w:val="none"/>
                    </w:rPr>
                    <w:t>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029457C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570FF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500BE93E">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pacing w:val="1"/>
                      <w:sz w:val="20"/>
                      <w:szCs w:val="20"/>
                      <w:highlight w:val="none"/>
                    </w:rPr>
                    <w:t>O</w:t>
                  </w:r>
                  <w:r>
                    <w:rPr>
                      <w:rFonts w:ascii="Times New Roman" w:hAnsi="Times New Roman" w:eastAsia="Times New Roman" w:cs="Times New Roman"/>
                      <w:color w:val="auto"/>
                      <w:spacing w:val="1"/>
                      <w:position w:val="-1"/>
                      <w:sz w:val="13"/>
                      <w:szCs w:val="13"/>
                      <w:highlight w:val="none"/>
                    </w:rPr>
                    <w:t>3</w:t>
                  </w:r>
                </w:p>
              </w:tc>
              <w:tc>
                <w:tcPr>
                  <w:tcW w:w="937" w:type="dxa"/>
                </w:tcPr>
                <w:p w14:paraId="6328EA0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410" w:type="dxa"/>
                </w:tcPr>
                <w:p w14:paraId="785F8BDC">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160*</w:t>
                  </w:r>
                </w:p>
              </w:tc>
              <w:tc>
                <w:tcPr>
                  <w:tcW w:w="1290" w:type="dxa"/>
                </w:tcPr>
                <w:p w14:paraId="19EEBE3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200</w:t>
                  </w:r>
                </w:p>
              </w:tc>
              <w:tc>
                <w:tcPr>
                  <w:tcW w:w="1035" w:type="dxa"/>
                </w:tcPr>
                <w:p w14:paraId="513464D6">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7F36417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2353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tcPr>
                <w:p w14:paraId="4C8035F2">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color w:val="auto"/>
                      <w:spacing w:val="1"/>
                      <w:sz w:val="20"/>
                      <w:szCs w:val="20"/>
                      <w:highlight w:val="none"/>
                    </w:rPr>
                  </w:pPr>
                  <w:r>
                    <w:rPr>
                      <w:rFonts w:ascii="Times New Roman" w:hAnsi="Times New Roman" w:eastAsia="Times New Roman" w:cs="Times New Roman"/>
                      <w:color w:val="auto"/>
                      <w:spacing w:val="2"/>
                      <w:sz w:val="20"/>
                      <w:szCs w:val="20"/>
                      <w:highlight w:val="none"/>
                    </w:rPr>
                    <w:t>TSP</w:t>
                  </w:r>
                </w:p>
              </w:tc>
              <w:tc>
                <w:tcPr>
                  <w:tcW w:w="937" w:type="dxa"/>
                </w:tcPr>
                <w:p w14:paraId="4C88E25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200</w:t>
                  </w:r>
                </w:p>
              </w:tc>
              <w:tc>
                <w:tcPr>
                  <w:tcW w:w="1410" w:type="dxa"/>
                </w:tcPr>
                <w:p w14:paraId="4A6BBC74">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300</w:t>
                  </w:r>
                </w:p>
              </w:tc>
              <w:tc>
                <w:tcPr>
                  <w:tcW w:w="1290" w:type="dxa"/>
                </w:tcPr>
                <w:p w14:paraId="4C7E003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035" w:type="dxa"/>
                </w:tcPr>
                <w:p w14:paraId="235A3E8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08DD9734">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2B927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759A121D">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z w:val="20"/>
                      <w:szCs w:val="20"/>
                      <w:highlight w:val="none"/>
                    </w:rPr>
                    <w:t>PM</w:t>
                  </w:r>
                  <w:r>
                    <w:rPr>
                      <w:rFonts w:ascii="Times New Roman" w:hAnsi="Times New Roman" w:eastAsia="Times New Roman" w:cs="Times New Roman"/>
                      <w:color w:val="auto"/>
                      <w:spacing w:val="8"/>
                      <w:position w:val="-1"/>
                      <w:sz w:val="13"/>
                      <w:szCs w:val="13"/>
                      <w:highlight w:val="none"/>
                    </w:rPr>
                    <w:t>10</w:t>
                  </w:r>
                </w:p>
              </w:tc>
              <w:tc>
                <w:tcPr>
                  <w:tcW w:w="937" w:type="dxa"/>
                </w:tcPr>
                <w:p w14:paraId="2AC3447F">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40</w:t>
                  </w:r>
                </w:p>
              </w:tc>
              <w:tc>
                <w:tcPr>
                  <w:tcW w:w="1410" w:type="dxa"/>
                </w:tcPr>
                <w:p w14:paraId="1FAADE0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50</w:t>
                  </w:r>
                </w:p>
              </w:tc>
              <w:tc>
                <w:tcPr>
                  <w:tcW w:w="1290" w:type="dxa"/>
                </w:tcPr>
                <w:p w14:paraId="7600E7BE">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035" w:type="dxa"/>
                  <w:vAlign w:val="top"/>
                </w:tcPr>
                <w:p w14:paraId="42961F36">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restart"/>
                  <w:vAlign w:val="center"/>
                </w:tcPr>
                <w:p w14:paraId="15D772FD">
                  <w:pPr>
                    <w:pStyle w:val="109"/>
                    <w:keepNext w:val="0"/>
                    <w:keepLines w:val="0"/>
                    <w:pageBreakBefore w:val="0"/>
                    <w:widowControl w:val="0"/>
                    <w:kinsoku/>
                    <w:wordWrap/>
                    <w:overflowPunct/>
                    <w:topLinePunct w:val="0"/>
                    <w:autoSpaceDE/>
                    <w:autoSpaceDN/>
                    <w:bidi w:val="0"/>
                    <w:adjustRightInd/>
                    <w:snapToGrid/>
                    <w:spacing w:line="228" w:lineRule="auto"/>
                    <w:ind w:left="0"/>
                    <w:jc w:val="center"/>
                    <w:textAlignment w:val="auto"/>
                    <w:rPr>
                      <w:color w:val="auto"/>
                      <w:sz w:val="18"/>
                      <w:szCs w:val="18"/>
                      <w:highlight w:val="none"/>
                    </w:rPr>
                  </w:pPr>
                  <w:r>
                    <w:rPr>
                      <w:color w:val="auto"/>
                      <w:spacing w:val="7"/>
                      <w:sz w:val="18"/>
                      <w:szCs w:val="18"/>
                      <w:highlight w:val="none"/>
                    </w:rPr>
                    <w:t>《环境空气质量标准》</w:t>
                  </w:r>
                </w:p>
                <w:p w14:paraId="6027381E">
                  <w:pPr>
                    <w:pStyle w:val="109"/>
                    <w:keepNext w:val="0"/>
                    <w:keepLines w:val="0"/>
                    <w:pageBreakBefore w:val="0"/>
                    <w:widowControl w:val="0"/>
                    <w:kinsoku/>
                    <w:wordWrap/>
                    <w:overflowPunct/>
                    <w:topLinePunct w:val="0"/>
                    <w:autoSpaceDE/>
                    <w:autoSpaceDN/>
                    <w:bidi w:val="0"/>
                    <w:adjustRightInd/>
                    <w:snapToGrid/>
                    <w:ind w:left="0"/>
                    <w:jc w:val="center"/>
                    <w:textAlignment w:val="auto"/>
                    <w:rPr>
                      <w:color w:val="auto"/>
                      <w:sz w:val="18"/>
                      <w:szCs w:val="18"/>
                      <w:highlight w:val="none"/>
                    </w:rPr>
                  </w:pPr>
                  <w:r>
                    <w:rPr>
                      <w:color w:val="auto"/>
                      <w:spacing w:val="4"/>
                      <w:sz w:val="18"/>
                      <w:szCs w:val="18"/>
                      <w:highlight w:val="none"/>
                    </w:rPr>
                    <w:t>（</w:t>
                  </w:r>
                  <w:r>
                    <w:rPr>
                      <w:rFonts w:ascii="Times New Roman" w:hAnsi="Times New Roman" w:eastAsia="Times New Roman" w:cs="Times New Roman"/>
                      <w:color w:val="auto"/>
                      <w:sz w:val="18"/>
                      <w:szCs w:val="18"/>
                      <w:highlight w:val="none"/>
                    </w:rPr>
                    <w:t>GB</w:t>
                  </w:r>
                  <w:r>
                    <w:rPr>
                      <w:rFonts w:ascii="Times New Roman" w:hAnsi="Times New Roman" w:eastAsia="Times New Roman" w:cs="Times New Roman"/>
                      <w:color w:val="auto"/>
                      <w:spacing w:val="4"/>
                      <w:sz w:val="18"/>
                      <w:szCs w:val="18"/>
                      <w:highlight w:val="none"/>
                    </w:rPr>
                    <w:t>3095-2012</w:t>
                  </w:r>
                  <w:r>
                    <w:rPr>
                      <w:color w:val="auto"/>
                      <w:spacing w:val="4"/>
                      <w:sz w:val="18"/>
                      <w:szCs w:val="18"/>
                      <w:highlight w:val="none"/>
                    </w:rPr>
                    <w:t>）</w:t>
                  </w:r>
                </w:p>
                <w:p w14:paraId="144DEFC9">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color w:val="auto"/>
                      <w:spacing w:val="4"/>
                      <w:sz w:val="18"/>
                      <w:szCs w:val="18"/>
                      <w:highlight w:val="none"/>
                    </w:rPr>
                    <w:t>中</w:t>
                  </w:r>
                  <w:r>
                    <w:rPr>
                      <w:rFonts w:hint="eastAsia"/>
                      <w:color w:val="auto"/>
                      <w:spacing w:val="4"/>
                      <w:sz w:val="18"/>
                      <w:szCs w:val="18"/>
                      <w:highlight w:val="none"/>
                      <w:lang w:val="en-US" w:eastAsia="zh-CN"/>
                    </w:rPr>
                    <w:t>一</w:t>
                  </w:r>
                  <w:r>
                    <w:rPr>
                      <w:color w:val="auto"/>
                      <w:spacing w:val="4"/>
                      <w:sz w:val="18"/>
                      <w:szCs w:val="18"/>
                      <w:highlight w:val="none"/>
                    </w:rPr>
                    <w:t>级标准</w:t>
                  </w:r>
                </w:p>
              </w:tc>
            </w:tr>
            <w:tr w14:paraId="57120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661B0510">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z w:val="20"/>
                      <w:szCs w:val="20"/>
                      <w:highlight w:val="none"/>
                    </w:rPr>
                    <w:t>SO</w:t>
                  </w:r>
                  <w:r>
                    <w:rPr>
                      <w:rFonts w:ascii="Times New Roman" w:hAnsi="Times New Roman" w:eastAsia="Times New Roman" w:cs="Times New Roman"/>
                      <w:color w:val="auto"/>
                      <w:spacing w:val="3"/>
                      <w:position w:val="-1"/>
                      <w:sz w:val="13"/>
                      <w:szCs w:val="13"/>
                      <w:highlight w:val="none"/>
                    </w:rPr>
                    <w:t>2</w:t>
                  </w:r>
                </w:p>
              </w:tc>
              <w:tc>
                <w:tcPr>
                  <w:tcW w:w="937" w:type="dxa"/>
                </w:tcPr>
                <w:p w14:paraId="4BC53856">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20</w:t>
                  </w:r>
                </w:p>
              </w:tc>
              <w:tc>
                <w:tcPr>
                  <w:tcW w:w="1410" w:type="dxa"/>
                </w:tcPr>
                <w:p w14:paraId="075E56F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50</w:t>
                  </w:r>
                </w:p>
              </w:tc>
              <w:tc>
                <w:tcPr>
                  <w:tcW w:w="1290" w:type="dxa"/>
                </w:tcPr>
                <w:p w14:paraId="20C9934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150</w:t>
                  </w:r>
                </w:p>
              </w:tc>
              <w:tc>
                <w:tcPr>
                  <w:tcW w:w="1035" w:type="dxa"/>
                  <w:vAlign w:val="top"/>
                </w:tcPr>
                <w:p w14:paraId="159119A8">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4713DF6F">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1DF8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2095B4AC">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pacing w:val="6"/>
                      <w:sz w:val="20"/>
                      <w:szCs w:val="20"/>
                      <w:highlight w:val="none"/>
                    </w:rPr>
                    <w:t>NO</w:t>
                  </w:r>
                  <w:r>
                    <w:rPr>
                      <w:rFonts w:ascii="Times New Roman" w:hAnsi="Times New Roman" w:eastAsia="Times New Roman" w:cs="Times New Roman"/>
                      <w:color w:val="auto"/>
                      <w:spacing w:val="6"/>
                      <w:position w:val="-1"/>
                      <w:sz w:val="13"/>
                      <w:szCs w:val="13"/>
                      <w:highlight w:val="none"/>
                    </w:rPr>
                    <w:t>2</w:t>
                  </w:r>
                </w:p>
              </w:tc>
              <w:tc>
                <w:tcPr>
                  <w:tcW w:w="937" w:type="dxa"/>
                </w:tcPr>
                <w:p w14:paraId="1BBB6A37">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80</w:t>
                  </w:r>
                </w:p>
              </w:tc>
              <w:tc>
                <w:tcPr>
                  <w:tcW w:w="1410" w:type="dxa"/>
                </w:tcPr>
                <w:p w14:paraId="197623C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200</w:t>
                  </w:r>
                </w:p>
              </w:tc>
              <w:tc>
                <w:tcPr>
                  <w:tcW w:w="1290" w:type="dxa"/>
                </w:tcPr>
                <w:p w14:paraId="755F311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eastAsia"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4</w:t>
                  </w:r>
                </w:p>
              </w:tc>
              <w:tc>
                <w:tcPr>
                  <w:tcW w:w="1035" w:type="dxa"/>
                  <w:vAlign w:val="top"/>
                </w:tcPr>
                <w:p w14:paraId="4D069854">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30CFF826">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3125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42C5B965">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z w:val="20"/>
                      <w:szCs w:val="20"/>
                      <w:highlight w:val="none"/>
                    </w:rPr>
                    <w:t>PM</w:t>
                  </w:r>
                  <w:r>
                    <w:rPr>
                      <w:rFonts w:ascii="Times New Roman" w:hAnsi="Times New Roman" w:eastAsia="Times New Roman" w:cs="Times New Roman"/>
                      <w:color w:val="auto"/>
                      <w:spacing w:val="6"/>
                      <w:position w:val="-1"/>
                      <w:sz w:val="13"/>
                      <w:szCs w:val="13"/>
                      <w:highlight w:val="none"/>
                    </w:rPr>
                    <w:t>2.5</w:t>
                  </w:r>
                </w:p>
              </w:tc>
              <w:tc>
                <w:tcPr>
                  <w:tcW w:w="937" w:type="dxa"/>
                </w:tcPr>
                <w:p w14:paraId="534D47A1">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15</w:t>
                  </w:r>
                </w:p>
              </w:tc>
              <w:tc>
                <w:tcPr>
                  <w:tcW w:w="1410" w:type="dxa"/>
                </w:tcPr>
                <w:p w14:paraId="6602889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35</w:t>
                  </w:r>
                </w:p>
              </w:tc>
              <w:tc>
                <w:tcPr>
                  <w:tcW w:w="1290" w:type="dxa"/>
                </w:tcPr>
                <w:p w14:paraId="49D8573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035" w:type="dxa"/>
                  <w:vAlign w:val="top"/>
                </w:tcPr>
                <w:p w14:paraId="514482B4">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1BF24E42">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27C7B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3D3F0245">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pacing w:val="2"/>
                      <w:sz w:val="20"/>
                      <w:szCs w:val="20"/>
                      <w:highlight w:val="none"/>
                    </w:rPr>
                    <w:t>CO</w:t>
                  </w:r>
                </w:p>
              </w:tc>
              <w:tc>
                <w:tcPr>
                  <w:tcW w:w="937" w:type="dxa"/>
                </w:tcPr>
                <w:p w14:paraId="5E9733F7">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eastAsia"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4</w:t>
                  </w:r>
                </w:p>
              </w:tc>
              <w:tc>
                <w:tcPr>
                  <w:tcW w:w="1410" w:type="dxa"/>
                </w:tcPr>
                <w:p w14:paraId="1E476F01">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10</w:t>
                  </w:r>
                </w:p>
              </w:tc>
              <w:tc>
                <w:tcPr>
                  <w:tcW w:w="1290" w:type="dxa"/>
                </w:tcPr>
                <w:p w14:paraId="58FC834D">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035" w:type="dxa"/>
                  <w:vAlign w:val="top"/>
                </w:tcPr>
                <w:p w14:paraId="3414C513">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hint="eastAsia" w:eastAsia="宋体" w:cs="Times New Roman"/>
                      <w:color w:val="auto"/>
                      <w:spacing w:val="2"/>
                      <w:sz w:val="20"/>
                      <w:szCs w:val="20"/>
                      <w:highlight w:val="none"/>
                      <w:lang w:val="en-US" w:eastAsia="zh-CN"/>
                    </w:rPr>
                    <w:t>m</w:t>
                  </w:r>
                  <w:r>
                    <w:rPr>
                      <w:rFonts w:ascii="Times New Roman" w:hAnsi="Times New Roman" w:eastAsia="Times New Roman" w:cs="Times New Roman"/>
                      <w:color w:val="auto"/>
                      <w:spacing w:val="2"/>
                      <w:sz w:val="20"/>
                      <w:szCs w:val="20"/>
                      <w:highlight w:val="none"/>
                    </w:rPr>
                    <w:t>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29489A8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7FAC6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26275F0D">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pacing w:val="1"/>
                      <w:sz w:val="20"/>
                      <w:szCs w:val="20"/>
                      <w:highlight w:val="none"/>
                    </w:rPr>
                    <w:t>O</w:t>
                  </w:r>
                  <w:r>
                    <w:rPr>
                      <w:rFonts w:ascii="Times New Roman" w:hAnsi="Times New Roman" w:eastAsia="Times New Roman" w:cs="Times New Roman"/>
                      <w:color w:val="auto"/>
                      <w:spacing w:val="1"/>
                      <w:position w:val="-1"/>
                      <w:sz w:val="13"/>
                      <w:szCs w:val="13"/>
                      <w:highlight w:val="none"/>
                    </w:rPr>
                    <w:t>3</w:t>
                  </w:r>
                </w:p>
              </w:tc>
              <w:tc>
                <w:tcPr>
                  <w:tcW w:w="937" w:type="dxa"/>
                </w:tcPr>
                <w:p w14:paraId="19DD32E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410" w:type="dxa"/>
                </w:tcPr>
                <w:p w14:paraId="579715D9">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100*</w:t>
                  </w:r>
                </w:p>
              </w:tc>
              <w:tc>
                <w:tcPr>
                  <w:tcW w:w="1290" w:type="dxa"/>
                </w:tcPr>
                <w:p w14:paraId="0CC9232B">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160</w:t>
                  </w:r>
                </w:p>
              </w:tc>
              <w:tc>
                <w:tcPr>
                  <w:tcW w:w="1035" w:type="dxa"/>
                  <w:vAlign w:val="top"/>
                </w:tcPr>
                <w:p w14:paraId="06FCD341">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16155A3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621B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top"/>
                </w:tcPr>
                <w:p w14:paraId="6F5D34CE">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pacing w:val="2"/>
                      <w:sz w:val="20"/>
                      <w:szCs w:val="20"/>
                      <w:highlight w:val="none"/>
                    </w:rPr>
                    <w:t>TSP</w:t>
                  </w:r>
                </w:p>
              </w:tc>
              <w:tc>
                <w:tcPr>
                  <w:tcW w:w="937" w:type="dxa"/>
                </w:tcPr>
                <w:p w14:paraId="50C1C94C">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80</w:t>
                  </w:r>
                </w:p>
              </w:tc>
              <w:tc>
                <w:tcPr>
                  <w:tcW w:w="1410" w:type="dxa"/>
                </w:tcPr>
                <w:p w14:paraId="6463CC19">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120</w:t>
                  </w:r>
                </w:p>
              </w:tc>
              <w:tc>
                <w:tcPr>
                  <w:tcW w:w="1290" w:type="dxa"/>
                </w:tcPr>
                <w:p w14:paraId="2ABE7A53">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val="0"/>
                      <w:bCs w:val="0"/>
                      <w:color w:val="auto"/>
                      <w:spacing w:val="-4"/>
                      <w:sz w:val="18"/>
                      <w:szCs w:val="18"/>
                      <w:highlight w:val="none"/>
                      <w:vertAlign w:val="baseline"/>
                    </w:rPr>
                  </w:pPr>
                  <w:r>
                    <w:rPr>
                      <w:rFonts w:hint="eastAsia" w:eastAsia="宋体" w:cs="Times New Roman"/>
                      <w:b w:val="0"/>
                      <w:bCs w:val="0"/>
                      <w:color w:val="auto"/>
                      <w:spacing w:val="-4"/>
                      <w:sz w:val="18"/>
                      <w:szCs w:val="18"/>
                      <w:highlight w:val="none"/>
                      <w:vertAlign w:val="baseline"/>
                      <w:lang w:val="en-US" w:eastAsia="zh-CN"/>
                    </w:rPr>
                    <w:t>/</w:t>
                  </w:r>
                </w:p>
              </w:tc>
              <w:tc>
                <w:tcPr>
                  <w:tcW w:w="1035" w:type="dxa"/>
                  <w:vAlign w:val="top"/>
                </w:tcPr>
                <w:p w14:paraId="2C5BAA09">
                  <w:pPr>
                    <w:keepNext w:val="0"/>
                    <w:keepLines w:val="0"/>
                    <w:pageBreakBefore w:val="0"/>
                    <w:widowControl w:val="0"/>
                    <w:kinsoku/>
                    <w:wordWrap/>
                    <w:overflowPunct/>
                    <w:topLinePunct w:val="0"/>
                    <w:autoSpaceDE/>
                    <w:autoSpaceDN/>
                    <w:bidi w:val="0"/>
                    <w:adjustRightInd/>
                    <w:snapToGrid/>
                    <w:spacing w:line="280" w:lineRule="exact"/>
                    <w:ind w:right="0" w:rightChars="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7E8A6CA6">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r w14:paraId="674A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center"/>
                </w:tcPr>
                <w:p w14:paraId="44534ECA">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color w:val="auto"/>
                      <w:spacing w:val="2"/>
                      <w:sz w:val="20"/>
                      <w:szCs w:val="20"/>
                      <w:highlight w:val="none"/>
                    </w:rPr>
                  </w:pPr>
                  <w:r>
                    <w:rPr>
                      <w:rFonts w:ascii="Times New Roman" w:hAnsi="Times New Roman" w:eastAsia="Times New Roman" w:cs="Times New Roman"/>
                      <w:color w:val="auto"/>
                      <w:spacing w:val="6"/>
                      <w:sz w:val="20"/>
                      <w:szCs w:val="20"/>
                      <w:highlight w:val="none"/>
                    </w:rPr>
                    <w:t>NH</w:t>
                  </w:r>
                  <w:r>
                    <w:rPr>
                      <w:rFonts w:ascii="Times New Roman" w:hAnsi="Times New Roman" w:eastAsia="Times New Roman" w:cs="Times New Roman"/>
                      <w:color w:val="auto"/>
                      <w:spacing w:val="6"/>
                      <w:position w:val="-1"/>
                      <w:sz w:val="13"/>
                      <w:szCs w:val="13"/>
                      <w:highlight w:val="none"/>
                    </w:rPr>
                    <w:t>3</w:t>
                  </w:r>
                </w:p>
              </w:tc>
              <w:tc>
                <w:tcPr>
                  <w:tcW w:w="937" w:type="dxa"/>
                  <w:vAlign w:val="center"/>
                </w:tcPr>
                <w:p w14:paraId="7678EE85">
                  <w:pPr>
                    <w:spacing w:before="50" w:line="188" w:lineRule="auto"/>
                    <w:ind w:left="507" w:leftChars="0"/>
                    <w:jc w:val="center"/>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w:t>
                  </w:r>
                </w:p>
              </w:tc>
              <w:tc>
                <w:tcPr>
                  <w:tcW w:w="1410" w:type="dxa"/>
                  <w:vAlign w:val="center"/>
                </w:tcPr>
                <w:p w14:paraId="7E44AD41">
                  <w:pPr>
                    <w:spacing w:before="50" w:line="188" w:lineRule="auto"/>
                    <w:ind w:left="658" w:leftChars="0"/>
                    <w:jc w:val="center"/>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w:t>
                  </w:r>
                </w:p>
              </w:tc>
              <w:tc>
                <w:tcPr>
                  <w:tcW w:w="1290" w:type="dxa"/>
                  <w:vAlign w:val="center"/>
                </w:tcPr>
                <w:p w14:paraId="7B05F4B7">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200</w:t>
                  </w:r>
                </w:p>
              </w:tc>
              <w:tc>
                <w:tcPr>
                  <w:tcW w:w="1035" w:type="dxa"/>
                  <w:vAlign w:val="center"/>
                </w:tcPr>
                <w:p w14:paraId="036FECA8">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restart"/>
                </w:tcPr>
                <w:p w14:paraId="173C447E">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hint="eastAsia" w:ascii="Times New Roman" w:hAnsi="Times New Roman" w:eastAsia="Times New Roman" w:cs="Times New Roman"/>
                      <w:b w:val="0"/>
                      <w:bCs w:val="0"/>
                      <w:color w:val="auto"/>
                      <w:spacing w:val="-4"/>
                      <w:sz w:val="18"/>
                      <w:szCs w:val="18"/>
                      <w:highlight w:val="none"/>
                      <w:vertAlign w:val="baseline"/>
                    </w:rPr>
                    <w:t>《环境影响评价技术导则  大气环境》（HJ 2.2-2018） 附录D</w:t>
                  </w:r>
                </w:p>
              </w:tc>
            </w:tr>
            <w:tr w14:paraId="57B1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6" w:type="dxa"/>
                  <w:vAlign w:val="center"/>
                </w:tcPr>
                <w:p w14:paraId="62865AB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color w:val="auto"/>
                      <w:spacing w:val="6"/>
                      <w:sz w:val="20"/>
                      <w:szCs w:val="20"/>
                      <w:highlight w:val="none"/>
                    </w:rPr>
                  </w:pPr>
                  <w:r>
                    <w:rPr>
                      <w:rFonts w:ascii="Times New Roman" w:hAnsi="Times New Roman" w:eastAsia="Times New Roman" w:cs="Times New Roman"/>
                      <w:color w:val="auto"/>
                      <w:spacing w:val="3"/>
                      <w:sz w:val="20"/>
                      <w:szCs w:val="20"/>
                      <w:highlight w:val="none"/>
                    </w:rPr>
                    <w:t>H</w:t>
                  </w:r>
                  <w:r>
                    <w:rPr>
                      <w:rFonts w:ascii="Times New Roman" w:hAnsi="Times New Roman" w:eastAsia="Times New Roman" w:cs="Times New Roman"/>
                      <w:color w:val="auto"/>
                      <w:spacing w:val="3"/>
                      <w:position w:val="-1"/>
                      <w:sz w:val="13"/>
                      <w:szCs w:val="13"/>
                      <w:highlight w:val="none"/>
                    </w:rPr>
                    <w:t>2</w:t>
                  </w:r>
                  <w:r>
                    <w:rPr>
                      <w:rFonts w:ascii="Times New Roman" w:hAnsi="Times New Roman" w:eastAsia="Times New Roman" w:cs="Times New Roman"/>
                      <w:color w:val="auto"/>
                      <w:spacing w:val="3"/>
                      <w:sz w:val="20"/>
                      <w:szCs w:val="20"/>
                      <w:highlight w:val="none"/>
                    </w:rPr>
                    <w:t>S</w:t>
                  </w:r>
                </w:p>
              </w:tc>
              <w:tc>
                <w:tcPr>
                  <w:tcW w:w="937" w:type="dxa"/>
                  <w:vAlign w:val="center"/>
                </w:tcPr>
                <w:p w14:paraId="1C55DF84">
                  <w:pPr>
                    <w:spacing w:before="80" w:line="199" w:lineRule="auto"/>
                    <w:ind w:left="507" w:leftChars="0"/>
                    <w:jc w:val="center"/>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w:t>
                  </w:r>
                </w:p>
              </w:tc>
              <w:tc>
                <w:tcPr>
                  <w:tcW w:w="1410" w:type="dxa"/>
                  <w:vAlign w:val="center"/>
                </w:tcPr>
                <w:p w14:paraId="59F18F18">
                  <w:pPr>
                    <w:spacing w:before="80" w:line="199" w:lineRule="auto"/>
                    <w:ind w:left="658" w:leftChars="0"/>
                    <w:jc w:val="center"/>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w:t>
                  </w:r>
                </w:p>
              </w:tc>
              <w:tc>
                <w:tcPr>
                  <w:tcW w:w="1290" w:type="dxa"/>
                  <w:vAlign w:val="center"/>
                </w:tcPr>
                <w:p w14:paraId="781AB46B">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hint="default" w:ascii="Times New Roman" w:hAnsi="Times New Roman" w:eastAsia="宋体" w:cs="Times New Roman"/>
                      <w:b w:val="0"/>
                      <w:bCs w:val="0"/>
                      <w:color w:val="auto"/>
                      <w:spacing w:val="-4"/>
                      <w:sz w:val="18"/>
                      <w:szCs w:val="18"/>
                      <w:highlight w:val="none"/>
                      <w:vertAlign w:val="baseline"/>
                      <w:lang w:val="en-US" w:eastAsia="zh-CN"/>
                    </w:rPr>
                  </w:pPr>
                  <w:r>
                    <w:rPr>
                      <w:rFonts w:hint="eastAsia" w:eastAsia="宋体" w:cs="Times New Roman"/>
                      <w:b w:val="0"/>
                      <w:bCs w:val="0"/>
                      <w:color w:val="auto"/>
                      <w:spacing w:val="-4"/>
                      <w:sz w:val="18"/>
                      <w:szCs w:val="18"/>
                      <w:highlight w:val="none"/>
                      <w:vertAlign w:val="baseline"/>
                      <w:lang w:val="en-US" w:eastAsia="zh-CN"/>
                    </w:rPr>
                    <w:t>10</w:t>
                  </w:r>
                </w:p>
              </w:tc>
              <w:tc>
                <w:tcPr>
                  <w:tcW w:w="1035" w:type="dxa"/>
                  <w:vAlign w:val="center"/>
                </w:tcPr>
                <w:p w14:paraId="57508BA5">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r>
                    <w:rPr>
                      <w:rFonts w:ascii="Times New Roman" w:hAnsi="Times New Roman" w:eastAsia="Times New Roman" w:cs="Times New Roman"/>
                      <w:color w:val="auto"/>
                      <w:spacing w:val="2"/>
                      <w:sz w:val="20"/>
                      <w:szCs w:val="20"/>
                      <w:highlight w:val="none"/>
                    </w:rPr>
                    <w:t>μg/m</w:t>
                  </w:r>
                  <w:r>
                    <w:rPr>
                      <w:rFonts w:ascii="Times New Roman" w:hAnsi="Times New Roman" w:eastAsia="Times New Roman" w:cs="Times New Roman"/>
                      <w:color w:val="auto"/>
                      <w:spacing w:val="2"/>
                      <w:position w:val="5"/>
                      <w:sz w:val="13"/>
                      <w:szCs w:val="13"/>
                      <w:highlight w:val="none"/>
                    </w:rPr>
                    <w:t>3</w:t>
                  </w:r>
                </w:p>
              </w:tc>
              <w:tc>
                <w:tcPr>
                  <w:tcW w:w="2315" w:type="dxa"/>
                  <w:vMerge w:val="continue"/>
                </w:tcPr>
                <w:p w14:paraId="0831E777">
                  <w:pPr>
                    <w:keepNext w:val="0"/>
                    <w:keepLines w:val="0"/>
                    <w:pageBreakBefore w:val="0"/>
                    <w:widowControl w:val="0"/>
                    <w:kinsoku/>
                    <w:wordWrap/>
                    <w:overflowPunct/>
                    <w:topLinePunct w:val="0"/>
                    <w:autoSpaceDE/>
                    <w:autoSpaceDN/>
                    <w:bidi w:val="0"/>
                    <w:adjustRightInd/>
                    <w:snapToGrid/>
                    <w:spacing w:line="280" w:lineRule="exact"/>
                    <w:ind w:right="0"/>
                    <w:jc w:val="center"/>
                    <w:textAlignment w:val="auto"/>
                    <w:rPr>
                      <w:rFonts w:ascii="Times New Roman" w:hAnsi="Times New Roman" w:eastAsia="Times New Roman" w:cs="Times New Roman"/>
                      <w:b/>
                      <w:bCs/>
                      <w:color w:val="auto"/>
                      <w:spacing w:val="-4"/>
                      <w:sz w:val="18"/>
                      <w:szCs w:val="18"/>
                      <w:highlight w:val="none"/>
                      <w:vertAlign w:val="baseline"/>
                    </w:rPr>
                  </w:pPr>
                </w:p>
              </w:tc>
            </w:tr>
          </w:tbl>
          <w:p w14:paraId="2B6F84D1">
            <w:pPr>
              <w:spacing w:before="31" w:line="220" w:lineRule="auto"/>
              <w:ind w:left="708"/>
              <w:rPr>
                <w:rFonts w:ascii="宋体" w:hAnsi="宋体" w:eastAsia="宋体" w:cs="宋体"/>
                <w:color w:val="auto"/>
                <w:sz w:val="22"/>
                <w:szCs w:val="22"/>
                <w:highlight w:val="none"/>
              </w:rPr>
            </w:pPr>
            <w:r>
              <w:rPr>
                <w:rFonts w:ascii="宋体" w:hAnsi="宋体" w:eastAsia="宋体" w:cs="宋体"/>
                <w:color w:val="auto"/>
                <w:spacing w:val="-1"/>
                <w:sz w:val="22"/>
                <w:szCs w:val="22"/>
                <w:highlight w:val="none"/>
              </w:rPr>
              <w:t>备注：</w:t>
            </w:r>
            <w:r>
              <w:rPr>
                <w:rFonts w:ascii="Times New Roman" w:hAnsi="Times New Roman" w:eastAsia="Times New Roman" w:cs="Times New Roman"/>
                <w:color w:val="auto"/>
                <w:spacing w:val="-1"/>
                <w:sz w:val="22"/>
                <w:szCs w:val="22"/>
                <w:highlight w:val="none"/>
              </w:rPr>
              <w:t>*</w:t>
            </w:r>
            <w:r>
              <w:rPr>
                <w:rFonts w:ascii="宋体" w:hAnsi="宋体" w:eastAsia="宋体" w:cs="宋体"/>
                <w:color w:val="auto"/>
                <w:spacing w:val="-1"/>
                <w:sz w:val="22"/>
                <w:szCs w:val="22"/>
                <w:highlight w:val="none"/>
              </w:rPr>
              <w:t>表示日最大</w:t>
            </w:r>
            <w:r>
              <w:rPr>
                <w:rFonts w:ascii="Times New Roman" w:hAnsi="Times New Roman" w:eastAsia="Times New Roman" w:cs="Times New Roman"/>
                <w:color w:val="auto"/>
                <w:spacing w:val="-1"/>
                <w:sz w:val="22"/>
                <w:szCs w:val="22"/>
                <w:highlight w:val="none"/>
              </w:rPr>
              <w:t>8</w:t>
            </w:r>
            <w:r>
              <w:rPr>
                <w:rFonts w:ascii="宋体" w:hAnsi="宋体" w:eastAsia="宋体" w:cs="宋体"/>
                <w:color w:val="auto"/>
                <w:spacing w:val="-1"/>
                <w:sz w:val="22"/>
                <w:szCs w:val="22"/>
                <w:highlight w:val="none"/>
              </w:rPr>
              <w:t>小时平均浓度。</w:t>
            </w:r>
          </w:p>
          <w:p w14:paraId="71BF9E83">
            <w:pPr>
              <w:keepNext w:val="0"/>
              <w:keepLines w:val="0"/>
              <w:pageBreakBefore w:val="0"/>
              <w:widowControl/>
              <w:numPr>
                <w:ilvl w:val="0"/>
                <w:numId w:val="0"/>
              </w:numPr>
              <w:kinsoku/>
              <w:wordWrap/>
              <w:overflowPunct/>
              <w:topLinePunct w:val="0"/>
              <w:autoSpaceDE/>
              <w:autoSpaceDN/>
              <w:bidi w:val="0"/>
              <w:adjustRightInd/>
              <w:snapToGrid/>
              <w:spacing w:before="0" w:line="360" w:lineRule="auto"/>
              <w:ind w:left="480" w:leftChars="200" w:right="0" w:firstLine="0" w:firstLineChars="0"/>
              <w:textAlignment w:val="auto"/>
              <w:rPr>
                <w:rFonts w:ascii="Times New Roman" w:hAnsi="Times New Roman" w:eastAsia="宋体" w:cs="Times New Roman"/>
                <w:b/>
                <w:bCs/>
                <w:color w:val="auto"/>
                <w:spacing w:val="-4"/>
                <w:sz w:val="24"/>
                <w:szCs w:val="24"/>
                <w:highlight w:val="none"/>
              </w:rPr>
            </w:pPr>
            <w:r>
              <w:rPr>
                <w:rFonts w:ascii="Times New Roman" w:hAnsi="Times New Roman" w:eastAsia="宋体" w:cs="Times New Roman"/>
                <w:b/>
                <w:bCs/>
                <w:color w:val="auto"/>
                <w:spacing w:val="-4"/>
                <w:sz w:val="24"/>
                <w:szCs w:val="24"/>
                <w:highlight w:val="none"/>
              </w:rPr>
              <w:t>2、</w:t>
            </w:r>
            <w:r>
              <w:rPr>
                <w:rFonts w:hint="default" w:ascii="Times New Roman" w:hAnsi="Times New Roman" w:eastAsia="宋体" w:cs="Times New Roman"/>
                <w:b/>
                <w:bCs/>
                <w:color w:val="auto"/>
                <w:spacing w:val="-4"/>
                <w:sz w:val="24"/>
                <w:szCs w:val="24"/>
                <w:highlight w:val="none"/>
                <w:lang w:val="en-US" w:eastAsia="zh-CN"/>
              </w:rPr>
              <w:t>地表</w:t>
            </w:r>
            <w:r>
              <w:rPr>
                <w:rFonts w:ascii="Times New Roman" w:hAnsi="Times New Roman" w:eastAsia="宋体" w:cs="Times New Roman"/>
                <w:b/>
                <w:bCs/>
                <w:color w:val="auto"/>
                <w:spacing w:val="-4"/>
                <w:sz w:val="24"/>
                <w:szCs w:val="24"/>
                <w:highlight w:val="none"/>
              </w:rPr>
              <w:t>水环境</w:t>
            </w:r>
            <w:r>
              <w:rPr>
                <w:rFonts w:hint="default" w:ascii="Times New Roman" w:hAnsi="Times New Roman" w:eastAsia="宋体" w:cs="Times New Roman"/>
                <w:b/>
                <w:bCs/>
                <w:color w:val="auto"/>
                <w:spacing w:val="-4"/>
                <w:sz w:val="24"/>
                <w:szCs w:val="24"/>
                <w:highlight w:val="none"/>
                <w:lang w:val="en-US" w:eastAsia="zh-CN"/>
              </w:rPr>
              <w:t>质</w:t>
            </w:r>
            <w:r>
              <w:rPr>
                <w:rFonts w:ascii="Times New Roman" w:hAnsi="Times New Roman" w:eastAsia="宋体" w:cs="Times New Roman"/>
                <w:b/>
                <w:bCs/>
                <w:color w:val="auto"/>
                <w:spacing w:val="-4"/>
                <w:sz w:val="24"/>
                <w:szCs w:val="24"/>
                <w:highlight w:val="none"/>
              </w:rPr>
              <w:t>量</w:t>
            </w:r>
            <w:r>
              <w:rPr>
                <w:rFonts w:hint="default" w:ascii="Times New Roman" w:hAnsi="Times New Roman" w:eastAsia="宋体" w:cs="Times New Roman"/>
                <w:b/>
                <w:bCs/>
                <w:color w:val="auto"/>
                <w:spacing w:val="-4"/>
                <w:sz w:val="24"/>
                <w:szCs w:val="24"/>
                <w:highlight w:val="none"/>
                <w:lang w:val="en-US" w:eastAsia="zh-CN"/>
              </w:rPr>
              <w:t>标</w:t>
            </w:r>
            <w:r>
              <w:rPr>
                <w:rFonts w:ascii="Times New Roman" w:hAnsi="Times New Roman" w:eastAsia="宋体" w:cs="Times New Roman"/>
                <w:b/>
                <w:bCs/>
                <w:color w:val="auto"/>
                <w:spacing w:val="-4"/>
                <w:sz w:val="24"/>
                <w:szCs w:val="24"/>
                <w:highlight w:val="none"/>
              </w:rPr>
              <w:t xml:space="preserve">准 </w:t>
            </w:r>
          </w:p>
          <w:p w14:paraId="218896DE">
            <w:pPr>
              <w:spacing w:before="48" w:line="350" w:lineRule="auto"/>
              <w:ind w:left="251" w:right="391" w:firstLine="479"/>
              <w:jc w:val="both"/>
              <w:rPr>
                <w:rFonts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燕子沟</w:t>
            </w:r>
            <w:r>
              <w:rPr>
                <w:rFonts w:ascii="宋体" w:hAnsi="宋体" w:eastAsia="宋体" w:cs="宋体"/>
                <w:color w:val="auto"/>
                <w:sz w:val="24"/>
                <w:szCs w:val="24"/>
                <w:highlight w:val="none"/>
              </w:rPr>
              <w:t>执行《地表</w:t>
            </w:r>
            <w:r>
              <w:rPr>
                <w:rFonts w:ascii="宋体" w:hAnsi="宋体" w:eastAsia="宋体" w:cs="宋体"/>
                <w:b w:val="0"/>
                <w:bCs w:val="0"/>
                <w:color w:val="auto"/>
                <w:sz w:val="24"/>
                <w:szCs w:val="24"/>
                <w:highlight w:val="none"/>
              </w:rPr>
              <w:t>水环境质量标准》（</w:t>
            </w:r>
            <w:r>
              <w:rPr>
                <w:rFonts w:ascii="Times New Roman" w:hAnsi="Times New Roman" w:eastAsia="Times New Roman" w:cs="Times New Roman"/>
                <w:b w:val="0"/>
                <w:bCs w:val="0"/>
                <w:color w:val="auto"/>
                <w:sz w:val="24"/>
                <w:szCs w:val="24"/>
                <w:highlight w:val="none"/>
              </w:rPr>
              <w:t>GB3838-2002</w:t>
            </w:r>
            <w:r>
              <w:rPr>
                <w:rFonts w:ascii="宋体" w:hAnsi="宋体" w:eastAsia="宋体" w:cs="宋体"/>
                <w:b w:val="0"/>
                <w:bCs w:val="0"/>
                <w:color w:val="auto"/>
                <w:sz w:val="24"/>
                <w:szCs w:val="24"/>
                <w:highlight w:val="none"/>
              </w:rPr>
              <w:t>）</w:t>
            </w:r>
            <w:r>
              <w:rPr>
                <w:rFonts w:hint="eastAsia" w:ascii="宋体" w:hAnsi="宋体" w:eastAsia="宋体" w:cs="宋体"/>
                <w:b w:val="0"/>
                <w:bCs w:val="0"/>
                <w:color w:val="auto"/>
                <w:spacing w:val="6"/>
                <w:highlight w:val="none"/>
              </w:rPr>
              <w:t>Ⅲ</w:t>
            </w:r>
            <w:r>
              <w:rPr>
                <w:rFonts w:hint="eastAsia" w:ascii="宋体" w:hAnsi="宋体" w:cs="宋体"/>
                <w:b w:val="0"/>
                <w:bCs w:val="0"/>
                <w:color w:val="auto"/>
                <w:spacing w:val="6"/>
                <w:highlight w:val="none"/>
                <w:lang w:val="en-US" w:eastAsia="zh-CN"/>
              </w:rPr>
              <w:t>类水域标准，大渡河执行</w:t>
            </w:r>
            <w:r>
              <w:rPr>
                <w:rFonts w:hint="eastAsia" w:ascii="Times New Roman" w:hAnsi="Times New Roman" w:eastAsia="宋体" w:cs="Times New Roman"/>
                <w:b w:val="0"/>
                <w:bCs w:val="0"/>
                <w:color w:val="auto"/>
                <w:spacing w:val="-1"/>
                <w:sz w:val="24"/>
                <w:szCs w:val="24"/>
                <w:highlight w:val="none"/>
                <w:lang w:val="en-US" w:eastAsia="zh-CN"/>
              </w:rPr>
              <w:t>Ⅱ</w:t>
            </w:r>
            <w:r>
              <w:rPr>
                <w:rFonts w:ascii="宋体" w:hAnsi="宋体" w:eastAsia="宋体" w:cs="宋体"/>
                <w:b w:val="0"/>
                <w:bCs w:val="0"/>
                <w:color w:val="auto"/>
                <w:spacing w:val="-1"/>
                <w:sz w:val="24"/>
                <w:szCs w:val="24"/>
                <w:highlight w:val="none"/>
              </w:rPr>
              <w:t>类水质标准</w:t>
            </w:r>
            <w:r>
              <w:rPr>
                <w:rFonts w:hint="eastAsia" w:ascii="宋体" w:hAnsi="宋体" w:cs="宋体"/>
                <w:b w:val="0"/>
                <w:bCs w:val="0"/>
                <w:color w:val="auto"/>
                <w:spacing w:val="-1"/>
                <w:sz w:val="24"/>
                <w:szCs w:val="24"/>
                <w:highlight w:val="none"/>
                <w:lang w:eastAsia="zh-CN"/>
              </w:rPr>
              <w:t>。</w:t>
            </w:r>
            <w:r>
              <w:rPr>
                <w:rFonts w:ascii="宋体" w:hAnsi="宋体" w:eastAsia="宋体" w:cs="宋体"/>
                <w:color w:val="auto"/>
                <w:sz w:val="24"/>
                <w:szCs w:val="24"/>
                <w:highlight w:val="none"/>
              </w:rPr>
              <w:t>具</w:t>
            </w:r>
            <w:r>
              <w:rPr>
                <w:rFonts w:ascii="宋体" w:hAnsi="宋体" w:eastAsia="宋体" w:cs="宋体"/>
                <w:color w:val="auto"/>
                <w:spacing w:val="-1"/>
                <w:sz w:val="24"/>
                <w:szCs w:val="24"/>
                <w:highlight w:val="none"/>
              </w:rPr>
              <w:t>体标准限值见表</w:t>
            </w:r>
            <w:r>
              <w:rPr>
                <w:rFonts w:hint="eastAsia" w:ascii="Times New Roman" w:hAnsi="Times New Roman" w:eastAsia="宋体" w:cs="Times New Roman"/>
                <w:color w:val="auto"/>
                <w:spacing w:val="-1"/>
                <w:sz w:val="24"/>
                <w:szCs w:val="24"/>
                <w:highlight w:val="none"/>
                <w:lang w:val="en-US" w:eastAsia="zh-CN"/>
              </w:rPr>
              <w:t>3</w:t>
            </w:r>
            <w:r>
              <w:rPr>
                <w:rFonts w:ascii="Times New Roman" w:hAnsi="Times New Roman" w:eastAsia="Times New Roman" w:cs="Times New Roman"/>
                <w:color w:val="auto"/>
                <w:spacing w:val="-1"/>
                <w:sz w:val="24"/>
                <w:szCs w:val="24"/>
                <w:highlight w:val="none"/>
              </w:rPr>
              <w:t>-</w:t>
            </w:r>
            <w:r>
              <w:rPr>
                <w:rFonts w:hint="eastAsia" w:cs="Times New Roman"/>
                <w:color w:val="auto"/>
                <w:spacing w:val="-1"/>
                <w:sz w:val="24"/>
                <w:szCs w:val="24"/>
                <w:highlight w:val="none"/>
                <w:lang w:val="en-US" w:eastAsia="zh-CN"/>
              </w:rPr>
              <w:t>11</w:t>
            </w:r>
            <w:r>
              <w:rPr>
                <w:rFonts w:ascii="宋体" w:hAnsi="宋体" w:eastAsia="宋体" w:cs="宋体"/>
                <w:color w:val="auto"/>
                <w:spacing w:val="-1"/>
                <w:sz w:val="24"/>
                <w:szCs w:val="24"/>
                <w:highlight w:val="none"/>
              </w:rPr>
              <w:t>。</w:t>
            </w:r>
          </w:p>
          <w:p w14:paraId="2510A5DE">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地表水环境质量标准</w:t>
            </w:r>
          </w:p>
          <w:tbl>
            <w:tblPr>
              <w:tblStyle w:val="103"/>
              <w:tblW w:w="499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94"/>
              <w:gridCol w:w="2111"/>
              <w:gridCol w:w="1144"/>
              <w:gridCol w:w="1186"/>
              <w:gridCol w:w="1081"/>
              <w:gridCol w:w="1759"/>
            </w:tblGrid>
            <w:tr w14:paraId="3A19D2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653" w:type="pct"/>
                  <w:tcBorders>
                    <w:left w:val="nil"/>
                  </w:tcBorders>
                  <w:vAlign w:val="top"/>
                </w:tcPr>
                <w:p w14:paraId="5EDF798A">
                  <w:pPr>
                    <w:pStyle w:val="109"/>
                    <w:spacing w:before="51" w:line="229" w:lineRule="auto"/>
                    <w:ind w:left="365"/>
                    <w:rPr>
                      <w:color w:val="auto"/>
                      <w:highlight w:val="none"/>
                    </w:rPr>
                  </w:pPr>
                  <w:r>
                    <w:rPr>
                      <w:b/>
                      <w:bCs/>
                      <w:color w:val="auto"/>
                      <w:spacing w:val="4"/>
                      <w:highlight w:val="none"/>
                    </w:rPr>
                    <w:t>序号</w:t>
                  </w:r>
                </w:p>
              </w:tc>
              <w:tc>
                <w:tcPr>
                  <w:tcW w:w="1260" w:type="pct"/>
                  <w:vAlign w:val="top"/>
                </w:tcPr>
                <w:p w14:paraId="2BF8836A">
                  <w:pPr>
                    <w:pStyle w:val="109"/>
                    <w:spacing w:before="51" w:line="228" w:lineRule="auto"/>
                    <w:ind w:left="787"/>
                    <w:rPr>
                      <w:color w:val="auto"/>
                      <w:highlight w:val="none"/>
                    </w:rPr>
                  </w:pPr>
                  <w:r>
                    <w:rPr>
                      <w:b/>
                      <w:bCs/>
                      <w:color w:val="auto"/>
                      <w:spacing w:val="5"/>
                      <w:highlight w:val="none"/>
                    </w:rPr>
                    <w:t>污染物</w:t>
                  </w:r>
                </w:p>
              </w:tc>
              <w:tc>
                <w:tcPr>
                  <w:tcW w:w="683" w:type="pct"/>
                  <w:vAlign w:val="top"/>
                </w:tcPr>
                <w:p w14:paraId="4DF14F4F">
                  <w:pPr>
                    <w:pStyle w:val="109"/>
                    <w:spacing w:before="51" w:line="228" w:lineRule="auto"/>
                    <w:rPr>
                      <w:color w:val="auto"/>
                      <w:highlight w:val="none"/>
                    </w:rPr>
                  </w:pPr>
                  <w:r>
                    <w:rPr>
                      <w:b/>
                      <w:bCs/>
                      <w:color w:val="auto"/>
                      <w:spacing w:val="3"/>
                      <w:highlight w:val="none"/>
                    </w:rPr>
                    <w:t>单位</w:t>
                  </w:r>
                </w:p>
              </w:tc>
              <w:tc>
                <w:tcPr>
                  <w:tcW w:w="708" w:type="pct"/>
                  <w:tcBorders>
                    <w:right w:val="single" w:color="auto" w:sz="4" w:space="0"/>
                  </w:tcBorders>
                  <w:vAlign w:val="top"/>
                </w:tcPr>
                <w:p w14:paraId="64047739">
                  <w:pPr>
                    <w:pStyle w:val="109"/>
                    <w:keepNext w:val="0"/>
                    <w:keepLines w:val="0"/>
                    <w:pageBreakBefore w:val="0"/>
                    <w:widowControl w:val="0"/>
                    <w:kinsoku/>
                    <w:wordWrap/>
                    <w:overflowPunct/>
                    <w:topLinePunct w:val="0"/>
                    <w:autoSpaceDE/>
                    <w:autoSpaceDN/>
                    <w:bidi w:val="0"/>
                    <w:adjustRightInd/>
                    <w:snapToGrid/>
                    <w:spacing w:line="226" w:lineRule="auto"/>
                    <w:textAlignment w:val="auto"/>
                    <w:rPr>
                      <w:rFonts w:hint="default"/>
                      <w:color w:val="auto"/>
                      <w:highlight w:val="none"/>
                      <w:lang w:val="en-US"/>
                    </w:rPr>
                  </w:pPr>
                  <w:r>
                    <w:rPr>
                      <w:rFonts w:hint="eastAsia" w:ascii="宋体" w:hAnsi="宋体" w:eastAsia="宋体" w:cs="宋体"/>
                      <w:b/>
                      <w:bCs/>
                      <w:color w:val="auto"/>
                      <w:spacing w:val="6"/>
                      <w:highlight w:val="none"/>
                    </w:rPr>
                    <w:t>Ⅱ</w:t>
                  </w:r>
                  <w:r>
                    <w:rPr>
                      <w:rFonts w:hint="eastAsia" w:eastAsia="宋体"/>
                      <w:b/>
                      <w:bCs/>
                      <w:color w:val="auto"/>
                      <w:spacing w:val="6"/>
                      <w:highlight w:val="none"/>
                      <w:lang w:val="en-US" w:eastAsia="zh-CN"/>
                    </w:rPr>
                    <w:t>类标准</w:t>
                  </w:r>
                </w:p>
              </w:tc>
              <w:tc>
                <w:tcPr>
                  <w:tcW w:w="645" w:type="pct"/>
                  <w:tcBorders>
                    <w:left w:val="single" w:color="auto" w:sz="4" w:space="0"/>
                  </w:tcBorders>
                  <w:vAlign w:val="top"/>
                </w:tcPr>
                <w:p w14:paraId="3726BD30">
                  <w:pPr>
                    <w:pStyle w:val="109"/>
                    <w:keepNext w:val="0"/>
                    <w:keepLines w:val="0"/>
                    <w:pageBreakBefore w:val="0"/>
                    <w:widowControl w:val="0"/>
                    <w:kinsoku/>
                    <w:wordWrap/>
                    <w:overflowPunct/>
                    <w:topLinePunct w:val="0"/>
                    <w:autoSpaceDE/>
                    <w:autoSpaceDN/>
                    <w:bidi w:val="0"/>
                    <w:adjustRightInd/>
                    <w:snapToGrid/>
                    <w:spacing w:line="226" w:lineRule="auto"/>
                    <w:textAlignment w:val="auto"/>
                    <w:rPr>
                      <w:rFonts w:hint="default" w:ascii="宋体" w:hAnsi="宋体" w:eastAsia="宋体" w:cs="宋体"/>
                      <w:b/>
                      <w:bCs/>
                      <w:color w:val="auto"/>
                      <w:spacing w:val="6"/>
                      <w:highlight w:val="none"/>
                      <w:lang w:val="en-US" w:eastAsia="zh-CN"/>
                    </w:rPr>
                  </w:pPr>
                  <w:r>
                    <w:rPr>
                      <w:rFonts w:hint="eastAsia" w:ascii="宋体" w:hAnsi="宋体" w:eastAsia="宋体" w:cs="宋体"/>
                      <w:b/>
                      <w:bCs/>
                      <w:color w:val="auto"/>
                      <w:spacing w:val="6"/>
                      <w:highlight w:val="none"/>
                    </w:rPr>
                    <w:t>Ⅲ</w:t>
                  </w:r>
                  <w:r>
                    <w:rPr>
                      <w:rFonts w:hint="eastAsia" w:ascii="宋体" w:hAnsi="宋体" w:eastAsia="宋体" w:cs="宋体"/>
                      <w:b/>
                      <w:bCs/>
                      <w:color w:val="auto"/>
                      <w:spacing w:val="6"/>
                      <w:highlight w:val="none"/>
                      <w:lang w:val="en-US" w:eastAsia="zh-CN"/>
                    </w:rPr>
                    <w:t>类标准</w:t>
                  </w:r>
                </w:p>
              </w:tc>
              <w:tc>
                <w:tcPr>
                  <w:tcW w:w="1049" w:type="pct"/>
                  <w:tcBorders>
                    <w:right w:val="nil"/>
                  </w:tcBorders>
                  <w:vAlign w:val="top"/>
                </w:tcPr>
                <w:p w14:paraId="60C3DCBB">
                  <w:pPr>
                    <w:pStyle w:val="109"/>
                    <w:spacing w:before="51" w:line="226" w:lineRule="auto"/>
                    <w:ind w:left="496"/>
                    <w:rPr>
                      <w:color w:val="auto"/>
                      <w:highlight w:val="none"/>
                    </w:rPr>
                  </w:pPr>
                  <w:r>
                    <w:rPr>
                      <w:b/>
                      <w:bCs/>
                      <w:color w:val="auto"/>
                      <w:spacing w:val="6"/>
                      <w:highlight w:val="none"/>
                    </w:rPr>
                    <w:t>评价标准</w:t>
                  </w:r>
                </w:p>
              </w:tc>
            </w:tr>
            <w:tr w14:paraId="40871A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trPr>
              <w:tc>
                <w:tcPr>
                  <w:tcW w:w="653" w:type="pct"/>
                  <w:tcBorders>
                    <w:left w:val="nil"/>
                  </w:tcBorders>
                  <w:vAlign w:val="top"/>
                </w:tcPr>
                <w:p w14:paraId="6DA9E4A2">
                  <w:pPr>
                    <w:spacing w:before="65" w:line="195" w:lineRule="auto"/>
                    <w:ind w:left="541"/>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1</w:t>
                  </w:r>
                </w:p>
              </w:tc>
              <w:tc>
                <w:tcPr>
                  <w:tcW w:w="1260" w:type="pct"/>
                  <w:vAlign w:val="top"/>
                </w:tcPr>
                <w:p w14:paraId="58770E6B">
                  <w:pPr>
                    <w:spacing w:before="67" w:line="194" w:lineRule="auto"/>
                    <w:ind w:left="96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6"/>
                      <w:sz w:val="20"/>
                      <w:szCs w:val="20"/>
                      <w:highlight w:val="none"/>
                    </w:rPr>
                    <w:t>pH</w:t>
                  </w:r>
                </w:p>
              </w:tc>
              <w:tc>
                <w:tcPr>
                  <w:tcW w:w="683" w:type="pct"/>
                  <w:vAlign w:val="top"/>
                </w:tcPr>
                <w:p w14:paraId="0E2EEC27">
                  <w:pPr>
                    <w:pStyle w:val="109"/>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color w:val="auto"/>
                      <w:highlight w:val="none"/>
                    </w:rPr>
                  </w:pPr>
                  <w:r>
                    <w:rPr>
                      <w:color w:val="auto"/>
                      <w:spacing w:val="6"/>
                      <w:highlight w:val="none"/>
                    </w:rPr>
                    <w:t>无量纲</w:t>
                  </w:r>
                </w:p>
              </w:tc>
              <w:tc>
                <w:tcPr>
                  <w:tcW w:w="708" w:type="pct"/>
                  <w:tcBorders>
                    <w:right w:val="single" w:color="auto" w:sz="4" w:space="0"/>
                  </w:tcBorders>
                  <w:vAlign w:val="top"/>
                </w:tcPr>
                <w:p w14:paraId="0A3ADB4C">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6-9</w:t>
                  </w:r>
                </w:p>
              </w:tc>
              <w:tc>
                <w:tcPr>
                  <w:tcW w:w="645" w:type="pct"/>
                  <w:tcBorders>
                    <w:left w:val="single" w:color="auto" w:sz="4" w:space="0"/>
                  </w:tcBorders>
                  <w:vAlign w:val="top"/>
                </w:tcPr>
                <w:p w14:paraId="669F3020">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6-9</w:t>
                  </w:r>
                </w:p>
              </w:tc>
              <w:tc>
                <w:tcPr>
                  <w:tcW w:w="1049" w:type="pct"/>
                  <w:vMerge w:val="restart"/>
                  <w:tcBorders>
                    <w:bottom w:val="nil"/>
                    <w:right w:val="nil"/>
                  </w:tcBorders>
                  <w:vAlign w:val="top"/>
                </w:tcPr>
                <w:p w14:paraId="4DF82616">
                  <w:pPr>
                    <w:spacing w:line="269" w:lineRule="auto"/>
                    <w:rPr>
                      <w:rFonts w:ascii="Arial"/>
                      <w:color w:val="auto"/>
                      <w:sz w:val="21"/>
                      <w:highlight w:val="none"/>
                    </w:rPr>
                  </w:pPr>
                </w:p>
                <w:p w14:paraId="2F9E5506">
                  <w:pPr>
                    <w:spacing w:line="269" w:lineRule="auto"/>
                    <w:rPr>
                      <w:rFonts w:ascii="Arial"/>
                      <w:color w:val="auto"/>
                      <w:sz w:val="21"/>
                      <w:highlight w:val="none"/>
                    </w:rPr>
                  </w:pPr>
                </w:p>
                <w:p w14:paraId="156A34A8">
                  <w:pPr>
                    <w:spacing w:line="269" w:lineRule="auto"/>
                    <w:rPr>
                      <w:rFonts w:ascii="Arial"/>
                      <w:color w:val="auto"/>
                      <w:sz w:val="21"/>
                      <w:highlight w:val="none"/>
                    </w:rPr>
                  </w:pPr>
                </w:p>
                <w:p w14:paraId="54AD1360">
                  <w:pPr>
                    <w:spacing w:line="269" w:lineRule="auto"/>
                    <w:rPr>
                      <w:rFonts w:ascii="Arial"/>
                      <w:color w:val="auto"/>
                      <w:sz w:val="21"/>
                      <w:highlight w:val="none"/>
                    </w:rPr>
                  </w:pPr>
                </w:p>
                <w:p w14:paraId="6EB1BAE7">
                  <w:pPr>
                    <w:spacing w:line="270" w:lineRule="auto"/>
                    <w:rPr>
                      <w:rFonts w:ascii="Arial"/>
                      <w:color w:val="auto"/>
                      <w:sz w:val="21"/>
                      <w:highlight w:val="none"/>
                    </w:rPr>
                  </w:pPr>
                </w:p>
                <w:p w14:paraId="42141DE0">
                  <w:pPr>
                    <w:pStyle w:val="109"/>
                    <w:spacing w:before="65" w:line="239" w:lineRule="auto"/>
                    <w:ind w:left="497" w:right="178" w:hanging="309"/>
                    <w:rPr>
                      <w:color w:val="auto"/>
                      <w:highlight w:val="none"/>
                    </w:rPr>
                  </w:pPr>
                  <w:r>
                    <w:rPr>
                      <w:color w:val="auto"/>
                      <w:spacing w:val="7"/>
                      <w:highlight w:val="none"/>
                    </w:rPr>
                    <w:t>《地表水环境质</w:t>
                  </w:r>
                  <w:r>
                    <w:rPr>
                      <w:color w:val="auto"/>
                      <w:spacing w:val="5"/>
                      <w:highlight w:val="none"/>
                    </w:rPr>
                    <w:t xml:space="preserve"> 量标准》</w:t>
                  </w:r>
                </w:p>
                <w:p w14:paraId="2FB5CEDA">
                  <w:pPr>
                    <w:pStyle w:val="109"/>
                    <w:spacing w:before="25" w:line="241" w:lineRule="auto"/>
                    <w:ind w:left="433"/>
                    <w:rPr>
                      <w:rFonts w:ascii="Times New Roman" w:hAnsi="Times New Roman" w:eastAsia="Times New Roman" w:cs="Times New Roman"/>
                      <w:color w:val="auto"/>
                      <w:highlight w:val="none"/>
                    </w:rPr>
                  </w:pPr>
                  <w:r>
                    <w:rPr>
                      <w:color w:val="auto"/>
                      <w:spacing w:val="5"/>
                      <w:highlight w:val="none"/>
                    </w:rPr>
                    <w:t>（</w:t>
                  </w:r>
                  <w:r>
                    <w:rPr>
                      <w:rFonts w:ascii="Times New Roman" w:hAnsi="Times New Roman" w:eastAsia="Times New Roman" w:cs="Times New Roman"/>
                      <w:color w:val="auto"/>
                      <w:highlight w:val="none"/>
                    </w:rPr>
                    <w:t>GB</w:t>
                  </w:r>
                  <w:r>
                    <w:rPr>
                      <w:rFonts w:ascii="Times New Roman" w:hAnsi="Times New Roman" w:eastAsia="Times New Roman" w:cs="Times New Roman"/>
                      <w:color w:val="auto"/>
                      <w:spacing w:val="5"/>
                      <w:highlight w:val="none"/>
                    </w:rPr>
                    <w:t>3838-</w:t>
                  </w:r>
                </w:p>
                <w:p w14:paraId="76A6A7D5">
                  <w:pPr>
                    <w:pStyle w:val="109"/>
                    <w:spacing w:before="10" w:line="228" w:lineRule="auto"/>
                    <w:ind w:left="184"/>
                    <w:rPr>
                      <w:color w:val="auto"/>
                      <w:highlight w:val="none"/>
                    </w:rPr>
                  </w:pPr>
                  <w:r>
                    <w:rPr>
                      <w:rFonts w:ascii="Times New Roman" w:hAnsi="Times New Roman" w:eastAsia="Times New Roman" w:cs="Times New Roman"/>
                      <w:color w:val="auto"/>
                      <w:spacing w:val="7"/>
                      <w:highlight w:val="none"/>
                    </w:rPr>
                    <w:t>2002</w:t>
                  </w:r>
                  <w:r>
                    <w:rPr>
                      <w:color w:val="auto"/>
                      <w:spacing w:val="7"/>
                      <w:highlight w:val="none"/>
                    </w:rPr>
                    <w:t>）</w:t>
                  </w:r>
                  <w:r>
                    <w:rPr>
                      <w:rFonts w:hint="eastAsia"/>
                      <w:color w:val="auto"/>
                      <w:spacing w:val="7"/>
                      <w:highlight w:val="none"/>
                    </w:rPr>
                    <w:t>Ⅱ</w:t>
                  </w:r>
                  <w:r>
                    <w:rPr>
                      <w:rFonts w:hint="eastAsia"/>
                      <w:color w:val="auto"/>
                      <w:spacing w:val="7"/>
                      <w:highlight w:val="none"/>
                      <w:lang w:eastAsia="zh-CN"/>
                    </w:rPr>
                    <w:t>、</w:t>
                  </w:r>
                  <w:r>
                    <w:rPr>
                      <w:rFonts w:hint="eastAsia" w:ascii="宋体" w:hAnsi="宋体" w:eastAsia="宋体" w:cs="宋体"/>
                      <w:color w:val="auto"/>
                      <w:spacing w:val="7"/>
                      <w:highlight w:val="none"/>
                      <w:lang w:eastAsia="zh-CN"/>
                    </w:rPr>
                    <w:t>Ⅲ</w:t>
                  </w:r>
                  <w:r>
                    <w:rPr>
                      <w:color w:val="auto"/>
                      <w:spacing w:val="7"/>
                      <w:highlight w:val="none"/>
                    </w:rPr>
                    <w:t>类标准</w:t>
                  </w:r>
                </w:p>
              </w:tc>
            </w:tr>
            <w:tr w14:paraId="6F068D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53" w:type="pct"/>
                  <w:tcBorders>
                    <w:left w:val="nil"/>
                  </w:tcBorders>
                  <w:vAlign w:val="top"/>
                </w:tcPr>
                <w:p w14:paraId="362B61F6">
                  <w:pPr>
                    <w:spacing w:before="50" w:line="189" w:lineRule="auto"/>
                    <w:ind w:left="520"/>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2</w:t>
                  </w:r>
                </w:p>
              </w:tc>
              <w:tc>
                <w:tcPr>
                  <w:tcW w:w="1260" w:type="pct"/>
                  <w:vAlign w:val="top"/>
                </w:tcPr>
                <w:p w14:paraId="2839FBB3">
                  <w:pPr>
                    <w:spacing w:before="50" w:line="189" w:lineRule="auto"/>
                    <w:ind w:left="797"/>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CODcr</w:t>
                  </w:r>
                </w:p>
              </w:tc>
              <w:tc>
                <w:tcPr>
                  <w:tcW w:w="683" w:type="pct"/>
                  <w:vAlign w:val="top"/>
                </w:tcPr>
                <w:p w14:paraId="5EB40FE9">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4C67565B">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ascii="Times New Roman" w:hAnsi="Times New Roman" w:eastAsia="宋体" w:cs="Times New Roman"/>
                      <w:color w:val="auto"/>
                      <w:spacing w:val="2"/>
                      <w:sz w:val="20"/>
                      <w:szCs w:val="20"/>
                      <w:highlight w:val="none"/>
                      <w:lang w:val="en-US" w:eastAsia="zh-CN"/>
                    </w:rPr>
                    <w:t>15</w:t>
                  </w:r>
                </w:p>
              </w:tc>
              <w:tc>
                <w:tcPr>
                  <w:tcW w:w="645" w:type="pct"/>
                  <w:tcBorders>
                    <w:left w:val="single" w:color="auto" w:sz="4" w:space="0"/>
                  </w:tcBorders>
                  <w:vAlign w:val="top"/>
                </w:tcPr>
                <w:p w14:paraId="6B3F33FA">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2"/>
                      <w:sz w:val="20"/>
                      <w:szCs w:val="20"/>
                      <w:highlight w:val="none"/>
                      <w:lang w:val="en-US" w:eastAsia="zh-CN"/>
                    </w:rPr>
                  </w:pPr>
                  <w:r>
                    <w:rPr>
                      <w:rFonts w:hint="eastAsia" w:cs="Times New Roman"/>
                      <w:color w:val="auto"/>
                      <w:spacing w:val="2"/>
                      <w:sz w:val="20"/>
                      <w:szCs w:val="20"/>
                      <w:highlight w:val="none"/>
                      <w:lang w:val="en-US" w:eastAsia="zh-CN"/>
                    </w:rPr>
                    <w:t>20</w:t>
                  </w:r>
                </w:p>
              </w:tc>
              <w:tc>
                <w:tcPr>
                  <w:tcW w:w="1049" w:type="pct"/>
                  <w:vMerge w:val="continue"/>
                  <w:tcBorders>
                    <w:top w:val="nil"/>
                    <w:bottom w:val="nil"/>
                    <w:right w:val="nil"/>
                  </w:tcBorders>
                  <w:vAlign w:val="top"/>
                </w:tcPr>
                <w:p w14:paraId="606426DF">
                  <w:pPr>
                    <w:rPr>
                      <w:rFonts w:ascii="Arial"/>
                      <w:color w:val="auto"/>
                      <w:sz w:val="21"/>
                      <w:highlight w:val="none"/>
                    </w:rPr>
                  </w:pPr>
                </w:p>
              </w:tc>
            </w:tr>
            <w:tr w14:paraId="03CC8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653" w:type="pct"/>
                  <w:tcBorders>
                    <w:left w:val="nil"/>
                  </w:tcBorders>
                  <w:vAlign w:val="top"/>
                </w:tcPr>
                <w:p w14:paraId="0D09EEAC">
                  <w:pPr>
                    <w:spacing w:before="77" w:line="195" w:lineRule="auto"/>
                    <w:ind w:left="52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3</w:t>
                  </w:r>
                </w:p>
              </w:tc>
              <w:tc>
                <w:tcPr>
                  <w:tcW w:w="1260" w:type="pct"/>
                  <w:vAlign w:val="top"/>
                </w:tcPr>
                <w:p w14:paraId="59787973">
                  <w:pPr>
                    <w:spacing w:before="77" w:line="202" w:lineRule="auto"/>
                    <w:ind w:left="841"/>
                    <w:rPr>
                      <w:rFonts w:ascii="Times New Roman" w:hAnsi="Times New Roman" w:eastAsia="Times New Roman" w:cs="Times New Roman"/>
                      <w:color w:val="auto"/>
                      <w:sz w:val="13"/>
                      <w:szCs w:val="13"/>
                      <w:highlight w:val="none"/>
                    </w:rPr>
                  </w:pPr>
                  <w:r>
                    <w:rPr>
                      <w:rFonts w:ascii="Times New Roman" w:hAnsi="Times New Roman" w:eastAsia="Times New Roman" w:cs="Times New Roman"/>
                      <w:color w:val="auto"/>
                      <w:spacing w:val="5"/>
                      <w:sz w:val="20"/>
                      <w:szCs w:val="20"/>
                      <w:highlight w:val="none"/>
                    </w:rPr>
                    <w:t>BOD</w:t>
                  </w:r>
                  <w:r>
                    <w:rPr>
                      <w:rFonts w:ascii="Times New Roman" w:hAnsi="Times New Roman" w:eastAsia="Times New Roman" w:cs="Times New Roman"/>
                      <w:color w:val="auto"/>
                      <w:spacing w:val="5"/>
                      <w:position w:val="-1"/>
                      <w:sz w:val="13"/>
                      <w:szCs w:val="13"/>
                      <w:highlight w:val="none"/>
                    </w:rPr>
                    <w:t>5</w:t>
                  </w:r>
                </w:p>
              </w:tc>
              <w:tc>
                <w:tcPr>
                  <w:tcW w:w="683" w:type="pct"/>
                  <w:vAlign w:val="top"/>
                </w:tcPr>
                <w:p w14:paraId="2D98450B">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664A1692">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eastAsia" w:ascii="Times New Roman" w:hAnsi="Times New Roman" w:eastAsia="宋体" w:cs="Times New Roman"/>
                      <w:color w:val="auto"/>
                      <w:sz w:val="20"/>
                      <w:szCs w:val="20"/>
                      <w:highlight w:val="none"/>
                      <w:lang w:eastAsia="zh-CN"/>
                    </w:rPr>
                  </w:pPr>
                  <w:r>
                    <w:rPr>
                      <w:rFonts w:hint="eastAsia" w:ascii="Times New Roman" w:hAnsi="Times New Roman" w:eastAsia="宋体" w:cs="Times New Roman"/>
                      <w:color w:val="auto"/>
                      <w:spacing w:val="-8"/>
                      <w:sz w:val="20"/>
                      <w:szCs w:val="20"/>
                      <w:highlight w:val="none"/>
                      <w:lang w:val="en-US" w:eastAsia="zh-CN"/>
                    </w:rPr>
                    <w:t>3</w:t>
                  </w:r>
                </w:p>
              </w:tc>
              <w:tc>
                <w:tcPr>
                  <w:tcW w:w="645" w:type="pct"/>
                  <w:tcBorders>
                    <w:left w:val="single" w:color="auto" w:sz="4" w:space="0"/>
                  </w:tcBorders>
                  <w:vAlign w:val="top"/>
                </w:tcPr>
                <w:p w14:paraId="7B72948A">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8"/>
                      <w:sz w:val="20"/>
                      <w:szCs w:val="20"/>
                      <w:highlight w:val="none"/>
                      <w:lang w:val="en-US" w:eastAsia="zh-CN"/>
                    </w:rPr>
                  </w:pPr>
                  <w:r>
                    <w:rPr>
                      <w:rFonts w:hint="eastAsia" w:cs="Times New Roman"/>
                      <w:color w:val="auto"/>
                      <w:spacing w:val="-8"/>
                      <w:sz w:val="20"/>
                      <w:szCs w:val="20"/>
                      <w:highlight w:val="none"/>
                      <w:lang w:val="en-US" w:eastAsia="zh-CN"/>
                    </w:rPr>
                    <w:t>4</w:t>
                  </w:r>
                </w:p>
              </w:tc>
              <w:tc>
                <w:tcPr>
                  <w:tcW w:w="1049" w:type="pct"/>
                  <w:vMerge w:val="continue"/>
                  <w:tcBorders>
                    <w:top w:val="nil"/>
                    <w:bottom w:val="nil"/>
                    <w:right w:val="nil"/>
                  </w:tcBorders>
                  <w:vAlign w:val="top"/>
                </w:tcPr>
                <w:p w14:paraId="4DC60F77">
                  <w:pPr>
                    <w:rPr>
                      <w:rFonts w:ascii="Arial"/>
                      <w:color w:val="auto"/>
                      <w:sz w:val="21"/>
                      <w:highlight w:val="none"/>
                    </w:rPr>
                  </w:pPr>
                </w:p>
              </w:tc>
            </w:tr>
            <w:tr w14:paraId="02D41D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vAlign w:val="top"/>
                </w:tcPr>
                <w:p w14:paraId="00BA3764">
                  <w:pPr>
                    <w:spacing w:before="66" w:line="195" w:lineRule="auto"/>
                    <w:ind w:left="519"/>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4</w:t>
                  </w:r>
                </w:p>
              </w:tc>
              <w:tc>
                <w:tcPr>
                  <w:tcW w:w="1260" w:type="pct"/>
                  <w:vAlign w:val="top"/>
                </w:tcPr>
                <w:p w14:paraId="2E1F44EF">
                  <w:pPr>
                    <w:pStyle w:val="109"/>
                    <w:spacing w:before="30" w:line="214" w:lineRule="auto"/>
                    <w:ind w:left="891"/>
                    <w:rPr>
                      <w:color w:val="auto"/>
                      <w:highlight w:val="none"/>
                    </w:rPr>
                  </w:pPr>
                  <w:r>
                    <w:rPr>
                      <w:color w:val="auto"/>
                      <w:spacing w:val="4"/>
                      <w:highlight w:val="none"/>
                    </w:rPr>
                    <w:t>氨氮</w:t>
                  </w:r>
                </w:p>
              </w:tc>
              <w:tc>
                <w:tcPr>
                  <w:tcW w:w="683" w:type="pct"/>
                  <w:vAlign w:val="top"/>
                </w:tcPr>
                <w:p w14:paraId="1F13C646">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38060560">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ascii="Times New Roman" w:hAnsi="Times New Roman" w:eastAsia="宋体" w:cs="Times New Roman"/>
                      <w:color w:val="auto"/>
                      <w:spacing w:val="-4"/>
                      <w:sz w:val="20"/>
                      <w:szCs w:val="20"/>
                      <w:highlight w:val="none"/>
                      <w:lang w:val="en-US" w:eastAsia="zh-CN"/>
                    </w:rPr>
                    <w:t>0.5</w:t>
                  </w:r>
                </w:p>
              </w:tc>
              <w:tc>
                <w:tcPr>
                  <w:tcW w:w="645" w:type="pct"/>
                  <w:tcBorders>
                    <w:left w:val="single" w:color="auto" w:sz="4" w:space="0"/>
                  </w:tcBorders>
                  <w:vAlign w:val="top"/>
                </w:tcPr>
                <w:p w14:paraId="685A5B59">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4"/>
                      <w:sz w:val="20"/>
                      <w:szCs w:val="20"/>
                      <w:highlight w:val="none"/>
                      <w:lang w:val="en-US" w:eastAsia="zh-CN"/>
                    </w:rPr>
                  </w:pPr>
                  <w:r>
                    <w:rPr>
                      <w:rFonts w:hint="eastAsia" w:cs="Times New Roman"/>
                      <w:color w:val="auto"/>
                      <w:spacing w:val="-4"/>
                      <w:sz w:val="20"/>
                      <w:szCs w:val="20"/>
                      <w:highlight w:val="none"/>
                      <w:lang w:val="en-US" w:eastAsia="zh-CN"/>
                    </w:rPr>
                    <w:t>1.0</w:t>
                  </w:r>
                </w:p>
              </w:tc>
              <w:tc>
                <w:tcPr>
                  <w:tcW w:w="1049" w:type="pct"/>
                  <w:vMerge w:val="continue"/>
                  <w:tcBorders>
                    <w:top w:val="nil"/>
                    <w:bottom w:val="nil"/>
                    <w:right w:val="nil"/>
                  </w:tcBorders>
                  <w:vAlign w:val="top"/>
                </w:tcPr>
                <w:p w14:paraId="17EB66D6">
                  <w:pPr>
                    <w:rPr>
                      <w:rFonts w:ascii="Arial"/>
                      <w:color w:val="auto"/>
                      <w:sz w:val="21"/>
                      <w:highlight w:val="none"/>
                    </w:rPr>
                  </w:pPr>
                </w:p>
              </w:tc>
            </w:tr>
            <w:tr w14:paraId="4298E6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vAlign w:val="top"/>
                </w:tcPr>
                <w:p w14:paraId="7916820E">
                  <w:pPr>
                    <w:spacing w:before="70" w:line="192" w:lineRule="auto"/>
                    <w:ind w:left="526"/>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5</w:t>
                  </w:r>
                </w:p>
              </w:tc>
              <w:tc>
                <w:tcPr>
                  <w:tcW w:w="1260" w:type="pct"/>
                  <w:vAlign w:val="top"/>
                </w:tcPr>
                <w:p w14:paraId="41B518E5">
                  <w:pPr>
                    <w:pStyle w:val="109"/>
                    <w:spacing w:before="32" w:line="212" w:lineRule="auto"/>
                    <w:ind w:left="897"/>
                    <w:rPr>
                      <w:color w:val="auto"/>
                      <w:highlight w:val="none"/>
                    </w:rPr>
                  </w:pPr>
                  <w:r>
                    <w:rPr>
                      <w:color w:val="auto"/>
                      <w:spacing w:val="2"/>
                      <w:highlight w:val="none"/>
                    </w:rPr>
                    <w:t>总磷</w:t>
                  </w:r>
                </w:p>
              </w:tc>
              <w:tc>
                <w:tcPr>
                  <w:tcW w:w="683" w:type="pct"/>
                  <w:vAlign w:val="top"/>
                </w:tcPr>
                <w:p w14:paraId="05965AA7">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3E549B49">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ascii="Times New Roman" w:hAnsi="Times New Roman" w:eastAsia="宋体" w:cs="Times New Roman"/>
                      <w:color w:val="auto"/>
                      <w:spacing w:val="1"/>
                      <w:sz w:val="20"/>
                      <w:szCs w:val="20"/>
                      <w:highlight w:val="none"/>
                      <w:lang w:val="en-US" w:eastAsia="zh-CN"/>
                    </w:rPr>
                    <w:t>0.1</w:t>
                  </w:r>
                </w:p>
              </w:tc>
              <w:tc>
                <w:tcPr>
                  <w:tcW w:w="645" w:type="pct"/>
                  <w:tcBorders>
                    <w:left w:val="single" w:color="auto" w:sz="4" w:space="0"/>
                  </w:tcBorders>
                  <w:vAlign w:val="top"/>
                </w:tcPr>
                <w:p w14:paraId="237751A2">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1"/>
                      <w:sz w:val="20"/>
                      <w:szCs w:val="20"/>
                      <w:highlight w:val="none"/>
                      <w:lang w:val="en-US" w:eastAsia="zh-CN"/>
                    </w:rPr>
                  </w:pPr>
                  <w:r>
                    <w:rPr>
                      <w:rFonts w:hint="eastAsia" w:cs="Times New Roman"/>
                      <w:color w:val="auto"/>
                      <w:spacing w:val="1"/>
                      <w:sz w:val="20"/>
                      <w:szCs w:val="20"/>
                      <w:highlight w:val="none"/>
                      <w:lang w:val="en-US" w:eastAsia="zh-CN"/>
                    </w:rPr>
                    <w:t>0.2</w:t>
                  </w:r>
                </w:p>
              </w:tc>
              <w:tc>
                <w:tcPr>
                  <w:tcW w:w="1049" w:type="pct"/>
                  <w:vMerge w:val="continue"/>
                  <w:tcBorders>
                    <w:top w:val="nil"/>
                    <w:bottom w:val="nil"/>
                    <w:right w:val="nil"/>
                  </w:tcBorders>
                  <w:vAlign w:val="top"/>
                </w:tcPr>
                <w:p w14:paraId="18177379">
                  <w:pPr>
                    <w:rPr>
                      <w:rFonts w:ascii="Arial"/>
                      <w:color w:val="auto"/>
                      <w:sz w:val="21"/>
                      <w:highlight w:val="none"/>
                    </w:rPr>
                  </w:pPr>
                </w:p>
              </w:tc>
            </w:tr>
            <w:tr w14:paraId="41BE0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vAlign w:val="top"/>
                </w:tcPr>
                <w:p w14:paraId="5177E889">
                  <w:pPr>
                    <w:spacing w:before="66" w:line="195" w:lineRule="auto"/>
                    <w:ind w:left="525"/>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6</w:t>
                  </w:r>
                </w:p>
              </w:tc>
              <w:tc>
                <w:tcPr>
                  <w:tcW w:w="1260" w:type="pct"/>
                  <w:vAlign w:val="top"/>
                </w:tcPr>
                <w:p w14:paraId="63035A34">
                  <w:pPr>
                    <w:pStyle w:val="109"/>
                    <w:spacing w:before="31" w:line="213" w:lineRule="auto"/>
                    <w:ind w:left="789"/>
                    <w:rPr>
                      <w:color w:val="auto"/>
                      <w:highlight w:val="none"/>
                    </w:rPr>
                  </w:pPr>
                  <w:r>
                    <w:rPr>
                      <w:color w:val="auto"/>
                      <w:spacing w:val="6"/>
                      <w:highlight w:val="none"/>
                    </w:rPr>
                    <w:t>石油类</w:t>
                  </w:r>
                </w:p>
              </w:tc>
              <w:tc>
                <w:tcPr>
                  <w:tcW w:w="683" w:type="pct"/>
                  <w:vAlign w:val="top"/>
                </w:tcPr>
                <w:p w14:paraId="633F0994">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214E62B8">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2"/>
                      <w:sz w:val="20"/>
                      <w:szCs w:val="20"/>
                      <w:highlight w:val="none"/>
                    </w:rPr>
                    <w:t>0.05</w:t>
                  </w:r>
                </w:p>
              </w:tc>
              <w:tc>
                <w:tcPr>
                  <w:tcW w:w="645" w:type="pct"/>
                  <w:tcBorders>
                    <w:left w:val="single" w:color="auto" w:sz="4" w:space="0"/>
                  </w:tcBorders>
                  <w:vAlign w:val="top"/>
                </w:tcPr>
                <w:p w14:paraId="3C682978">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2"/>
                      <w:sz w:val="20"/>
                      <w:szCs w:val="20"/>
                      <w:highlight w:val="none"/>
                      <w:lang w:val="en-US" w:eastAsia="zh-CN"/>
                    </w:rPr>
                  </w:pPr>
                  <w:r>
                    <w:rPr>
                      <w:rFonts w:hint="eastAsia" w:eastAsia="宋体" w:cs="Times New Roman"/>
                      <w:color w:val="auto"/>
                      <w:spacing w:val="2"/>
                      <w:sz w:val="20"/>
                      <w:szCs w:val="20"/>
                      <w:highlight w:val="none"/>
                      <w:lang w:val="en-US" w:eastAsia="zh-CN"/>
                    </w:rPr>
                    <w:t>0.05</w:t>
                  </w:r>
                </w:p>
              </w:tc>
              <w:tc>
                <w:tcPr>
                  <w:tcW w:w="1049" w:type="pct"/>
                  <w:vMerge w:val="continue"/>
                  <w:tcBorders>
                    <w:top w:val="nil"/>
                    <w:bottom w:val="nil"/>
                    <w:right w:val="nil"/>
                  </w:tcBorders>
                  <w:vAlign w:val="top"/>
                </w:tcPr>
                <w:p w14:paraId="09F65738">
                  <w:pPr>
                    <w:rPr>
                      <w:rFonts w:ascii="Arial"/>
                      <w:color w:val="auto"/>
                      <w:sz w:val="21"/>
                      <w:highlight w:val="none"/>
                    </w:rPr>
                  </w:pPr>
                </w:p>
              </w:tc>
            </w:tr>
            <w:tr w14:paraId="72225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vAlign w:val="top"/>
                </w:tcPr>
                <w:p w14:paraId="543BDC5E">
                  <w:pPr>
                    <w:spacing w:before="67" w:line="195" w:lineRule="auto"/>
                    <w:ind w:left="529"/>
                    <w:rPr>
                      <w:rFonts w:hint="eastAsia" w:ascii="Times New Roman" w:hAnsi="Times New Roman" w:eastAsia="宋体" w:cs="Times New Roman"/>
                      <w:color w:val="auto"/>
                      <w:sz w:val="20"/>
                      <w:szCs w:val="20"/>
                      <w:highlight w:val="none"/>
                      <w:lang w:val="en-US" w:eastAsia="zh-CN"/>
                    </w:rPr>
                  </w:pPr>
                  <w:r>
                    <w:rPr>
                      <w:rFonts w:hint="eastAsia" w:eastAsia="宋体" w:cs="Times New Roman"/>
                      <w:color w:val="auto"/>
                      <w:sz w:val="20"/>
                      <w:szCs w:val="20"/>
                      <w:highlight w:val="none"/>
                      <w:lang w:val="en-US" w:eastAsia="zh-CN"/>
                    </w:rPr>
                    <w:t>7</w:t>
                  </w:r>
                </w:p>
              </w:tc>
              <w:tc>
                <w:tcPr>
                  <w:tcW w:w="1260" w:type="pct"/>
                  <w:vAlign w:val="top"/>
                </w:tcPr>
                <w:p w14:paraId="4BD37645">
                  <w:pPr>
                    <w:pStyle w:val="109"/>
                    <w:spacing w:before="31" w:line="213" w:lineRule="auto"/>
                    <w:ind w:left="897"/>
                    <w:rPr>
                      <w:color w:val="auto"/>
                      <w:highlight w:val="none"/>
                    </w:rPr>
                  </w:pPr>
                  <w:r>
                    <w:rPr>
                      <w:color w:val="auto"/>
                      <w:spacing w:val="2"/>
                      <w:highlight w:val="none"/>
                    </w:rPr>
                    <w:t>总氮</w:t>
                  </w:r>
                </w:p>
              </w:tc>
              <w:tc>
                <w:tcPr>
                  <w:tcW w:w="683" w:type="pct"/>
                  <w:vAlign w:val="top"/>
                </w:tcPr>
                <w:p w14:paraId="3E1B8ECB">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6AFB266A">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cs="Times New Roman"/>
                      <w:color w:val="auto"/>
                      <w:spacing w:val="-4"/>
                      <w:sz w:val="20"/>
                      <w:szCs w:val="20"/>
                      <w:highlight w:val="none"/>
                      <w:lang w:val="en-US" w:eastAsia="zh-CN"/>
                    </w:rPr>
                    <w:t>无</w:t>
                  </w:r>
                </w:p>
              </w:tc>
              <w:tc>
                <w:tcPr>
                  <w:tcW w:w="645" w:type="pct"/>
                  <w:tcBorders>
                    <w:left w:val="single" w:color="auto" w:sz="4" w:space="0"/>
                  </w:tcBorders>
                  <w:vAlign w:val="top"/>
                </w:tcPr>
                <w:p w14:paraId="4A9654E0">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4"/>
                      <w:sz w:val="20"/>
                      <w:szCs w:val="20"/>
                      <w:highlight w:val="none"/>
                      <w:lang w:val="en-US" w:eastAsia="zh-CN"/>
                    </w:rPr>
                  </w:pPr>
                  <w:r>
                    <w:rPr>
                      <w:rFonts w:hint="eastAsia" w:cs="Times New Roman"/>
                      <w:color w:val="auto"/>
                      <w:spacing w:val="-4"/>
                      <w:sz w:val="20"/>
                      <w:szCs w:val="20"/>
                      <w:highlight w:val="none"/>
                      <w:lang w:val="en-US" w:eastAsia="zh-CN"/>
                    </w:rPr>
                    <w:t>无</w:t>
                  </w:r>
                </w:p>
              </w:tc>
              <w:tc>
                <w:tcPr>
                  <w:tcW w:w="1049" w:type="pct"/>
                  <w:vMerge w:val="continue"/>
                  <w:tcBorders>
                    <w:top w:val="nil"/>
                    <w:bottom w:val="nil"/>
                    <w:right w:val="nil"/>
                  </w:tcBorders>
                  <w:vAlign w:val="top"/>
                </w:tcPr>
                <w:p w14:paraId="4FF2BD85">
                  <w:pPr>
                    <w:rPr>
                      <w:rFonts w:ascii="Arial"/>
                      <w:color w:val="auto"/>
                      <w:sz w:val="21"/>
                      <w:highlight w:val="none"/>
                    </w:rPr>
                  </w:pPr>
                </w:p>
              </w:tc>
            </w:tr>
            <w:tr w14:paraId="6A76B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72" w:hRule="atLeast"/>
              </w:trPr>
              <w:tc>
                <w:tcPr>
                  <w:tcW w:w="653" w:type="pct"/>
                  <w:tcBorders>
                    <w:left w:val="nil"/>
                  </w:tcBorders>
                  <w:shd w:val="clear" w:color="auto" w:fill="auto"/>
                  <w:vAlign w:val="top"/>
                </w:tcPr>
                <w:p w14:paraId="56BFA6DF">
                  <w:pPr>
                    <w:spacing w:before="67" w:line="195" w:lineRule="auto"/>
                    <w:ind w:left="529" w:leftChars="0"/>
                    <w:rPr>
                      <w:rFonts w:ascii="Times New Roman" w:hAnsi="Times New Roman" w:eastAsia="Times New Roman" w:cs="Times New Roman"/>
                      <w:color w:val="auto"/>
                      <w:kern w:val="2"/>
                      <w:sz w:val="20"/>
                      <w:szCs w:val="20"/>
                      <w:highlight w:val="none"/>
                      <w:lang w:val="en-US" w:eastAsia="zh-CN" w:bidi="ar-SA"/>
                    </w:rPr>
                  </w:pPr>
                  <w:r>
                    <w:rPr>
                      <w:rFonts w:ascii="Times New Roman" w:hAnsi="Times New Roman" w:eastAsia="Times New Roman" w:cs="Times New Roman"/>
                      <w:color w:val="auto"/>
                      <w:sz w:val="20"/>
                      <w:szCs w:val="20"/>
                      <w:highlight w:val="none"/>
                    </w:rPr>
                    <w:t>8</w:t>
                  </w:r>
                </w:p>
              </w:tc>
              <w:tc>
                <w:tcPr>
                  <w:tcW w:w="1260" w:type="pct"/>
                  <w:vAlign w:val="top"/>
                </w:tcPr>
                <w:p w14:paraId="18AE3076">
                  <w:pPr>
                    <w:pStyle w:val="109"/>
                    <w:spacing w:before="32" w:line="212" w:lineRule="auto"/>
                    <w:ind w:left="790"/>
                    <w:rPr>
                      <w:color w:val="auto"/>
                      <w:highlight w:val="none"/>
                    </w:rPr>
                  </w:pPr>
                  <w:r>
                    <w:rPr>
                      <w:color w:val="auto"/>
                      <w:spacing w:val="6"/>
                      <w:highlight w:val="none"/>
                    </w:rPr>
                    <w:t>溶解氧</w:t>
                  </w:r>
                </w:p>
              </w:tc>
              <w:tc>
                <w:tcPr>
                  <w:tcW w:w="683" w:type="pct"/>
                  <w:vAlign w:val="top"/>
                </w:tcPr>
                <w:p w14:paraId="77C21514">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748C9B7A">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ascii="Times New Roman" w:hAnsi="Times New Roman" w:eastAsia="Times New Roman" w:cs="Times New Roman"/>
                      <w:color w:val="auto"/>
                      <w:spacing w:val="3"/>
                      <w:sz w:val="20"/>
                      <w:szCs w:val="20"/>
                      <w:highlight w:val="none"/>
                    </w:rPr>
                    <w:t>≥</w:t>
                  </w:r>
                  <w:r>
                    <w:rPr>
                      <w:rFonts w:hint="eastAsia" w:ascii="Times New Roman" w:hAnsi="Times New Roman" w:eastAsia="宋体" w:cs="Times New Roman"/>
                      <w:color w:val="auto"/>
                      <w:spacing w:val="3"/>
                      <w:sz w:val="20"/>
                      <w:szCs w:val="20"/>
                      <w:highlight w:val="none"/>
                      <w:lang w:val="en-US" w:eastAsia="zh-CN"/>
                    </w:rPr>
                    <w:t>6.0</w:t>
                  </w:r>
                </w:p>
              </w:tc>
              <w:tc>
                <w:tcPr>
                  <w:tcW w:w="645" w:type="pct"/>
                  <w:tcBorders>
                    <w:left w:val="single" w:color="auto" w:sz="4" w:space="0"/>
                  </w:tcBorders>
                  <w:vAlign w:val="top"/>
                </w:tcPr>
                <w:p w14:paraId="705E61FA">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pacing w:val="3"/>
                      <w:sz w:val="20"/>
                      <w:szCs w:val="20"/>
                      <w:highlight w:val="none"/>
                    </w:rPr>
                  </w:pPr>
                  <w:r>
                    <w:rPr>
                      <w:rFonts w:ascii="Times New Roman" w:hAnsi="Times New Roman" w:eastAsia="Times New Roman" w:cs="Times New Roman"/>
                      <w:color w:val="auto"/>
                      <w:spacing w:val="3"/>
                      <w:sz w:val="20"/>
                      <w:szCs w:val="20"/>
                      <w:highlight w:val="none"/>
                    </w:rPr>
                    <w:t>≥</w:t>
                  </w:r>
                  <w:r>
                    <w:rPr>
                      <w:rFonts w:hint="eastAsia" w:cs="Times New Roman"/>
                      <w:color w:val="auto"/>
                      <w:spacing w:val="3"/>
                      <w:sz w:val="20"/>
                      <w:szCs w:val="20"/>
                      <w:highlight w:val="none"/>
                      <w:lang w:val="en-US" w:eastAsia="zh-CN"/>
                    </w:rPr>
                    <w:t>5</w:t>
                  </w:r>
                  <w:r>
                    <w:rPr>
                      <w:rFonts w:hint="eastAsia" w:ascii="Times New Roman" w:hAnsi="Times New Roman" w:eastAsia="宋体" w:cs="Times New Roman"/>
                      <w:color w:val="auto"/>
                      <w:spacing w:val="3"/>
                      <w:sz w:val="20"/>
                      <w:szCs w:val="20"/>
                      <w:highlight w:val="none"/>
                      <w:lang w:val="en-US" w:eastAsia="zh-CN"/>
                    </w:rPr>
                    <w:t>.0</w:t>
                  </w:r>
                </w:p>
              </w:tc>
              <w:tc>
                <w:tcPr>
                  <w:tcW w:w="1049" w:type="pct"/>
                  <w:vMerge w:val="continue"/>
                  <w:tcBorders>
                    <w:top w:val="nil"/>
                    <w:bottom w:val="nil"/>
                    <w:right w:val="nil"/>
                  </w:tcBorders>
                  <w:vAlign w:val="top"/>
                </w:tcPr>
                <w:p w14:paraId="6DA032AD">
                  <w:pPr>
                    <w:rPr>
                      <w:rFonts w:ascii="Arial"/>
                      <w:color w:val="auto"/>
                      <w:sz w:val="21"/>
                      <w:highlight w:val="none"/>
                    </w:rPr>
                  </w:pPr>
                </w:p>
              </w:tc>
            </w:tr>
            <w:tr w14:paraId="6BA62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shd w:val="clear" w:color="auto" w:fill="auto"/>
                  <w:vAlign w:val="top"/>
                </w:tcPr>
                <w:p w14:paraId="4472235C">
                  <w:pPr>
                    <w:spacing w:before="68" w:line="195" w:lineRule="auto"/>
                    <w:ind w:left="524" w:leftChars="0"/>
                    <w:rPr>
                      <w:rFonts w:ascii="Times New Roman" w:hAnsi="Times New Roman" w:eastAsia="Times New Roman" w:cs="Times New Roman"/>
                      <w:color w:val="auto"/>
                      <w:kern w:val="2"/>
                      <w:sz w:val="20"/>
                      <w:szCs w:val="20"/>
                      <w:highlight w:val="none"/>
                      <w:lang w:val="en-US" w:eastAsia="zh-CN" w:bidi="ar-SA"/>
                    </w:rPr>
                  </w:pPr>
                  <w:r>
                    <w:rPr>
                      <w:rFonts w:ascii="Times New Roman" w:hAnsi="Times New Roman" w:eastAsia="Times New Roman" w:cs="Times New Roman"/>
                      <w:color w:val="auto"/>
                      <w:sz w:val="20"/>
                      <w:szCs w:val="20"/>
                      <w:highlight w:val="none"/>
                    </w:rPr>
                    <w:t>9</w:t>
                  </w:r>
                </w:p>
              </w:tc>
              <w:tc>
                <w:tcPr>
                  <w:tcW w:w="1260" w:type="pct"/>
                  <w:vAlign w:val="top"/>
                </w:tcPr>
                <w:p w14:paraId="179F163B">
                  <w:pPr>
                    <w:pStyle w:val="109"/>
                    <w:spacing w:before="32" w:line="212" w:lineRule="auto"/>
                    <w:ind w:left="787"/>
                    <w:rPr>
                      <w:color w:val="auto"/>
                      <w:highlight w:val="none"/>
                    </w:rPr>
                  </w:pPr>
                  <w:r>
                    <w:rPr>
                      <w:color w:val="auto"/>
                      <w:spacing w:val="7"/>
                      <w:highlight w:val="none"/>
                    </w:rPr>
                    <w:t>挥发酚</w:t>
                  </w:r>
                </w:p>
              </w:tc>
              <w:tc>
                <w:tcPr>
                  <w:tcW w:w="683" w:type="pct"/>
                  <w:vAlign w:val="top"/>
                </w:tcPr>
                <w:p w14:paraId="310B6C84">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5F5EFB25">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eastAsia" w:ascii="Times New Roman" w:hAnsi="Times New Roman" w:eastAsia="宋体" w:cs="Times New Roman"/>
                      <w:color w:val="auto"/>
                      <w:sz w:val="20"/>
                      <w:szCs w:val="20"/>
                      <w:highlight w:val="none"/>
                      <w:lang w:eastAsia="zh-CN"/>
                    </w:rPr>
                  </w:pPr>
                  <w:r>
                    <w:rPr>
                      <w:rFonts w:ascii="Times New Roman" w:hAnsi="Times New Roman" w:eastAsia="Times New Roman" w:cs="Times New Roman"/>
                      <w:color w:val="auto"/>
                      <w:spacing w:val="2"/>
                      <w:sz w:val="20"/>
                      <w:szCs w:val="20"/>
                      <w:highlight w:val="none"/>
                    </w:rPr>
                    <w:t>0.00</w:t>
                  </w:r>
                  <w:r>
                    <w:rPr>
                      <w:rFonts w:hint="eastAsia" w:ascii="Times New Roman" w:hAnsi="Times New Roman" w:eastAsia="宋体" w:cs="Times New Roman"/>
                      <w:color w:val="auto"/>
                      <w:spacing w:val="2"/>
                      <w:sz w:val="20"/>
                      <w:szCs w:val="20"/>
                      <w:highlight w:val="none"/>
                      <w:lang w:val="en-US" w:eastAsia="zh-CN"/>
                    </w:rPr>
                    <w:t>2</w:t>
                  </w:r>
                </w:p>
              </w:tc>
              <w:tc>
                <w:tcPr>
                  <w:tcW w:w="645" w:type="pct"/>
                  <w:tcBorders>
                    <w:left w:val="single" w:color="auto" w:sz="4" w:space="0"/>
                  </w:tcBorders>
                  <w:vAlign w:val="top"/>
                </w:tcPr>
                <w:p w14:paraId="6F82990C">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2"/>
                      <w:sz w:val="20"/>
                      <w:szCs w:val="20"/>
                      <w:highlight w:val="none"/>
                      <w:lang w:val="en-US" w:eastAsia="zh-CN"/>
                    </w:rPr>
                  </w:pPr>
                  <w:r>
                    <w:rPr>
                      <w:rFonts w:hint="eastAsia" w:eastAsia="宋体" w:cs="Times New Roman"/>
                      <w:color w:val="auto"/>
                      <w:spacing w:val="2"/>
                      <w:sz w:val="20"/>
                      <w:szCs w:val="20"/>
                      <w:highlight w:val="none"/>
                      <w:lang w:val="en-US" w:eastAsia="zh-CN"/>
                    </w:rPr>
                    <w:t>0.005</w:t>
                  </w:r>
                </w:p>
              </w:tc>
              <w:tc>
                <w:tcPr>
                  <w:tcW w:w="1049" w:type="pct"/>
                  <w:vMerge w:val="continue"/>
                  <w:tcBorders>
                    <w:top w:val="nil"/>
                    <w:bottom w:val="nil"/>
                    <w:right w:val="nil"/>
                  </w:tcBorders>
                  <w:vAlign w:val="top"/>
                </w:tcPr>
                <w:p w14:paraId="797636B8">
                  <w:pPr>
                    <w:rPr>
                      <w:rFonts w:ascii="Arial"/>
                      <w:color w:val="auto"/>
                      <w:sz w:val="21"/>
                      <w:highlight w:val="none"/>
                    </w:rPr>
                  </w:pPr>
                </w:p>
              </w:tc>
            </w:tr>
            <w:tr w14:paraId="5E4B97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shd w:val="clear" w:color="auto" w:fill="auto"/>
                  <w:vAlign w:val="top"/>
                </w:tcPr>
                <w:p w14:paraId="5FD6F48A">
                  <w:pPr>
                    <w:spacing w:before="67" w:line="195" w:lineRule="auto"/>
                    <w:ind w:left="488" w:leftChars="0"/>
                    <w:rPr>
                      <w:rFonts w:ascii="Times New Roman" w:hAnsi="Times New Roman" w:eastAsia="Times New Roman" w:cs="Times New Roman"/>
                      <w:color w:val="auto"/>
                      <w:kern w:val="2"/>
                      <w:sz w:val="20"/>
                      <w:szCs w:val="20"/>
                      <w:highlight w:val="none"/>
                      <w:lang w:val="en-US" w:eastAsia="zh-CN" w:bidi="ar-SA"/>
                    </w:rPr>
                  </w:pPr>
                  <w:r>
                    <w:rPr>
                      <w:rFonts w:ascii="Times New Roman" w:hAnsi="Times New Roman" w:eastAsia="Times New Roman" w:cs="Times New Roman"/>
                      <w:color w:val="auto"/>
                      <w:spacing w:val="-8"/>
                      <w:sz w:val="20"/>
                      <w:szCs w:val="20"/>
                      <w:highlight w:val="none"/>
                    </w:rPr>
                    <w:t>10</w:t>
                  </w:r>
                </w:p>
              </w:tc>
              <w:tc>
                <w:tcPr>
                  <w:tcW w:w="1260" w:type="pct"/>
                  <w:vAlign w:val="top"/>
                </w:tcPr>
                <w:p w14:paraId="310F9FFF">
                  <w:pPr>
                    <w:pStyle w:val="109"/>
                    <w:spacing w:before="33" w:line="211" w:lineRule="auto"/>
                    <w:ind w:left="789"/>
                    <w:rPr>
                      <w:color w:val="auto"/>
                      <w:highlight w:val="none"/>
                    </w:rPr>
                  </w:pPr>
                  <w:r>
                    <w:rPr>
                      <w:color w:val="auto"/>
                      <w:spacing w:val="6"/>
                      <w:highlight w:val="none"/>
                    </w:rPr>
                    <w:t>氟化物</w:t>
                  </w:r>
                </w:p>
              </w:tc>
              <w:tc>
                <w:tcPr>
                  <w:tcW w:w="683" w:type="pct"/>
                  <w:vAlign w:val="top"/>
                </w:tcPr>
                <w:p w14:paraId="35A01298">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55BAF572">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4"/>
                      <w:sz w:val="20"/>
                      <w:szCs w:val="20"/>
                      <w:highlight w:val="none"/>
                    </w:rPr>
                    <w:t>1.0</w:t>
                  </w:r>
                </w:p>
              </w:tc>
              <w:tc>
                <w:tcPr>
                  <w:tcW w:w="645" w:type="pct"/>
                  <w:tcBorders>
                    <w:left w:val="single" w:color="auto" w:sz="4" w:space="0"/>
                  </w:tcBorders>
                  <w:vAlign w:val="top"/>
                </w:tcPr>
                <w:p w14:paraId="38B3A7FA">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4"/>
                      <w:sz w:val="20"/>
                      <w:szCs w:val="20"/>
                      <w:highlight w:val="none"/>
                      <w:lang w:val="en-US" w:eastAsia="zh-CN"/>
                    </w:rPr>
                  </w:pPr>
                  <w:r>
                    <w:rPr>
                      <w:rFonts w:hint="eastAsia" w:eastAsia="宋体" w:cs="Times New Roman"/>
                      <w:color w:val="auto"/>
                      <w:spacing w:val="-4"/>
                      <w:sz w:val="20"/>
                      <w:szCs w:val="20"/>
                      <w:highlight w:val="none"/>
                      <w:lang w:val="en-US" w:eastAsia="zh-CN"/>
                    </w:rPr>
                    <w:t>1.0</w:t>
                  </w:r>
                </w:p>
              </w:tc>
              <w:tc>
                <w:tcPr>
                  <w:tcW w:w="1049" w:type="pct"/>
                  <w:vMerge w:val="continue"/>
                  <w:tcBorders>
                    <w:top w:val="nil"/>
                    <w:bottom w:val="nil"/>
                    <w:right w:val="nil"/>
                  </w:tcBorders>
                  <w:vAlign w:val="top"/>
                </w:tcPr>
                <w:p w14:paraId="57EE8F6B">
                  <w:pPr>
                    <w:rPr>
                      <w:rFonts w:ascii="Arial"/>
                      <w:color w:val="auto"/>
                      <w:sz w:val="21"/>
                      <w:highlight w:val="none"/>
                    </w:rPr>
                  </w:pPr>
                </w:p>
              </w:tc>
            </w:tr>
            <w:tr w14:paraId="187687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shd w:val="clear" w:color="auto" w:fill="auto"/>
                  <w:vAlign w:val="top"/>
                </w:tcPr>
                <w:p w14:paraId="5ABEC55B">
                  <w:pPr>
                    <w:spacing w:before="69" w:line="195" w:lineRule="auto"/>
                    <w:ind w:left="488" w:leftChars="0"/>
                    <w:rPr>
                      <w:rFonts w:ascii="Times New Roman" w:hAnsi="Times New Roman" w:eastAsia="Times New Roman" w:cs="Times New Roman"/>
                      <w:color w:val="auto"/>
                      <w:kern w:val="2"/>
                      <w:sz w:val="20"/>
                      <w:szCs w:val="20"/>
                      <w:highlight w:val="none"/>
                      <w:lang w:val="en-US" w:eastAsia="zh-CN" w:bidi="ar-SA"/>
                    </w:rPr>
                  </w:pPr>
                  <w:r>
                    <w:rPr>
                      <w:rFonts w:ascii="Times New Roman" w:hAnsi="Times New Roman" w:eastAsia="Times New Roman" w:cs="Times New Roman"/>
                      <w:color w:val="auto"/>
                      <w:spacing w:val="-8"/>
                      <w:sz w:val="20"/>
                      <w:szCs w:val="20"/>
                      <w:highlight w:val="none"/>
                    </w:rPr>
                    <w:t>11</w:t>
                  </w:r>
                </w:p>
              </w:tc>
              <w:tc>
                <w:tcPr>
                  <w:tcW w:w="1260" w:type="pct"/>
                  <w:vAlign w:val="top"/>
                </w:tcPr>
                <w:p w14:paraId="6BE6987B">
                  <w:pPr>
                    <w:pStyle w:val="109"/>
                    <w:spacing w:before="32" w:line="212" w:lineRule="auto"/>
                    <w:ind w:left="578"/>
                    <w:rPr>
                      <w:color w:val="auto"/>
                      <w:highlight w:val="none"/>
                    </w:rPr>
                  </w:pPr>
                  <w:r>
                    <w:rPr>
                      <w:color w:val="auto"/>
                      <w:spacing w:val="7"/>
                      <w:highlight w:val="none"/>
                    </w:rPr>
                    <w:t>粪大肠菌群</w:t>
                  </w:r>
                </w:p>
              </w:tc>
              <w:tc>
                <w:tcPr>
                  <w:tcW w:w="683" w:type="pct"/>
                  <w:vAlign w:val="top"/>
                </w:tcPr>
                <w:p w14:paraId="156260EE">
                  <w:pPr>
                    <w:pStyle w:val="109"/>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highlight w:val="none"/>
                    </w:rPr>
                  </w:pPr>
                  <w:r>
                    <w:rPr>
                      <w:color w:val="auto"/>
                      <w:spacing w:val="2"/>
                      <w:highlight w:val="none"/>
                    </w:rPr>
                    <w:t>个</w:t>
                  </w:r>
                  <w:r>
                    <w:rPr>
                      <w:rFonts w:ascii="Times New Roman" w:hAnsi="Times New Roman" w:eastAsia="Times New Roman" w:cs="Times New Roman"/>
                      <w:color w:val="auto"/>
                      <w:spacing w:val="2"/>
                      <w:highlight w:val="none"/>
                    </w:rPr>
                    <w:t>/L</w:t>
                  </w:r>
                </w:p>
              </w:tc>
              <w:tc>
                <w:tcPr>
                  <w:tcW w:w="708" w:type="pct"/>
                  <w:tcBorders>
                    <w:right w:val="single" w:color="auto" w:sz="4" w:space="0"/>
                  </w:tcBorders>
                  <w:vAlign w:val="top"/>
                </w:tcPr>
                <w:p w14:paraId="354F5C69">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ascii="Times New Roman" w:hAnsi="Times New Roman" w:eastAsia="宋体" w:cs="Times New Roman"/>
                      <w:color w:val="auto"/>
                      <w:sz w:val="20"/>
                      <w:szCs w:val="20"/>
                      <w:highlight w:val="none"/>
                      <w:lang w:val="en-US" w:eastAsia="zh-CN"/>
                    </w:rPr>
                    <w:t>2000</w:t>
                  </w:r>
                </w:p>
              </w:tc>
              <w:tc>
                <w:tcPr>
                  <w:tcW w:w="645" w:type="pct"/>
                  <w:tcBorders>
                    <w:left w:val="single" w:color="auto" w:sz="4" w:space="0"/>
                  </w:tcBorders>
                  <w:vAlign w:val="top"/>
                </w:tcPr>
                <w:p w14:paraId="1B8D2032">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z w:val="20"/>
                      <w:szCs w:val="20"/>
                      <w:highlight w:val="none"/>
                      <w:lang w:val="en-US" w:eastAsia="zh-CN"/>
                    </w:rPr>
                  </w:pPr>
                  <w:r>
                    <w:rPr>
                      <w:rFonts w:hint="eastAsia" w:cs="Times New Roman"/>
                      <w:color w:val="auto"/>
                      <w:sz w:val="20"/>
                      <w:szCs w:val="20"/>
                      <w:highlight w:val="none"/>
                      <w:lang w:val="en-US" w:eastAsia="zh-CN"/>
                    </w:rPr>
                    <w:t>10000</w:t>
                  </w:r>
                </w:p>
              </w:tc>
              <w:tc>
                <w:tcPr>
                  <w:tcW w:w="1049" w:type="pct"/>
                  <w:vMerge w:val="continue"/>
                  <w:tcBorders>
                    <w:top w:val="nil"/>
                    <w:bottom w:val="nil"/>
                    <w:right w:val="nil"/>
                  </w:tcBorders>
                  <w:vAlign w:val="top"/>
                </w:tcPr>
                <w:p w14:paraId="65543614">
                  <w:pPr>
                    <w:rPr>
                      <w:rFonts w:ascii="Arial"/>
                      <w:color w:val="auto"/>
                      <w:sz w:val="21"/>
                      <w:highlight w:val="none"/>
                    </w:rPr>
                  </w:pPr>
                </w:p>
              </w:tc>
            </w:tr>
            <w:tr w14:paraId="25164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653" w:type="pct"/>
                  <w:tcBorders>
                    <w:left w:val="nil"/>
                  </w:tcBorders>
                  <w:shd w:val="clear" w:color="auto" w:fill="auto"/>
                  <w:vAlign w:val="top"/>
                </w:tcPr>
                <w:p w14:paraId="4F73D8F7">
                  <w:pPr>
                    <w:spacing w:before="68" w:line="195" w:lineRule="auto"/>
                    <w:ind w:left="488" w:leftChars="0"/>
                    <w:rPr>
                      <w:rFonts w:ascii="Times New Roman" w:hAnsi="Times New Roman" w:eastAsia="Times New Roman" w:cs="Times New Roman"/>
                      <w:color w:val="auto"/>
                      <w:kern w:val="2"/>
                      <w:sz w:val="20"/>
                      <w:szCs w:val="20"/>
                      <w:highlight w:val="none"/>
                      <w:lang w:val="en-US" w:eastAsia="zh-CN" w:bidi="ar-SA"/>
                    </w:rPr>
                  </w:pPr>
                  <w:r>
                    <w:rPr>
                      <w:rFonts w:ascii="Times New Roman" w:hAnsi="Times New Roman" w:eastAsia="Times New Roman" w:cs="Times New Roman"/>
                      <w:color w:val="auto"/>
                      <w:spacing w:val="-8"/>
                      <w:sz w:val="20"/>
                      <w:szCs w:val="20"/>
                      <w:highlight w:val="none"/>
                    </w:rPr>
                    <w:t>12</w:t>
                  </w:r>
                </w:p>
              </w:tc>
              <w:tc>
                <w:tcPr>
                  <w:tcW w:w="1260" w:type="pct"/>
                  <w:vAlign w:val="top"/>
                </w:tcPr>
                <w:p w14:paraId="729081E3">
                  <w:pPr>
                    <w:pStyle w:val="109"/>
                    <w:spacing w:before="33" w:line="211" w:lineRule="auto"/>
                    <w:ind w:left="278"/>
                    <w:rPr>
                      <w:color w:val="auto"/>
                      <w:highlight w:val="none"/>
                    </w:rPr>
                  </w:pPr>
                  <w:r>
                    <w:rPr>
                      <w:color w:val="auto"/>
                      <w:spacing w:val="6"/>
                      <w:highlight w:val="none"/>
                    </w:rPr>
                    <w:t>阴离子表面活性剂</w:t>
                  </w:r>
                </w:p>
              </w:tc>
              <w:tc>
                <w:tcPr>
                  <w:tcW w:w="683" w:type="pct"/>
                  <w:vAlign w:val="top"/>
                </w:tcPr>
                <w:p w14:paraId="3ED4FDAF">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3FBAEFD5">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1"/>
                      <w:sz w:val="20"/>
                      <w:szCs w:val="20"/>
                      <w:highlight w:val="none"/>
                    </w:rPr>
                    <w:t>0.2</w:t>
                  </w:r>
                </w:p>
              </w:tc>
              <w:tc>
                <w:tcPr>
                  <w:tcW w:w="645" w:type="pct"/>
                  <w:tcBorders>
                    <w:left w:val="single" w:color="auto" w:sz="4" w:space="0"/>
                  </w:tcBorders>
                  <w:vAlign w:val="top"/>
                </w:tcPr>
                <w:p w14:paraId="00484569">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1"/>
                      <w:sz w:val="20"/>
                      <w:szCs w:val="20"/>
                      <w:highlight w:val="none"/>
                      <w:lang w:val="en-US" w:eastAsia="zh-CN"/>
                    </w:rPr>
                  </w:pPr>
                  <w:r>
                    <w:rPr>
                      <w:rFonts w:hint="eastAsia" w:eastAsia="宋体" w:cs="Times New Roman"/>
                      <w:color w:val="auto"/>
                      <w:spacing w:val="1"/>
                      <w:sz w:val="20"/>
                      <w:szCs w:val="20"/>
                      <w:highlight w:val="none"/>
                      <w:lang w:val="en-US" w:eastAsia="zh-CN"/>
                    </w:rPr>
                    <w:t>0.2</w:t>
                  </w:r>
                </w:p>
              </w:tc>
              <w:tc>
                <w:tcPr>
                  <w:tcW w:w="1049" w:type="pct"/>
                  <w:vMerge w:val="continue"/>
                  <w:tcBorders>
                    <w:top w:val="nil"/>
                    <w:bottom w:val="nil"/>
                    <w:right w:val="nil"/>
                  </w:tcBorders>
                  <w:vAlign w:val="top"/>
                </w:tcPr>
                <w:p w14:paraId="6B0328C0">
                  <w:pPr>
                    <w:rPr>
                      <w:rFonts w:ascii="Arial"/>
                      <w:color w:val="auto"/>
                      <w:sz w:val="21"/>
                      <w:highlight w:val="none"/>
                    </w:rPr>
                  </w:pPr>
                </w:p>
              </w:tc>
            </w:tr>
            <w:tr w14:paraId="75B982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653" w:type="pct"/>
                  <w:tcBorders>
                    <w:left w:val="nil"/>
                  </w:tcBorders>
                  <w:shd w:val="clear" w:color="auto" w:fill="auto"/>
                  <w:vAlign w:val="top"/>
                </w:tcPr>
                <w:p w14:paraId="1B053570">
                  <w:pPr>
                    <w:spacing w:before="69" w:line="195" w:lineRule="auto"/>
                    <w:ind w:left="488" w:leftChars="0"/>
                    <w:rPr>
                      <w:rFonts w:ascii="Times New Roman" w:hAnsi="Times New Roman" w:eastAsia="Times New Roman" w:cs="Times New Roman"/>
                      <w:color w:val="auto"/>
                      <w:kern w:val="2"/>
                      <w:sz w:val="20"/>
                      <w:szCs w:val="20"/>
                      <w:highlight w:val="none"/>
                      <w:lang w:val="en-US" w:eastAsia="zh-CN" w:bidi="ar-SA"/>
                    </w:rPr>
                  </w:pPr>
                  <w:r>
                    <w:rPr>
                      <w:rFonts w:ascii="Times New Roman" w:hAnsi="Times New Roman" w:eastAsia="Times New Roman" w:cs="Times New Roman"/>
                      <w:color w:val="auto"/>
                      <w:spacing w:val="-8"/>
                      <w:sz w:val="20"/>
                      <w:szCs w:val="20"/>
                      <w:highlight w:val="none"/>
                    </w:rPr>
                    <w:t>13</w:t>
                  </w:r>
                </w:p>
              </w:tc>
              <w:tc>
                <w:tcPr>
                  <w:tcW w:w="1260" w:type="pct"/>
                  <w:vAlign w:val="top"/>
                </w:tcPr>
                <w:p w14:paraId="0019AF5B">
                  <w:pPr>
                    <w:pStyle w:val="109"/>
                    <w:spacing w:before="34" w:line="217" w:lineRule="auto"/>
                    <w:ind w:left="787"/>
                    <w:rPr>
                      <w:color w:val="auto"/>
                      <w:highlight w:val="none"/>
                    </w:rPr>
                  </w:pPr>
                  <w:r>
                    <w:rPr>
                      <w:color w:val="auto"/>
                      <w:spacing w:val="7"/>
                      <w:highlight w:val="none"/>
                    </w:rPr>
                    <w:t>硫化物</w:t>
                  </w:r>
                </w:p>
              </w:tc>
              <w:tc>
                <w:tcPr>
                  <w:tcW w:w="683" w:type="pct"/>
                  <w:vAlign w:val="top"/>
                </w:tcPr>
                <w:p w14:paraId="4F8E1953">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z w:val="20"/>
                      <w:szCs w:val="20"/>
                      <w:highlight w:val="none"/>
                    </w:rPr>
                    <w:t>mg</w:t>
                  </w:r>
                  <w:r>
                    <w:rPr>
                      <w:rFonts w:ascii="Times New Roman" w:hAnsi="Times New Roman" w:eastAsia="Times New Roman" w:cs="Times New Roman"/>
                      <w:color w:val="auto"/>
                      <w:spacing w:val="8"/>
                      <w:sz w:val="20"/>
                      <w:szCs w:val="20"/>
                      <w:highlight w:val="none"/>
                    </w:rPr>
                    <w:t>/L</w:t>
                  </w:r>
                </w:p>
              </w:tc>
              <w:tc>
                <w:tcPr>
                  <w:tcW w:w="708" w:type="pct"/>
                  <w:tcBorders>
                    <w:right w:val="single" w:color="auto" w:sz="4" w:space="0"/>
                  </w:tcBorders>
                  <w:vAlign w:val="top"/>
                </w:tcPr>
                <w:p w14:paraId="40869628">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eastAsia" w:ascii="Times New Roman" w:hAnsi="Times New Roman" w:eastAsia="宋体" w:cs="Times New Roman"/>
                      <w:color w:val="auto"/>
                      <w:sz w:val="20"/>
                      <w:szCs w:val="20"/>
                      <w:highlight w:val="none"/>
                      <w:lang w:eastAsia="zh-CN"/>
                    </w:rPr>
                  </w:pPr>
                  <w:r>
                    <w:rPr>
                      <w:rFonts w:ascii="Times New Roman" w:hAnsi="Times New Roman" w:eastAsia="Times New Roman" w:cs="Times New Roman"/>
                      <w:color w:val="auto"/>
                      <w:spacing w:val="1"/>
                      <w:sz w:val="20"/>
                      <w:szCs w:val="20"/>
                      <w:highlight w:val="none"/>
                    </w:rPr>
                    <w:t>0.</w:t>
                  </w:r>
                  <w:r>
                    <w:rPr>
                      <w:rFonts w:hint="eastAsia" w:ascii="Times New Roman" w:hAnsi="Times New Roman" w:eastAsia="宋体" w:cs="Times New Roman"/>
                      <w:color w:val="auto"/>
                      <w:spacing w:val="1"/>
                      <w:sz w:val="20"/>
                      <w:szCs w:val="20"/>
                      <w:highlight w:val="none"/>
                      <w:lang w:val="en-US" w:eastAsia="zh-CN"/>
                    </w:rPr>
                    <w:t>1</w:t>
                  </w:r>
                </w:p>
              </w:tc>
              <w:tc>
                <w:tcPr>
                  <w:tcW w:w="645" w:type="pct"/>
                  <w:tcBorders>
                    <w:left w:val="single" w:color="auto" w:sz="4" w:space="0"/>
                  </w:tcBorders>
                  <w:vAlign w:val="top"/>
                </w:tcPr>
                <w:p w14:paraId="461A9ABF">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宋体" w:cs="Times New Roman"/>
                      <w:color w:val="auto"/>
                      <w:spacing w:val="1"/>
                      <w:sz w:val="20"/>
                      <w:szCs w:val="20"/>
                      <w:highlight w:val="none"/>
                      <w:lang w:val="en-US" w:eastAsia="zh-CN"/>
                    </w:rPr>
                  </w:pPr>
                  <w:r>
                    <w:rPr>
                      <w:rFonts w:hint="eastAsia" w:eastAsia="宋体" w:cs="Times New Roman"/>
                      <w:color w:val="auto"/>
                      <w:spacing w:val="1"/>
                      <w:sz w:val="20"/>
                      <w:szCs w:val="20"/>
                      <w:highlight w:val="none"/>
                      <w:lang w:val="en-US" w:eastAsia="zh-CN"/>
                    </w:rPr>
                    <w:t>0.2</w:t>
                  </w:r>
                </w:p>
              </w:tc>
              <w:tc>
                <w:tcPr>
                  <w:tcW w:w="1049" w:type="pct"/>
                  <w:vMerge w:val="continue"/>
                  <w:tcBorders>
                    <w:top w:val="nil"/>
                    <w:right w:val="nil"/>
                  </w:tcBorders>
                  <w:vAlign w:val="top"/>
                </w:tcPr>
                <w:p w14:paraId="6539C308">
                  <w:pPr>
                    <w:rPr>
                      <w:rFonts w:ascii="Arial"/>
                      <w:color w:val="auto"/>
                      <w:sz w:val="21"/>
                      <w:highlight w:val="none"/>
                    </w:rPr>
                  </w:pPr>
                </w:p>
              </w:tc>
            </w:tr>
          </w:tbl>
          <w:p w14:paraId="3658CCA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eastAsia="宋体" w:cs="宋体"/>
                <w:color w:val="auto"/>
                <w:sz w:val="24"/>
                <w:szCs w:val="24"/>
                <w:highlight w:val="none"/>
              </w:rPr>
            </w:pPr>
            <w:r>
              <w:rPr>
                <w:rFonts w:ascii="宋体" w:hAnsi="宋体" w:eastAsia="宋体" w:cs="宋体"/>
                <w:color w:val="auto"/>
                <w:sz w:val="24"/>
                <w:szCs w:val="24"/>
                <w:highlight w:val="none"/>
              </w:rPr>
              <w:t>3、声环境质量标准</w:t>
            </w:r>
          </w:p>
          <w:p w14:paraId="266D07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eastAsia="宋体" w:cs="宋体"/>
                <w:color w:val="auto"/>
                <w:sz w:val="24"/>
                <w:szCs w:val="24"/>
                <w:highlight w:val="none"/>
              </w:rPr>
            </w:pPr>
            <w:r>
              <w:rPr>
                <w:rFonts w:ascii="宋体" w:hAnsi="宋体" w:eastAsia="宋体" w:cs="宋体"/>
                <w:color w:val="auto"/>
                <w:sz w:val="24"/>
                <w:szCs w:val="24"/>
                <w:highlight w:val="none"/>
              </w:rPr>
              <w:t>项目声环境执行《声环境质量标准》（</w:t>
            </w:r>
            <w:r>
              <w:rPr>
                <w:rFonts w:ascii="Times New Roman" w:hAnsi="Times New Roman" w:eastAsia="Times New Roman" w:cs="Times New Roman"/>
                <w:color w:val="auto"/>
                <w:sz w:val="24"/>
                <w:szCs w:val="24"/>
                <w:highlight w:val="none"/>
              </w:rPr>
              <w:t>GB3096</w:t>
            </w:r>
            <w:r>
              <w:rPr>
                <w:rFonts w:ascii="Times New Roman" w:hAnsi="Times New Roman" w:eastAsia="Times New Roman" w:cs="Times New Roman"/>
                <w:color w:val="auto"/>
                <w:spacing w:val="-1"/>
                <w:sz w:val="24"/>
                <w:szCs w:val="24"/>
                <w:highlight w:val="none"/>
              </w:rPr>
              <w:t>-2008</w:t>
            </w:r>
            <w:r>
              <w:rPr>
                <w:rFonts w:ascii="宋体" w:hAnsi="宋体" w:eastAsia="宋体" w:cs="宋体"/>
                <w:color w:val="auto"/>
                <w:spacing w:val="-1"/>
                <w:sz w:val="24"/>
                <w:szCs w:val="24"/>
                <w:highlight w:val="none"/>
              </w:rPr>
              <w:t>）中的</w:t>
            </w:r>
            <w:r>
              <w:rPr>
                <w:rFonts w:hint="eastAsia" w:ascii="Times New Roman" w:hAnsi="Times New Roman" w:eastAsia="宋体" w:cs="Times New Roman"/>
                <w:color w:val="auto"/>
                <w:spacing w:val="-1"/>
                <w:sz w:val="24"/>
                <w:szCs w:val="24"/>
                <w:highlight w:val="none"/>
                <w:lang w:val="en-US" w:eastAsia="zh-CN"/>
              </w:rPr>
              <w:t>2</w:t>
            </w:r>
            <w:r>
              <w:rPr>
                <w:rFonts w:ascii="宋体" w:hAnsi="宋体" w:eastAsia="宋体" w:cs="宋体"/>
                <w:color w:val="auto"/>
                <w:spacing w:val="-1"/>
                <w:sz w:val="24"/>
                <w:szCs w:val="24"/>
                <w:highlight w:val="none"/>
              </w:rPr>
              <w:t>类标准，具体标准限值见表</w:t>
            </w:r>
            <w:r>
              <w:rPr>
                <w:rFonts w:hint="eastAsia" w:ascii="Times New Roman" w:hAnsi="Times New Roman" w:eastAsia="宋体" w:cs="Times New Roman"/>
                <w:color w:val="auto"/>
                <w:spacing w:val="-1"/>
                <w:sz w:val="24"/>
                <w:szCs w:val="24"/>
                <w:highlight w:val="none"/>
                <w:lang w:val="en-US" w:eastAsia="zh-CN"/>
              </w:rPr>
              <w:t>3</w:t>
            </w:r>
            <w:r>
              <w:rPr>
                <w:rFonts w:ascii="Times New Roman" w:hAnsi="Times New Roman" w:eastAsia="Times New Roman" w:cs="Times New Roman"/>
                <w:color w:val="auto"/>
                <w:spacing w:val="-1"/>
                <w:sz w:val="24"/>
                <w:szCs w:val="24"/>
                <w:highlight w:val="none"/>
              </w:rPr>
              <w:t>-</w:t>
            </w:r>
            <w:r>
              <w:rPr>
                <w:rFonts w:hint="eastAsia" w:ascii="Times New Roman" w:hAnsi="Times New Roman" w:eastAsia="宋体" w:cs="Times New Roman"/>
                <w:color w:val="auto"/>
                <w:spacing w:val="-1"/>
                <w:sz w:val="24"/>
                <w:szCs w:val="24"/>
                <w:highlight w:val="none"/>
                <w:lang w:val="en-US" w:eastAsia="zh-CN"/>
              </w:rPr>
              <w:t>1</w:t>
            </w:r>
            <w:r>
              <w:rPr>
                <w:rFonts w:hint="eastAsia" w:cs="Times New Roman"/>
                <w:color w:val="auto"/>
                <w:spacing w:val="-1"/>
                <w:sz w:val="24"/>
                <w:szCs w:val="24"/>
                <w:highlight w:val="none"/>
                <w:lang w:val="en-US" w:eastAsia="zh-CN"/>
              </w:rPr>
              <w:t>2</w:t>
            </w:r>
            <w:r>
              <w:rPr>
                <w:rFonts w:ascii="宋体" w:hAnsi="宋体" w:eastAsia="宋体" w:cs="宋体"/>
                <w:color w:val="auto"/>
                <w:spacing w:val="-1"/>
                <w:sz w:val="24"/>
                <w:szCs w:val="24"/>
                <w:highlight w:val="none"/>
              </w:rPr>
              <w:t>。</w:t>
            </w:r>
          </w:p>
          <w:p w14:paraId="5F892079">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声环境质量标准  单位：dB（A）</w:t>
            </w:r>
          </w:p>
          <w:tbl>
            <w:tblPr>
              <w:tblStyle w:val="103"/>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268"/>
              <w:gridCol w:w="515"/>
              <w:gridCol w:w="507"/>
              <w:gridCol w:w="5095"/>
            </w:tblGrid>
            <w:tr w14:paraId="1454DE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1352" w:type="pct"/>
                  <w:tcBorders>
                    <w:left w:val="nil"/>
                  </w:tcBorders>
                  <w:vAlign w:val="top"/>
                </w:tcPr>
                <w:p w14:paraId="73D2B0CE">
                  <w:pPr>
                    <w:pStyle w:val="109"/>
                    <w:spacing w:before="114" w:line="224" w:lineRule="auto"/>
                    <w:ind w:left="154"/>
                    <w:rPr>
                      <w:color w:val="auto"/>
                      <w:highlight w:val="none"/>
                    </w:rPr>
                  </w:pPr>
                  <w:r>
                    <w:rPr>
                      <w:b/>
                      <w:bCs/>
                      <w:color w:val="auto"/>
                      <w:spacing w:val="6"/>
                      <w:highlight w:val="none"/>
                    </w:rPr>
                    <w:t>声环境功能区类别</w:t>
                  </w:r>
                </w:p>
              </w:tc>
              <w:tc>
                <w:tcPr>
                  <w:tcW w:w="307" w:type="pct"/>
                  <w:vAlign w:val="center"/>
                </w:tcPr>
                <w:p w14:paraId="7D299A9C">
                  <w:pPr>
                    <w:pStyle w:val="109"/>
                    <w:keepNext w:val="0"/>
                    <w:keepLines w:val="0"/>
                    <w:pageBreakBefore w:val="0"/>
                    <w:widowControl w:val="0"/>
                    <w:kinsoku/>
                    <w:wordWrap/>
                    <w:overflowPunct/>
                    <w:topLinePunct w:val="0"/>
                    <w:autoSpaceDE/>
                    <w:autoSpaceDN/>
                    <w:bidi w:val="0"/>
                    <w:adjustRightInd/>
                    <w:snapToGrid/>
                    <w:spacing w:line="224" w:lineRule="auto"/>
                    <w:ind w:left="0"/>
                    <w:jc w:val="center"/>
                    <w:textAlignment w:val="auto"/>
                    <w:rPr>
                      <w:color w:val="auto"/>
                      <w:highlight w:val="none"/>
                    </w:rPr>
                  </w:pPr>
                  <w:r>
                    <w:rPr>
                      <w:b/>
                      <w:bCs/>
                      <w:color w:val="auto"/>
                      <w:spacing w:val="4"/>
                      <w:highlight w:val="none"/>
                    </w:rPr>
                    <w:t>昼间</w:t>
                  </w:r>
                </w:p>
              </w:tc>
              <w:tc>
                <w:tcPr>
                  <w:tcW w:w="302" w:type="pct"/>
                  <w:vAlign w:val="center"/>
                </w:tcPr>
                <w:p w14:paraId="09445936">
                  <w:pPr>
                    <w:pStyle w:val="109"/>
                    <w:keepNext w:val="0"/>
                    <w:keepLines w:val="0"/>
                    <w:pageBreakBefore w:val="0"/>
                    <w:widowControl w:val="0"/>
                    <w:kinsoku/>
                    <w:wordWrap/>
                    <w:overflowPunct/>
                    <w:topLinePunct w:val="0"/>
                    <w:autoSpaceDE/>
                    <w:autoSpaceDN/>
                    <w:bidi w:val="0"/>
                    <w:adjustRightInd/>
                    <w:snapToGrid/>
                    <w:spacing w:line="224" w:lineRule="auto"/>
                    <w:ind w:left="0"/>
                    <w:jc w:val="center"/>
                    <w:textAlignment w:val="auto"/>
                    <w:rPr>
                      <w:color w:val="auto"/>
                      <w:highlight w:val="none"/>
                    </w:rPr>
                  </w:pPr>
                  <w:r>
                    <w:rPr>
                      <w:b/>
                      <w:bCs/>
                      <w:color w:val="auto"/>
                      <w:spacing w:val="2"/>
                      <w:highlight w:val="none"/>
                    </w:rPr>
                    <w:t>夜间</w:t>
                  </w:r>
                </w:p>
              </w:tc>
              <w:tc>
                <w:tcPr>
                  <w:tcW w:w="3037" w:type="pct"/>
                  <w:tcBorders>
                    <w:right w:val="nil"/>
                  </w:tcBorders>
                  <w:vAlign w:val="top"/>
                </w:tcPr>
                <w:p w14:paraId="30EBD783">
                  <w:pPr>
                    <w:pStyle w:val="109"/>
                    <w:spacing w:before="114" w:line="224" w:lineRule="auto"/>
                    <w:ind w:left="1569"/>
                    <w:rPr>
                      <w:color w:val="auto"/>
                      <w:highlight w:val="none"/>
                    </w:rPr>
                  </w:pPr>
                  <w:r>
                    <w:rPr>
                      <w:b/>
                      <w:bCs/>
                      <w:color w:val="auto"/>
                      <w:spacing w:val="6"/>
                      <w:highlight w:val="none"/>
                    </w:rPr>
                    <w:t>标准来源</w:t>
                  </w:r>
                </w:p>
              </w:tc>
            </w:tr>
            <w:tr w14:paraId="5C7D07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352" w:type="pct"/>
                  <w:tcBorders>
                    <w:left w:val="nil"/>
                  </w:tcBorders>
                  <w:vAlign w:val="top"/>
                </w:tcPr>
                <w:p w14:paraId="5BD45954">
                  <w:pPr>
                    <w:pStyle w:val="109"/>
                    <w:spacing w:before="112" w:line="226" w:lineRule="auto"/>
                    <w:ind w:left="837"/>
                    <w:rPr>
                      <w:color w:val="auto"/>
                      <w:highlight w:val="none"/>
                    </w:rPr>
                  </w:pPr>
                  <w:r>
                    <w:rPr>
                      <w:rFonts w:hint="eastAsia" w:ascii="Times New Roman" w:hAnsi="Times New Roman" w:eastAsia="宋体" w:cs="Times New Roman"/>
                      <w:color w:val="auto"/>
                      <w:spacing w:val="1"/>
                      <w:highlight w:val="none"/>
                      <w:lang w:val="en-US" w:eastAsia="zh-CN"/>
                    </w:rPr>
                    <w:t>2</w:t>
                  </w:r>
                  <w:r>
                    <w:rPr>
                      <w:color w:val="auto"/>
                      <w:spacing w:val="1"/>
                      <w:highlight w:val="none"/>
                    </w:rPr>
                    <w:t>类</w:t>
                  </w:r>
                </w:p>
              </w:tc>
              <w:tc>
                <w:tcPr>
                  <w:tcW w:w="307" w:type="pct"/>
                  <w:vAlign w:val="center"/>
                </w:tcPr>
                <w:p w14:paraId="7D959A64">
                  <w:pPr>
                    <w:keepNext w:val="0"/>
                    <w:keepLines w:val="0"/>
                    <w:pageBreakBefore w:val="0"/>
                    <w:widowControl w:val="0"/>
                    <w:kinsoku/>
                    <w:wordWrap/>
                    <w:overflowPunct/>
                    <w:topLinePunct w:val="0"/>
                    <w:autoSpaceDE/>
                    <w:autoSpaceDN/>
                    <w:bidi w:val="0"/>
                    <w:adjustRightInd/>
                    <w:snapToGrid/>
                    <w:spacing w:line="195" w:lineRule="auto"/>
                    <w:ind w:left="0"/>
                    <w:jc w:val="center"/>
                    <w:textAlignment w:val="auto"/>
                    <w:rPr>
                      <w:rFonts w:hint="eastAsia" w:ascii="Times New Roman" w:hAnsi="Times New Roman" w:eastAsia="宋体" w:cs="Times New Roman"/>
                      <w:color w:val="auto"/>
                      <w:sz w:val="20"/>
                      <w:szCs w:val="20"/>
                      <w:highlight w:val="none"/>
                      <w:lang w:eastAsia="zh-CN"/>
                    </w:rPr>
                  </w:pPr>
                  <w:r>
                    <w:rPr>
                      <w:rFonts w:ascii="Times New Roman" w:hAnsi="Times New Roman" w:eastAsia="Times New Roman" w:cs="Times New Roman"/>
                      <w:color w:val="auto"/>
                      <w:sz w:val="20"/>
                      <w:szCs w:val="20"/>
                      <w:highlight w:val="none"/>
                    </w:rPr>
                    <w:t>6</w:t>
                  </w:r>
                  <w:r>
                    <w:rPr>
                      <w:rFonts w:hint="eastAsia" w:ascii="Times New Roman" w:hAnsi="Times New Roman" w:eastAsia="宋体" w:cs="Times New Roman"/>
                      <w:color w:val="auto"/>
                      <w:sz w:val="20"/>
                      <w:szCs w:val="20"/>
                      <w:highlight w:val="none"/>
                      <w:lang w:val="en-US" w:eastAsia="zh-CN"/>
                    </w:rPr>
                    <w:t>0</w:t>
                  </w:r>
                </w:p>
              </w:tc>
              <w:tc>
                <w:tcPr>
                  <w:tcW w:w="302" w:type="pct"/>
                  <w:vAlign w:val="center"/>
                </w:tcPr>
                <w:p w14:paraId="3A1C5FF7">
                  <w:pPr>
                    <w:keepNext w:val="0"/>
                    <w:keepLines w:val="0"/>
                    <w:pageBreakBefore w:val="0"/>
                    <w:widowControl w:val="0"/>
                    <w:kinsoku/>
                    <w:wordWrap/>
                    <w:overflowPunct/>
                    <w:topLinePunct w:val="0"/>
                    <w:autoSpaceDE/>
                    <w:autoSpaceDN/>
                    <w:bidi w:val="0"/>
                    <w:adjustRightInd/>
                    <w:snapToGrid/>
                    <w:spacing w:line="192" w:lineRule="auto"/>
                    <w:ind w:left="0"/>
                    <w:jc w:val="center"/>
                    <w:textAlignment w:val="auto"/>
                    <w:rPr>
                      <w:rFonts w:hint="eastAsia" w:ascii="Times New Roman" w:hAnsi="Times New Roman" w:eastAsia="宋体" w:cs="Times New Roman"/>
                      <w:color w:val="auto"/>
                      <w:sz w:val="20"/>
                      <w:szCs w:val="20"/>
                      <w:highlight w:val="none"/>
                      <w:lang w:eastAsia="zh-CN"/>
                    </w:rPr>
                  </w:pPr>
                  <w:r>
                    <w:rPr>
                      <w:rFonts w:ascii="Times New Roman" w:hAnsi="Times New Roman" w:eastAsia="Times New Roman" w:cs="Times New Roman"/>
                      <w:color w:val="auto"/>
                      <w:sz w:val="20"/>
                      <w:szCs w:val="20"/>
                      <w:highlight w:val="none"/>
                    </w:rPr>
                    <w:t>5</w:t>
                  </w:r>
                  <w:r>
                    <w:rPr>
                      <w:rFonts w:hint="eastAsia" w:ascii="Times New Roman" w:hAnsi="Times New Roman" w:eastAsia="宋体" w:cs="Times New Roman"/>
                      <w:color w:val="auto"/>
                      <w:sz w:val="20"/>
                      <w:szCs w:val="20"/>
                      <w:highlight w:val="none"/>
                      <w:lang w:val="en-US" w:eastAsia="zh-CN"/>
                    </w:rPr>
                    <w:t>0</w:t>
                  </w:r>
                </w:p>
              </w:tc>
              <w:tc>
                <w:tcPr>
                  <w:tcW w:w="3037" w:type="pct"/>
                  <w:tcBorders>
                    <w:right w:val="nil"/>
                  </w:tcBorders>
                  <w:vAlign w:val="top"/>
                </w:tcPr>
                <w:p w14:paraId="0D66CC59">
                  <w:pPr>
                    <w:pStyle w:val="109"/>
                    <w:spacing w:before="112" w:line="226" w:lineRule="auto"/>
                    <w:ind w:left="239"/>
                    <w:rPr>
                      <w:rFonts w:hint="default" w:eastAsia="宋体"/>
                      <w:color w:val="auto"/>
                      <w:highlight w:val="none"/>
                      <w:lang w:val="en-US" w:eastAsia="zh-CN"/>
                    </w:rPr>
                  </w:pPr>
                  <w:r>
                    <w:rPr>
                      <w:color w:val="auto"/>
                      <w:spacing w:val="7"/>
                      <w:highlight w:val="none"/>
                    </w:rPr>
                    <w:t>《声环境质量标准》（</w:t>
                  </w:r>
                  <w:r>
                    <w:rPr>
                      <w:rFonts w:ascii="Times New Roman" w:hAnsi="Times New Roman" w:eastAsia="Times New Roman" w:cs="Times New Roman"/>
                      <w:color w:val="auto"/>
                      <w:highlight w:val="none"/>
                    </w:rPr>
                    <w:t>GB</w:t>
                  </w:r>
                  <w:r>
                    <w:rPr>
                      <w:rFonts w:ascii="Times New Roman" w:hAnsi="Times New Roman" w:eastAsia="Times New Roman" w:cs="Times New Roman"/>
                      <w:color w:val="auto"/>
                      <w:spacing w:val="7"/>
                      <w:highlight w:val="none"/>
                    </w:rPr>
                    <w:t>3096-2008</w:t>
                  </w:r>
                  <w:r>
                    <w:rPr>
                      <w:color w:val="auto"/>
                      <w:spacing w:val="7"/>
                      <w:highlight w:val="none"/>
                    </w:rPr>
                    <w:t>）</w:t>
                  </w:r>
                  <w:r>
                    <w:rPr>
                      <w:rFonts w:hint="eastAsia"/>
                      <w:color w:val="auto"/>
                      <w:spacing w:val="7"/>
                      <w:highlight w:val="none"/>
                      <w:lang w:val="en-US" w:eastAsia="zh-CN"/>
                    </w:rPr>
                    <w:t>2类</w:t>
                  </w:r>
                </w:p>
              </w:tc>
            </w:tr>
          </w:tbl>
          <w:p w14:paraId="39C0E455">
            <w:pPr>
              <w:numPr>
                <w:ilvl w:val="0"/>
                <w:numId w:val="0"/>
              </w:numPr>
              <w:spacing w:line="360" w:lineRule="auto"/>
              <w:ind w:leftChars="200"/>
              <w:rPr>
                <w:rFonts w:hint="eastAsia" w:cs="Times New Roman"/>
                <w:b/>
                <w:bCs/>
                <w:color w:val="auto"/>
                <w:spacing w:val="-4"/>
                <w:highlight w:val="none"/>
                <w:lang w:val="en-US" w:eastAsia="zh-CN"/>
              </w:rPr>
            </w:pPr>
            <w:r>
              <w:rPr>
                <w:rFonts w:hint="eastAsia" w:cs="Times New Roman"/>
                <w:b/>
                <w:bCs/>
                <w:color w:val="auto"/>
                <w:spacing w:val="-4"/>
                <w:highlight w:val="none"/>
                <w:lang w:val="en-US" w:eastAsia="zh-CN"/>
              </w:rPr>
              <w:t>二、排放标准</w:t>
            </w:r>
          </w:p>
          <w:p w14:paraId="78CAAF73">
            <w:pPr>
              <w:numPr>
                <w:ilvl w:val="0"/>
                <w:numId w:val="0"/>
              </w:numPr>
              <w:spacing w:line="360" w:lineRule="auto"/>
              <w:ind w:leftChars="200"/>
              <w:rPr>
                <w:rFonts w:hint="default" w:ascii="Times New Roman" w:hAnsi="Times New Roman" w:eastAsia="宋体" w:cs="Times New Roman"/>
                <w:b/>
                <w:bCs/>
                <w:color w:val="auto"/>
                <w:spacing w:val="-4"/>
                <w:highlight w:val="none"/>
              </w:rPr>
            </w:pPr>
            <w:r>
              <w:rPr>
                <w:rFonts w:hint="default" w:ascii="Times New Roman" w:hAnsi="Times New Roman" w:eastAsia="宋体" w:cs="Times New Roman"/>
                <w:b/>
                <w:bCs/>
                <w:color w:val="auto"/>
                <w:spacing w:val="-4"/>
                <w:highlight w:val="none"/>
              </w:rPr>
              <w:t>1、</w:t>
            </w:r>
            <w:r>
              <w:rPr>
                <w:rFonts w:hint="default" w:ascii="Times New Roman" w:hAnsi="Times New Roman" w:eastAsia="宋体" w:cs="Times New Roman"/>
                <w:b/>
                <w:bCs/>
                <w:color w:val="auto"/>
                <w:spacing w:val="-10"/>
                <w:highlight w:val="none"/>
              </w:rPr>
              <w:t>大气污染物</w:t>
            </w:r>
          </w:p>
          <w:p w14:paraId="290D695E">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（1）施工期</w:t>
            </w:r>
          </w:p>
          <w:p w14:paraId="71D90BDA">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本项目施工期扬尘执行《四川省施工场地扬尘排放标准》（DB51/2682-2020）标准，具体详见下表。</w:t>
            </w:r>
          </w:p>
          <w:p w14:paraId="35869CA3">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施工期</w:t>
            </w:r>
            <w:r>
              <w:rPr>
                <w:rFonts w:hint="default" w:ascii="Times New Roman" w:hAnsi="Times New Roman" w:eastAsia="宋体" w:cs="Times New Roman"/>
                <w:b/>
                <w:bCs/>
                <w:color w:val="auto"/>
                <w:sz w:val="21"/>
                <w:szCs w:val="21"/>
                <w:highlight w:val="none"/>
              </w:rPr>
              <w:t>废气排放标准</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78"/>
              <w:gridCol w:w="1903"/>
              <w:gridCol w:w="805"/>
              <w:gridCol w:w="3707"/>
            </w:tblGrid>
            <w:tr w14:paraId="1166D6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8" w:type="pct"/>
                  <w:tcBorders>
                    <w:tl2br w:val="nil"/>
                    <w:tr2bl w:val="nil"/>
                  </w:tcBorders>
                  <w:vAlign w:val="center"/>
                </w:tcPr>
                <w:p w14:paraId="2709C6CC">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项目</w:t>
                  </w:r>
                </w:p>
              </w:tc>
              <w:tc>
                <w:tcPr>
                  <w:tcW w:w="1133" w:type="pct"/>
                  <w:tcBorders>
                    <w:tl2br w:val="nil"/>
                    <w:tr2bl w:val="nil"/>
                  </w:tcBorders>
                  <w:vAlign w:val="center"/>
                </w:tcPr>
                <w:p w14:paraId="30A87584">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施工阶段</w:t>
                  </w:r>
                </w:p>
              </w:tc>
              <w:tc>
                <w:tcPr>
                  <w:tcW w:w="479" w:type="pct"/>
                  <w:tcBorders>
                    <w:tl2br w:val="nil"/>
                    <w:tr2bl w:val="nil"/>
                  </w:tcBorders>
                  <w:vAlign w:val="center"/>
                </w:tcPr>
                <w:p w14:paraId="102FB0CF">
                  <w:pPr>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2207" w:type="pct"/>
                  <w:tcBorders>
                    <w:tl2br w:val="nil"/>
                    <w:tr2bl w:val="nil"/>
                  </w:tcBorders>
                  <w:vAlign w:val="center"/>
                </w:tcPr>
                <w:p w14:paraId="07047E31">
                  <w:pPr>
                    <w:pStyle w:val="99"/>
                    <w:jc w:val="center"/>
                    <w:rPr>
                      <w:rFonts w:hint="default" w:ascii="Times New Roman" w:hAnsi="Times New Roman" w:eastAsia="宋体" w:cs="Times New Roman"/>
                      <w:b/>
                      <w:bCs/>
                      <w:color w:val="auto"/>
                      <w:spacing w:val="-1"/>
                      <w:szCs w:val="21"/>
                      <w:highlight w:val="none"/>
                      <w:lang w:val="en-US" w:eastAsia="zh-CN"/>
                    </w:rPr>
                  </w:pPr>
                  <w:r>
                    <w:rPr>
                      <w:rFonts w:hint="default" w:ascii="Times New Roman" w:hAnsi="Times New Roman" w:eastAsia="宋体" w:cs="Times New Roman"/>
                      <w:b/>
                      <w:bCs/>
                      <w:color w:val="auto"/>
                      <w:spacing w:val="-1"/>
                      <w:szCs w:val="21"/>
                      <w:highlight w:val="none"/>
                      <w:lang w:val="en-US" w:eastAsia="zh-CN"/>
                    </w:rPr>
                    <w:t>执行标准</w:t>
                  </w:r>
                </w:p>
              </w:tc>
            </w:tr>
            <w:tr w14:paraId="4887FA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78" w:type="pct"/>
                  <w:vMerge w:val="restart"/>
                  <w:tcBorders>
                    <w:tl2br w:val="nil"/>
                    <w:tr2bl w:val="nil"/>
                  </w:tcBorders>
                  <w:vAlign w:val="center"/>
                </w:tcPr>
                <w:p w14:paraId="2AD4C371">
                  <w:pPr>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总悬浮颗粒物（TSP）</w:t>
                  </w:r>
                  <w:r>
                    <w:rPr>
                      <w:rFonts w:hint="eastAsia" w:cs="Times New Roman"/>
                      <w:color w:val="auto"/>
                      <w:sz w:val="21"/>
                      <w:szCs w:val="21"/>
                      <w:highlight w:val="none"/>
                      <w:lang w:val="en-US" w:eastAsia="zh-CN"/>
                    </w:rPr>
                    <w:t>甘孜州</w:t>
                  </w:r>
                </w:p>
              </w:tc>
              <w:tc>
                <w:tcPr>
                  <w:tcW w:w="1133" w:type="pct"/>
                  <w:tcBorders>
                    <w:tl2br w:val="nil"/>
                    <w:tr2bl w:val="nil"/>
                  </w:tcBorders>
                  <w:vAlign w:val="center"/>
                </w:tcPr>
                <w:p w14:paraId="620A7DB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拆除工程/土方开挖/土方回填阶段</w:t>
                  </w:r>
                </w:p>
              </w:tc>
              <w:tc>
                <w:tcPr>
                  <w:tcW w:w="479" w:type="pct"/>
                  <w:tcBorders>
                    <w:tl2br w:val="nil"/>
                    <w:tr2bl w:val="nil"/>
                  </w:tcBorders>
                  <w:vAlign w:val="center"/>
                </w:tcPr>
                <w:p w14:paraId="7B4D2F39">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900</w:t>
                  </w:r>
                </w:p>
              </w:tc>
              <w:tc>
                <w:tcPr>
                  <w:tcW w:w="2207" w:type="pct"/>
                  <w:vMerge w:val="restart"/>
                  <w:tcBorders>
                    <w:tl2br w:val="nil"/>
                    <w:tr2bl w:val="nil"/>
                  </w:tcBorders>
                  <w:vAlign w:val="center"/>
                </w:tcPr>
                <w:p w14:paraId="685E17F1">
                  <w:pPr>
                    <w:pStyle w:val="99"/>
                    <w:jc w:val="center"/>
                    <w:rPr>
                      <w:rFonts w:hint="default" w:ascii="Times New Roman" w:hAnsi="Times New Roman" w:eastAsia="宋体" w:cs="Times New Roman"/>
                      <w:b w:val="0"/>
                      <w:color w:val="auto"/>
                      <w:spacing w:val="-1"/>
                      <w:szCs w:val="21"/>
                      <w:highlight w:val="none"/>
                    </w:rPr>
                  </w:pPr>
                  <w:r>
                    <w:rPr>
                      <w:rFonts w:hint="default" w:ascii="Times New Roman" w:hAnsi="Times New Roman" w:eastAsia="宋体" w:cs="Times New Roman"/>
                      <w:b w:val="0"/>
                      <w:color w:val="auto"/>
                      <w:spacing w:val="-1"/>
                      <w:szCs w:val="21"/>
                      <w:highlight w:val="none"/>
                    </w:rPr>
                    <w:t>《四川省施工场地扬尘排放标准》（DB51/2682-2020）</w:t>
                  </w:r>
                </w:p>
              </w:tc>
            </w:tr>
            <w:tr w14:paraId="12C576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178" w:type="pct"/>
                  <w:vMerge w:val="continue"/>
                  <w:tcBorders>
                    <w:tl2br w:val="nil"/>
                    <w:tr2bl w:val="nil"/>
                  </w:tcBorders>
                  <w:vAlign w:val="center"/>
                </w:tcPr>
                <w:p w14:paraId="059AA16C">
                  <w:pPr>
                    <w:jc w:val="center"/>
                    <w:rPr>
                      <w:rFonts w:hint="default" w:ascii="Times New Roman" w:hAnsi="Times New Roman" w:eastAsia="宋体" w:cs="Times New Roman"/>
                      <w:color w:val="auto"/>
                      <w:sz w:val="21"/>
                      <w:szCs w:val="21"/>
                      <w:highlight w:val="none"/>
                    </w:rPr>
                  </w:pPr>
                </w:p>
              </w:tc>
              <w:tc>
                <w:tcPr>
                  <w:tcW w:w="1133" w:type="pct"/>
                  <w:tcBorders>
                    <w:tl2br w:val="nil"/>
                    <w:tr2bl w:val="nil"/>
                  </w:tcBorders>
                  <w:vAlign w:val="center"/>
                </w:tcPr>
                <w:p w14:paraId="41F2CE3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其他工程阶段</w:t>
                  </w:r>
                </w:p>
              </w:tc>
              <w:tc>
                <w:tcPr>
                  <w:tcW w:w="479" w:type="pct"/>
                  <w:tcBorders>
                    <w:tl2br w:val="nil"/>
                    <w:tr2bl w:val="nil"/>
                  </w:tcBorders>
                  <w:vAlign w:val="center"/>
                </w:tcPr>
                <w:p w14:paraId="4B644695">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350</w:t>
                  </w:r>
                </w:p>
              </w:tc>
              <w:tc>
                <w:tcPr>
                  <w:tcW w:w="2207" w:type="pct"/>
                  <w:vMerge w:val="continue"/>
                  <w:tcBorders>
                    <w:tl2br w:val="nil"/>
                    <w:tr2bl w:val="nil"/>
                  </w:tcBorders>
                  <w:vAlign w:val="center"/>
                </w:tcPr>
                <w:p w14:paraId="6730A4B4">
                  <w:pPr>
                    <w:pStyle w:val="99"/>
                    <w:jc w:val="center"/>
                    <w:rPr>
                      <w:rFonts w:hint="default" w:ascii="Times New Roman" w:hAnsi="Times New Roman" w:eastAsia="宋体" w:cs="Times New Roman"/>
                      <w:b w:val="0"/>
                      <w:color w:val="auto"/>
                      <w:spacing w:val="-1"/>
                      <w:szCs w:val="21"/>
                      <w:highlight w:val="none"/>
                    </w:rPr>
                  </w:pPr>
                </w:p>
              </w:tc>
            </w:tr>
          </w:tbl>
          <w:p w14:paraId="2F308752">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（2）营运期</w:t>
            </w:r>
          </w:p>
          <w:p w14:paraId="5803B847">
            <w:pPr>
              <w:spacing w:before="35" w:line="356" w:lineRule="auto"/>
              <w:ind w:left="213" w:right="201" w:firstLine="475"/>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屠宰过程及污水处理过程产生恶臭等</w:t>
            </w:r>
            <w:r>
              <w:rPr>
                <w:rFonts w:ascii="宋体" w:hAnsi="宋体" w:eastAsia="宋体" w:cs="宋体"/>
                <w:color w:val="auto"/>
                <w:sz w:val="24"/>
                <w:szCs w:val="24"/>
                <w:highlight w:val="none"/>
              </w:rPr>
              <w:t xml:space="preserve">污染物排放执行《恶臭污 </w:t>
            </w:r>
            <w:r>
              <w:rPr>
                <w:rFonts w:ascii="宋体" w:hAnsi="宋体" w:eastAsia="宋体" w:cs="宋体"/>
                <w:color w:val="auto"/>
                <w:spacing w:val="2"/>
                <w:sz w:val="24"/>
                <w:szCs w:val="24"/>
                <w:highlight w:val="none"/>
              </w:rPr>
              <w:t>染物排放标准》（</w:t>
            </w:r>
            <w:r>
              <w:rPr>
                <w:rFonts w:ascii="Times New Roman" w:hAnsi="Times New Roman" w:eastAsia="Times New Roman" w:cs="Times New Roman"/>
                <w:color w:val="auto"/>
                <w:sz w:val="24"/>
                <w:szCs w:val="24"/>
                <w:highlight w:val="none"/>
              </w:rPr>
              <w:t>GB</w:t>
            </w:r>
            <w:r>
              <w:rPr>
                <w:rFonts w:ascii="Times New Roman" w:hAnsi="Times New Roman" w:eastAsia="Times New Roman" w:cs="Times New Roman"/>
                <w:color w:val="auto"/>
                <w:spacing w:val="2"/>
                <w:sz w:val="24"/>
                <w:szCs w:val="24"/>
                <w:highlight w:val="none"/>
              </w:rPr>
              <w:t>14554-93</w:t>
            </w:r>
            <w:r>
              <w:rPr>
                <w:rFonts w:ascii="宋体" w:hAnsi="宋体" w:eastAsia="宋体" w:cs="宋体"/>
                <w:color w:val="auto"/>
                <w:spacing w:val="2"/>
                <w:sz w:val="24"/>
                <w:szCs w:val="24"/>
                <w:highlight w:val="none"/>
              </w:rPr>
              <w:t>）中表</w:t>
            </w:r>
            <w:r>
              <w:rPr>
                <w:rFonts w:ascii="Times New Roman" w:hAnsi="Times New Roman" w:eastAsia="Times New Roman" w:cs="Times New Roman"/>
                <w:color w:val="auto"/>
                <w:spacing w:val="2"/>
                <w:sz w:val="24"/>
                <w:szCs w:val="24"/>
                <w:highlight w:val="none"/>
              </w:rPr>
              <w:t>1</w:t>
            </w:r>
            <w:r>
              <w:rPr>
                <w:rFonts w:ascii="宋体" w:hAnsi="宋体" w:eastAsia="宋体" w:cs="宋体"/>
                <w:color w:val="auto"/>
                <w:spacing w:val="2"/>
                <w:sz w:val="24"/>
                <w:szCs w:val="24"/>
                <w:highlight w:val="none"/>
              </w:rPr>
              <w:t>新改扩建无组织排放源二级标准、表</w:t>
            </w:r>
            <w:r>
              <w:rPr>
                <w:rFonts w:ascii="Times New Roman" w:hAnsi="Times New Roman" w:eastAsia="Times New Roman" w:cs="Times New Roman"/>
                <w:color w:val="auto"/>
                <w:spacing w:val="2"/>
                <w:sz w:val="24"/>
                <w:szCs w:val="24"/>
                <w:highlight w:val="none"/>
              </w:rPr>
              <w:t>2</w:t>
            </w:r>
            <w:r>
              <w:rPr>
                <w:rFonts w:ascii="宋体" w:hAnsi="宋体" w:eastAsia="宋体" w:cs="宋体"/>
                <w:color w:val="auto"/>
                <w:spacing w:val="2"/>
                <w:sz w:val="24"/>
                <w:szCs w:val="24"/>
                <w:highlight w:val="none"/>
              </w:rPr>
              <w:t>恶</w:t>
            </w:r>
            <w:r>
              <w:rPr>
                <w:rFonts w:ascii="宋体" w:hAnsi="宋体" w:eastAsia="宋体" w:cs="宋体"/>
                <w:color w:val="auto"/>
                <w:sz w:val="24"/>
                <w:szCs w:val="24"/>
                <w:highlight w:val="none"/>
              </w:rPr>
              <w:t>臭污染物排放标准值。</w:t>
            </w:r>
            <w:r>
              <w:rPr>
                <w:rFonts w:hint="eastAsia" w:ascii="宋体" w:hAnsi="宋体" w:eastAsia="宋体" w:cs="宋体"/>
                <w:color w:val="auto"/>
                <w:sz w:val="24"/>
                <w:szCs w:val="24"/>
                <w:highlight w:val="none"/>
                <w:lang w:val="en-US" w:eastAsia="zh-CN"/>
              </w:rPr>
              <w:t>本项目</w:t>
            </w:r>
            <w:r>
              <w:rPr>
                <w:rFonts w:hint="eastAsia" w:ascii="宋体" w:hAnsi="宋体" w:cs="宋体"/>
                <w:color w:val="auto"/>
                <w:sz w:val="24"/>
                <w:szCs w:val="24"/>
                <w:highlight w:val="none"/>
                <w:lang w:val="en-US" w:eastAsia="zh-CN"/>
              </w:rPr>
              <w:t>不</w:t>
            </w:r>
            <w:r>
              <w:rPr>
                <w:rFonts w:hint="eastAsia" w:ascii="宋体" w:hAnsi="宋体" w:eastAsia="宋体" w:cs="宋体"/>
                <w:color w:val="auto"/>
                <w:sz w:val="24"/>
                <w:szCs w:val="24"/>
                <w:highlight w:val="none"/>
                <w:lang w:val="en-US" w:eastAsia="zh-CN"/>
              </w:rPr>
              <w:t>使用锅炉，不使用其他燃料</w:t>
            </w:r>
            <w:r>
              <w:rPr>
                <w:rFonts w:ascii="宋体" w:hAnsi="宋体" w:eastAsia="宋体" w:cs="宋体"/>
                <w:color w:val="auto"/>
                <w:spacing w:val="-1"/>
                <w:sz w:val="24"/>
                <w:szCs w:val="24"/>
                <w:highlight w:val="none"/>
              </w:rPr>
              <w:t>，</w:t>
            </w:r>
            <w:r>
              <w:rPr>
                <w:rFonts w:hint="eastAsia" w:ascii="宋体" w:hAnsi="宋体" w:eastAsia="宋体" w:cs="宋体"/>
                <w:color w:val="auto"/>
                <w:spacing w:val="-1"/>
                <w:sz w:val="24"/>
                <w:szCs w:val="24"/>
                <w:highlight w:val="none"/>
                <w:lang w:val="en-US" w:eastAsia="zh-CN"/>
              </w:rPr>
              <w:t>废气排放</w:t>
            </w:r>
            <w:r>
              <w:rPr>
                <w:rFonts w:ascii="宋体" w:hAnsi="宋体" w:eastAsia="宋体" w:cs="宋体"/>
                <w:color w:val="auto"/>
                <w:spacing w:val="-1"/>
                <w:sz w:val="24"/>
                <w:szCs w:val="24"/>
                <w:highlight w:val="none"/>
              </w:rPr>
              <w:t>标准限值见表。</w:t>
            </w:r>
          </w:p>
          <w:p w14:paraId="1BAF23A2">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大气污染物排放标准</w:t>
            </w:r>
          </w:p>
          <w:tbl>
            <w:tblPr>
              <w:tblStyle w:val="103"/>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50"/>
              <w:gridCol w:w="3503"/>
              <w:gridCol w:w="3033"/>
            </w:tblGrid>
            <w:tr w14:paraId="236CD1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1103" w:type="pct"/>
                  <w:tcBorders>
                    <w:left w:val="nil"/>
                  </w:tcBorders>
                  <w:vAlign w:val="top"/>
                </w:tcPr>
                <w:p w14:paraId="0F358BFB">
                  <w:pPr>
                    <w:pStyle w:val="109"/>
                    <w:spacing w:before="56" w:line="228" w:lineRule="auto"/>
                    <w:ind w:left="664"/>
                    <w:rPr>
                      <w:color w:val="auto"/>
                      <w:highlight w:val="none"/>
                    </w:rPr>
                  </w:pPr>
                  <w:r>
                    <w:rPr>
                      <w:color w:val="auto"/>
                      <w:spacing w:val="6"/>
                      <w:highlight w:val="none"/>
                    </w:rPr>
                    <w:t>污染物</w:t>
                  </w:r>
                </w:p>
              </w:tc>
              <w:tc>
                <w:tcPr>
                  <w:tcW w:w="2088" w:type="pct"/>
                  <w:vAlign w:val="top"/>
                </w:tcPr>
                <w:p w14:paraId="1D57CB6D">
                  <w:pPr>
                    <w:pStyle w:val="109"/>
                    <w:spacing w:before="55" w:line="228" w:lineRule="auto"/>
                    <w:ind w:left="1208"/>
                    <w:rPr>
                      <w:color w:val="auto"/>
                      <w:highlight w:val="none"/>
                    </w:rPr>
                  </w:pPr>
                  <w:r>
                    <w:rPr>
                      <w:color w:val="auto"/>
                      <w:spacing w:val="8"/>
                      <w:highlight w:val="none"/>
                    </w:rPr>
                    <w:t>排放浓度限值</w:t>
                  </w:r>
                </w:p>
              </w:tc>
              <w:tc>
                <w:tcPr>
                  <w:tcW w:w="1808" w:type="pct"/>
                  <w:tcBorders>
                    <w:right w:val="nil"/>
                  </w:tcBorders>
                  <w:vAlign w:val="top"/>
                </w:tcPr>
                <w:p w14:paraId="24BA3649">
                  <w:pPr>
                    <w:pStyle w:val="109"/>
                    <w:spacing w:before="55" w:line="228" w:lineRule="auto"/>
                    <w:ind w:left="1174"/>
                    <w:rPr>
                      <w:color w:val="auto"/>
                      <w:highlight w:val="none"/>
                    </w:rPr>
                  </w:pPr>
                  <w:r>
                    <w:rPr>
                      <w:color w:val="auto"/>
                      <w:spacing w:val="7"/>
                      <w:highlight w:val="none"/>
                    </w:rPr>
                    <w:t>执行标准</w:t>
                  </w:r>
                </w:p>
              </w:tc>
            </w:tr>
            <w:tr w14:paraId="492C7D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1103" w:type="pct"/>
                  <w:tcBorders>
                    <w:left w:val="nil"/>
                  </w:tcBorders>
                  <w:vAlign w:val="top"/>
                </w:tcPr>
                <w:p w14:paraId="55307738">
                  <w:pPr>
                    <w:spacing w:before="68" w:line="199" w:lineRule="auto"/>
                    <w:ind w:left="779"/>
                    <w:rPr>
                      <w:rFonts w:ascii="Times New Roman" w:hAnsi="Times New Roman" w:eastAsia="Times New Roman" w:cs="Times New Roman"/>
                      <w:color w:val="auto"/>
                      <w:sz w:val="13"/>
                      <w:szCs w:val="13"/>
                      <w:highlight w:val="none"/>
                    </w:rPr>
                  </w:pPr>
                  <w:r>
                    <w:rPr>
                      <w:rFonts w:ascii="Times New Roman" w:hAnsi="Times New Roman" w:eastAsia="Times New Roman" w:cs="Times New Roman"/>
                      <w:color w:val="auto"/>
                      <w:spacing w:val="7"/>
                      <w:sz w:val="20"/>
                      <w:szCs w:val="20"/>
                      <w:highlight w:val="none"/>
                    </w:rPr>
                    <w:t>NH</w:t>
                  </w:r>
                  <w:r>
                    <w:rPr>
                      <w:rFonts w:ascii="Times New Roman" w:hAnsi="Times New Roman" w:eastAsia="Times New Roman" w:cs="Times New Roman"/>
                      <w:color w:val="auto"/>
                      <w:spacing w:val="7"/>
                      <w:position w:val="-1"/>
                      <w:sz w:val="13"/>
                      <w:szCs w:val="13"/>
                      <w:highlight w:val="none"/>
                    </w:rPr>
                    <w:t>3</w:t>
                  </w:r>
                </w:p>
              </w:tc>
              <w:tc>
                <w:tcPr>
                  <w:tcW w:w="2088" w:type="pct"/>
                  <w:vAlign w:val="top"/>
                </w:tcPr>
                <w:p w14:paraId="2BC6BABA">
                  <w:pPr>
                    <w:pStyle w:val="109"/>
                    <w:spacing w:before="29" w:line="215" w:lineRule="auto"/>
                    <w:ind w:left="906"/>
                    <w:rPr>
                      <w:rFonts w:ascii="Times New Roman" w:hAnsi="Times New Roman" w:eastAsia="Times New Roman" w:cs="Times New Roman"/>
                      <w:color w:val="auto"/>
                      <w:sz w:val="13"/>
                      <w:szCs w:val="13"/>
                      <w:highlight w:val="none"/>
                    </w:rPr>
                  </w:pPr>
                  <w:r>
                    <w:rPr>
                      <w:color w:val="auto"/>
                      <w:spacing w:val="7"/>
                      <w:highlight w:val="none"/>
                    </w:rPr>
                    <w:t>厂界标准值</w:t>
                  </w:r>
                  <w:r>
                    <w:rPr>
                      <w:rFonts w:ascii="Times New Roman" w:hAnsi="Times New Roman" w:eastAsia="Times New Roman" w:cs="Times New Roman"/>
                      <w:color w:val="auto"/>
                      <w:spacing w:val="7"/>
                      <w:highlight w:val="none"/>
                    </w:rPr>
                    <w:t>1.5</w:t>
                  </w:r>
                  <w:r>
                    <w:rPr>
                      <w:rFonts w:ascii="Times New Roman" w:hAnsi="Times New Roman" w:eastAsia="Times New Roman" w:cs="Times New Roman"/>
                      <w:color w:val="auto"/>
                      <w:highlight w:val="none"/>
                    </w:rPr>
                    <w:t>mg</w:t>
                  </w:r>
                  <w:r>
                    <w:rPr>
                      <w:rFonts w:ascii="Times New Roman" w:hAnsi="Times New Roman" w:eastAsia="Times New Roman" w:cs="Times New Roman"/>
                      <w:color w:val="auto"/>
                      <w:spacing w:val="7"/>
                      <w:highlight w:val="none"/>
                    </w:rPr>
                    <w:t>/m</w:t>
                  </w:r>
                  <w:r>
                    <w:rPr>
                      <w:rFonts w:ascii="Times New Roman" w:hAnsi="Times New Roman" w:eastAsia="Times New Roman" w:cs="Times New Roman"/>
                      <w:color w:val="auto"/>
                      <w:spacing w:val="7"/>
                      <w:position w:val="6"/>
                      <w:sz w:val="13"/>
                      <w:szCs w:val="13"/>
                      <w:highlight w:val="none"/>
                    </w:rPr>
                    <w:t>3</w:t>
                  </w:r>
                </w:p>
              </w:tc>
              <w:tc>
                <w:tcPr>
                  <w:tcW w:w="1808" w:type="pct"/>
                  <w:vMerge w:val="restart"/>
                  <w:tcBorders>
                    <w:bottom w:val="nil"/>
                    <w:right w:val="nil"/>
                  </w:tcBorders>
                  <w:vAlign w:val="top"/>
                </w:tcPr>
                <w:p w14:paraId="75ABA9F9">
                  <w:pPr>
                    <w:pStyle w:val="109"/>
                    <w:spacing w:before="170"/>
                    <w:ind w:left="686" w:right="448" w:hanging="244"/>
                    <w:rPr>
                      <w:rFonts w:ascii="Times New Roman" w:hAnsi="Times New Roman" w:eastAsia="Times New Roman" w:cs="Times New Roman"/>
                      <w:color w:val="auto"/>
                      <w:highlight w:val="none"/>
                    </w:rPr>
                  </w:pPr>
                  <w:r>
                    <w:rPr>
                      <w:color w:val="auto"/>
                      <w:spacing w:val="7"/>
                      <w:highlight w:val="none"/>
                    </w:rPr>
                    <w:t>《恶臭污染物排放标准》</w:t>
                  </w:r>
                  <w:r>
                    <w:rPr>
                      <w:color w:val="auto"/>
                      <w:spacing w:val="4"/>
                      <w:highlight w:val="none"/>
                    </w:rPr>
                    <w:t xml:space="preserve"> </w:t>
                  </w:r>
                  <w:r>
                    <w:rPr>
                      <w:color w:val="auto"/>
                      <w:spacing w:val="5"/>
                      <w:highlight w:val="none"/>
                    </w:rPr>
                    <w:t>（</w:t>
                  </w:r>
                  <w:r>
                    <w:rPr>
                      <w:rFonts w:ascii="Times New Roman" w:hAnsi="Times New Roman" w:eastAsia="Times New Roman" w:cs="Times New Roman"/>
                      <w:color w:val="auto"/>
                      <w:highlight w:val="none"/>
                    </w:rPr>
                    <w:t>GB</w:t>
                  </w:r>
                  <w:r>
                    <w:rPr>
                      <w:rFonts w:ascii="Times New Roman" w:hAnsi="Times New Roman" w:eastAsia="Times New Roman" w:cs="Times New Roman"/>
                      <w:color w:val="auto"/>
                      <w:spacing w:val="5"/>
                      <w:highlight w:val="none"/>
                    </w:rPr>
                    <w:t>14554-93</w:t>
                  </w:r>
                  <w:r>
                    <w:rPr>
                      <w:color w:val="auto"/>
                      <w:spacing w:val="5"/>
                      <w:highlight w:val="none"/>
                    </w:rPr>
                    <w:t>）表</w:t>
                  </w:r>
                  <w:r>
                    <w:rPr>
                      <w:rFonts w:ascii="Times New Roman" w:hAnsi="Times New Roman" w:eastAsia="Times New Roman" w:cs="Times New Roman"/>
                      <w:color w:val="auto"/>
                      <w:spacing w:val="5"/>
                      <w:highlight w:val="none"/>
                    </w:rPr>
                    <w:t>1</w:t>
                  </w:r>
                </w:p>
              </w:tc>
            </w:tr>
            <w:tr w14:paraId="44B7E7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trPr>
              <w:tc>
                <w:tcPr>
                  <w:tcW w:w="1103" w:type="pct"/>
                  <w:tcBorders>
                    <w:left w:val="nil"/>
                  </w:tcBorders>
                  <w:vAlign w:val="top"/>
                </w:tcPr>
                <w:p w14:paraId="26A7EDA8">
                  <w:pPr>
                    <w:pStyle w:val="109"/>
                    <w:spacing w:before="28" w:line="215" w:lineRule="auto"/>
                    <w:ind w:left="557"/>
                    <w:rPr>
                      <w:color w:val="auto"/>
                      <w:highlight w:val="none"/>
                    </w:rPr>
                  </w:pPr>
                  <w:r>
                    <w:rPr>
                      <w:color w:val="auto"/>
                      <w:spacing w:val="7"/>
                      <w:highlight w:val="none"/>
                    </w:rPr>
                    <w:t>臭气浓度</w:t>
                  </w:r>
                </w:p>
              </w:tc>
              <w:tc>
                <w:tcPr>
                  <w:tcW w:w="2088" w:type="pct"/>
                  <w:vAlign w:val="top"/>
                </w:tcPr>
                <w:p w14:paraId="07044D25">
                  <w:pPr>
                    <w:pStyle w:val="109"/>
                    <w:spacing w:before="28" w:line="215" w:lineRule="auto"/>
                    <w:ind w:left="1204"/>
                    <w:rPr>
                      <w:color w:val="auto"/>
                      <w:highlight w:val="none"/>
                    </w:rPr>
                  </w:pPr>
                  <w:r>
                    <w:rPr>
                      <w:rFonts w:ascii="Times New Roman" w:hAnsi="Times New Roman" w:eastAsia="Times New Roman" w:cs="Times New Roman"/>
                      <w:color w:val="auto"/>
                      <w:spacing w:val="6"/>
                      <w:highlight w:val="none"/>
                    </w:rPr>
                    <w:t>20</w:t>
                  </w:r>
                  <w:r>
                    <w:rPr>
                      <w:color w:val="auto"/>
                      <w:spacing w:val="6"/>
                      <w:highlight w:val="none"/>
                    </w:rPr>
                    <w:t>（无量纲）</w:t>
                  </w:r>
                </w:p>
              </w:tc>
              <w:tc>
                <w:tcPr>
                  <w:tcW w:w="1808" w:type="pct"/>
                  <w:vMerge w:val="continue"/>
                  <w:tcBorders>
                    <w:top w:val="nil"/>
                    <w:bottom w:val="nil"/>
                    <w:right w:val="nil"/>
                  </w:tcBorders>
                  <w:vAlign w:val="top"/>
                </w:tcPr>
                <w:p w14:paraId="52572E7F">
                  <w:pPr>
                    <w:rPr>
                      <w:rFonts w:ascii="Arial"/>
                      <w:color w:val="auto"/>
                      <w:sz w:val="21"/>
                      <w:highlight w:val="none"/>
                    </w:rPr>
                  </w:pPr>
                </w:p>
              </w:tc>
            </w:tr>
            <w:tr w14:paraId="577F44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 w:hRule="atLeast"/>
              </w:trPr>
              <w:tc>
                <w:tcPr>
                  <w:tcW w:w="1103" w:type="pct"/>
                  <w:tcBorders>
                    <w:left w:val="nil"/>
                  </w:tcBorders>
                  <w:vAlign w:val="top"/>
                </w:tcPr>
                <w:p w14:paraId="6CD0AB32">
                  <w:pPr>
                    <w:spacing w:before="66" w:line="202" w:lineRule="auto"/>
                    <w:ind w:left="80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H</w:t>
                  </w:r>
                  <w:r>
                    <w:rPr>
                      <w:rFonts w:ascii="Times New Roman" w:hAnsi="Times New Roman" w:eastAsia="Times New Roman" w:cs="Times New Roman"/>
                      <w:color w:val="auto"/>
                      <w:spacing w:val="3"/>
                      <w:position w:val="-1"/>
                      <w:sz w:val="13"/>
                      <w:szCs w:val="13"/>
                      <w:highlight w:val="none"/>
                    </w:rPr>
                    <w:t>2</w:t>
                  </w:r>
                  <w:r>
                    <w:rPr>
                      <w:rFonts w:ascii="Times New Roman" w:hAnsi="Times New Roman" w:eastAsia="Times New Roman" w:cs="Times New Roman"/>
                      <w:color w:val="auto"/>
                      <w:spacing w:val="3"/>
                      <w:sz w:val="20"/>
                      <w:szCs w:val="20"/>
                      <w:highlight w:val="none"/>
                    </w:rPr>
                    <w:t>S</w:t>
                  </w:r>
                </w:p>
              </w:tc>
              <w:tc>
                <w:tcPr>
                  <w:tcW w:w="2088" w:type="pct"/>
                  <w:vAlign w:val="top"/>
                </w:tcPr>
                <w:p w14:paraId="0CAE982A">
                  <w:pPr>
                    <w:pStyle w:val="109"/>
                    <w:spacing w:before="30" w:line="213" w:lineRule="auto"/>
                    <w:ind w:left="853"/>
                    <w:rPr>
                      <w:rFonts w:ascii="Times New Roman" w:hAnsi="Times New Roman" w:eastAsia="Times New Roman" w:cs="Times New Roman"/>
                      <w:color w:val="auto"/>
                      <w:sz w:val="13"/>
                      <w:szCs w:val="13"/>
                      <w:highlight w:val="none"/>
                    </w:rPr>
                  </w:pPr>
                  <w:r>
                    <w:rPr>
                      <w:color w:val="auto"/>
                      <w:spacing w:val="7"/>
                      <w:highlight w:val="none"/>
                    </w:rPr>
                    <w:t>厂界标准值</w:t>
                  </w:r>
                  <w:r>
                    <w:rPr>
                      <w:rFonts w:ascii="Times New Roman" w:hAnsi="Times New Roman" w:eastAsia="Times New Roman" w:cs="Times New Roman"/>
                      <w:color w:val="auto"/>
                      <w:spacing w:val="7"/>
                      <w:highlight w:val="none"/>
                    </w:rPr>
                    <w:t>0.06</w:t>
                  </w:r>
                  <w:r>
                    <w:rPr>
                      <w:rFonts w:ascii="Times New Roman" w:hAnsi="Times New Roman" w:eastAsia="Times New Roman" w:cs="Times New Roman"/>
                      <w:color w:val="auto"/>
                      <w:highlight w:val="none"/>
                    </w:rPr>
                    <w:t>mg</w:t>
                  </w:r>
                  <w:r>
                    <w:rPr>
                      <w:rFonts w:ascii="Times New Roman" w:hAnsi="Times New Roman" w:eastAsia="Times New Roman" w:cs="Times New Roman"/>
                      <w:color w:val="auto"/>
                      <w:spacing w:val="7"/>
                      <w:highlight w:val="none"/>
                    </w:rPr>
                    <w:t>/m</w:t>
                  </w:r>
                  <w:r>
                    <w:rPr>
                      <w:rFonts w:ascii="Times New Roman" w:hAnsi="Times New Roman" w:eastAsia="Times New Roman" w:cs="Times New Roman"/>
                      <w:color w:val="auto"/>
                      <w:spacing w:val="7"/>
                      <w:position w:val="6"/>
                      <w:sz w:val="13"/>
                      <w:szCs w:val="13"/>
                      <w:highlight w:val="none"/>
                    </w:rPr>
                    <w:t>3</w:t>
                  </w:r>
                </w:p>
              </w:tc>
              <w:tc>
                <w:tcPr>
                  <w:tcW w:w="1808" w:type="pct"/>
                  <w:vMerge w:val="continue"/>
                  <w:tcBorders>
                    <w:top w:val="nil"/>
                    <w:right w:val="nil"/>
                  </w:tcBorders>
                  <w:vAlign w:val="top"/>
                </w:tcPr>
                <w:p w14:paraId="42A45042">
                  <w:pPr>
                    <w:rPr>
                      <w:rFonts w:ascii="Arial"/>
                      <w:color w:val="auto"/>
                      <w:sz w:val="21"/>
                      <w:highlight w:val="none"/>
                    </w:rPr>
                  </w:pPr>
                </w:p>
              </w:tc>
            </w:tr>
            <w:tr w14:paraId="4646A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1103" w:type="pct"/>
                  <w:tcBorders>
                    <w:left w:val="nil"/>
                  </w:tcBorders>
                  <w:vAlign w:val="top"/>
                </w:tcPr>
                <w:p w14:paraId="4D9B66FF">
                  <w:pPr>
                    <w:spacing w:before="72" w:line="198" w:lineRule="auto"/>
                    <w:ind w:left="779"/>
                    <w:rPr>
                      <w:rFonts w:ascii="Times New Roman" w:hAnsi="Times New Roman" w:eastAsia="Times New Roman" w:cs="Times New Roman"/>
                      <w:color w:val="auto"/>
                      <w:sz w:val="13"/>
                      <w:szCs w:val="13"/>
                      <w:highlight w:val="none"/>
                    </w:rPr>
                  </w:pPr>
                  <w:r>
                    <w:rPr>
                      <w:rFonts w:ascii="Times New Roman" w:hAnsi="Times New Roman" w:eastAsia="Times New Roman" w:cs="Times New Roman"/>
                      <w:color w:val="auto"/>
                      <w:spacing w:val="7"/>
                      <w:sz w:val="20"/>
                      <w:szCs w:val="20"/>
                      <w:highlight w:val="none"/>
                    </w:rPr>
                    <w:t>NH</w:t>
                  </w:r>
                  <w:r>
                    <w:rPr>
                      <w:rFonts w:ascii="Times New Roman" w:hAnsi="Times New Roman" w:eastAsia="Times New Roman" w:cs="Times New Roman"/>
                      <w:color w:val="auto"/>
                      <w:spacing w:val="7"/>
                      <w:position w:val="-1"/>
                      <w:sz w:val="13"/>
                      <w:szCs w:val="13"/>
                      <w:highlight w:val="none"/>
                    </w:rPr>
                    <w:t>3</w:t>
                  </w:r>
                </w:p>
              </w:tc>
              <w:tc>
                <w:tcPr>
                  <w:tcW w:w="2088" w:type="pct"/>
                  <w:vAlign w:val="top"/>
                </w:tcPr>
                <w:p w14:paraId="003317E8">
                  <w:pPr>
                    <w:pStyle w:val="109"/>
                    <w:spacing w:before="33" w:line="211" w:lineRule="auto"/>
                    <w:ind w:left="390"/>
                    <w:rPr>
                      <w:rFonts w:ascii="Times New Roman" w:hAnsi="Times New Roman" w:eastAsia="Times New Roman" w:cs="Times New Roman"/>
                      <w:color w:val="auto"/>
                      <w:highlight w:val="none"/>
                    </w:rPr>
                  </w:pPr>
                  <w:r>
                    <w:rPr>
                      <w:color w:val="auto"/>
                      <w:spacing w:val="7"/>
                      <w:highlight w:val="none"/>
                    </w:rPr>
                    <w:t>排气筒：</w:t>
                  </w:r>
                  <w:r>
                    <w:rPr>
                      <w:rFonts w:ascii="Times New Roman" w:hAnsi="Times New Roman" w:eastAsia="Times New Roman" w:cs="Times New Roman"/>
                      <w:color w:val="auto"/>
                      <w:spacing w:val="7"/>
                      <w:highlight w:val="none"/>
                    </w:rPr>
                    <w:t>15m</w:t>
                  </w:r>
                  <w:r>
                    <w:rPr>
                      <w:color w:val="auto"/>
                      <w:spacing w:val="7"/>
                      <w:highlight w:val="none"/>
                    </w:rPr>
                    <w:t>；排放速率</w:t>
                  </w:r>
                  <w:r>
                    <w:rPr>
                      <w:rFonts w:ascii="Times New Roman" w:hAnsi="Times New Roman" w:eastAsia="Times New Roman" w:cs="Times New Roman"/>
                      <w:color w:val="auto"/>
                      <w:spacing w:val="7"/>
                      <w:highlight w:val="none"/>
                    </w:rPr>
                    <w:t>4.9</w:t>
                  </w:r>
                  <w:r>
                    <w:rPr>
                      <w:rFonts w:ascii="Times New Roman" w:hAnsi="Times New Roman" w:eastAsia="Times New Roman" w:cs="Times New Roman"/>
                      <w:color w:val="auto"/>
                      <w:highlight w:val="none"/>
                    </w:rPr>
                    <w:t>kg</w:t>
                  </w:r>
                  <w:r>
                    <w:rPr>
                      <w:rFonts w:ascii="Times New Roman" w:hAnsi="Times New Roman" w:eastAsia="Times New Roman" w:cs="Times New Roman"/>
                      <w:color w:val="auto"/>
                      <w:spacing w:val="7"/>
                      <w:highlight w:val="none"/>
                    </w:rPr>
                    <w:t>/h</w:t>
                  </w:r>
                </w:p>
              </w:tc>
              <w:tc>
                <w:tcPr>
                  <w:tcW w:w="1808" w:type="pct"/>
                  <w:vMerge w:val="restart"/>
                  <w:tcBorders>
                    <w:bottom w:val="nil"/>
                    <w:right w:val="nil"/>
                  </w:tcBorders>
                  <w:vAlign w:val="top"/>
                </w:tcPr>
                <w:p w14:paraId="09FBB62D">
                  <w:pPr>
                    <w:pStyle w:val="109"/>
                    <w:spacing w:before="178"/>
                    <w:ind w:left="686" w:right="448" w:hanging="244"/>
                    <w:rPr>
                      <w:rFonts w:ascii="Times New Roman" w:hAnsi="Times New Roman" w:eastAsia="Times New Roman" w:cs="Times New Roman"/>
                      <w:color w:val="auto"/>
                      <w:highlight w:val="none"/>
                    </w:rPr>
                  </w:pPr>
                  <w:r>
                    <w:rPr>
                      <w:color w:val="auto"/>
                      <w:spacing w:val="7"/>
                      <w:highlight w:val="none"/>
                    </w:rPr>
                    <w:t>《恶臭污染物排放标准》</w:t>
                  </w:r>
                  <w:r>
                    <w:rPr>
                      <w:color w:val="auto"/>
                      <w:spacing w:val="4"/>
                      <w:highlight w:val="none"/>
                    </w:rPr>
                    <w:t xml:space="preserve"> </w:t>
                  </w:r>
                  <w:r>
                    <w:rPr>
                      <w:color w:val="auto"/>
                      <w:spacing w:val="5"/>
                      <w:highlight w:val="none"/>
                    </w:rPr>
                    <w:t>（</w:t>
                  </w:r>
                  <w:r>
                    <w:rPr>
                      <w:rFonts w:ascii="Times New Roman" w:hAnsi="Times New Roman" w:eastAsia="Times New Roman" w:cs="Times New Roman"/>
                      <w:color w:val="auto"/>
                      <w:highlight w:val="none"/>
                    </w:rPr>
                    <w:t>GB</w:t>
                  </w:r>
                  <w:r>
                    <w:rPr>
                      <w:rFonts w:ascii="Times New Roman" w:hAnsi="Times New Roman" w:eastAsia="Times New Roman" w:cs="Times New Roman"/>
                      <w:color w:val="auto"/>
                      <w:spacing w:val="5"/>
                      <w:highlight w:val="none"/>
                    </w:rPr>
                    <w:t>14554-93</w:t>
                  </w:r>
                  <w:r>
                    <w:rPr>
                      <w:color w:val="auto"/>
                      <w:spacing w:val="5"/>
                      <w:highlight w:val="none"/>
                    </w:rPr>
                    <w:t>）表</w:t>
                  </w:r>
                  <w:r>
                    <w:rPr>
                      <w:rFonts w:ascii="Times New Roman" w:hAnsi="Times New Roman" w:eastAsia="Times New Roman" w:cs="Times New Roman"/>
                      <w:color w:val="auto"/>
                      <w:spacing w:val="5"/>
                      <w:highlight w:val="none"/>
                    </w:rPr>
                    <w:t>2</w:t>
                  </w:r>
                </w:p>
              </w:tc>
            </w:tr>
            <w:tr w14:paraId="708DF4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1103" w:type="pct"/>
                  <w:tcBorders>
                    <w:left w:val="nil"/>
                  </w:tcBorders>
                  <w:vAlign w:val="top"/>
                </w:tcPr>
                <w:p w14:paraId="77FC90F9">
                  <w:pPr>
                    <w:pStyle w:val="109"/>
                    <w:spacing w:before="32" w:line="212" w:lineRule="auto"/>
                    <w:ind w:left="557"/>
                    <w:rPr>
                      <w:color w:val="auto"/>
                      <w:highlight w:val="none"/>
                    </w:rPr>
                  </w:pPr>
                  <w:r>
                    <w:rPr>
                      <w:color w:val="auto"/>
                      <w:spacing w:val="7"/>
                      <w:highlight w:val="none"/>
                    </w:rPr>
                    <w:t>臭气浓度</w:t>
                  </w:r>
                </w:p>
              </w:tc>
              <w:tc>
                <w:tcPr>
                  <w:tcW w:w="2088" w:type="pct"/>
                  <w:vAlign w:val="top"/>
                </w:tcPr>
                <w:p w14:paraId="3E776182">
                  <w:pPr>
                    <w:pStyle w:val="109"/>
                    <w:spacing w:before="32" w:line="212" w:lineRule="auto"/>
                    <w:ind w:left="1101"/>
                    <w:rPr>
                      <w:color w:val="auto"/>
                      <w:highlight w:val="none"/>
                    </w:rPr>
                  </w:pPr>
                  <w:r>
                    <w:rPr>
                      <w:rFonts w:ascii="Times New Roman" w:hAnsi="Times New Roman" w:eastAsia="Times New Roman" w:cs="Times New Roman"/>
                      <w:color w:val="auto"/>
                      <w:spacing w:val="5"/>
                      <w:highlight w:val="none"/>
                    </w:rPr>
                    <w:t>2000</w:t>
                  </w:r>
                  <w:r>
                    <w:rPr>
                      <w:color w:val="auto"/>
                      <w:spacing w:val="5"/>
                      <w:highlight w:val="none"/>
                    </w:rPr>
                    <w:t>（无量纲）</w:t>
                  </w:r>
                </w:p>
              </w:tc>
              <w:tc>
                <w:tcPr>
                  <w:tcW w:w="1808" w:type="pct"/>
                  <w:vMerge w:val="continue"/>
                  <w:tcBorders>
                    <w:top w:val="nil"/>
                    <w:bottom w:val="nil"/>
                    <w:right w:val="nil"/>
                  </w:tcBorders>
                  <w:vAlign w:val="top"/>
                </w:tcPr>
                <w:p w14:paraId="38E0FDF1">
                  <w:pPr>
                    <w:rPr>
                      <w:rFonts w:ascii="Arial"/>
                      <w:color w:val="auto"/>
                      <w:sz w:val="21"/>
                      <w:highlight w:val="none"/>
                    </w:rPr>
                  </w:pPr>
                </w:p>
              </w:tc>
            </w:tr>
            <w:tr w14:paraId="62F20C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1103" w:type="pct"/>
                  <w:tcBorders>
                    <w:left w:val="nil"/>
                  </w:tcBorders>
                  <w:vAlign w:val="top"/>
                </w:tcPr>
                <w:p w14:paraId="2978B431">
                  <w:pPr>
                    <w:spacing w:before="76" w:line="202" w:lineRule="auto"/>
                    <w:ind w:left="804"/>
                    <w:rPr>
                      <w:rFonts w:ascii="Times New Roman" w:hAnsi="Times New Roman" w:eastAsia="Times New Roman" w:cs="Times New Roman"/>
                      <w:color w:val="auto"/>
                      <w:sz w:val="20"/>
                      <w:szCs w:val="20"/>
                      <w:highlight w:val="none"/>
                    </w:rPr>
                  </w:pPr>
                  <w:r>
                    <w:rPr>
                      <w:rFonts w:ascii="Times New Roman" w:hAnsi="Times New Roman" w:eastAsia="Times New Roman" w:cs="Times New Roman"/>
                      <w:color w:val="auto"/>
                      <w:spacing w:val="3"/>
                      <w:sz w:val="20"/>
                      <w:szCs w:val="20"/>
                      <w:highlight w:val="none"/>
                    </w:rPr>
                    <w:t>H</w:t>
                  </w:r>
                  <w:r>
                    <w:rPr>
                      <w:rFonts w:ascii="Times New Roman" w:hAnsi="Times New Roman" w:eastAsia="Times New Roman" w:cs="Times New Roman"/>
                      <w:color w:val="auto"/>
                      <w:spacing w:val="3"/>
                      <w:position w:val="-1"/>
                      <w:sz w:val="13"/>
                      <w:szCs w:val="13"/>
                      <w:highlight w:val="none"/>
                    </w:rPr>
                    <w:t>2</w:t>
                  </w:r>
                  <w:r>
                    <w:rPr>
                      <w:rFonts w:ascii="Times New Roman" w:hAnsi="Times New Roman" w:eastAsia="Times New Roman" w:cs="Times New Roman"/>
                      <w:color w:val="auto"/>
                      <w:spacing w:val="3"/>
                      <w:sz w:val="20"/>
                      <w:szCs w:val="20"/>
                      <w:highlight w:val="none"/>
                    </w:rPr>
                    <w:t>S</w:t>
                  </w:r>
                </w:p>
              </w:tc>
              <w:tc>
                <w:tcPr>
                  <w:tcW w:w="2088" w:type="pct"/>
                  <w:vAlign w:val="top"/>
                </w:tcPr>
                <w:p w14:paraId="65952E36">
                  <w:pPr>
                    <w:pStyle w:val="109"/>
                    <w:spacing w:before="37" w:line="219" w:lineRule="auto"/>
                    <w:ind w:left="337"/>
                    <w:rPr>
                      <w:rFonts w:ascii="Times New Roman" w:hAnsi="Times New Roman" w:eastAsia="Times New Roman" w:cs="Times New Roman"/>
                      <w:color w:val="auto"/>
                      <w:highlight w:val="none"/>
                    </w:rPr>
                  </w:pPr>
                  <w:r>
                    <w:rPr>
                      <w:color w:val="auto"/>
                      <w:spacing w:val="7"/>
                      <w:highlight w:val="none"/>
                    </w:rPr>
                    <w:t>排气筒：</w:t>
                  </w:r>
                  <w:r>
                    <w:rPr>
                      <w:rFonts w:ascii="Times New Roman" w:hAnsi="Times New Roman" w:eastAsia="Times New Roman" w:cs="Times New Roman"/>
                      <w:color w:val="auto"/>
                      <w:spacing w:val="7"/>
                      <w:highlight w:val="none"/>
                    </w:rPr>
                    <w:t>15m</w:t>
                  </w:r>
                  <w:r>
                    <w:rPr>
                      <w:color w:val="auto"/>
                      <w:spacing w:val="7"/>
                      <w:highlight w:val="none"/>
                    </w:rPr>
                    <w:t>；排放速率</w:t>
                  </w:r>
                  <w:r>
                    <w:rPr>
                      <w:rFonts w:ascii="Times New Roman" w:hAnsi="Times New Roman" w:eastAsia="Times New Roman" w:cs="Times New Roman"/>
                      <w:color w:val="auto"/>
                      <w:spacing w:val="7"/>
                      <w:highlight w:val="none"/>
                    </w:rPr>
                    <w:t>0.33</w:t>
                  </w:r>
                  <w:r>
                    <w:rPr>
                      <w:rFonts w:ascii="Times New Roman" w:hAnsi="Times New Roman" w:eastAsia="Times New Roman" w:cs="Times New Roman"/>
                      <w:color w:val="auto"/>
                      <w:highlight w:val="none"/>
                    </w:rPr>
                    <w:t>kg</w:t>
                  </w:r>
                  <w:r>
                    <w:rPr>
                      <w:rFonts w:ascii="Times New Roman" w:hAnsi="Times New Roman" w:eastAsia="Times New Roman" w:cs="Times New Roman"/>
                      <w:color w:val="auto"/>
                      <w:spacing w:val="7"/>
                      <w:highlight w:val="none"/>
                    </w:rPr>
                    <w:t>/h</w:t>
                  </w:r>
                </w:p>
              </w:tc>
              <w:tc>
                <w:tcPr>
                  <w:tcW w:w="1808" w:type="pct"/>
                  <w:vMerge w:val="continue"/>
                  <w:tcBorders>
                    <w:top w:val="nil"/>
                    <w:right w:val="nil"/>
                  </w:tcBorders>
                  <w:vAlign w:val="top"/>
                </w:tcPr>
                <w:p w14:paraId="0C92CDA9">
                  <w:pPr>
                    <w:rPr>
                      <w:rFonts w:ascii="Arial"/>
                      <w:color w:val="auto"/>
                      <w:sz w:val="21"/>
                      <w:highlight w:val="none"/>
                    </w:rPr>
                  </w:pPr>
                </w:p>
              </w:tc>
            </w:tr>
          </w:tbl>
          <w:p w14:paraId="6C3E35DF">
            <w:pPr>
              <w:keepNext w:val="0"/>
              <w:keepLines w:val="0"/>
              <w:pageBreakBefore w:val="0"/>
              <w:widowControl w:val="0"/>
              <w:kinsoku/>
              <w:wordWrap/>
              <w:overflowPunct/>
              <w:topLinePunct w:val="0"/>
              <w:autoSpaceDE/>
              <w:autoSpaceDN/>
              <w:bidi w:val="0"/>
              <w:adjustRightInd/>
              <w:snapToGrid/>
              <w:spacing w:before="157" w:beforeLines="50" w:line="360" w:lineRule="auto"/>
              <w:ind w:firstLine="442" w:firstLineChars="200"/>
              <w:textAlignment w:val="auto"/>
              <w:rPr>
                <w:rFonts w:hint="default" w:ascii="Times New Roman" w:hAnsi="Times New Roman" w:eastAsia="宋体" w:cs="Times New Roman"/>
                <w:b/>
                <w:bCs/>
                <w:color w:val="auto"/>
                <w:spacing w:val="-10"/>
                <w:highlight w:val="none"/>
              </w:rPr>
            </w:pPr>
            <w:r>
              <w:rPr>
                <w:rFonts w:hint="default" w:ascii="Times New Roman" w:hAnsi="Times New Roman" w:eastAsia="宋体" w:cs="Times New Roman"/>
                <w:b/>
                <w:bCs/>
                <w:color w:val="auto"/>
                <w:spacing w:val="-10"/>
                <w:highlight w:val="none"/>
              </w:rPr>
              <w:t>2、废水</w:t>
            </w:r>
          </w:p>
          <w:p w14:paraId="3C6CA126">
            <w:pPr>
              <w:spacing w:line="360" w:lineRule="auto"/>
              <w:ind w:firstLine="480" w:firstLineChars="200"/>
              <w:rPr>
                <w:rFonts w:hint="default"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本项目产生的废水经自建污水处理站预处理达《肉类加工工业水污染物排放标准》（GB13457-1992）表3中“畜类屠宰加工”三级标准</w:t>
            </w:r>
            <w:r>
              <w:rPr>
                <w:rFonts w:hint="eastAsia" w:cs="Times New Roman"/>
                <w:bCs/>
                <w:color w:val="auto"/>
                <w:highlight w:val="none"/>
                <w:lang w:val="en-US" w:eastAsia="zh-CN"/>
              </w:rPr>
              <w:t>及</w:t>
            </w:r>
            <w:r>
              <w:rPr>
                <w:rFonts w:hint="eastAsia" w:ascii="Times New Roman" w:hAnsi="Times New Roman" w:eastAsia="宋体" w:cs="Times New Roman"/>
                <w:bCs/>
                <w:color w:val="auto"/>
                <w:highlight w:val="none"/>
                <w:lang w:val="en-US" w:eastAsia="zh-CN"/>
              </w:rPr>
              <w:t>磨西镇生活污水处理厂</w:t>
            </w:r>
            <w:r>
              <w:rPr>
                <w:rFonts w:hint="eastAsia" w:cs="Times New Roman"/>
                <w:bCs/>
                <w:color w:val="auto"/>
                <w:highlight w:val="none"/>
                <w:lang w:val="en-US" w:eastAsia="zh-CN"/>
              </w:rPr>
              <w:t>进水水质标准后</w:t>
            </w:r>
            <w:r>
              <w:rPr>
                <w:rFonts w:hint="eastAsia" w:ascii="Times New Roman" w:hAnsi="Times New Roman" w:eastAsia="宋体" w:cs="Times New Roman"/>
                <w:bCs/>
                <w:color w:val="auto"/>
                <w:highlight w:val="none"/>
                <w:lang w:val="en-US" w:eastAsia="zh-CN"/>
              </w:rPr>
              <w:t>经罐车运输至磨西镇生活污水处理厂集中处理达到</w:t>
            </w:r>
            <w:r>
              <w:rPr>
                <w:rFonts w:hint="default" w:ascii="Times New Roman" w:hAnsi="Times New Roman" w:eastAsia="宋体" w:cs="Times New Roman"/>
                <w:color w:val="auto"/>
                <w:kern w:val="0"/>
                <w:highlight w:val="none"/>
              </w:rPr>
              <w:t>《城镇污水处理厂污染物排放标准》（GB18918-2002）一级</w:t>
            </w:r>
            <w:r>
              <w:rPr>
                <w:rFonts w:hint="eastAsia" w:cs="Times New Roman"/>
                <w:color w:val="auto"/>
                <w:kern w:val="0"/>
                <w:highlight w:val="none"/>
                <w:lang w:val="en-US" w:eastAsia="zh-CN"/>
              </w:rPr>
              <w:t>A</w:t>
            </w:r>
            <w:r>
              <w:rPr>
                <w:rFonts w:hint="default" w:ascii="Times New Roman" w:hAnsi="Times New Roman" w:eastAsia="宋体" w:cs="Times New Roman"/>
                <w:color w:val="auto"/>
                <w:kern w:val="0"/>
                <w:highlight w:val="none"/>
              </w:rPr>
              <w:t>标后</w:t>
            </w:r>
            <w:r>
              <w:rPr>
                <w:rFonts w:hint="eastAsia" w:ascii="Times New Roman" w:hAnsi="Times New Roman" w:eastAsia="宋体" w:cs="Times New Roman"/>
                <w:color w:val="auto"/>
                <w:kern w:val="0"/>
                <w:highlight w:val="none"/>
                <w:lang w:eastAsia="zh-CN"/>
              </w:rPr>
              <w:t>，</w:t>
            </w:r>
            <w:r>
              <w:rPr>
                <w:rFonts w:hint="eastAsia" w:ascii="Times New Roman" w:hAnsi="Times New Roman" w:eastAsia="宋体" w:cs="Times New Roman"/>
                <w:bCs/>
                <w:color w:val="auto"/>
                <w:highlight w:val="none"/>
                <w:lang w:val="en-US" w:eastAsia="zh-CN"/>
              </w:rPr>
              <w:t>后排入</w:t>
            </w:r>
            <w:r>
              <w:rPr>
                <w:rFonts w:hint="eastAsia" w:cs="Times New Roman"/>
                <w:color w:val="auto"/>
                <w:highlight w:val="none"/>
                <w:lang w:val="en-US" w:eastAsia="zh-CN"/>
              </w:rPr>
              <w:t>燕子沟</w:t>
            </w:r>
            <w:r>
              <w:rPr>
                <w:rFonts w:hint="eastAsia" w:ascii="Times New Roman" w:hAnsi="Times New Roman" w:eastAsia="宋体" w:cs="Times New Roman"/>
                <w:bCs/>
                <w:color w:val="auto"/>
                <w:highlight w:val="none"/>
                <w:lang w:val="en-US" w:eastAsia="zh-CN"/>
              </w:rPr>
              <w:t>。</w:t>
            </w:r>
          </w:p>
          <w:p w14:paraId="6712A2B2">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本项目废水排放具体限值见下表。</w:t>
            </w:r>
          </w:p>
          <w:p w14:paraId="30B10CF2">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w:t>
            </w:r>
            <w:r>
              <w:rPr>
                <w:rFonts w:hint="eastAsia" w:cs="Times New Roman"/>
                <w:b/>
                <w:bCs/>
                <w:color w:val="auto"/>
                <w:sz w:val="21"/>
                <w:szCs w:val="21"/>
                <w:highlight w:val="none"/>
                <w:lang w:val="en-US" w:eastAsia="zh-CN"/>
              </w:rPr>
              <w:t>厂区</w:t>
            </w:r>
            <w:r>
              <w:rPr>
                <w:rFonts w:hint="default" w:ascii="Times New Roman" w:hAnsi="Times New Roman" w:eastAsia="宋体" w:cs="Times New Roman"/>
                <w:b/>
                <w:bCs/>
                <w:color w:val="auto"/>
                <w:sz w:val="21"/>
                <w:szCs w:val="21"/>
                <w:highlight w:val="none"/>
                <w:lang w:val="en-US" w:eastAsia="zh-CN"/>
              </w:rPr>
              <w:t>水污染物排放标准限值</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8"/>
              <w:gridCol w:w="2096"/>
              <w:gridCol w:w="3736"/>
            </w:tblGrid>
            <w:tr w14:paraId="44E3B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12" w:space="0"/>
                    <w:bottom w:val="single" w:color="auto" w:sz="8" w:space="0"/>
                    <w:right w:val="single" w:color="auto" w:sz="8" w:space="0"/>
                  </w:tcBorders>
                  <w:noWrap w:val="0"/>
                  <w:vAlign w:val="center"/>
                </w:tcPr>
                <w:p w14:paraId="69C9655F">
                  <w:pPr>
                    <w:pStyle w:val="10"/>
                    <w:spacing w:before="0" w:line="240" w:lineRule="auto"/>
                    <w:ind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污染物种类</w:t>
                  </w:r>
                </w:p>
              </w:tc>
              <w:tc>
                <w:tcPr>
                  <w:tcW w:w="1250" w:type="pct"/>
                  <w:tcBorders>
                    <w:top w:val="single" w:color="auto" w:sz="12" w:space="0"/>
                    <w:left w:val="single" w:color="auto" w:sz="8" w:space="0"/>
                    <w:bottom w:val="single" w:color="auto" w:sz="8" w:space="0"/>
                    <w:right w:val="single" w:color="auto" w:sz="8" w:space="0"/>
                  </w:tcBorders>
                  <w:noWrap w:val="0"/>
                  <w:vAlign w:val="center"/>
                </w:tcPr>
                <w:p w14:paraId="3F8B79A0">
                  <w:pPr>
                    <w:pStyle w:val="10"/>
                    <w:spacing w:before="0" w:line="240" w:lineRule="auto"/>
                    <w:ind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浓度限值</w:t>
                  </w:r>
                </w:p>
              </w:tc>
              <w:tc>
                <w:tcPr>
                  <w:tcW w:w="2228" w:type="pct"/>
                  <w:tcBorders>
                    <w:top w:val="single" w:color="auto" w:sz="12" w:space="0"/>
                    <w:left w:val="single" w:color="auto" w:sz="8" w:space="0"/>
                    <w:bottom w:val="single" w:color="auto" w:sz="8" w:space="0"/>
                    <w:right w:val="nil"/>
                  </w:tcBorders>
                  <w:noWrap w:val="0"/>
                  <w:vAlign w:val="center"/>
                </w:tcPr>
                <w:p w14:paraId="3A448DE8">
                  <w:pPr>
                    <w:pStyle w:val="10"/>
                    <w:spacing w:before="0" w:line="240" w:lineRule="auto"/>
                    <w:ind w:firstLine="0" w:firstLineChars="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执行标准</w:t>
                  </w:r>
                </w:p>
              </w:tc>
            </w:tr>
            <w:tr w14:paraId="7A13C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noWrap w:val="0"/>
                  <w:vAlign w:val="center"/>
                </w:tcPr>
                <w:p w14:paraId="46493EB1">
                  <w:pPr>
                    <w:pStyle w:val="10"/>
                    <w:spacing w:before="0" w:line="240" w:lineRule="auto"/>
                    <w:ind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pH</w:t>
                  </w:r>
                </w:p>
              </w:tc>
              <w:tc>
                <w:tcPr>
                  <w:tcW w:w="1250" w:type="pct"/>
                  <w:tcBorders>
                    <w:top w:val="single" w:color="auto" w:sz="8" w:space="0"/>
                    <w:left w:val="single" w:color="auto" w:sz="8" w:space="0"/>
                    <w:bottom w:val="single" w:color="auto" w:sz="8" w:space="0"/>
                    <w:right w:val="single" w:color="auto" w:sz="8" w:space="0"/>
                  </w:tcBorders>
                  <w:noWrap w:val="0"/>
                  <w:vAlign w:val="center"/>
                </w:tcPr>
                <w:p w14:paraId="426154A5">
                  <w:pPr>
                    <w:pStyle w:val="10"/>
                    <w:spacing w:before="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cs="Times New Roman"/>
                      <w:color w:val="auto"/>
                      <w:sz w:val="21"/>
                      <w:szCs w:val="21"/>
                      <w:highlight w:val="none"/>
                    </w:rPr>
                    <w:t>6~</w:t>
                  </w:r>
                  <w:r>
                    <w:rPr>
                      <w:rFonts w:hint="eastAsia" w:ascii="Times New Roman" w:hAnsi="Times New Roman" w:cs="Times New Roman"/>
                      <w:color w:val="auto"/>
                      <w:sz w:val="21"/>
                      <w:szCs w:val="21"/>
                      <w:highlight w:val="none"/>
                      <w:lang w:val="en-US" w:eastAsia="zh-CN"/>
                    </w:rPr>
                    <w:t>8.5</w:t>
                  </w:r>
                </w:p>
              </w:tc>
              <w:tc>
                <w:tcPr>
                  <w:tcW w:w="2228" w:type="pct"/>
                  <w:vMerge w:val="restart"/>
                  <w:tcBorders>
                    <w:top w:val="single" w:color="auto" w:sz="8" w:space="0"/>
                    <w:left w:val="single" w:color="auto" w:sz="8" w:space="0"/>
                    <w:bottom w:val="single" w:color="auto" w:sz="8" w:space="0"/>
                    <w:right w:val="nil"/>
                  </w:tcBorders>
                  <w:noWrap w:val="0"/>
                  <w:vAlign w:val="center"/>
                </w:tcPr>
                <w:p w14:paraId="7D577496">
                  <w:pPr>
                    <w:pStyle w:val="10"/>
                    <w:spacing w:before="0" w:line="240" w:lineRule="auto"/>
                    <w:ind w:firstLine="0" w:firstLineChars="0"/>
                    <w:jc w:val="center"/>
                    <w:rPr>
                      <w:rFonts w:ascii="Times New Roman" w:hAnsi="Times New Roman" w:cs="Times New Roman"/>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《肉类加工工业水污染物排放标准》（GB13457-1992）表3中“畜类屠宰加工”三级标准</w:t>
                  </w:r>
                </w:p>
              </w:tc>
            </w:tr>
            <w:tr w14:paraId="3E27C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noWrap w:val="0"/>
                  <w:vAlign w:val="center"/>
                </w:tcPr>
                <w:p w14:paraId="7F967D5A">
                  <w:pPr>
                    <w:pStyle w:val="10"/>
                    <w:spacing w:before="0" w:line="240" w:lineRule="auto"/>
                    <w:ind w:firstLine="0" w:firstLineChars="0"/>
                    <w:jc w:val="center"/>
                    <w:rPr>
                      <w:rFonts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动植物油</w:t>
                  </w:r>
                </w:p>
              </w:tc>
              <w:tc>
                <w:tcPr>
                  <w:tcW w:w="1250" w:type="pct"/>
                  <w:tcBorders>
                    <w:top w:val="single" w:color="auto" w:sz="8" w:space="0"/>
                    <w:left w:val="single" w:color="auto" w:sz="8" w:space="0"/>
                    <w:bottom w:val="single" w:color="auto" w:sz="8" w:space="0"/>
                    <w:right w:val="single" w:color="auto" w:sz="8" w:space="0"/>
                  </w:tcBorders>
                  <w:noWrap w:val="0"/>
                  <w:vAlign w:val="center"/>
                </w:tcPr>
                <w:p w14:paraId="2CECFDA7">
                  <w:pPr>
                    <w:pStyle w:val="10"/>
                    <w:spacing w:before="0" w:line="240" w:lineRule="auto"/>
                    <w:ind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w:t>
                  </w:r>
                  <w:r>
                    <w:rPr>
                      <w:rFonts w:ascii="Times New Roman" w:hAnsi="Times New Roman" w:cs="Times New Roman"/>
                      <w:color w:val="auto"/>
                      <w:sz w:val="21"/>
                      <w:szCs w:val="21"/>
                      <w:highlight w:val="none"/>
                    </w:rPr>
                    <w:t>0</w:t>
                  </w:r>
                  <w:r>
                    <w:rPr>
                      <w:rFonts w:hint="eastAsia" w:ascii="Times New Roman" w:hAnsi="Times New Roman" w:cs="Times New Roman"/>
                      <w:color w:val="auto"/>
                      <w:sz w:val="21"/>
                      <w:szCs w:val="21"/>
                      <w:highlight w:val="none"/>
                    </w:rPr>
                    <w:t>mg/L</w:t>
                  </w:r>
                </w:p>
              </w:tc>
              <w:tc>
                <w:tcPr>
                  <w:tcW w:w="2228" w:type="pct"/>
                  <w:vMerge w:val="continue"/>
                  <w:tcBorders>
                    <w:top w:val="single" w:color="auto" w:sz="8" w:space="0"/>
                    <w:left w:val="single" w:color="auto" w:sz="8" w:space="0"/>
                    <w:bottom w:val="single" w:color="auto" w:sz="8" w:space="0"/>
                    <w:right w:val="nil"/>
                  </w:tcBorders>
                  <w:noWrap w:val="0"/>
                  <w:vAlign w:val="center"/>
                </w:tcPr>
                <w:p w14:paraId="74C7C9CF">
                  <w:pPr>
                    <w:pStyle w:val="10"/>
                    <w:spacing w:before="0" w:line="240" w:lineRule="auto"/>
                    <w:ind w:firstLine="0" w:firstLineChars="0"/>
                    <w:jc w:val="center"/>
                    <w:rPr>
                      <w:rFonts w:ascii="Times New Roman" w:hAnsi="Times New Roman" w:cs="Times New Roman"/>
                      <w:color w:val="auto"/>
                      <w:sz w:val="21"/>
                      <w:szCs w:val="21"/>
                      <w:highlight w:val="none"/>
                    </w:rPr>
                  </w:pPr>
                </w:p>
              </w:tc>
            </w:tr>
            <w:tr w14:paraId="56D7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shd w:val="clear" w:color="auto" w:fill="auto"/>
                  <w:noWrap w:val="0"/>
                  <w:vAlign w:val="center"/>
                </w:tcPr>
                <w:p w14:paraId="324780A7">
                  <w:pPr>
                    <w:pStyle w:val="10"/>
                    <w:spacing w:before="0"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highlight w:val="none"/>
                    </w:rPr>
                    <w:t>COD</w:t>
                  </w:r>
                </w:p>
              </w:tc>
              <w:tc>
                <w:tcPr>
                  <w:tcW w:w="1250"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2119F79C">
                  <w:pPr>
                    <w:pStyle w:val="10"/>
                    <w:spacing w:before="0"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320</w:t>
                  </w:r>
                  <w:r>
                    <w:rPr>
                      <w:rFonts w:hint="eastAsia" w:ascii="Times New Roman" w:hAnsi="Times New Roman" w:cs="Times New Roman"/>
                      <w:color w:val="auto"/>
                      <w:sz w:val="21"/>
                      <w:szCs w:val="21"/>
                      <w:highlight w:val="none"/>
                    </w:rPr>
                    <w:t>mg/L</w:t>
                  </w:r>
                </w:p>
              </w:tc>
              <w:tc>
                <w:tcPr>
                  <w:tcW w:w="2228" w:type="pct"/>
                  <w:vMerge w:val="restart"/>
                  <w:tcBorders>
                    <w:top w:val="single" w:color="auto" w:sz="8" w:space="0"/>
                    <w:left w:val="single" w:color="auto" w:sz="8" w:space="0"/>
                    <w:bottom w:val="single" w:color="auto" w:sz="8" w:space="0"/>
                    <w:right w:val="nil"/>
                  </w:tcBorders>
                  <w:noWrap w:val="0"/>
                  <w:vAlign w:val="center"/>
                </w:tcPr>
                <w:p w14:paraId="79862ADF">
                  <w:pPr>
                    <w:pStyle w:val="10"/>
                    <w:spacing w:before="0" w:line="240" w:lineRule="auto"/>
                    <w:ind w:firstLine="0" w:firstLineChars="0"/>
                    <w:jc w:val="center"/>
                    <w:rPr>
                      <w:rFonts w:ascii="Times New Roman" w:hAnsi="Times New Roman" w:cs="Times New Roman"/>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磨西镇生活污水处理厂</w:t>
                  </w:r>
                  <w:r>
                    <w:rPr>
                      <w:rFonts w:hint="eastAsia" w:cs="Times New Roman"/>
                      <w:bCs/>
                      <w:color w:val="auto"/>
                      <w:sz w:val="21"/>
                      <w:szCs w:val="21"/>
                      <w:highlight w:val="none"/>
                      <w:lang w:val="en-US" w:eastAsia="zh-CN"/>
                    </w:rPr>
                    <w:t>进水水质标准，见附件7海螺沟</w:t>
                  </w:r>
                  <w:r>
                    <w:rPr>
                      <w:rFonts w:hint="eastAsia" w:ascii="Times New Roman" w:hAnsi="Times New Roman" w:eastAsia="宋体" w:cs="Times New Roman"/>
                      <w:bCs/>
                      <w:color w:val="auto"/>
                      <w:sz w:val="21"/>
                      <w:szCs w:val="21"/>
                      <w:highlight w:val="none"/>
                      <w:lang w:val="en-US" w:eastAsia="zh-CN"/>
                    </w:rPr>
                    <w:t>磨西镇城市生活污水处理厂处理废水接纳协议</w:t>
                  </w:r>
                </w:p>
              </w:tc>
            </w:tr>
            <w:tr w14:paraId="3FD87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noWrap w:val="0"/>
                  <w:vAlign w:val="center"/>
                </w:tcPr>
                <w:p w14:paraId="6CE34468">
                  <w:pPr>
                    <w:pStyle w:val="10"/>
                    <w:spacing w:before="0" w:line="240" w:lineRule="auto"/>
                    <w:ind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氨氮</w:t>
                  </w:r>
                </w:p>
              </w:tc>
              <w:tc>
                <w:tcPr>
                  <w:tcW w:w="1250" w:type="pct"/>
                  <w:tcBorders>
                    <w:top w:val="single" w:color="auto" w:sz="8" w:space="0"/>
                    <w:left w:val="single" w:color="auto" w:sz="8" w:space="0"/>
                    <w:bottom w:val="single" w:color="auto" w:sz="8" w:space="0"/>
                    <w:right w:val="single" w:color="auto" w:sz="8" w:space="0"/>
                  </w:tcBorders>
                  <w:noWrap w:val="0"/>
                  <w:vAlign w:val="center"/>
                </w:tcPr>
                <w:p w14:paraId="3FF7F6B8">
                  <w:pPr>
                    <w:pStyle w:val="10"/>
                    <w:spacing w:before="0" w:line="240" w:lineRule="auto"/>
                    <w:ind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35</w:t>
                  </w:r>
                  <w:r>
                    <w:rPr>
                      <w:rFonts w:hint="eastAsia" w:ascii="Times New Roman" w:hAnsi="Times New Roman" w:cs="Times New Roman"/>
                      <w:color w:val="auto"/>
                      <w:sz w:val="21"/>
                      <w:szCs w:val="21"/>
                      <w:highlight w:val="none"/>
                    </w:rPr>
                    <w:t>mg/L</w:t>
                  </w:r>
                </w:p>
              </w:tc>
              <w:tc>
                <w:tcPr>
                  <w:tcW w:w="2228" w:type="pct"/>
                  <w:vMerge w:val="continue"/>
                  <w:tcBorders>
                    <w:top w:val="single" w:color="auto" w:sz="8" w:space="0"/>
                    <w:left w:val="single" w:color="auto" w:sz="8" w:space="0"/>
                    <w:bottom w:val="single" w:color="auto" w:sz="8" w:space="0"/>
                    <w:right w:val="nil"/>
                  </w:tcBorders>
                  <w:noWrap w:val="0"/>
                  <w:vAlign w:val="center"/>
                </w:tcPr>
                <w:p w14:paraId="53F21CE8">
                  <w:pPr>
                    <w:pStyle w:val="10"/>
                    <w:spacing w:before="0" w:line="240" w:lineRule="auto"/>
                    <w:ind w:firstLine="0" w:firstLineChars="0"/>
                    <w:jc w:val="center"/>
                    <w:rPr>
                      <w:rFonts w:ascii="Times New Roman" w:hAnsi="Times New Roman" w:cs="Times New Roman"/>
                      <w:color w:val="auto"/>
                      <w:sz w:val="21"/>
                      <w:szCs w:val="21"/>
                      <w:highlight w:val="none"/>
                    </w:rPr>
                  </w:pPr>
                </w:p>
              </w:tc>
            </w:tr>
            <w:tr w14:paraId="76213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shd w:val="clear" w:color="auto" w:fill="auto"/>
                  <w:noWrap w:val="0"/>
                  <w:vAlign w:val="center"/>
                </w:tcPr>
                <w:p w14:paraId="3BA36503">
                  <w:pPr>
                    <w:pStyle w:val="10"/>
                    <w:spacing w:before="0"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highlight w:val="none"/>
                    </w:rPr>
                    <w:t>BOD</w:t>
                  </w:r>
                  <w:r>
                    <w:rPr>
                      <w:rFonts w:ascii="Times New Roman" w:hAnsi="Times New Roman" w:cs="Times New Roman"/>
                      <w:color w:val="auto"/>
                      <w:sz w:val="21"/>
                      <w:szCs w:val="21"/>
                      <w:highlight w:val="none"/>
                      <w:vertAlign w:val="subscript"/>
                    </w:rPr>
                    <w:t>5</w:t>
                  </w:r>
                </w:p>
              </w:tc>
              <w:tc>
                <w:tcPr>
                  <w:tcW w:w="1250"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4B2A88C1">
                  <w:pPr>
                    <w:pStyle w:val="10"/>
                    <w:spacing w:before="0"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160</w:t>
                  </w:r>
                  <w:r>
                    <w:rPr>
                      <w:rFonts w:hint="eastAsia" w:ascii="Times New Roman" w:hAnsi="Times New Roman" w:cs="Times New Roman"/>
                      <w:color w:val="auto"/>
                      <w:sz w:val="21"/>
                      <w:szCs w:val="21"/>
                      <w:highlight w:val="none"/>
                    </w:rPr>
                    <w:t>mg/L</w:t>
                  </w:r>
                </w:p>
              </w:tc>
              <w:tc>
                <w:tcPr>
                  <w:tcW w:w="2228" w:type="pct"/>
                  <w:vMerge w:val="continue"/>
                  <w:tcBorders>
                    <w:top w:val="single" w:color="auto" w:sz="8" w:space="0"/>
                    <w:left w:val="single" w:color="auto" w:sz="8" w:space="0"/>
                    <w:bottom w:val="single" w:color="auto" w:sz="8" w:space="0"/>
                    <w:right w:val="nil"/>
                  </w:tcBorders>
                  <w:noWrap w:val="0"/>
                  <w:vAlign w:val="center"/>
                </w:tcPr>
                <w:p w14:paraId="0AA0C071">
                  <w:pPr>
                    <w:pStyle w:val="10"/>
                    <w:spacing w:before="0" w:line="240" w:lineRule="auto"/>
                    <w:ind w:firstLine="0" w:firstLineChars="0"/>
                    <w:jc w:val="center"/>
                    <w:rPr>
                      <w:rFonts w:ascii="Times New Roman" w:hAnsi="Times New Roman" w:cs="Times New Roman"/>
                      <w:color w:val="auto"/>
                      <w:sz w:val="21"/>
                      <w:szCs w:val="21"/>
                      <w:highlight w:val="none"/>
                    </w:rPr>
                  </w:pPr>
                </w:p>
              </w:tc>
            </w:tr>
            <w:tr w14:paraId="10D08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shd w:val="clear" w:color="auto" w:fill="auto"/>
                  <w:noWrap w:val="0"/>
                  <w:vAlign w:val="center"/>
                </w:tcPr>
                <w:p w14:paraId="36663936">
                  <w:pPr>
                    <w:pStyle w:val="10"/>
                    <w:spacing w:before="0"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ascii="Times New Roman" w:hAnsi="Times New Roman" w:cs="Times New Roman"/>
                      <w:color w:val="auto"/>
                      <w:sz w:val="21"/>
                      <w:szCs w:val="21"/>
                      <w:highlight w:val="none"/>
                    </w:rPr>
                    <w:t>SS</w:t>
                  </w:r>
                </w:p>
              </w:tc>
              <w:tc>
                <w:tcPr>
                  <w:tcW w:w="1250" w:type="pct"/>
                  <w:tcBorders>
                    <w:top w:val="single" w:color="auto" w:sz="8" w:space="0"/>
                    <w:left w:val="single" w:color="auto" w:sz="8" w:space="0"/>
                    <w:bottom w:val="single" w:color="auto" w:sz="8" w:space="0"/>
                    <w:right w:val="single" w:color="auto" w:sz="8" w:space="0"/>
                  </w:tcBorders>
                  <w:shd w:val="clear" w:color="auto" w:fill="auto"/>
                  <w:noWrap w:val="0"/>
                  <w:vAlign w:val="center"/>
                </w:tcPr>
                <w:p w14:paraId="09B75463">
                  <w:pPr>
                    <w:pStyle w:val="10"/>
                    <w:spacing w:before="0"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350</w:t>
                  </w:r>
                  <w:r>
                    <w:rPr>
                      <w:rFonts w:hint="eastAsia" w:ascii="Times New Roman" w:hAnsi="Times New Roman" w:cs="Times New Roman"/>
                      <w:color w:val="auto"/>
                      <w:sz w:val="21"/>
                      <w:szCs w:val="21"/>
                      <w:highlight w:val="none"/>
                    </w:rPr>
                    <w:t>mg/L</w:t>
                  </w:r>
                </w:p>
              </w:tc>
              <w:tc>
                <w:tcPr>
                  <w:tcW w:w="2228" w:type="pct"/>
                  <w:vMerge w:val="continue"/>
                  <w:tcBorders>
                    <w:top w:val="single" w:color="auto" w:sz="8" w:space="0"/>
                    <w:left w:val="single" w:color="auto" w:sz="8" w:space="0"/>
                    <w:bottom w:val="single" w:color="auto" w:sz="8" w:space="0"/>
                    <w:right w:val="nil"/>
                  </w:tcBorders>
                  <w:noWrap w:val="0"/>
                  <w:vAlign w:val="center"/>
                </w:tcPr>
                <w:p w14:paraId="3FBFA55A">
                  <w:pPr>
                    <w:pStyle w:val="10"/>
                    <w:spacing w:before="0" w:line="240" w:lineRule="auto"/>
                    <w:ind w:firstLine="0" w:firstLineChars="0"/>
                    <w:jc w:val="center"/>
                    <w:rPr>
                      <w:rFonts w:ascii="Times New Roman" w:hAnsi="Times New Roman" w:cs="Times New Roman"/>
                      <w:color w:val="auto"/>
                      <w:sz w:val="21"/>
                      <w:szCs w:val="21"/>
                      <w:highlight w:val="none"/>
                    </w:rPr>
                  </w:pPr>
                </w:p>
              </w:tc>
            </w:tr>
            <w:tr w14:paraId="6272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8" w:space="0"/>
                    <w:right w:val="single" w:color="auto" w:sz="8" w:space="0"/>
                  </w:tcBorders>
                  <w:noWrap w:val="0"/>
                  <w:vAlign w:val="center"/>
                </w:tcPr>
                <w:p w14:paraId="31942693">
                  <w:pPr>
                    <w:pStyle w:val="10"/>
                    <w:spacing w:before="0" w:line="240" w:lineRule="auto"/>
                    <w:ind w:firstLine="0" w:firstLineChars="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总磷</w:t>
                  </w:r>
                </w:p>
              </w:tc>
              <w:tc>
                <w:tcPr>
                  <w:tcW w:w="1250" w:type="pct"/>
                  <w:tcBorders>
                    <w:top w:val="single" w:color="auto" w:sz="8" w:space="0"/>
                    <w:left w:val="single" w:color="auto" w:sz="8" w:space="0"/>
                    <w:bottom w:val="single" w:color="auto" w:sz="8" w:space="0"/>
                    <w:right w:val="single" w:color="auto" w:sz="8" w:space="0"/>
                  </w:tcBorders>
                  <w:noWrap w:val="0"/>
                  <w:vAlign w:val="center"/>
                </w:tcPr>
                <w:p w14:paraId="3AC9CE36">
                  <w:pPr>
                    <w:pStyle w:val="10"/>
                    <w:spacing w:before="0" w:line="240" w:lineRule="auto"/>
                    <w:ind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w:t>
                  </w:r>
                  <w:r>
                    <w:rPr>
                      <w:rFonts w:hint="eastAsia" w:ascii="Times New Roman" w:hAnsi="Times New Roman" w:cs="Times New Roman"/>
                      <w:color w:val="auto"/>
                      <w:sz w:val="21"/>
                      <w:szCs w:val="21"/>
                      <w:highlight w:val="none"/>
                    </w:rPr>
                    <w:t>mg/L</w:t>
                  </w:r>
                </w:p>
              </w:tc>
              <w:tc>
                <w:tcPr>
                  <w:tcW w:w="2228" w:type="pct"/>
                  <w:vMerge w:val="continue"/>
                  <w:tcBorders>
                    <w:top w:val="single" w:color="auto" w:sz="8" w:space="0"/>
                    <w:left w:val="single" w:color="auto" w:sz="8" w:space="0"/>
                    <w:bottom w:val="single" w:color="auto" w:sz="8" w:space="0"/>
                    <w:right w:val="nil"/>
                  </w:tcBorders>
                  <w:noWrap w:val="0"/>
                  <w:vAlign w:val="center"/>
                </w:tcPr>
                <w:p w14:paraId="32C55353">
                  <w:pPr>
                    <w:pStyle w:val="10"/>
                    <w:spacing w:before="0" w:line="240" w:lineRule="auto"/>
                    <w:ind w:firstLine="0" w:firstLineChars="0"/>
                    <w:jc w:val="center"/>
                    <w:rPr>
                      <w:rFonts w:ascii="Times New Roman" w:hAnsi="Times New Roman" w:cs="Times New Roman"/>
                      <w:color w:val="auto"/>
                      <w:sz w:val="21"/>
                      <w:szCs w:val="21"/>
                      <w:highlight w:val="none"/>
                    </w:rPr>
                  </w:pPr>
                </w:p>
              </w:tc>
            </w:tr>
            <w:tr w14:paraId="14937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pct"/>
                  <w:tcBorders>
                    <w:top w:val="single" w:color="auto" w:sz="8" w:space="0"/>
                    <w:left w:val="nil"/>
                    <w:bottom w:val="single" w:color="auto" w:sz="12" w:space="0"/>
                    <w:right w:val="single" w:color="auto" w:sz="8" w:space="0"/>
                  </w:tcBorders>
                  <w:noWrap w:val="0"/>
                  <w:vAlign w:val="center"/>
                </w:tcPr>
                <w:p w14:paraId="2F312DCB">
                  <w:pPr>
                    <w:pStyle w:val="10"/>
                    <w:spacing w:before="0"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总氮</w:t>
                  </w:r>
                </w:p>
              </w:tc>
              <w:tc>
                <w:tcPr>
                  <w:tcW w:w="1250" w:type="pct"/>
                  <w:tcBorders>
                    <w:top w:val="single" w:color="auto" w:sz="8" w:space="0"/>
                    <w:left w:val="single" w:color="auto" w:sz="8" w:space="0"/>
                    <w:bottom w:val="single" w:color="auto" w:sz="12" w:space="0"/>
                    <w:right w:val="single" w:color="auto" w:sz="8" w:space="0"/>
                  </w:tcBorders>
                  <w:noWrap w:val="0"/>
                  <w:vAlign w:val="center"/>
                </w:tcPr>
                <w:p w14:paraId="174B2977">
                  <w:pPr>
                    <w:pStyle w:val="10"/>
                    <w:spacing w:before="0" w:line="240" w:lineRule="auto"/>
                    <w:ind w:firstLine="0" w:firstLineChars="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45</w:t>
                  </w:r>
                  <w:r>
                    <w:rPr>
                      <w:rFonts w:hint="eastAsia" w:ascii="Times New Roman" w:hAnsi="Times New Roman" w:cs="Times New Roman"/>
                      <w:color w:val="auto"/>
                      <w:sz w:val="21"/>
                      <w:szCs w:val="21"/>
                      <w:highlight w:val="none"/>
                    </w:rPr>
                    <w:t>mg/L</w:t>
                  </w:r>
                </w:p>
              </w:tc>
              <w:tc>
                <w:tcPr>
                  <w:tcW w:w="2228" w:type="pct"/>
                  <w:vMerge w:val="continue"/>
                  <w:tcBorders>
                    <w:top w:val="single" w:color="auto" w:sz="8" w:space="0"/>
                    <w:left w:val="single" w:color="auto" w:sz="8" w:space="0"/>
                    <w:bottom w:val="single" w:color="auto" w:sz="12" w:space="0"/>
                    <w:right w:val="nil"/>
                  </w:tcBorders>
                  <w:noWrap w:val="0"/>
                  <w:vAlign w:val="center"/>
                </w:tcPr>
                <w:p w14:paraId="05F588E2">
                  <w:pPr>
                    <w:pStyle w:val="10"/>
                    <w:spacing w:before="0" w:line="240" w:lineRule="auto"/>
                    <w:ind w:firstLine="0" w:firstLineChars="0"/>
                    <w:jc w:val="center"/>
                    <w:rPr>
                      <w:rFonts w:ascii="Times New Roman" w:hAnsi="Times New Roman" w:cs="Times New Roman"/>
                      <w:color w:val="auto"/>
                      <w:sz w:val="21"/>
                      <w:szCs w:val="21"/>
                      <w:highlight w:val="none"/>
                    </w:rPr>
                  </w:pPr>
                </w:p>
              </w:tc>
            </w:tr>
          </w:tbl>
          <w:p w14:paraId="7EF51080">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w:t>
            </w:r>
            <w:r>
              <w:rPr>
                <w:rFonts w:hint="eastAsia" w:ascii="Times New Roman" w:hAnsi="Times New Roman" w:eastAsia="宋体" w:cs="Times New Roman"/>
                <w:b/>
                <w:bCs/>
                <w:color w:val="auto"/>
                <w:sz w:val="21"/>
                <w:szCs w:val="21"/>
                <w:highlight w:val="none"/>
                <w:lang w:val="en-US" w:eastAsia="zh-CN"/>
              </w:rPr>
              <w:t>磨西镇生活污水处理厂</w:t>
            </w:r>
            <w:r>
              <w:rPr>
                <w:rFonts w:hint="eastAsia" w:cs="Times New Roman"/>
                <w:b/>
                <w:bCs/>
                <w:color w:val="auto"/>
                <w:sz w:val="21"/>
                <w:szCs w:val="21"/>
                <w:highlight w:val="none"/>
                <w:lang w:val="en-US" w:eastAsia="zh-CN"/>
              </w:rPr>
              <w:t>出</w:t>
            </w:r>
            <w:r>
              <w:rPr>
                <w:rFonts w:hint="default" w:ascii="Times New Roman" w:hAnsi="Times New Roman" w:eastAsia="宋体" w:cs="Times New Roman"/>
                <w:b/>
                <w:bCs/>
                <w:color w:val="auto"/>
                <w:sz w:val="21"/>
                <w:szCs w:val="21"/>
                <w:highlight w:val="none"/>
                <w:lang w:val="en-US" w:eastAsia="zh-CN"/>
              </w:rPr>
              <w:t>水污染物排放限值</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939"/>
              <w:gridCol w:w="1125"/>
              <w:gridCol w:w="5490"/>
            </w:tblGrid>
            <w:tr w14:paraId="786DC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2C21233D">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0" w:type="auto"/>
                  <w:tcBorders>
                    <w:tl2br w:val="nil"/>
                    <w:tr2bl w:val="nil"/>
                  </w:tcBorders>
                  <w:vAlign w:val="center"/>
                </w:tcPr>
                <w:p w14:paraId="0FED1E3D">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排放限值</w:t>
                  </w:r>
                </w:p>
              </w:tc>
              <w:tc>
                <w:tcPr>
                  <w:tcW w:w="0" w:type="auto"/>
                  <w:tcBorders>
                    <w:tl2br w:val="nil"/>
                    <w:tr2bl w:val="nil"/>
                  </w:tcBorders>
                  <w:vAlign w:val="center"/>
                </w:tcPr>
                <w:p w14:paraId="1E8007AE">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污染物单位</w:t>
                  </w:r>
                </w:p>
              </w:tc>
              <w:tc>
                <w:tcPr>
                  <w:tcW w:w="0" w:type="auto"/>
                  <w:tcBorders>
                    <w:tl2br w:val="nil"/>
                    <w:tr2bl w:val="nil"/>
                  </w:tcBorders>
                  <w:vAlign w:val="center"/>
                </w:tcPr>
                <w:p w14:paraId="500E9422">
                  <w:pPr>
                    <w:jc w:val="both"/>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标准来源</w:t>
                  </w:r>
                </w:p>
              </w:tc>
            </w:tr>
            <w:tr w14:paraId="2E374C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3F03FC2F">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w:t>
                  </w:r>
                </w:p>
              </w:tc>
              <w:tc>
                <w:tcPr>
                  <w:tcW w:w="0" w:type="auto"/>
                  <w:tcBorders>
                    <w:tl2br w:val="nil"/>
                    <w:tr2bl w:val="nil"/>
                  </w:tcBorders>
                  <w:vAlign w:val="center"/>
                </w:tcPr>
                <w:p w14:paraId="5717FC4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6-9</w:t>
                  </w:r>
                </w:p>
              </w:tc>
              <w:tc>
                <w:tcPr>
                  <w:tcW w:w="0" w:type="auto"/>
                  <w:tcBorders>
                    <w:tl2br w:val="nil"/>
                    <w:tr2bl w:val="nil"/>
                  </w:tcBorders>
                  <w:vAlign w:val="center"/>
                </w:tcPr>
                <w:p w14:paraId="320D13EF">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无量纲</w:t>
                  </w:r>
                </w:p>
              </w:tc>
              <w:tc>
                <w:tcPr>
                  <w:tcW w:w="0" w:type="auto"/>
                  <w:vMerge w:val="restart"/>
                  <w:tcBorders>
                    <w:tl2br w:val="nil"/>
                    <w:tr2bl w:val="nil"/>
                  </w:tcBorders>
                  <w:vAlign w:val="center"/>
                </w:tcPr>
                <w:p w14:paraId="1F24E291">
                  <w:pPr>
                    <w:ind w:firstLine="420"/>
                    <w:jc w:val="left"/>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《城镇污水处理厂污染物排放标准》(GB18918-2002</w:t>
                  </w:r>
                  <w:r>
                    <w:rPr>
                      <w:rFonts w:hint="eastAsia" w:cs="Times New Roman"/>
                      <w:color w:val="auto"/>
                      <w:kern w:val="0"/>
                      <w:sz w:val="21"/>
                      <w:szCs w:val="21"/>
                      <w:highlight w:val="none"/>
                      <w:lang w:eastAsia="zh-CN"/>
                    </w:rPr>
                    <w:t>）</w:t>
                  </w:r>
                  <w:r>
                    <w:rPr>
                      <w:rFonts w:hint="default" w:ascii="Times New Roman" w:hAnsi="Times New Roman" w:eastAsia="宋体" w:cs="Times New Roman"/>
                      <w:color w:val="auto"/>
                      <w:kern w:val="0"/>
                      <w:sz w:val="21"/>
                      <w:szCs w:val="21"/>
                      <w:highlight w:val="none"/>
                    </w:rPr>
                    <w:t>一级</w:t>
                  </w:r>
                  <w:r>
                    <w:rPr>
                      <w:rFonts w:hint="eastAsia" w:cs="Times New Roman"/>
                      <w:color w:val="auto"/>
                      <w:kern w:val="0"/>
                      <w:sz w:val="21"/>
                      <w:szCs w:val="21"/>
                      <w:highlight w:val="none"/>
                      <w:lang w:val="en-US" w:eastAsia="zh-CN"/>
                    </w:rPr>
                    <w:t>A</w:t>
                  </w:r>
                  <w:r>
                    <w:rPr>
                      <w:rFonts w:hint="default" w:ascii="Times New Roman" w:hAnsi="Times New Roman" w:eastAsia="宋体" w:cs="Times New Roman"/>
                      <w:color w:val="auto"/>
                      <w:kern w:val="0"/>
                      <w:sz w:val="21"/>
                      <w:szCs w:val="21"/>
                      <w:highlight w:val="none"/>
                    </w:rPr>
                    <w:t>标准</w:t>
                  </w:r>
                </w:p>
                <w:p w14:paraId="6C986B31">
                  <w:pPr>
                    <w:ind w:firstLine="42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注：括号内数值为水温≤12℃时的控制指标。</w:t>
                  </w:r>
                </w:p>
              </w:tc>
            </w:tr>
            <w:tr w14:paraId="510CB3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2A6EF943">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SS</w:t>
                  </w:r>
                </w:p>
              </w:tc>
              <w:tc>
                <w:tcPr>
                  <w:tcW w:w="0" w:type="auto"/>
                  <w:tcBorders>
                    <w:tl2br w:val="nil"/>
                    <w:tr2bl w:val="nil"/>
                  </w:tcBorders>
                  <w:vAlign w:val="center"/>
                </w:tcPr>
                <w:p w14:paraId="1CCFE551">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0" w:type="auto"/>
                  <w:tcBorders>
                    <w:tl2br w:val="nil"/>
                    <w:tr2bl w:val="nil"/>
                  </w:tcBorders>
                  <w:vAlign w:val="center"/>
                </w:tcPr>
                <w:p w14:paraId="6E35E396">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0" w:type="auto"/>
                  <w:vMerge w:val="continue"/>
                  <w:tcBorders>
                    <w:tl2br w:val="nil"/>
                    <w:tr2bl w:val="nil"/>
                  </w:tcBorders>
                  <w:vAlign w:val="center"/>
                </w:tcPr>
                <w:p w14:paraId="295035CC">
                  <w:pPr>
                    <w:ind w:firstLine="420"/>
                    <w:jc w:val="center"/>
                    <w:rPr>
                      <w:rFonts w:hint="default" w:ascii="Times New Roman" w:hAnsi="Times New Roman" w:eastAsia="宋体" w:cs="Times New Roman"/>
                      <w:color w:val="auto"/>
                      <w:sz w:val="21"/>
                      <w:szCs w:val="21"/>
                      <w:highlight w:val="none"/>
                    </w:rPr>
                  </w:pPr>
                </w:p>
              </w:tc>
            </w:tr>
            <w:tr w14:paraId="20509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5598D9B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COD</w:t>
                  </w:r>
                </w:p>
              </w:tc>
              <w:tc>
                <w:tcPr>
                  <w:tcW w:w="0" w:type="auto"/>
                  <w:tcBorders>
                    <w:tl2br w:val="nil"/>
                    <w:tr2bl w:val="nil"/>
                  </w:tcBorders>
                  <w:vAlign w:val="center"/>
                </w:tcPr>
                <w:p w14:paraId="5985FA1A">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0" w:type="auto"/>
                  <w:tcBorders>
                    <w:tl2br w:val="nil"/>
                    <w:tr2bl w:val="nil"/>
                  </w:tcBorders>
                  <w:vAlign w:val="center"/>
                </w:tcPr>
                <w:p w14:paraId="2659D0C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0" w:type="auto"/>
                  <w:vMerge w:val="continue"/>
                  <w:tcBorders>
                    <w:tl2br w:val="nil"/>
                    <w:tr2bl w:val="nil"/>
                  </w:tcBorders>
                  <w:vAlign w:val="center"/>
                </w:tcPr>
                <w:p w14:paraId="5CD36FDE">
                  <w:pPr>
                    <w:ind w:firstLine="420"/>
                    <w:jc w:val="center"/>
                    <w:rPr>
                      <w:rFonts w:hint="default" w:ascii="Times New Roman" w:hAnsi="Times New Roman" w:eastAsia="宋体" w:cs="Times New Roman"/>
                      <w:color w:val="auto"/>
                      <w:sz w:val="21"/>
                      <w:szCs w:val="21"/>
                      <w:highlight w:val="none"/>
                    </w:rPr>
                  </w:pPr>
                </w:p>
              </w:tc>
            </w:tr>
            <w:tr w14:paraId="4F6F1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0A301CF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BOD</w:t>
                  </w:r>
                  <w:r>
                    <w:rPr>
                      <w:rFonts w:hint="default" w:ascii="Times New Roman" w:hAnsi="Times New Roman" w:eastAsia="宋体" w:cs="Times New Roman"/>
                      <w:color w:val="auto"/>
                      <w:sz w:val="21"/>
                      <w:szCs w:val="21"/>
                      <w:highlight w:val="none"/>
                      <w:vertAlign w:val="subscript"/>
                    </w:rPr>
                    <w:t>5</w:t>
                  </w:r>
                </w:p>
              </w:tc>
              <w:tc>
                <w:tcPr>
                  <w:tcW w:w="0" w:type="auto"/>
                  <w:tcBorders>
                    <w:tl2br w:val="nil"/>
                    <w:tr2bl w:val="nil"/>
                  </w:tcBorders>
                  <w:vAlign w:val="center"/>
                </w:tcPr>
                <w:p w14:paraId="32E3A04C">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0" w:type="auto"/>
                  <w:tcBorders>
                    <w:tl2br w:val="nil"/>
                    <w:tr2bl w:val="nil"/>
                  </w:tcBorders>
                  <w:vAlign w:val="center"/>
                </w:tcPr>
                <w:p w14:paraId="2FB36B7F">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0" w:type="auto"/>
                  <w:vMerge w:val="continue"/>
                  <w:tcBorders>
                    <w:tl2br w:val="nil"/>
                    <w:tr2bl w:val="nil"/>
                  </w:tcBorders>
                  <w:vAlign w:val="center"/>
                </w:tcPr>
                <w:p w14:paraId="2BEA4760">
                  <w:pPr>
                    <w:ind w:firstLine="420"/>
                    <w:jc w:val="center"/>
                    <w:rPr>
                      <w:rFonts w:hint="default" w:ascii="Times New Roman" w:hAnsi="Times New Roman" w:eastAsia="宋体" w:cs="Times New Roman"/>
                      <w:color w:val="auto"/>
                      <w:sz w:val="21"/>
                      <w:szCs w:val="21"/>
                      <w:highlight w:val="none"/>
                    </w:rPr>
                  </w:pPr>
                </w:p>
              </w:tc>
            </w:tr>
            <w:tr w14:paraId="74BF4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4B14FA08">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p>
              </w:tc>
              <w:tc>
                <w:tcPr>
                  <w:tcW w:w="0" w:type="auto"/>
                  <w:tcBorders>
                    <w:tl2br w:val="nil"/>
                    <w:tr2bl w:val="nil"/>
                  </w:tcBorders>
                  <w:vAlign w:val="center"/>
                </w:tcPr>
                <w:p w14:paraId="6EA13987">
                  <w:pPr>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w:t>
                  </w:r>
                </w:p>
              </w:tc>
              <w:tc>
                <w:tcPr>
                  <w:tcW w:w="0" w:type="auto"/>
                  <w:tcBorders>
                    <w:tl2br w:val="nil"/>
                    <w:tr2bl w:val="nil"/>
                  </w:tcBorders>
                  <w:vAlign w:val="center"/>
                </w:tcPr>
                <w:p w14:paraId="28491EF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0" w:type="auto"/>
                  <w:vMerge w:val="continue"/>
                  <w:tcBorders>
                    <w:tl2br w:val="nil"/>
                    <w:tr2bl w:val="nil"/>
                  </w:tcBorders>
                  <w:vAlign w:val="center"/>
                </w:tcPr>
                <w:p w14:paraId="2D10E211">
                  <w:pPr>
                    <w:ind w:firstLine="420"/>
                    <w:jc w:val="center"/>
                    <w:rPr>
                      <w:rFonts w:hint="default" w:ascii="Times New Roman" w:hAnsi="Times New Roman" w:eastAsia="宋体" w:cs="Times New Roman"/>
                      <w:color w:val="auto"/>
                      <w:sz w:val="21"/>
                      <w:szCs w:val="21"/>
                      <w:highlight w:val="none"/>
                    </w:rPr>
                  </w:pPr>
                </w:p>
              </w:tc>
            </w:tr>
            <w:tr w14:paraId="324CB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7697FE2B">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TP</w:t>
                  </w:r>
                </w:p>
              </w:tc>
              <w:tc>
                <w:tcPr>
                  <w:tcW w:w="0" w:type="auto"/>
                  <w:tcBorders>
                    <w:tl2br w:val="nil"/>
                    <w:tr2bl w:val="nil"/>
                  </w:tcBorders>
                  <w:vAlign w:val="center"/>
                </w:tcPr>
                <w:p w14:paraId="08634C92">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w:t>
                  </w:r>
                </w:p>
              </w:tc>
              <w:tc>
                <w:tcPr>
                  <w:tcW w:w="0" w:type="auto"/>
                  <w:tcBorders>
                    <w:tl2br w:val="nil"/>
                    <w:tr2bl w:val="nil"/>
                  </w:tcBorders>
                  <w:vAlign w:val="center"/>
                </w:tcPr>
                <w:p w14:paraId="5F17236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0" w:type="auto"/>
                  <w:vMerge w:val="continue"/>
                  <w:tcBorders>
                    <w:tl2br w:val="nil"/>
                    <w:tr2bl w:val="nil"/>
                  </w:tcBorders>
                  <w:vAlign w:val="center"/>
                </w:tcPr>
                <w:p w14:paraId="1FA2BBA4">
                  <w:pPr>
                    <w:ind w:firstLine="420"/>
                    <w:jc w:val="center"/>
                    <w:rPr>
                      <w:rFonts w:hint="default" w:ascii="Times New Roman" w:hAnsi="Times New Roman" w:eastAsia="宋体" w:cs="Times New Roman"/>
                      <w:color w:val="auto"/>
                      <w:sz w:val="21"/>
                      <w:szCs w:val="21"/>
                      <w:highlight w:val="none"/>
                    </w:rPr>
                  </w:pPr>
                </w:p>
              </w:tc>
            </w:tr>
            <w:tr w14:paraId="6CB2D0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tcBorders>
                    <w:tl2br w:val="nil"/>
                    <w:tr2bl w:val="nil"/>
                  </w:tcBorders>
                  <w:vAlign w:val="center"/>
                </w:tcPr>
                <w:p w14:paraId="4BBDD9B5">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TN</w:t>
                  </w:r>
                </w:p>
              </w:tc>
              <w:tc>
                <w:tcPr>
                  <w:tcW w:w="0" w:type="auto"/>
                  <w:tcBorders>
                    <w:tl2br w:val="nil"/>
                    <w:tr2bl w:val="nil"/>
                  </w:tcBorders>
                  <w:vAlign w:val="center"/>
                </w:tcPr>
                <w:p w14:paraId="79E7D316">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w:t>
                  </w:r>
                </w:p>
              </w:tc>
              <w:tc>
                <w:tcPr>
                  <w:tcW w:w="0" w:type="auto"/>
                  <w:tcBorders>
                    <w:tl2br w:val="nil"/>
                    <w:tr2bl w:val="nil"/>
                  </w:tcBorders>
                  <w:vAlign w:val="center"/>
                </w:tcPr>
                <w:p w14:paraId="7475D5E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0" w:type="auto"/>
                  <w:vMerge w:val="continue"/>
                  <w:tcBorders>
                    <w:tl2br w:val="nil"/>
                    <w:tr2bl w:val="nil"/>
                  </w:tcBorders>
                  <w:vAlign w:val="center"/>
                </w:tcPr>
                <w:p w14:paraId="529FDEA2">
                  <w:pPr>
                    <w:ind w:firstLine="420"/>
                    <w:jc w:val="center"/>
                    <w:rPr>
                      <w:rFonts w:hint="default" w:ascii="Times New Roman" w:hAnsi="Times New Roman" w:eastAsia="宋体" w:cs="Times New Roman"/>
                      <w:color w:val="auto"/>
                      <w:sz w:val="21"/>
                      <w:szCs w:val="21"/>
                      <w:highlight w:val="none"/>
                    </w:rPr>
                  </w:pPr>
                </w:p>
              </w:tc>
            </w:tr>
          </w:tbl>
          <w:p w14:paraId="1FFC7C7D">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3、噪声</w:t>
            </w:r>
          </w:p>
          <w:p w14:paraId="0C9AE8EC">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施工期噪声执行《建筑施工场界环境噪声排放标准》(GB12523-2011</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中排放标准限值。</w:t>
            </w:r>
          </w:p>
          <w:p w14:paraId="26581FBF">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《建筑施工场界环境噪声排放标准》(GB12523-2011)</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57"/>
              <w:gridCol w:w="1741"/>
              <w:gridCol w:w="1793"/>
            </w:tblGrid>
            <w:tr w14:paraId="5F4528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894" w:type="pct"/>
                  <w:vMerge w:val="restart"/>
                  <w:tcBorders>
                    <w:tl2br w:val="nil"/>
                    <w:tr2bl w:val="nil"/>
                  </w:tcBorders>
                  <w:vAlign w:val="center"/>
                </w:tcPr>
                <w:p w14:paraId="62A10438">
                  <w:pPr>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执行标准</w:t>
                  </w:r>
                </w:p>
              </w:tc>
              <w:tc>
                <w:tcPr>
                  <w:tcW w:w="2105" w:type="pct"/>
                  <w:gridSpan w:val="2"/>
                  <w:tcBorders>
                    <w:tl2br w:val="nil"/>
                    <w:tr2bl w:val="nil"/>
                  </w:tcBorders>
                  <w:vAlign w:val="center"/>
                </w:tcPr>
                <w:p w14:paraId="119C1D51">
                  <w:pPr>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标准值dB(A)</w:t>
                  </w:r>
                </w:p>
              </w:tc>
            </w:tr>
            <w:tr w14:paraId="6A83CE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94" w:type="pct"/>
                  <w:vMerge w:val="continue"/>
                  <w:tcBorders>
                    <w:tl2br w:val="nil"/>
                    <w:tr2bl w:val="nil"/>
                  </w:tcBorders>
                  <w:vAlign w:val="center"/>
                </w:tcPr>
                <w:p w14:paraId="77B3A7BF">
                  <w:pPr>
                    <w:jc w:val="center"/>
                    <w:rPr>
                      <w:rFonts w:hint="default" w:ascii="Times New Roman" w:hAnsi="Times New Roman" w:eastAsia="宋体" w:cs="Times New Roman"/>
                      <w:b/>
                      <w:bCs w:val="0"/>
                      <w:color w:val="auto"/>
                      <w:highlight w:val="none"/>
                    </w:rPr>
                  </w:pPr>
                </w:p>
              </w:tc>
              <w:tc>
                <w:tcPr>
                  <w:tcW w:w="1037" w:type="pct"/>
                  <w:tcBorders>
                    <w:tl2br w:val="nil"/>
                    <w:tr2bl w:val="nil"/>
                  </w:tcBorders>
                  <w:vAlign w:val="center"/>
                </w:tcPr>
                <w:p w14:paraId="4FB5E941">
                  <w:pPr>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sz w:val="21"/>
                      <w:szCs w:val="21"/>
                      <w:highlight w:val="none"/>
                      <w:lang w:val="en-US" w:eastAsia="zh-CN"/>
                    </w:rPr>
                    <w:t>昼间</w:t>
                  </w:r>
                </w:p>
              </w:tc>
              <w:tc>
                <w:tcPr>
                  <w:tcW w:w="1068" w:type="pct"/>
                  <w:tcBorders>
                    <w:tl2br w:val="nil"/>
                    <w:tr2bl w:val="nil"/>
                  </w:tcBorders>
                  <w:vAlign w:val="center"/>
                </w:tcPr>
                <w:p w14:paraId="2D65981A">
                  <w:pPr>
                    <w:jc w:val="center"/>
                    <w:rPr>
                      <w:rFonts w:hint="default" w:ascii="Times New Roman" w:hAnsi="Times New Roman" w:eastAsia="宋体" w:cs="Times New Roman"/>
                      <w:b/>
                      <w:bCs w:val="0"/>
                      <w:color w:val="auto"/>
                      <w:kern w:val="2"/>
                      <w:sz w:val="21"/>
                      <w:szCs w:val="21"/>
                      <w:highlight w:val="none"/>
                      <w:lang w:val="en-US" w:eastAsia="zh-CN" w:bidi="ar-SA"/>
                    </w:rPr>
                  </w:pPr>
                  <w:r>
                    <w:rPr>
                      <w:rFonts w:hint="default" w:ascii="Times New Roman" w:hAnsi="Times New Roman" w:eastAsia="宋体" w:cs="Times New Roman"/>
                      <w:b/>
                      <w:bCs w:val="0"/>
                      <w:color w:val="auto"/>
                      <w:sz w:val="21"/>
                      <w:szCs w:val="21"/>
                      <w:highlight w:val="none"/>
                      <w:lang w:val="en-US" w:eastAsia="zh-CN"/>
                    </w:rPr>
                    <w:t>夜间</w:t>
                  </w:r>
                </w:p>
              </w:tc>
            </w:tr>
            <w:tr w14:paraId="35B348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94" w:type="pct"/>
                  <w:tcBorders>
                    <w:tl2br w:val="nil"/>
                    <w:tr2bl w:val="nil"/>
                  </w:tcBorders>
                  <w:vAlign w:val="center"/>
                </w:tcPr>
                <w:p w14:paraId="106D889F">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《建筑施工场界环境噪声排放标准》(GB12523-2011)</w:t>
                  </w:r>
                </w:p>
              </w:tc>
              <w:tc>
                <w:tcPr>
                  <w:tcW w:w="1037" w:type="pct"/>
                  <w:tcBorders>
                    <w:tl2br w:val="nil"/>
                    <w:tr2bl w:val="nil"/>
                  </w:tcBorders>
                  <w:vAlign w:val="center"/>
                </w:tcPr>
                <w:p w14:paraId="7E996AE2">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70</w:t>
                  </w:r>
                </w:p>
              </w:tc>
              <w:tc>
                <w:tcPr>
                  <w:tcW w:w="1068" w:type="pct"/>
                  <w:tcBorders>
                    <w:tl2br w:val="nil"/>
                    <w:tr2bl w:val="nil"/>
                  </w:tcBorders>
                  <w:vAlign w:val="center"/>
                </w:tcPr>
                <w:p w14:paraId="00D47ABE">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55</w:t>
                  </w:r>
                </w:p>
              </w:tc>
            </w:tr>
          </w:tbl>
          <w:p w14:paraId="44C38B6D">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营运期噪声执行《工业企业厂界环境噪声排放标准》(GB12348-2008)</w:t>
            </w:r>
            <w:r>
              <w:rPr>
                <w:rFonts w:hint="eastAsia" w:cs="Times New Roman"/>
                <w:color w:val="auto"/>
                <w:highlight w:val="none"/>
                <w:lang w:val="en-US" w:eastAsia="zh-CN"/>
              </w:rPr>
              <w:t>2</w:t>
            </w:r>
            <w:r>
              <w:rPr>
                <w:rFonts w:hint="default" w:ascii="Times New Roman" w:hAnsi="Times New Roman" w:eastAsia="宋体" w:cs="Times New Roman"/>
                <w:color w:val="auto"/>
                <w:highlight w:val="none"/>
              </w:rPr>
              <w:t>类标准。详见下表。</w:t>
            </w:r>
          </w:p>
          <w:p w14:paraId="2CC9CC9C">
            <w:pPr>
              <w:spacing w:line="360" w:lineRule="auto"/>
              <w:ind w:firstLine="480" w:firstLineChars="200"/>
              <w:rPr>
                <w:rFonts w:hint="default" w:ascii="Times New Roman" w:hAnsi="Times New Roman" w:eastAsia="宋体" w:cs="Times New Roman"/>
                <w:color w:val="auto"/>
                <w:highlight w:val="none"/>
              </w:rPr>
            </w:pPr>
          </w:p>
          <w:p w14:paraId="364258B5">
            <w:pPr>
              <w:pStyle w:val="11"/>
              <w:keepNext w:val="0"/>
              <w:keepLines w:val="0"/>
              <w:pageBreakBefore w:val="0"/>
              <w:widowControl w:val="0"/>
              <w:numPr>
                <w:ilvl w:val="0"/>
                <w:numId w:val="14"/>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本项目厂界噪声执行标准</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23"/>
              <w:gridCol w:w="1250"/>
              <w:gridCol w:w="1533"/>
              <w:gridCol w:w="1533"/>
            </w:tblGrid>
            <w:tr w14:paraId="4909A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23" w:type="dxa"/>
                  <w:vMerge w:val="restart"/>
                  <w:vAlign w:val="center"/>
                </w:tcPr>
                <w:p w14:paraId="7E382E91">
                  <w:pPr>
                    <w:ind w:firstLine="42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标准类别</w:t>
                  </w:r>
                </w:p>
              </w:tc>
              <w:tc>
                <w:tcPr>
                  <w:tcW w:w="1250" w:type="dxa"/>
                  <w:vMerge w:val="restart"/>
                  <w:vAlign w:val="center"/>
                </w:tcPr>
                <w:p w14:paraId="60B995B3">
                  <w:pPr>
                    <w:jc w:val="both"/>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适用区类</w:t>
                  </w:r>
                </w:p>
              </w:tc>
              <w:tc>
                <w:tcPr>
                  <w:tcW w:w="3066" w:type="dxa"/>
                  <w:gridSpan w:val="2"/>
                  <w:vAlign w:val="center"/>
                </w:tcPr>
                <w:p w14:paraId="5DCDCDB9">
                  <w:pPr>
                    <w:ind w:firstLine="42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标准值（dB(A）</w:t>
                  </w:r>
                </w:p>
              </w:tc>
            </w:tr>
            <w:tr w14:paraId="10F49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23" w:type="dxa"/>
                  <w:vMerge w:val="continue"/>
                  <w:vAlign w:val="center"/>
                </w:tcPr>
                <w:p w14:paraId="160A78DA">
                  <w:pPr>
                    <w:ind w:firstLine="420"/>
                    <w:jc w:val="center"/>
                    <w:rPr>
                      <w:rFonts w:hint="default" w:ascii="Times New Roman" w:hAnsi="Times New Roman" w:eastAsia="宋体" w:cs="Times New Roman"/>
                      <w:b/>
                      <w:bCs w:val="0"/>
                      <w:color w:val="auto"/>
                      <w:sz w:val="21"/>
                      <w:szCs w:val="21"/>
                      <w:highlight w:val="none"/>
                    </w:rPr>
                  </w:pPr>
                </w:p>
              </w:tc>
              <w:tc>
                <w:tcPr>
                  <w:tcW w:w="1250" w:type="dxa"/>
                  <w:vMerge w:val="continue"/>
                  <w:vAlign w:val="center"/>
                </w:tcPr>
                <w:p w14:paraId="29FE33C0">
                  <w:pPr>
                    <w:ind w:firstLine="420"/>
                    <w:jc w:val="center"/>
                    <w:rPr>
                      <w:rFonts w:hint="default" w:ascii="Times New Roman" w:hAnsi="Times New Roman" w:eastAsia="宋体" w:cs="Times New Roman"/>
                      <w:b/>
                      <w:bCs w:val="0"/>
                      <w:color w:val="auto"/>
                      <w:sz w:val="21"/>
                      <w:szCs w:val="21"/>
                      <w:highlight w:val="none"/>
                    </w:rPr>
                  </w:pPr>
                </w:p>
              </w:tc>
              <w:tc>
                <w:tcPr>
                  <w:tcW w:w="1533" w:type="dxa"/>
                  <w:vAlign w:val="center"/>
                </w:tcPr>
                <w:p w14:paraId="0CF00520">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昼间</w:t>
                  </w:r>
                </w:p>
              </w:tc>
              <w:tc>
                <w:tcPr>
                  <w:tcW w:w="1533" w:type="dxa"/>
                  <w:vAlign w:val="center"/>
                </w:tcPr>
                <w:p w14:paraId="270214FF">
                  <w:pPr>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夜间</w:t>
                  </w:r>
                </w:p>
              </w:tc>
            </w:tr>
            <w:tr w14:paraId="4AA448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623" w:type="dxa"/>
                  <w:vAlign w:val="center"/>
                </w:tcPr>
                <w:p w14:paraId="188D3731">
                  <w:pPr>
                    <w:ind w:firstLine="42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《工业企业厂界环境噪声排放标准》(GB12348-2008)</w:t>
                  </w:r>
                </w:p>
              </w:tc>
              <w:tc>
                <w:tcPr>
                  <w:tcW w:w="1250" w:type="dxa"/>
                  <w:vAlign w:val="center"/>
                </w:tcPr>
                <w:p w14:paraId="31CE0528">
                  <w:pPr>
                    <w:jc w:val="center"/>
                    <w:rPr>
                      <w:rFonts w:hint="eastAsia" w:ascii="Times New Roman" w:hAnsi="Times New Roman" w:eastAsia="宋体" w:cs="Times New Roman"/>
                      <w:bCs/>
                      <w:color w:val="auto"/>
                      <w:sz w:val="21"/>
                      <w:szCs w:val="21"/>
                      <w:highlight w:val="none"/>
                      <w:lang w:eastAsia="zh-CN"/>
                    </w:rPr>
                  </w:pPr>
                  <w:r>
                    <w:rPr>
                      <w:rFonts w:hint="eastAsia" w:cs="Times New Roman"/>
                      <w:bCs/>
                      <w:color w:val="auto"/>
                      <w:sz w:val="21"/>
                      <w:szCs w:val="21"/>
                      <w:highlight w:val="none"/>
                      <w:lang w:val="en-US" w:eastAsia="zh-CN"/>
                    </w:rPr>
                    <w:t>2</w:t>
                  </w:r>
                </w:p>
              </w:tc>
              <w:tc>
                <w:tcPr>
                  <w:tcW w:w="1533" w:type="dxa"/>
                  <w:vAlign w:val="center"/>
                </w:tcPr>
                <w:p w14:paraId="4109161E">
                  <w:pPr>
                    <w:jc w:val="center"/>
                    <w:rPr>
                      <w:rFonts w:hint="eastAsia"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6</w:t>
                  </w:r>
                  <w:r>
                    <w:rPr>
                      <w:rFonts w:hint="eastAsia" w:cs="Times New Roman"/>
                      <w:bCs/>
                      <w:color w:val="auto"/>
                      <w:sz w:val="21"/>
                      <w:szCs w:val="21"/>
                      <w:highlight w:val="none"/>
                      <w:lang w:val="en-US" w:eastAsia="zh-CN"/>
                    </w:rPr>
                    <w:t>0</w:t>
                  </w:r>
                </w:p>
              </w:tc>
              <w:tc>
                <w:tcPr>
                  <w:tcW w:w="1533" w:type="dxa"/>
                  <w:vAlign w:val="center"/>
                </w:tcPr>
                <w:p w14:paraId="01FB9486">
                  <w:pPr>
                    <w:jc w:val="center"/>
                    <w:rPr>
                      <w:rFonts w:hint="eastAsia"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5</w:t>
                  </w:r>
                  <w:r>
                    <w:rPr>
                      <w:rFonts w:hint="eastAsia" w:cs="Times New Roman"/>
                      <w:bCs/>
                      <w:color w:val="auto"/>
                      <w:sz w:val="21"/>
                      <w:szCs w:val="21"/>
                      <w:highlight w:val="none"/>
                      <w:lang w:val="en-US" w:eastAsia="zh-CN"/>
                    </w:rPr>
                    <w:t>0</w:t>
                  </w:r>
                </w:p>
              </w:tc>
            </w:tr>
          </w:tbl>
          <w:p w14:paraId="589ABCBD">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4、固体废物</w:t>
            </w:r>
          </w:p>
          <w:p w14:paraId="09979E1F">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一般工业固体废物贮存过程中按照《中华人民共和国固体废物污染环境防治法》相关要求满足防渗漏、防雨淋、防扬尘等环境保护要求</w:t>
            </w:r>
            <w:r>
              <w:rPr>
                <w:rFonts w:hint="eastAsia" w:cs="Times New Roman"/>
                <w:color w:val="auto"/>
                <w:highlight w:val="none"/>
                <w:lang w:eastAsia="zh-CN"/>
              </w:rPr>
              <w:t>，参照执行《一般工业固体废物贮存和填埋污 染控制标准》（GB 18599-2020）相关要求</w:t>
            </w:r>
            <w:r>
              <w:rPr>
                <w:rFonts w:hint="default" w:ascii="Times New Roman" w:hAnsi="Times New Roman" w:eastAsia="宋体" w:cs="Times New Roman"/>
                <w:color w:val="auto"/>
                <w:highlight w:val="none"/>
              </w:rPr>
              <w:t>；危险废物执行《危险废物贮存污染控制标准》(GB18597-2023)。</w:t>
            </w:r>
          </w:p>
          <w:p w14:paraId="1253C613">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726BBFF9">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0E1D80D4">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49FB64AB">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5348CDBB">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32E9F5F1">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62C8707F">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115F4BCF">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323A17F7">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463CB60D">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010A8A47">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004C3CEB">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4186AEA6">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7F692273">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626FD661">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62E23EB3">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12E2FBDA">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6C088DDE">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01F2EE6E">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p w14:paraId="46BBB0F7">
            <w:pPr>
              <w:adjustRightInd w:val="0"/>
              <w:snapToGrid w:val="0"/>
              <w:spacing w:line="360" w:lineRule="auto"/>
              <w:jc w:val="left"/>
              <w:rPr>
                <w:rFonts w:hint="default" w:ascii="Times New Roman" w:hAnsi="Times New Roman" w:eastAsia="宋体" w:cs="Times New Roman"/>
                <w:color w:val="auto"/>
                <w:highlight w:val="none"/>
              </w:rPr>
            </w:pPr>
          </w:p>
          <w:p w14:paraId="1A505654">
            <w:pPr>
              <w:adjustRightInd w:val="0"/>
              <w:snapToGrid w:val="0"/>
              <w:spacing w:line="360" w:lineRule="auto"/>
              <w:jc w:val="left"/>
              <w:rPr>
                <w:rFonts w:hint="default" w:ascii="Times New Roman" w:hAnsi="Times New Roman" w:eastAsia="宋体" w:cs="Times New Roman"/>
                <w:color w:val="auto"/>
                <w:highlight w:val="none"/>
              </w:rPr>
            </w:pPr>
          </w:p>
          <w:p w14:paraId="05F98754">
            <w:pPr>
              <w:adjustRightInd w:val="0"/>
              <w:snapToGrid w:val="0"/>
              <w:spacing w:line="360" w:lineRule="auto"/>
              <w:jc w:val="left"/>
              <w:rPr>
                <w:rFonts w:hint="default" w:ascii="Times New Roman" w:hAnsi="Times New Roman" w:eastAsia="宋体" w:cs="Times New Roman"/>
                <w:color w:val="auto"/>
                <w:highlight w:val="none"/>
              </w:rPr>
            </w:pPr>
          </w:p>
        </w:tc>
      </w:tr>
      <w:tr w14:paraId="2AC89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59" w:hRule="atLeast"/>
        </w:trPr>
        <w:tc>
          <w:tcPr>
            <w:tcW w:w="800" w:type="dxa"/>
            <w:tcMar>
              <w:left w:w="28" w:type="dxa"/>
              <w:right w:w="28" w:type="dxa"/>
            </w:tcMar>
            <w:vAlign w:val="center"/>
          </w:tcPr>
          <w:p w14:paraId="7E8E59AA">
            <w:pPr>
              <w:adjustRightInd w:val="0"/>
              <w:snapToGrid w:val="0"/>
              <w:jc w:val="center"/>
              <w:rPr>
                <w:rFonts w:hint="default" w:ascii="Times New Roman" w:hAnsi="Times New Roman" w:eastAsia="宋体" w:cs="Times New Roman"/>
                <w:color w:val="auto"/>
                <w:kern w:val="0"/>
                <w:highlight w:val="none"/>
                <w:lang w:val="en-US" w:eastAsia="zh-CN"/>
              </w:rPr>
            </w:pPr>
            <w:r>
              <w:rPr>
                <w:rFonts w:hint="default" w:ascii="Times New Roman" w:hAnsi="Times New Roman" w:eastAsia="宋体" w:cs="Times New Roman"/>
                <w:color w:val="auto"/>
                <w:kern w:val="0"/>
                <w:highlight w:val="none"/>
                <w:lang w:val="en-US" w:eastAsia="zh-CN"/>
              </w:rPr>
              <w:t>总量控制指标</w:t>
            </w:r>
          </w:p>
        </w:tc>
        <w:tc>
          <w:tcPr>
            <w:tcW w:w="8222" w:type="dxa"/>
            <w:vAlign w:val="center"/>
          </w:tcPr>
          <w:p w14:paraId="64B7B936">
            <w:pPr>
              <w:snapToGrid w:val="0"/>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根据国家总量控制指标：COD、NH</w:t>
            </w:r>
            <w:r>
              <w:rPr>
                <w:rFonts w:hint="default" w:ascii="Times New Roman" w:hAnsi="Times New Roman" w:eastAsia="宋体" w:cs="Times New Roman"/>
                <w:bCs/>
                <w:color w:val="auto"/>
                <w:highlight w:val="none"/>
                <w:vertAlign w:val="subscript"/>
              </w:rPr>
              <w:t>3</w:t>
            </w:r>
            <w:r>
              <w:rPr>
                <w:rFonts w:hint="default" w:ascii="Times New Roman" w:hAnsi="Times New Roman" w:eastAsia="宋体" w:cs="Times New Roman"/>
                <w:bCs/>
                <w:color w:val="auto"/>
                <w:highlight w:val="none"/>
              </w:rPr>
              <w:t>-N、</w:t>
            </w:r>
            <w:r>
              <w:rPr>
                <w:rFonts w:hint="eastAsia" w:cs="Times New Roman"/>
                <w:bCs/>
                <w:color w:val="auto"/>
                <w:highlight w:val="none"/>
                <w:lang w:val="en-US" w:eastAsia="zh-CN"/>
              </w:rPr>
              <w:t>总磷</w:t>
            </w:r>
            <w:r>
              <w:rPr>
                <w:rFonts w:hint="default" w:ascii="Times New Roman" w:hAnsi="Times New Roman" w:eastAsia="宋体" w:cs="Times New Roman"/>
                <w:bCs/>
                <w:color w:val="auto"/>
                <w:highlight w:val="none"/>
              </w:rPr>
              <w:t>，综合考虑本项目的排污特点、所在区域的环境质量现状等因素，本项目的总量控制指标分析如下：</w:t>
            </w:r>
          </w:p>
          <w:p w14:paraId="0B340D86">
            <w:pPr>
              <w:numPr>
                <w:ilvl w:val="0"/>
                <w:numId w:val="17"/>
              </w:num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废水：</w:t>
            </w:r>
          </w:p>
          <w:p w14:paraId="0052287F">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r>
              <w:rPr>
                <w:rFonts w:hint="eastAsia" w:cs="Times New Roman"/>
                <w:color w:val="auto"/>
                <w:highlight w:val="none"/>
                <w:lang w:eastAsia="zh-CN"/>
              </w:rPr>
              <w:t>）</w:t>
            </w:r>
            <w:r>
              <w:rPr>
                <w:rFonts w:hint="default" w:ascii="Times New Roman" w:hAnsi="Times New Roman" w:eastAsia="宋体" w:cs="Times New Roman"/>
                <w:color w:val="auto"/>
                <w:highlight w:val="none"/>
              </w:rPr>
              <w:t>废水总量控制指标计算</w:t>
            </w:r>
          </w:p>
          <w:p w14:paraId="2D6D78F8">
            <w:pPr>
              <w:spacing w:line="360" w:lineRule="auto"/>
              <w:ind w:firstLine="480" w:firstLineChars="200"/>
              <w:rPr>
                <w:rFonts w:ascii="宋体" w:hAnsi="宋体" w:eastAsia="宋体" w:cs="宋体"/>
                <w:color w:val="auto"/>
                <w:spacing w:val="-1"/>
                <w:sz w:val="24"/>
                <w:szCs w:val="24"/>
                <w:highlight w:val="none"/>
              </w:rPr>
            </w:pPr>
            <w:r>
              <w:rPr>
                <w:rFonts w:hint="default" w:ascii="Times New Roman" w:hAnsi="Times New Roman" w:eastAsia="宋体" w:cs="Times New Roman"/>
                <w:color w:val="auto"/>
                <w:highlight w:val="none"/>
              </w:rPr>
              <w:t>本项目废水排放量为</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w:t>
            </w:r>
            <w:r>
              <w:rPr>
                <w:rFonts w:hint="default" w:ascii="Times New Roman" w:hAnsi="Times New Roman" w:eastAsia="宋体" w:cs="Times New Roman"/>
                <w:color w:val="auto"/>
                <w:highlight w:val="none"/>
                <w:lang w:eastAsia="zh-CN"/>
              </w:rPr>
              <w:t>。</w:t>
            </w:r>
            <w:r>
              <w:rPr>
                <w:rFonts w:ascii="宋体" w:hAnsi="宋体" w:eastAsia="宋体" w:cs="宋体"/>
                <w:color w:val="auto"/>
                <w:sz w:val="24"/>
                <w:szCs w:val="24"/>
                <w:highlight w:val="none"/>
              </w:rPr>
              <w:t>本项目所有废水</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包括生活污水、车辆清洗废水、检疫废水、喷淋塔更换废水及生产废水</w:t>
            </w:r>
            <w:r>
              <w:rPr>
                <w:rFonts w:hint="eastAsia" w:ascii="宋体" w:hAnsi="宋体" w:eastAsia="宋体" w:cs="宋体"/>
                <w:color w:val="auto"/>
                <w:sz w:val="24"/>
                <w:szCs w:val="24"/>
                <w:highlight w:val="none"/>
                <w:lang w:eastAsia="zh-CN"/>
              </w:rPr>
              <w:t>）</w:t>
            </w:r>
            <w:r>
              <w:rPr>
                <w:rFonts w:ascii="宋体" w:hAnsi="宋体" w:eastAsia="宋体" w:cs="宋体"/>
                <w:color w:val="auto"/>
                <w:sz w:val="24"/>
                <w:szCs w:val="24"/>
                <w:highlight w:val="none"/>
              </w:rPr>
              <w:t>全部进入厂区自建</w:t>
            </w:r>
            <w:r>
              <w:rPr>
                <w:rFonts w:hint="eastAsia" w:ascii="宋体" w:hAnsi="宋体" w:eastAsia="宋体" w:cs="宋体"/>
                <w:color w:val="auto"/>
                <w:sz w:val="24"/>
                <w:szCs w:val="24"/>
                <w:highlight w:val="none"/>
                <w:lang w:val="en-US" w:eastAsia="zh-CN"/>
              </w:rPr>
              <w:t>一体化污水处理设施处理</w:t>
            </w:r>
            <w:r>
              <w:rPr>
                <w:rFonts w:ascii="宋体" w:hAnsi="宋体" w:eastAsia="宋体" w:cs="宋体"/>
                <w:color w:val="auto"/>
                <w:sz w:val="24"/>
                <w:szCs w:val="24"/>
                <w:highlight w:val="none"/>
              </w:rPr>
              <w:t>达《肉类加工工业水污染</w:t>
            </w:r>
            <w:r>
              <w:rPr>
                <w:rFonts w:ascii="宋体" w:hAnsi="宋体" w:eastAsia="宋体" w:cs="宋体"/>
                <w:color w:val="auto"/>
                <w:spacing w:val="-4"/>
                <w:sz w:val="24"/>
                <w:szCs w:val="24"/>
                <w:highlight w:val="none"/>
              </w:rPr>
              <w:t>物排放标准》（</w:t>
            </w:r>
            <w:r>
              <w:rPr>
                <w:rFonts w:ascii="Times New Roman" w:hAnsi="Times New Roman" w:eastAsia="Times New Roman" w:cs="Times New Roman"/>
                <w:color w:val="auto"/>
                <w:spacing w:val="-4"/>
                <w:sz w:val="24"/>
                <w:szCs w:val="24"/>
                <w:highlight w:val="none"/>
              </w:rPr>
              <w:t>GB</w:t>
            </w:r>
            <w:r>
              <w:rPr>
                <w:rFonts w:ascii="Times New Roman" w:hAnsi="Times New Roman" w:eastAsia="Times New Roman" w:cs="Times New Roman"/>
                <w:color w:val="auto"/>
                <w:spacing w:val="29"/>
                <w:w w:val="101"/>
                <w:sz w:val="24"/>
                <w:szCs w:val="24"/>
                <w:highlight w:val="none"/>
              </w:rPr>
              <w:t xml:space="preserve"> </w:t>
            </w:r>
            <w:r>
              <w:rPr>
                <w:rFonts w:ascii="Times New Roman" w:hAnsi="Times New Roman" w:eastAsia="Times New Roman" w:cs="Times New Roman"/>
                <w:color w:val="auto"/>
                <w:spacing w:val="-4"/>
                <w:sz w:val="24"/>
                <w:szCs w:val="24"/>
                <w:highlight w:val="none"/>
              </w:rPr>
              <w:t>13457-92</w:t>
            </w:r>
            <w:r>
              <w:rPr>
                <w:rFonts w:ascii="宋体" w:hAnsi="宋体" w:eastAsia="宋体" w:cs="宋体"/>
                <w:color w:val="auto"/>
                <w:spacing w:val="-4"/>
                <w:sz w:val="24"/>
                <w:szCs w:val="24"/>
                <w:highlight w:val="none"/>
              </w:rPr>
              <w:t>）表</w:t>
            </w:r>
            <w:r>
              <w:rPr>
                <w:rFonts w:ascii="宋体" w:hAnsi="宋体" w:eastAsia="宋体" w:cs="宋体"/>
                <w:color w:val="auto"/>
                <w:spacing w:val="-50"/>
                <w:sz w:val="24"/>
                <w:szCs w:val="24"/>
                <w:highlight w:val="none"/>
              </w:rPr>
              <w:t xml:space="preserve"> </w:t>
            </w:r>
            <w:r>
              <w:rPr>
                <w:rFonts w:ascii="Times New Roman" w:hAnsi="Times New Roman" w:eastAsia="Times New Roman" w:cs="Times New Roman"/>
                <w:color w:val="auto"/>
                <w:spacing w:val="-4"/>
                <w:sz w:val="24"/>
                <w:szCs w:val="24"/>
                <w:highlight w:val="none"/>
              </w:rPr>
              <w:t>3</w:t>
            </w:r>
            <w:r>
              <w:rPr>
                <w:rFonts w:ascii="宋体" w:hAnsi="宋体" w:eastAsia="宋体" w:cs="宋体"/>
                <w:color w:val="auto"/>
                <w:spacing w:val="-4"/>
                <w:sz w:val="24"/>
                <w:szCs w:val="24"/>
                <w:highlight w:val="none"/>
              </w:rPr>
              <w:t>中畜</w:t>
            </w:r>
            <w:r>
              <w:rPr>
                <w:rFonts w:ascii="宋体" w:hAnsi="宋体" w:eastAsia="宋体" w:cs="宋体"/>
                <w:color w:val="auto"/>
                <w:spacing w:val="-5"/>
                <w:sz w:val="24"/>
                <w:szCs w:val="24"/>
                <w:highlight w:val="none"/>
              </w:rPr>
              <w:t>类屠宰加工三级标准后</w:t>
            </w:r>
            <w:r>
              <w:rPr>
                <w:rFonts w:hint="eastAsia" w:ascii="宋体" w:hAnsi="宋体" w:eastAsia="宋体" w:cs="宋体"/>
                <w:color w:val="auto"/>
                <w:sz w:val="24"/>
                <w:szCs w:val="24"/>
                <w:highlight w:val="none"/>
                <w:lang w:val="en-US" w:eastAsia="zh-CN"/>
              </w:rPr>
              <w:t>由罐车运至污水处理厂进行进一步处理</w:t>
            </w:r>
            <w:r>
              <w:rPr>
                <w:rFonts w:ascii="宋体" w:hAnsi="宋体" w:eastAsia="宋体" w:cs="宋体"/>
                <w:color w:val="auto"/>
                <w:sz w:val="24"/>
                <w:szCs w:val="24"/>
                <w:highlight w:val="none"/>
              </w:rPr>
              <w:t>，后经</w:t>
            </w:r>
            <w:r>
              <w:rPr>
                <w:rFonts w:hint="eastAsia" w:ascii="宋体" w:hAnsi="宋体" w:eastAsia="宋体" w:cs="宋体"/>
                <w:color w:val="auto"/>
                <w:sz w:val="24"/>
                <w:szCs w:val="24"/>
                <w:highlight w:val="none"/>
                <w:lang w:val="en-US" w:eastAsia="zh-CN"/>
              </w:rPr>
              <w:t>海螺沟磨西镇城</w:t>
            </w:r>
            <w:r>
              <w:rPr>
                <w:rFonts w:hint="eastAsia" w:ascii="宋体" w:hAnsi="宋体" w:cs="宋体"/>
                <w:color w:val="auto"/>
                <w:sz w:val="24"/>
                <w:szCs w:val="24"/>
                <w:highlight w:val="none"/>
                <w:lang w:val="en-US" w:eastAsia="zh-CN"/>
              </w:rPr>
              <w:t>镇</w:t>
            </w:r>
            <w:r>
              <w:rPr>
                <w:rFonts w:hint="eastAsia" w:ascii="宋体" w:hAnsi="宋体" w:eastAsia="宋体" w:cs="宋体"/>
                <w:color w:val="auto"/>
                <w:sz w:val="24"/>
                <w:szCs w:val="24"/>
                <w:highlight w:val="none"/>
                <w:lang w:val="en-US" w:eastAsia="zh-CN"/>
              </w:rPr>
              <w:t>生活污水处理厂</w:t>
            </w:r>
            <w:r>
              <w:rPr>
                <w:rFonts w:ascii="宋体" w:hAnsi="宋体" w:eastAsia="宋体" w:cs="宋体"/>
                <w:color w:val="auto"/>
                <w:sz w:val="24"/>
                <w:szCs w:val="24"/>
                <w:highlight w:val="none"/>
              </w:rPr>
              <w:t>处理达到</w:t>
            </w:r>
            <w:r>
              <w:rPr>
                <w:rFonts w:ascii="Times New Roman" w:hAnsi="Times New Roman" w:cs="Times New Roman"/>
                <w:color w:val="auto"/>
                <w:highlight w:val="none"/>
              </w:rPr>
              <w:t>《城镇污水处理厂污染物排放标准》（GB18918-2002）一级标准的</w:t>
            </w:r>
            <w:r>
              <w:rPr>
                <w:rFonts w:hint="eastAsia" w:cs="Times New Roman"/>
                <w:color w:val="auto"/>
                <w:highlight w:val="none"/>
                <w:lang w:val="en-US" w:eastAsia="zh-CN"/>
              </w:rPr>
              <w:t>A</w:t>
            </w:r>
            <w:r>
              <w:rPr>
                <w:rFonts w:ascii="Times New Roman" w:hAnsi="Times New Roman" w:cs="Times New Roman"/>
                <w:color w:val="auto"/>
                <w:highlight w:val="none"/>
              </w:rPr>
              <w:t>标准</w:t>
            </w:r>
            <w:r>
              <w:rPr>
                <w:rFonts w:ascii="宋体" w:hAnsi="宋体" w:eastAsia="宋体" w:cs="宋体"/>
                <w:color w:val="auto"/>
                <w:sz w:val="24"/>
                <w:szCs w:val="24"/>
                <w:highlight w:val="none"/>
              </w:rPr>
              <w:t>后，排入</w:t>
            </w:r>
            <w:r>
              <w:rPr>
                <w:rFonts w:hint="eastAsia" w:ascii="宋体" w:hAnsi="宋体" w:eastAsia="宋体" w:cs="宋体"/>
                <w:color w:val="auto"/>
                <w:sz w:val="24"/>
                <w:szCs w:val="24"/>
                <w:highlight w:val="none"/>
                <w:lang w:val="en-US" w:eastAsia="zh-CN"/>
              </w:rPr>
              <w:t>燕子沟</w:t>
            </w:r>
            <w:r>
              <w:rPr>
                <w:rFonts w:ascii="宋体" w:hAnsi="宋体" w:eastAsia="宋体" w:cs="宋体"/>
                <w:color w:val="auto"/>
                <w:spacing w:val="-1"/>
                <w:sz w:val="24"/>
                <w:szCs w:val="24"/>
                <w:highlight w:val="none"/>
              </w:rPr>
              <w:t>。</w:t>
            </w:r>
          </w:p>
          <w:p w14:paraId="11B83E77">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项目排入</w:t>
            </w:r>
            <w:r>
              <w:rPr>
                <w:rFonts w:hint="eastAsia" w:ascii="Times New Roman" w:hAnsi="Times New Roman" w:eastAsia="宋体" w:cs="Times New Roman"/>
                <w:color w:val="auto"/>
                <w:highlight w:val="none"/>
                <w:lang w:val="en-US" w:eastAsia="zh-CN"/>
              </w:rPr>
              <w:t>污水处理厂</w:t>
            </w:r>
            <w:r>
              <w:rPr>
                <w:rFonts w:hint="default" w:ascii="Times New Roman" w:hAnsi="Times New Roman" w:eastAsia="宋体" w:cs="Times New Roman"/>
                <w:color w:val="auto"/>
                <w:highlight w:val="none"/>
              </w:rPr>
              <w:t>的水污染物量为：</w:t>
            </w:r>
          </w:p>
          <w:p w14:paraId="57E85C4B">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COD=</w:t>
            </w:r>
            <w:r>
              <w:rPr>
                <w:rFonts w:hint="eastAsia" w:cs="Times New Roman"/>
                <w:color w:val="auto"/>
                <w:highlight w:val="none"/>
                <w:lang w:val="en-US" w:eastAsia="zh-CN"/>
              </w:rPr>
              <w:t>320</w:t>
            </w:r>
            <w:r>
              <w:rPr>
                <w:rFonts w:hint="default" w:ascii="Times New Roman" w:hAnsi="Times New Roman" w:eastAsia="宋体" w:cs="Times New Roman"/>
                <w:color w:val="auto"/>
                <w:highlight w:val="none"/>
              </w:rPr>
              <w:t>mg/L×</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/a×10</w:t>
            </w:r>
            <w:r>
              <w:rPr>
                <w:rFonts w:hint="default" w:ascii="Times New Roman" w:hAnsi="Times New Roman" w:eastAsia="宋体" w:cs="Times New Roman"/>
                <w:color w:val="auto"/>
                <w:highlight w:val="none"/>
                <w:vertAlign w:val="superscript"/>
              </w:rPr>
              <w:t>-6</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1.33</w:t>
            </w:r>
            <w:r>
              <w:rPr>
                <w:rFonts w:hint="default" w:ascii="Times New Roman" w:hAnsi="Times New Roman" w:eastAsia="宋体" w:cs="Times New Roman"/>
                <w:color w:val="auto"/>
                <w:highlight w:val="none"/>
              </w:rPr>
              <w:t>t/a；</w:t>
            </w:r>
          </w:p>
          <w:p w14:paraId="4D97F759">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-N=</w:t>
            </w:r>
            <w:r>
              <w:rPr>
                <w:rFonts w:hint="eastAsia" w:cs="Times New Roman"/>
                <w:color w:val="auto"/>
                <w:highlight w:val="none"/>
                <w:lang w:val="en-US" w:eastAsia="zh-CN"/>
              </w:rPr>
              <w:t>3</w:t>
            </w:r>
            <w:r>
              <w:rPr>
                <w:rFonts w:hint="default" w:ascii="Times New Roman" w:hAnsi="Times New Roman" w:eastAsia="宋体" w:cs="Times New Roman"/>
                <w:color w:val="auto"/>
                <w:highlight w:val="none"/>
              </w:rPr>
              <w:t>5mg/L×</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/a×10</w:t>
            </w:r>
            <w:r>
              <w:rPr>
                <w:rFonts w:hint="default" w:ascii="Times New Roman" w:hAnsi="Times New Roman" w:eastAsia="宋体" w:cs="Times New Roman"/>
                <w:color w:val="auto"/>
                <w:highlight w:val="none"/>
                <w:vertAlign w:val="superscript"/>
              </w:rPr>
              <w:t>-6</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0.145</w:t>
            </w:r>
            <w:r>
              <w:rPr>
                <w:rFonts w:hint="default" w:ascii="Times New Roman" w:hAnsi="Times New Roman" w:eastAsia="宋体" w:cs="Times New Roman"/>
                <w:color w:val="auto"/>
                <w:highlight w:val="none"/>
              </w:rPr>
              <w:t>t/a；</w:t>
            </w:r>
          </w:p>
          <w:p w14:paraId="2162E281">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TP=</w:t>
            </w:r>
            <w:r>
              <w:rPr>
                <w:rFonts w:hint="eastAsia" w:cs="Times New Roman"/>
                <w:color w:val="auto"/>
                <w:highlight w:val="none"/>
                <w:lang w:val="en-US" w:eastAsia="zh-CN"/>
              </w:rPr>
              <w:t>4</w:t>
            </w:r>
            <w:r>
              <w:rPr>
                <w:rFonts w:hint="default" w:ascii="Times New Roman" w:hAnsi="Times New Roman" w:eastAsia="宋体" w:cs="Times New Roman"/>
                <w:color w:val="auto"/>
                <w:highlight w:val="none"/>
              </w:rPr>
              <w:t>mg/L×</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/a×10</w:t>
            </w:r>
            <w:r>
              <w:rPr>
                <w:rFonts w:hint="default" w:ascii="Times New Roman" w:hAnsi="Times New Roman" w:eastAsia="宋体" w:cs="Times New Roman"/>
                <w:color w:val="auto"/>
                <w:highlight w:val="none"/>
                <w:vertAlign w:val="superscript"/>
              </w:rPr>
              <w:t>-6</w:t>
            </w:r>
            <w:r>
              <w:rPr>
                <w:rFonts w:hint="eastAsia" w:ascii="Times New Roman" w:hAnsi="Times New Roman" w:eastAsia="宋体" w:cs="Times New Roman"/>
                <w:color w:val="auto"/>
                <w:highlight w:val="none"/>
                <w:vertAlign w:val="baseline"/>
                <w:lang w:val="en-US" w:eastAsia="zh-CN"/>
              </w:rPr>
              <w:t>=</w:t>
            </w:r>
            <w:r>
              <w:rPr>
                <w:rFonts w:hint="eastAsia" w:ascii="Times New Roman" w:hAnsi="Times New Roman" w:eastAsia="宋体" w:cs="Times New Roman"/>
                <w:color w:val="auto"/>
                <w:highlight w:val="none"/>
                <w:lang w:val="en-US" w:eastAsia="zh-CN"/>
              </w:rPr>
              <w:t>0.0</w:t>
            </w:r>
            <w:r>
              <w:rPr>
                <w:rFonts w:hint="eastAsia" w:cs="Times New Roman"/>
                <w:color w:val="auto"/>
                <w:highlight w:val="none"/>
                <w:lang w:val="en-US" w:eastAsia="zh-CN"/>
              </w:rPr>
              <w:t>17</w:t>
            </w:r>
            <w:r>
              <w:rPr>
                <w:rFonts w:hint="default" w:ascii="Times New Roman" w:hAnsi="Times New Roman" w:eastAsia="宋体" w:cs="Times New Roman"/>
                <w:color w:val="auto"/>
                <w:highlight w:val="none"/>
              </w:rPr>
              <w:t>t/a。</w:t>
            </w:r>
          </w:p>
          <w:p w14:paraId="45557F1B">
            <w:pPr>
              <w:spacing w:line="360" w:lineRule="auto"/>
              <w:ind w:firstLine="482" w:firstLineChars="200"/>
              <w:outlineLvl w:val="2"/>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kern w:val="0"/>
                <w:highlight w:val="none"/>
              </w:rPr>
              <w:t>海螺沟磨西镇城</w:t>
            </w:r>
            <w:r>
              <w:rPr>
                <w:rFonts w:hint="eastAsia" w:cs="Times New Roman"/>
                <w:b/>
                <w:bCs/>
                <w:color w:val="auto"/>
                <w:kern w:val="0"/>
                <w:highlight w:val="none"/>
                <w:lang w:val="en-US" w:eastAsia="zh-CN"/>
              </w:rPr>
              <w:t>镇</w:t>
            </w:r>
            <w:r>
              <w:rPr>
                <w:rFonts w:hint="default" w:ascii="Times New Roman" w:hAnsi="Times New Roman" w:eastAsia="宋体" w:cs="Times New Roman"/>
                <w:b/>
                <w:bCs/>
                <w:color w:val="auto"/>
                <w:kern w:val="0"/>
                <w:highlight w:val="none"/>
              </w:rPr>
              <w:t>生活污水处理厂：</w:t>
            </w:r>
          </w:p>
          <w:p w14:paraId="45AE9028">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COD排放总量=</w:t>
            </w:r>
            <w:r>
              <w:rPr>
                <w:rFonts w:hint="eastAsia" w:cs="Times New Roman"/>
                <w:color w:val="auto"/>
                <w:highlight w:val="none"/>
                <w:lang w:val="en-US" w:eastAsia="zh-CN"/>
              </w:rPr>
              <w:t>5</w:t>
            </w:r>
            <w:r>
              <w:rPr>
                <w:rFonts w:hint="eastAsia" w:ascii="Times New Roman" w:hAnsi="Times New Roman" w:eastAsia="宋体" w:cs="Times New Roman"/>
                <w:color w:val="auto"/>
                <w:highlight w:val="none"/>
                <w:lang w:val="en-US" w:eastAsia="zh-CN"/>
              </w:rPr>
              <w:t>0</w:t>
            </w:r>
            <w:r>
              <w:rPr>
                <w:rFonts w:hint="default" w:ascii="Times New Roman" w:hAnsi="Times New Roman" w:eastAsia="宋体" w:cs="Times New Roman"/>
                <w:color w:val="auto"/>
                <w:highlight w:val="none"/>
              </w:rPr>
              <w:t>mg/L×</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/a×10</w:t>
            </w:r>
            <w:r>
              <w:rPr>
                <w:rFonts w:hint="default" w:ascii="Times New Roman" w:hAnsi="Times New Roman" w:eastAsia="宋体" w:cs="Times New Roman"/>
                <w:color w:val="auto"/>
                <w:highlight w:val="none"/>
                <w:vertAlign w:val="superscript"/>
              </w:rPr>
              <w:t>-6</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0.2078</w:t>
            </w:r>
            <w:r>
              <w:rPr>
                <w:rFonts w:hint="default" w:ascii="Times New Roman" w:hAnsi="Times New Roman" w:eastAsia="宋体" w:cs="Times New Roman"/>
                <w:color w:val="auto"/>
                <w:highlight w:val="none"/>
              </w:rPr>
              <w:t>t/a；</w:t>
            </w:r>
          </w:p>
          <w:p w14:paraId="5075BD41">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-N排放总量=</w:t>
            </w:r>
            <w:r>
              <w:rPr>
                <w:rFonts w:hint="eastAsia" w:cs="Times New Roman"/>
                <w:color w:val="auto"/>
                <w:highlight w:val="none"/>
                <w:lang w:val="en-US" w:eastAsia="zh-CN"/>
              </w:rPr>
              <w:t>5</w:t>
            </w:r>
            <w:r>
              <w:rPr>
                <w:rFonts w:hint="default" w:ascii="Times New Roman" w:hAnsi="Times New Roman" w:eastAsia="宋体" w:cs="Times New Roman"/>
                <w:color w:val="auto"/>
                <w:highlight w:val="none"/>
              </w:rPr>
              <w:t>mg/L×</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/a×10</w:t>
            </w:r>
            <w:r>
              <w:rPr>
                <w:rFonts w:hint="default" w:ascii="Times New Roman" w:hAnsi="Times New Roman" w:eastAsia="宋体" w:cs="Times New Roman"/>
                <w:color w:val="auto"/>
                <w:highlight w:val="none"/>
                <w:vertAlign w:val="superscript"/>
              </w:rPr>
              <w:t>-6</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0.0208</w:t>
            </w:r>
            <w:r>
              <w:rPr>
                <w:rFonts w:hint="default" w:ascii="Times New Roman" w:hAnsi="Times New Roman" w:eastAsia="宋体" w:cs="Times New Roman"/>
                <w:color w:val="auto"/>
                <w:highlight w:val="none"/>
              </w:rPr>
              <w:t>t/a；</w:t>
            </w:r>
          </w:p>
          <w:p w14:paraId="6441D8B6">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TP排放总量=</w:t>
            </w:r>
            <w:r>
              <w:rPr>
                <w:rFonts w:hint="eastAsia" w:cs="Times New Roman"/>
                <w:color w:val="auto"/>
                <w:highlight w:val="none"/>
                <w:lang w:val="en-US" w:eastAsia="zh-CN"/>
              </w:rPr>
              <w:t>0.5</w:t>
            </w:r>
            <w:r>
              <w:rPr>
                <w:rFonts w:hint="default" w:ascii="Times New Roman" w:hAnsi="Times New Roman" w:eastAsia="宋体" w:cs="Times New Roman"/>
                <w:color w:val="auto"/>
                <w:highlight w:val="none"/>
              </w:rPr>
              <w:t>mg/L×</w:t>
            </w:r>
            <w:r>
              <w:rPr>
                <w:rFonts w:hint="eastAsia" w:cs="Times New Roman"/>
                <w:color w:val="auto"/>
                <w:highlight w:val="none"/>
                <w:lang w:val="en-US" w:eastAsia="zh-CN"/>
              </w:rPr>
              <w:t>4155.8</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/a×10</w:t>
            </w:r>
            <w:r>
              <w:rPr>
                <w:rFonts w:hint="default" w:ascii="Times New Roman" w:hAnsi="Times New Roman" w:eastAsia="宋体" w:cs="Times New Roman"/>
                <w:color w:val="auto"/>
                <w:highlight w:val="none"/>
                <w:vertAlign w:val="superscript"/>
              </w:rPr>
              <w:t>-6</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0.0021</w:t>
            </w:r>
            <w:r>
              <w:rPr>
                <w:rFonts w:hint="default" w:ascii="Times New Roman" w:hAnsi="Times New Roman" w:eastAsia="宋体" w:cs="Times New Roman"/>
                <w:color w:val="auto"/>
                <w:highlight w:val="none"/>
              </w:rPr>
              <w:t>t/a。</w:t>
            </w:r>
          </w:p>
          <w:p w14:paraId="21D3D815">
            <w:pPr>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二、废气</w:t>
            </w:r>
          </w:p>
          <w:p w14:paraId="560374F3">
            <w:pPr>
              <w:spacing w:line="360" w:lineRule="auto"/>
              <w:ind w:firstLine="480" w:firstLineChars="200"/>
              <w:rPr>
                <w:rFonts w:hint="default" w:ascii="Times New Roman" w:hAnsi="Times New Roman" w:eastAsia="宋体" w:cs="Times New Roman"/>
                <w:color w:val="auto"/>
                <w:highlight w:val="none"/>
                <w:lang w:val="en-US"/>
              </w:rPr>
            </w:pPr>
            <w:r>
              <w:rPr>
                <w:rFonts w:hint="eastAsia" w:cs="Times New Roman"/>
                <w:color w:val="auto"/>
                <w:highlight w:val="none"/>
                <w:lang w:val="en-US" w:eastAsia="zh-CN"/>
              </w:rPr>
              <w:t>项目仅产生恶臭气体，经处理后达标排放，相关污染物不纳入总量控制（排污许可属于登记管理）。</w:t>
            </w:r>
          </w:p>
          <w:p w14:paraId="14F9E5C4">
            <w:pPr>
              <w:adjustRightInd w:val="0"/>
              <w:snapToGrid w:val="0"/>
              <w:ind w:firstLine="422"/>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表3-</w:t>
            </w:r>
            <w:r>
              <w:rPr>
                <w:rFonts w:hint="eastAsia" w:cs="Times New Roman"/>
                <w:b/>
                <w:bCs/>
                <w:color w:val="auto"/>
                <w:kern w:val="0"/>
                <w:sz w:val="21"/>
                <w:szCs w:val="21"/>
                <w:highlight w:val="none"/>
                <w:lang w:val="en-US" w:eastAsia="zh-CN"/>
              </w:rPr>
              <w:t>14</w:t>
            </w:r>
            <w:r>
              <w:rPr>
                <w:rFonts w:hint="default" w:ascii="Times New Roman" w:hAnsi="Times New Roman" w:eastAsia="宋体" w:cs="Times New Roman"/>
                <w:b/>
                <w:bCs/>
                <w:color w:val="auto"/>
                <w:kern w:val="0"/>
                <w:sz w:val="21"/>
                <w:szCs w:val="21"/>
                <w:highlight w:val="none"/>
              </w:rPr>
              <w:t xml:space="preserve">  项目总量建议指标</w:t>
            </w:r>
            <w:r>
              <w:rPr>
                <w:rFonts w:hint="default" w:ascii="Times New Roman" w:hAnsi="Times New Roman" w:eastAsia="宋体" w:cs="Times New Roman"/>
                <w:color w:val="auto"/>
                <w:highlight w:val="none"/>
              </w:rPr>
              <w:t xml:space="preserve">               </w:t>
            </w:r>
            <w:r>
              <w:rPr>
                <w:rFonts w:hint="default" w:ascii="Times New Roman" w:hAnsi="Times New Roman" w:eastAsia="宋体" w:cs="Times New Roman"/>
                <w:b/>
                <w:bCs/>
                <w:color w:val="auto"/>
                <w:sz w:val="21"/>
                <w:szCs w:val="21"/>
                <w:highlight w:val="none"/>
              </w:rPr>
              <w:t>单位：t/a</w:t>
            </w:r>
          </w:p>
          <w:tbl>
            <w:tblPr>
              <w:tblStyle w:val="33"/>
              <w:tblW w:w="800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70"/>
              <w:gridCol w:w="2972"/>
              <w:gridCol w:w="1612"/>
              <w:gridCol w:w="2152"/>
            </w:tblGrid>
            <w:tr w14:paraId="4F1C45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854" w:type="dxa"/>
                  <w:gridSpan w:val="3"/>
                  <w:tcBorders>
                    <w:tl2br w:val="nil"/>
                    <w:tr2bl w:val="nil"/>
                  </w:tcBorders>
                  <w:vAlign w:val="center"/>
                </w:tcPr>
                <w:p w14:paraId="64167CC9">
                  <w:pPr>
                    <w:pStyle w:val="121"/>
                    <w:ind w:firstLine="0" w:firstLineChars="0"/>
                    <w:jc w:val="center"/>
                    <w:rPr>
                      <w:rFonts w:hint="default" w:ascii="Times New Roman" w:hAnsi="Times New Roman" w:eastAsia="宋体" w:cs="Times New Roman"/>
                      <w:b/>
                      <w:bCs/>
                      <w:color w:val="auto"/>
                      <w:sz w:val="21"/>
                      <w:szCs w:val="21"/>
                      <w:highlight w:val="none"/>
                      <w:lang w:val="zh-CN"/>
                    </w:rPr>
                  </w:pPr>
                  <w:r>
                    <w:rPr>
                      <w:rFonts w:hint="default" w:ascii="Times New Roman" w:hAnsi="Times New Roman" w:eastAsia="宋体" w:cs="Times New Roman"/>
                      <w:b/>
                      <w:bCs/>
                      <w:color w:val="auto"/>
                      <w:sz w:val="21"/>
                      <w:szCs w:val="21"/>
                      <w:highlight w:val="none"/>
                    </w:rPr>
                    <w:t>名称</w:t>
                  </w:r>
                </w:p>
              </w:tc>
              <w:tc>
                <w:tcPr>
                  <w:tcW w:w="2152" w:type="dxa"/>
                  <w:tcBorders>
                    <w:tl2br w:val="nil"/>
                    <w:tr2bl w:val="nil"/>
                  </w:tcBorders>
                  <w:vAlign w:val="center"/>
                </w:tcPr>
                <w:p w14:paraId="2B2C644A">
                  <w:pPr>
                    <w:pStyle w:val="121"/>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总量控制指标</w:t>
                  </w:r>
                </w:p>
              </w:tc>
            </w:tr>
            <w:tr w14:paraId="792FA6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dxa"/>
                  <w:vMerge w:val="restart"/>
                  <w:tcBorders>
                    <w:right w:val="single" w:color="000000" w:sz="8" w:space="0"/>
                    <w:tl2br w:val="nil"/>
                    <w:tr2bl w:val="nil"/>
                  </w:tcBorders>
                  <w:vAlign w:val="center"/>
                </w:tcPr>
                <w:p w14:paraId="7A24849C">
                  <w:pPr>
                    <w:pStyle w:val="121"/>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废水</w:t>
                  </w:r>
                </w:p>
              </w:tc>
              <w:tc>
                <w:tcPr>
                  <w:tcW w:w="2972" w:type="dxa"/>
                  <w:vMerge w:val="restart"/>
                  <w:tcBorders>
                    <w:left w:val="single" w:color="000000" w:sz="8" w:space="0"/>
                    <w:tl2br w:val="nil"/>
                    <w:tr2bl w:val="nil"/>
                  </w:tcBorders>
                  <w:vAlign w:val="center"/>
                </w:tcPr>
                <w:p w14:paraId="493B811F">
                  <w:pPr>
                    <w:pStyle w:val="121"/>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厂区排口</w:t>
                  </w:r>
                </w:p>
              </w:tc>
              <w:tc>
                <w:tcPr>
                  <w:tcW w:w="1612" w:type="dxa"/>
                  <w:tcBorders>
                    <w:tl2br w:val="nil"/>
                    <w:tr2bl w:val="nil"/>
                  </w:tcBorders>
                  <w:vAlign w:val="center"/>
                </w:tcPr>
                <w:p w14:paraId="7C34C98C">
                  <w:pPr>
                    <w:pStyle w:val="121"/>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COD</w:t>
                  </w:r>
                </w:p>
              </w:tc>
              <w:tc>
                <w:tcPr>
                  <w:tcW w:w="2152" w:type="dxa"/>
                  <w:tcBorders>
                    <w:tl2br w:val="nil"/>
                    <w:tr2bl w:val="nil"/>
                  </w:tcBorders>
                  <w:vAlign w:val="center"/>
                </w:tcPr>
                <w:p w14:paraId="004C8B46">
                  <w:pPr>
                    <w:keepNext w:val="0"/>
                    <w:keepLines w:val="0"/>
                    <w:widowControl/>
                    <w:suppressLineNumbers w:val="0"/>
                    <w:jc w:val="center"/>
                    <w:textAlignment w:val="center"/>
                    <w:rPr>
                      <w:rFonts w:hint="default" w:ascii="Times New Roman" w:hAnsi="Times New Roman" w:eastAsia="宋体" w:cs="Times New Roman"/>
                      <w:snapToGrid/>
                      <w:color w:val="auto"/>
                      <w:kern w:val="2"/>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1.33</w:t>
                  </w:r>
                </w:p>
              </w:tc>
            </w:tr>
            <w:tr w14:paraId="13436F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0" w:type="dxa"/>
                  <w:vMerge w:val="continue"/>
                  <w:tcBorders>
                    <w:right w:val="single" w:color="000000" w:sz="8" w:space="0"/>
                    <w:tl2br w:val="nil"/>
                    <w:tr2bl w:val="nil"/>
                  </w:tcBorders>
                  <w:vAlign w:val="center"/>
                </w:tcPr>
                <w:p w14:paraId="28B89A7A">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2972" w:type="dxa"/>
                  <w:vMerge w:val="continue"/>
                  <w:tcBorders>
                    <w:left w:val="single" w:color="000000" w:sz="8" w:space="0"/>
                    <w:tl2br w:val="nil"/>
                    <w:tr2bl w:val="nil"/>
                  </w:tcBorders>
                  <w:vAlign w:val="center"/>
                </w:tcPr>
                <w:p w14:paraId="0B9C5C28">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1612" w:type="dxa"/>
                  <w:tcBorders>
                    <w:tl2br w:val="nil"/>
                    <w:tr2bl w:val="nil"/>
                  </w:tcBorders>
                  <w:vAlign w:val="center"/>
                </w:tcPr>
                <w:p w14:paraId="4D42897C">
                  <w:pPr>
                    <w:pStyle w:val="121"/>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NH</w:t>
                  </w:r>
                  <w:r>
                    <w:rPr>
                      <w:rFonts w:hint="default" w:ascii="Times New Roman" w:hAnsi="Times New Roman" w:eastAsia="宋体" w:cs="Times New Roman"/>
                      <w:color w:val="auto"/>
                      <w:sz w:val="21"/>
                      <w:szCs w:val="21"/>
                      <w:highlight w:val="none"/>
                      <w:vertAlign w:val="subscript"/>
                      <w:lang w:val="zh-CN"/>
                    </w:rPr>
                    <w:t>3</w:t>
                  </w:r>
                  <w:r>
                    <w:rPr>
                      <w:rFonts w:hint="default" w:ascii="Times New Roman" w:hAnsi="Times New Roman" w:eastAsia="宋体" w:cs="Times New Roman"/>
                      <w:color w:val="auto"/>
                      <w:sz w:val="21"/>
                      <w:szCs w:val="21"/>
                      <w:highlight w:val="none"/>
                      <w:lang w:val="zh-CN"/>
                    </w:rPr>
                    <w:t>-N</w:t>
                  </w:r>
                </w:p>
              </w:tc>
              <w:tc>
                <w:tcPr>
                  <w:tcW w:w="2152" w:type="dxa"/>
                  <w:tcBorders>
                    <w:tl2br w:val="nil"/>
                    <w:tr2bl w:val="nil"/>
                  </w:tcBorders>
                  <w:vAlign w:val="center"/>
                </w:tcPr>
                <w:p w14:paraId="381DB2FD">
                  <w:pPr>
                    <w:keepNext w:val="0"/>
                    <w:keepLines w:val="0"/>
                    <w:widowControl/>
                    <w:suppressLineNumbers w:val="0"/>
                    <w:jc w:val="center"/>
                    <w:textAlignment w:val="center"/>
                    <w:rPr>
                      <w:rFonts w:hint="default" w:ascii="Times New Roman" w:hAnsi="Times New Roman" w:eastAsia="宋体" w:cs="Times New Roman"/>
                      <w:snapToGrid/>
                      <w:color w:val="auto"/>
                      <w:kern w:val="2"/>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0.145</w:t>
                  </w:r>
                </w:p>
              </w:tc>
            </w:tr>
            <w:tr w14:paraId="3B2A7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dxa"/>
                  <w:vMerge w:val="continue"/>
                  <w:tcBorders>
                    <w:right w:val="single" w:color="000000" w:sz="8" w:space="0"/>
                    <w:tl2br w:val="nil"/>
                    <w:tr2bl w:val="nil"/>
                  </w:tcBorders>
                  <w:vAlign w:val="center"/>
                </w:tcPr>
                <w:p w14:paraId="77BF2875">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2972" w:type="dxa"/>
                  <w:vMerge w:val="continue"/>
                  <w:tcBorders>
                    <w:left w:val="single" w:color="000000" w:sz="8" w:space="0"/>
                    <w:tl2br w:val="nil"/>
                    <w:tr2bl w:val="nil"/>
                  </w:tcBorders>
                  <w:vAlign w:val="center"/>
                </w:tcPr>
                <w:p w14:paraId="1E98A596">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1612" w:type="dxa"/>
                  <w:tcBorders>
                    <w:tl2br w:val="nil"/>
                    <w:tr2bl w:val="nil"/>
                  </w:tcBorders>
                  <w:vAlign w:val="center"/>
                </w:tcPr>
                <w:p w14:paraId="1DB7CB12">
                  <w:pPr>
                    <w:pStyle w:val="121"/>
                    <w:ind w:firstLine="0" w:firstLineChars="0"/>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TP</w:t>
                  </w:r>
                </w:p>
              </w:tc>
              <w:tc>
                <w:tcPr>
                  <w:tcW w:w="2152" w:type="dxa"/>
                  <w:tcBorders>
                    <w:tl2br w:val="nil"/>
                    <w:tr2bl w:val="nil"/>
                  </w:tcBorders>
                  <w:vAlign w:val="center"/>
                </w:tcPr>
                <w:p w14:paraId="67DA7454">
                  <w:pPr>
                    <w:keepNext w:val="0"/>
                    <w:keepLines w:val="0"/>
                    <w:widowControl/>
                    <w:suppressLineNumbers w:val="0"/>
                    <w:jc w:val="center"/>
                    <w:textAlignment w:val="center"/>
                    <w:rPr>
                      <w:rFonts w:hint="default" w:ascii="Times New Roman" w:hAnsi="Times New Roman" w:eastAsia="宋体" w:cs="Times New Roman"/>
                      <w:snapToGrid/>
                      <w:color w:val="auto"/>
                      <w:kern w:val="2"/>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0.017</w:t>
                  </w:r>
                </w:p>
              </w:tc>
            </w:tr>
            <w:tr w14:paraId="66BCE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dxa"/>
                  <w:vMerge w:val="continue"/>
                  <w:tcBorders>
                    <w:right w:val="single" w:color="000000" w:sz="8" w:space="0"/>
                    <w:tl2br w:val="nil"/>
                    <w:tr2bl w:val="nil"/>
                  </w:tcBorders>
                  <w:vAlign w:val="center"/>
                </w:tcPr>
                <w:p w14:paraId="52712B0B">
                  <w:pPr>
                    <w:pStyle w:val="121"/>
                    <w:ind w:firstLine="0" w:firstLineChars="0"/>
                    <w:jc w:val="center"/>
                    <w:rPr>
                      <w:rFonts w:hint="eastAsia" w:ascii="Times New Roman" w:hAnsi="Times New Roman" w:eastAsia="宋体" w:cs="Times New Roman"/>
                      <w:color w:val="auto"/>
                      <w:sz w:val="21"/>
                      <w:szCs w:val="21"/>
                      <w:highlight w:val="none"/>
                      <w:lang w:val="zh-CN" w:eastAsia="zh-CN"/>
                    </w:rPr>
                  </w:pPr>
                </w:p>
              </w:tc>
              <w:tc>
                <w:tcPr>
                  <w:tcW w:w="2972" w:type="dxa"/>
                  <w:vMerge w:val="restart"/>
                  <w:tcBorders>
                    <w:left w:val="single" w:color="000000" w:sz="8" w:space="0"/>
                    <w:tl2br w:val="nil"/>
                    <w:tr2bl w:val="nil"/>
                  </w:tcBorders>
                  <w:vAlign w:val="center"/>
                </w:tcPr>
                <w:p w14:paraId="43169FC2">
                  <w:pPr>
                    <w:pStyle w:val="121"/>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污水处理厂</w:t>
                  </w:r>
                  <w:r>
                    <w:rPr>
                      <w:rFonts w:hint="eastAsia" w:ascii="Times New Roman" w:hAnsi="Times New Roman" w:eastAsia="宋体" w:cs="Times New Roman"/>
                      <w:color w:val="auto"/>
                      <w:sz w:val="21"/>
                      <w:szCs w:val="21"/>
                      <w:highlight w:val="none"/>
                      <w:lang w:val="en-US" w:eastAsia="zh-CN"/>
                    </w:rPr>
                    <w:t>排口</w:t>
                  </w:r>
                </w:p>
              </w:tc>
              <w:tc>
                <w:tcPr>
                  <w:tcW w:w="1612" w:type="dxa"/>
                  <w:tcBorders>
                    <w:tl2br w:val="nil"/>
                    <w:tr2bl w:val="nil"/>
                  </w:tcBorders>
                  <w:vAlign w:val="center"/>
                </w:tcPr>
                <w:p w14:paraId="34645757">
                  <w:pPr>
                    <w:pStyle w:val="121"/>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zh-CN"/>
                    </w:rPr>
                    <w:t>COD</w:t>
                  </w:r>
                </w:p>
              </w:tc>
              <w:tc>
                <w:tcPr>
                  <w:tcW w:w="2152" w:type="dxa"/>
                  <w:tcBorders>
                    <w:tl2br w:val="nil"/>
                    <w:tr2bl w:val="nil"/>
                  </w:tcBorders>
                  <w:vAlign w:val="center"/>
                </w:tcPr>
                <w:p w14:paraId="02B5E095">
                  <w:pPr>
                    <w:keepNext w:val="0"/>
                    <w:keepLines w:val="0"/>
                    <w:widowControl/>
                    <w:suppressLineNumbers w:val="0"/>
                    <w:jc w:val="center"/>
                    <w:textAlignment w:val="center"/>
                    <w:rPr>
                      <w:rFonts w:hint="default" w:ascii="Times New Roman" w:hAnsi="Times New Roman" w:eastAsia="宋体" w:cs="Times New Roman"/>
                      <w:snapToGrid/>
                      <w:color w:val="auto"/>
                      <w:kern w:val="2"/>
                      <w:sz w:val="21"/>
                      <w:szCs w:val="21"/>
                      <w:highlight w:val="none"/>
                      <w:lang w:val="en-US" w:eastAsia="zh-CN"/>
                    </w:rPr>
                  </w:pPr>
                  <w:r>
                    <w:rPr>
                      <w:rFonts w:hint="eastAsia" w:cs="Times New Roman"/>
                      <w:color w:val="auto"/>
                      <w:sz w:val="21"/>
                      <w:szCs w:val="21"/>
                      <w:highlight w:val="none"/>
                      <w:lang w:val="en-US" w:eastAsia="zh-CN"/>
                    </w:rPr>
                    <w:t>0.2078</w:t>
                  </w:r>
                </w:p>
              </w:tc>
            </w:tr>
            <w:tr w14:paraId="3590BF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dxa"/>
                  <w:vMerge w:val="continue"/>
                  <w:tcBorders>
                    <w:right w:val="single" w:color="000000" w:sz="8" w:space="0"/>
                    <w:tl2br w:val="nil"/>
                    <w:tr2bl w:val="nil"/>
                  </w:tcBorders>
                  <w:vAlign w:val="center"/>
                </w:tcPr>
                <w:p w14:paraId="2D3AD1C3">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2972" w:type="dxa"/>
                  <w:vMerge w:val="continue"/>
                  <w:tcBorders>
                    <w:left w:val="single" w:color="000000" w:sz="8" w:space="0"/>
                    <w:tl2br w:val="nil"/>
                    <w:tr2bl w:val="nil"/>
                  </w:tcBorders>
                  <w:vAlign w:val="center"/>
                </w:tcPr>
                <w:p w14:paraId="6861B0D6">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1612" w:type="dxa"/>
                  <w:tcBorders>
                    <w:tl2br w:val="nil"/>
                    <w:tr2bl w:val="nil"/>
                  </w:tcBorders>
                  <w:vAlign w:val="center"/>
                </w:tcPr>
                <w:p w14:paraId="04D812DE">
                  <w:pPr>
                    <w:pStyle w:val="121"/>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zh-CN"/>
                    </w:rPr>
                    <w:t>NH</w:t>
                  </w:r>
                  <w:r>
                    <w:rPr>
                      <w:rFonts w:hint="default" w:ascii="Times New Roman" w:hAnsi="Times New Roman" w:eastAsia="宋体" w:cs="Times New Roman"/>
                      <w:color w:val="auto"/>
                      <w:sz w:val="21"/>
                      <w:szCs w:val="21"/>
                      <w:highlight w:val="none"/>
                      <w:vertAlign w:val="subscript"/>
                      <w:lang w:val="zh-CN"/>
                    </w:rPr>
                    <w:t>3</w:t>
                  </w:r>
                  <w:r>
                    <w:rPr>
                      <w:rFonts w:hint="default" w:ascii="Times New Roman" w:hAnsi="Times New Roman" w:eastAsia="宋体" w:cs="Times New Roman"/>
                      <w:color w:val="auto"/>
                      <w:sz w:val="21"/>
                      <w:szCs w:val="21"/>
                      <w:highlight w:val="none"/>
                      <w:lang w:val="zh-CN"/>
                    </w:rPr>
                    <w:t>-N</w:t>
                  </w:r>
                </w:p>
              </w:tc>
              <w:tc>
                <w:tcPr>
                  <w:tcW w:w="2152" w:type="dxa"/>
                  <w:tcBorders>
                    <w:tl2br w:val="nil"/>
                    <w:tr2bl w:val="nil"/>
                  </w:tcBorders>
                  <w:vAlign w:val="center"/>
                </w:tcPr>
                <w:p w14:paraId="3B42AC3C">
                  <w:pPr>
                    <w:keepNext w:val="0"/>
                    <w:keepLines w:val="0"/>
                    <w:widowControl/>
                    <w:suppressLineNumbers w:val="0"/>
                    <w:jc w:val="center"/>
                    <w:textAlignment w:val="center"/>
                    <w:rPr>
                      <w:rFonts w:hint="default" w:ascii="Times New Roman" w:hAnsi="Times New Roman" w:eastAsia="宋体" w:cs="Times New Roman"/>
                      <w:snapToGrid/>
                      <w:color w:val="auto"/>
                      <w:kern w:val="2"/>
                      <w:sz w:val="21"/>
                      <w:szCs w:val="21"/>
                      <w:highlight w:val="none"/>
                      <w:lang w:val="en-US" w:eastAsia="zh-CN"/>
                    </w:rPr>
                  </w:pPr>
                  <w:r>
                    <w:rPr>
                      <w:rFonts w:hint="eastAsia" w:cs="Times New Roman"/>
                      <w:color w:val="auto"/>
                      <w:sz w:val="21"/>
                      <w:szCs w:val="21"/>
                      <w:highlight w:val="none"/>
                      <w:lang w:val="en-US" w:eastAsia="zh-CN"/>
                    </w:rPr>
                    <w:t>0.0208</w:t>
                  </w:r>
                </w:p>
              </w:tc>
            </w:tr>
            <w:tr w14:paraId="04F65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0" w:type="dxa"/>
                  <w:vMerge w:val="continue"/>
                  <w:tcBorders>
                    <w:right w:val="single" w:color="000000" w:sz="8" w:space="0"/>
                    <w:tl2br w:val="nil"/>
                    <w:tr2bl w:val="nil"/>
                  </w:tcBorders>
                  <w:vAlign w:val="center"/>
                </w:tcPr>
                <w:p w14:paraId="1AAF83BA">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2972" w:type="dxa"/>
                  <w:vMerge w:val="continue"/>
                  <w:tcBorders>
                    <w:left w:val="single" w:color="000000" w:sz="8" w:space="0"/>
                    <w:tl2br w:val="nil"/>
                    <w:tr2bl w:val="nil"/>
                  </w:tcBorders>
                  <w:vAlign w:val="center"/>
                </w:tcPr>
                <w:p w14:paraId="7947F0A1">
                  <w:pPr>
                    <w:pStyle w:val="121"/>
                    <w:ind w:firstLine="0" w:firstLineChars="0"/>
                    <w:jc w:val="center"/>
                    <w:rPr>
                      <w:rFonts w:hint="default" w:ascii="Times New Roman" w:hAnsi="Times New Roman" w:eastAsia="宋体" w:cs="Times New Roman"/>
                      <w:color w:val="auto"/>
                      <w:sz w:val="21"/>
                      <w:szCs w:val="21"/>
                      <w:highlight w:val="none"/>
                      <w:lang w:val="zh-CN"/>
                    </w:rPr>
                  </w:pPr>
                </w:p>
              </w:tc>
              <w:tc>
                <w:tcPr>
                  <w:tcW w:w="1612" w:type="dxa"/>
                  <w:tcBorders>
                    <w:tl2br w:val="nil"/>
                    <w:tr2bl w:val="nil"/>
                  </w:tcBorders>
                  <w:vAlign w:val="center"/>
                </w:tcPr>
                <w:p w14:paraId="404A3B58">
                  <w:pPr>
                    <w:pStyle w:val="121"/>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zh-CN"/>
                    </w:rPr>
                    <w:t>TP</w:t>
                  </w:r>
                </w:p>
              </w:tc>
              <w:tc>
                <w:tcPr>
                  <w:tcW w:w="2152" w:type="dxa"/>
                  <w:tcBorders>
                    <w:tl2br w:val="nil"/>
                    <w:tr2bl w:val="nil"/>
                  </w:tcBorders>
                  <w:vAlign w:val="center"/>
                </w:tcPr>
                <w:p w14:paraId="1E11C8A3">
                  <w:pPr>
                    <w:keepNext w:val="0"/>
                    <w:keepLines w:val="0"/>
                    <w:widowControl/>
                    <w:suppressLineNumbers w:val="0"/>
                    <w:jc w:val="center"/>
                    <w:textAlignment w:val="center"/>
                    <w:rPr>
                      <w:rFonts w:hint="default" w:ascii="Times New Roman" w:hAnsi="Times New Roman" w:eastAsia="宋体" w:cs="Times New Roman"/>
                      <w:snapToGrid/>
                      <w:color w:val="auto"/>
                      <w:kern w:val="2"/>
                      <w:sz w:val="21"/>
                      <w:szCs w:val="21"/>
                      <w:highlight w:val="none"/>
                      <w:lang w:val="en-US" w:eastAsia="zh-CN"/>
                    </w:rPr>
                  </w:pPr>
                  <w:r>
                    <w:rPr>
                      <w:rFonts w:hint="eastAsia" w:cs="Times New Roman"/>
                      <w:color w:val="auto"/>
                      <w:sz w:val="21"/>
                      <w:szCs w:val="21"/>
                      <w:highlight w:val="none"/>
                      <w:lang w:val="en-US" w:eastAsia="zh-CN"/>
                    </w:rPr>
                    <w:t>0.0021</w:t>
                  </w:r>
                </w:p>
              </w:tc>
            </w:tr>
          </w:tbl>
          <w:p w14:paraId="330D7A29">
            <w:pPr>
              <w:adjustRightInd w:val="0"/>
              <w:snapToGrid w:val="0"/>
              <w:spacing w:line="360" w:lineRule="auto"/>
              <w:ind w:firstLine="480" w:firstLineChars="200"/>
              <w:jc w:val="left"/>
              <w:rPr>
                <w:rFonts w:hint="default" w:ascii="Times New Roman" w:hAnsi="Times New Roman" w:eastAsia="宋体" w:cs="Times New Roman"/>
                <w:color w:val="auto"/>
                <w:highlight w:val="none"/>
              </w:rPr>
            </w:pPr>
          </w:p>
        </w:tc>
      </w:tr>
    </w:tbl>
    <w:p w14:paraId="0B29C902">
      <w:pPr>
        <w:pStyle w:val="27"/>
        <w:ind w:left="420" w:firstLine="720"/>
        <w:jc w:val="center"/>
        <w:outlineLvl w:val="0"/>
        <w:rPr>
          <w:rFonts w:hint="default" w:ascii="Times New Roman" w:hAnsi="Times New Roman" w:eastAsia="宋体" w:cs="Times New Roman"/>
          <w:snapToGrid w:val="0"/>
          <w:color w:val="auto"/>
          <w:sz w:val="30"/>
          <w:szCs w:val="30"/>
          <w:highlight w:val="none"/>
        </w:rPr>
      </w:pPr>
      <w:r>
        <w:rPr>
          <w:rFonts w:hint="default" w:ascii="Times New Roman" w:hAnsi="Times New Roman" w:eastAsia="宋体" w:cs="Times New Roman"/>
          <w:snapToGrid w:val="0"/>
          <w:color w:val="auto"/>
          <w:sz w:val="36"/>
          <w:szCs w:val="36"/>
          <w:highlight w:val="none"/>
        </w:rPr>
        <w:br w:type="page"/>
      </w:r>
      <w:bookmarkStart w:id="12" w:name="_Toc10738"/>
      <w:r>
        <w:rPr>
          <w:rFonts w:hint="default" w:ascii="Times New Roman" w:hAnsi="Times New Roman" w:eastAsia="宋体" w:cs="Times New Roman"/>
          <w:snapToGrid w:val="0"/>
          <w:color w:val="auto"/>
          <w:sz w:val="30"/>
          <w:szCs w:val="30"/>
          <w:highlight w:val="none"/>
        </w:rPr>
        <w:t>四、主要环境影响和保护措施</w:t>
      </w:r>
      <w:bookmarkEnd w:id="12"/>
    </w:p>
    <w:tbl>
      <w:tblPr>
        <w:tblStyle w:val="3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8417"/>
      </w:tblGrid>
      <w:tr w14:paraId="206A73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564" w:type="dxa"/>
            <w:tcMar>
              <w:left w:w="28" w:type="dxa"/>
              <w:right w:w="28" w:type="dxa"/>
            </w:tcMar>
            <w:vAlign w:val="center"/>
          </w:tcPr>
          <w:p w14:paraId="351184DF">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color w:val="auto"/>
                <w:kern w:val="2"/>
                <w:szCs w:val="24"/>
                <w:highlight w:val="none"/>
              </w:rPr>
              <w:t>施工</w:t>
            </w:r>
          </w:p>
          <w:p w14:paraId="2A33910E">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color w:val="auto"/>
                <w:kern w:val="2"/>
                <w:szCs w:val="24"/>
                <w:highlight w:val="none"/>
              </w:rPr>
              <w:t>期环</w:t>
            </w:r>
          </w:p>
          <w:p w14:paraId="4ADF0C9E">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color w:val="auto"/>
                <w:kern w:val="2"/>
                <w:szCs w:val="24"/>
                <w:highlight w:val="none"/>
              </w:rPr>
              <w:t>境保</w:t>
            </w:r>
          </w:p>
          <w:p w14:paraId="2BC2FDFD">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color w:val="auto"/>
                <w:kern w:val="2"/>
                <w:szCs w:val="24"/>
                <w:highlight w:val="none"/>
              </w:rPr>
              <w:t>护措</w:t>
            </w:r>
          </w:p>
          <w:p w14:paraId="49653A44">
            <w:pPr>
              <w:pStyle w:val="27"/>
              <w:adjustRightInd w:val="0"/>
              <w:snapToGrid w:val="0"/>
              <w:spacing w:before="0" w:beforeAutospacing="0" w:after="0" w:afterAutospacing="0"/>
              <w:jc w:val="center"/>
              <w:rPr>
                <w:rFonts w:hint="default" w:ascii="Times New Roman" w:hAnsi="Times New Roman" w:eastAsia="宋体" w:cs="Times New Roman"/>
                <w:bCs/>
                <w:color w:val="auto"/>
                <w:kern w:val="2"/>
                <w:szCs w:val="24"/>
                <w:highlight w:val="none"/>
              </w:rPr>
            </w:pPr>
            <w:r>
              <w:rPr>
                <w:rFonts w:hint="default" w:ascii="Times New Roman" w:hAnsi="Times New Roman" w:eastAsia="宋体" w:cs="Times New Roman"/>
                <w:color w:val="auto"/>
                <w:kern w:val="2"/>
                <w:szCs w:val="24"/>
                <w:highlight w:val="none"/>
              </w:rPr>
              <w:t>施</w:t>
            </w:r>
          </w:p>
        </w:tc>
        <w:tc>
          <w:tcPr>
            <w:tcW w:w="8417" w:type="dxa"/>
            <w:vAlign w:val="center"/>
          </w:tcPr>
          <w:p w14:paraId="6B222345">
            <w:pPr>
              <w:pStyle w:val="45"/>
              <w:ind w:firstLine="48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4.1施工期环境影响和保护措施</w:t>
            </w:r>
          </w:p>
          <w:p w14:paraId="0EE15FDF">
            <w:pPr>
              <w:pStyle w:val="20"/>
              <w:spacing w:after="0" w:line="360" w:lineRule="auto"/>
              <w:ind w:left="0" w:leftChars="0"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施工期主要的污染工序包括：运输车辆排放的废气和产生的扬尘</w:t>
            </w:r>
            <w:r>
              <w:rPr>
                <w:rFonts w:hint="eastAsia" w:cs="Times New Roman"/>
                <w:color w:val="auto"/>
                <w:highlight w:val="none"/>
                <w:lang w:eastAsia="zh-CN"/>
              </w:rPr>
              <w:t>、</w:t>
            </w:r>
            <w:r>
              <w:rPr>
                <w:rFonts w:hint="eastAsia" w:cs="Times New Roman"/>
                <w:color w:val="auto"/>
                <w:highlight w:val="none"/>
                <w:lang w:val="en-US" w:eastAsia="zh-CN"/>
              </w:rPr>
              <w:t>装修废气</w:t>
            </w:r>
            <w:r>
              <w:rPr>
                <w:rFonts w:hint="default" w:ascii="Times New Roman" w:hAnsi="Times New Roman" w:eastAsia="宋体" w:cs="Times New Roman"/>
                <w:color w:val="auto"/>
                <w:highlight w:val="none"/>
              </w:rPr>
              <w:t>；建筑施工人员施工期间产生的生活污水；运输车辆产生的噪声和设备搬运、调试过程中产生的噪声；施工人员的生活垃圾、装修垃圾和设备的废包装材料等。在对建筑物的室内外进行装修及项目设备安装时，会产生施工噪声和固体废物。这些污染是暂时性的，施工结束后，基本可以得到恢复。</w:t>
            </w:r>
          </w:p>
          <w:p w14:paraId="7ADACC61">
            <w:pPr>
              <w:spacing w:line="360" w:lineRule="auto"/>
              <w:ind w:firstLine="482" w:firstLineChars="200"/>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1.大气污染物</w:t>
            </w:r>
          </w:p>
          <w:p w14:paraId="48CF64AE">
            <w:pPr>
              <w:pStyle w:val="31"/>
              <w:tabs>
                <w:tab w:val="left" w:pos="0"/>
                <w:tab w:val="left" w:pos="870"/>
                <w:tab w:val="left" w:pos="3150"/>
              </w:tabs>
              <w:adjustRightInd w:val="0"/>
              <w:snapToGrid w:val="0"/>
              <w:spacing w:after="0" w:line="360" w:lineRule="auto"/>
              <w:ind w:left="0" w:leftChars="0" w:firstLine="480"/>
              <w:rPr>
                <w:rFonts w:hint="default" w:ascii="Times New Roman" w:hAnsi="Times New Roman" w:eastAsia="宋体" w:cs="Times New Roman"/>
                <w:i w:val="0"/>
                <w:iCs w:val="0"/>
                <w:color w:val="auto"/>
                <w:kern w:val="2"/>
                <w:szCs w:val="24"/>
                <w:highlight w:val="none"/>
              </w:rPr>
            </w:pPr>
            <w:r>
              <w:rPr>
                <w:rFonts w:hint="default" w:ascii="Times New Roman" w:hAnsi="Times New Roman" w:eastAsia="宋体" w:cs="Times New Roman"/>
                <w:i w:val="0"/>
                <w:iCs w:val="0"/>
                <w:color w:val="auto"/>
                <w:kern w:val="2"/>
                <w:szCs w:val="24"/>
                <w:highlight w:val="none"/>
              </w:rPr>
              <w:t>施工期废气主要为施工扬尘及装修废气。</w:t>
            </w:r>
          </w:p>
          <w:p w14:paraId="7AEBAFDC">
            <w:pPr>
              <w:pStyle w:val="20"/>
              <w:spacing w:after="0" w:line="360" w:lineRule="auto"/>
              <w:ind w:left="0" w:leftChars="0" w:firstLine="482" w:firstLineChars="200"/>
              <w:rPr>
                <w:rFonts w:hint="default" w:ascii="Times New Roman" w:hAnsi="Times New Roman" w:eastAsia="宋体" w:cs="Times New Roman"/>
                <w:i w:val="0"/>
                <w:iCs w:val="0"/>
                <w:color w:val="auto"/>
                <w:highlight w:val="none"/>
              </w:rPr>
            </w:pPr>
            <w:r>
              <w:rPr>
                <w:rFonts w:hint="default" w:ascii="Times New Roman" w:hAnsi="Times New Roman" w:eastAsia="宋体" w:cs="Times New Roman"/>
                <w:b/>
                <w:bCs/>
                <w:i w:val="0"/>
                <w:iCs w:val="0"/>
                <w:color w:val="auto"/>
                <w:highlight w:val="none"/>
              </w:rPr>
              <w:t>施工扬尘</w:t>
            </w:r>
            <w:r>
              <w:rPr>
                <w:rFonts w:hint="default" w:ascii="Times New Roman" w:hAnsi="Times New Roman" w:eastAsia="宋体" w:cs="Times New Roman"/>
                <w:i w:val="0"/>
                <w:iCs w:val="0"/>
                <w:color w:val="auto"/>
                <w:highlight w:val="none"/>
              </w:rPr>
              <w:t>：</w:t>
            </w:r>
            <w:r>
              <w:rPr>
                <w:rFonts w:hint="eastAsia" w:cs="Times New Roman"/>
                <w:i w:val="0"/>
                <w:iCs w:val="0"/>
                <w:color w:val="auto"/>
                <w:highlight w:val="none"/>
                <w:lang w:val="en-US" w:eastAsia="zh-CN"/>
              </w:rPr>
              <w:t>施工</w:t>
            </w:r>
            <w:r>
              <w:rPr>
                <w:rFonts w:hint="default" w:ascii="Times New Roman" w:hAnsi="Times New Roman" w:eastAsia="宋体" w:cs="Times New Roman"/>
                <w:i w:val="0"/>
                <w:iCs w:val="0"/>
                <w:color w:val="auto"/>
                <w:highlight w:val="none"/>
              </w:rPr>
              <w:t>扬尘</w:t>
            </w:r>
            <w:r>
              <w:rPr>
                <w:rFonts w:hint="eastAsia" w:cs="Times New Roman"/>
                <w:i w:val="0"/>
                <w:iCs w:val="0"/>
                <w:color w:val="auto"/>
                <w:highlight w:val="none"/>
                <w:lang w:val="en-US" w:eastAsia="zh-CN"/>
              </w:rPr>
              <w:t>主要产生于</w:t>
            </w:r>
            <w:r>
              <w:rPr>
                <w:rFonts w:hint="default" w:ascii="Times New Roman" w:hAnsi="Times New Roman" w:eastAsia="宋体" w:cs="Times New Roman"/>
                <w:i w:val="0"/>
                <w:iCs w:val="0"/>
                <w:color w:val="auto"/>
                <w:highlight w:val="none"/>
              </w:rPr>
              <w:t>土地平整、开挖、回填、道路浇筑、建材运输、露天堆放、装卸和搅拌等过程，如遇干旱无雨季节，在大风时，施工扬尘将更严重。根据类比分析，扬尘产生浓度为3.5mg/m</w:t>
            </w:r>
            <w:r>
              <w:rPr>
                <w:rFonts w:hint="default" w:ascii="Times New Roman" w:hAnsi="Times New Roman" w:eastAsia="宋体" w:cs="Times New Roman"/>
                <w:i w:val="0"/>
                <w:iCs w:val="0"/>
                <w:color w:val="auto"/>
                <w:highlight w:val="none"/>
                <w:vertAlign w:val="superscript"/>
              </w:rPr>
              <w:t>3</w:t>
            </w:r>
            <w:r>
              <w:rPr>
                <w:rFonts w:hint="default" w:ascii="Times New Roman" w:hAnsi="Times New Roman" w:eastAsia="宋体" w:cs="Times New Roman"/>
                <w:i w:val="0"/>
                <w:iCs w:val="0"/>
                <w:color w:val="auto"/>
                <w:highlight w:val="none"/>
              </w:rPr>
              <w:t>，经2.5～3m施工围挡阻隔、洒水降尘、车辆限速、地面硬化、加强管理、采取“六不准、六必须” 施工等措施后，区域内扬尘可减少80%，扬尘浓度约为 0.7mg/m</w:t>
            </w:r>
            <w:r>
              <w:rPr>
                <w:rFonts w:hint="default" w:ascii="Times New Roman" w:hAnsi="Times New Roman" w:eastAsia="宋体" w:cs="Times New Roman"/>
                <w:i w:val="0"/>
                <w:iCs w:val="0"/>
                <w:color w:val="auto"/>
                <w:highlight w:val="none"/>
                <w:vertAlign w:val="superscript"/>
              </w:rPr>
              <w:t>3</w:t>
            </w:r>
            <w:r>
              <w:rPr>
                <w:rFonts w:hint="default" w:ascii="Times New Roman" w:hAnsi="Times New Roman" w:eastAsia="宋体" w:cs="Times New Roman"/>
                <w:i w:val="0"/>
                <w:iCs w:val="0"/>
                <w:color w:val="auto"/>
                <w:highlight w:val="none"/>
              </w:rPr>
              <w:t>，可达到《</w:t>
            </w:r>
            <w:bookmarkStart w:id="13" w:name="OLE_LINK45"/>
            <w:r>
              <w:rPr>
                <w:rFonts w:hint="default" w:ascii="Times New Roman" w:hAnsi="Times New Roman" w:eastAsia="宋体" w:cs="Times New Roman"/>
                <w:i w:val="0"/>
                <w:iCs w:val="0"/>
                <w:color w:val="auto"/>
                <w:highlight w:val="none"/>
              </w:rPr>
              <w:t>大气污染物综合排放标准</w:t>
            </w:r>
            <w:bookmarkEnd w:id="13"/>
            <w:r>
              <w:rPr>
                <w:rFonts w:hint="default" w:ascii="Times New Roman" w:hAnsi="Times New Roman" w:eastAsia="宋体" w:cs="Times New Roman"/>
                <w:i w:val="0"/>
                <w:iCs w:val="0"/>
                <w:color w:val="auto"/>
                <w:highlight w:val="none"/>
              </w:rPr>
              <w:t>》（GB16297-1996）三级标准中颗粒物无组织排放浓度1.0mg/m</w:t>
            </w:r>
            <w:r>
              <w:rPr>
                <w:rFonts w:hint="default" w:ascii="Times New Roman" w:hAnsi="Times New Roman" w:eastAsia="宋体" w:cs="Times New Roman"/>
                <w:i w:val="0"/>
                <w:iCs w:val="0"/>
                <w:color w:val="auto"/>
                <w:highlight w:val="none"/>
                <w:vertAlign w:val="superscript"/>
              </w:rPr>
              <w:t>3</w:t>
            </w:r>
            <w:r>
              <w:rPr>
                <w:rFonts w:hint="default" w:ascii="Times New Roman" w:hAnsi="Times New Roman" w:eastAsia="宋体" w:cs="Times New Roman"/>
                <w:i w:val="0"/>
                <w:iCs w:val="0"/>
                <w:color w:val="auto"/>
                <w:highlight w:val="none"/>
              </w:rPr>
              <w:t>的要求，对大气环境质量影响较小。</w:t>
            </w:r>
          </w:p>
          <w:p w14:paraId="14DE4E42">
            <w:pPr>
              <w:pStyle w:val="20"/>
              <w:spacing w:after="0" w:line="360" w:lineRule="auto"/>
              <w:ind w:left="0" w:leftChars="0"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为进一步降低施工扬尘对周边居民及对环境空气的影响，环评建议：施工期采用密目安全网、定期地面洒水、及时清除撒落路面的渣土、施工</w:t>
            </w:r>
            <w:r>
              <w:rPr>
                <w:rFonts w:hint="eastAsia" w:cs="Times New Roman"/>
                <w:color w:val="auto"/>
                <w:highlight w:val="none"/>
                <w:lang w:val="en-US" w:eastAsia="zh-CN"/>
              </w:rPr>
              <w:t>道路尽量</w:t>
            </w:r>
            <w:r>
              <w:rPr>
                <w:rFonts w:hint="default" w:ascii="Times New Roman" w:hAnsi="Times New Roman" w:eastAsia="宋体" w:cs="Times New Roman"/>
                <w:color w:val="auto"/>
                <w:highlight w:val="none"/>
              </w:rPr>
              <w:t>硬化</w:t>
            </w:r>
            <w:r>
              <w:rPr>
                <w:rFonts w:hint="eastAsia" w:cs="Times New Roman"/>
                <w:color w:val="auto"/>
                <w:highlight w:val="none"/>
                <w:lang w:eastAsia="zh-CN"/>
              </w:rPr>
              <w:t>；</w:t>
            </w:r>
            <w:r>
              <w:rPr>
                <w:rFonts w:hint="default" w:ascii="Times New Roman" w:hAnsi="Times New Roman" w:eastAsia="宋体" w:cs="Times New Roman"/>
                <w:color w:val="auto"/>
                <w:highlight w:val="none"/>
              </w:rPr>
              <w:t>自卸车、垃圾运输车等运输车辆不允许超载，出场前一律清洗轮胎，用毡布覆盖</w:t>
            </w:r>
            <w:r>
              <w:rPr>
                <w:rFonts w:hint="eastAsia" w:cs="Times New Roman"/>
                <w:color w:val="auto"/>
                <w:highlight w:val="none"/>
                <w:lang w:val="en-US" w:eastAsia="zh-CN"/>
              </w:rPr>
              <w:t>运输物料</w:t>
            </w:r>
            <w:r>
              <w:rPr>
                <w:rFonts w:hint="default" w:ascii="Times New Roman" w:hAnsi="Times New Roman" w:eastAsia="宋体" w:cs="Times New Roman"/>
                <w:color w:val="auto"/>
                <w:highlight w:val="none"/>
              </w:rPr>
              <w:t>，并且在施工区出口设置防尘飞扬垫等一系列措施。</w:t>
            </w:r>
          </w:p>
          <w:p w14:paraId="6238F143">
            <w:pPr>
              <w:pStyle w:val="11"/>
              <w:spacing w:line="360" w:lineRule="auto"/>
              <w:ind w:firstLine="482"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kern w:val="2"/>
                <w:szCs w:val="24"/>
                <w:highlight w:val="none"/>
              </w:rPr>
              <w:t>装修废气</w:t>
            </w:r>
            <w:r>
              <w:rPr>
                <w:rFonts w:hint="default" w:ascii="Times New Roman" w:hAnsi="Times New Roman" w:eastAsia="宋体" w:cs="Times New Roman"/>
                <w:color w:val="auto"/>
                <w:kern w:val="2"/>
                <w:szCs w:val="24"/>
                <w:highlight w:val="none"/>
              </w:rPr>
              <w:t>：采用优质环保装修材料，加强室内的通风换气。</w:t>
            </w:r>
          </w:p>
          <w:p w14:paraId="4AD84CE7">
            <w:pPr>
              <w:spacing w:line="360" w:lineRule="auto"/>
              <w:ind w:firstLine="482" w:firstLineChars="200"/>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2.水污染物</w:t>
            </w:r>
          </w:p>
          <w:p w14:paraId="4E0BE55B">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本项目施工期废水主要为施工人员施工期间产生的生活污水。</w:t>
            </w:r>
          </w:p>
          <w:p w14:paraId="5BE6C224">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本项目施工期间施工总人数约为10人，施工人员</w:t>
            </w:r>
            <w:r>
              <w:rPr>
                <w:rFonts w:hint="eastAsia" w:cs="Times New Roman"/>
                <w:bCs/>
                <w:color w:val="auto"/>
                <w:highlight w:val="none"/>
                <w:lang w:val="en-US" w:eastAsia="zh-CN"/>
              </w:rPr>
              <w:t>生活综合用水</w:t>
            </w:r>
            <w:r>
              <w:rPr>
                <w:rFonts w:hint="default" w:ascii="Times New Roman" w:hAnsi="Times New Roman" w:eastAsia="宋体" w:cs="Times New Roman"/>
                <w:bCs/>
                <w:color w:val="auto"/>
                <w:highlight w:val="none"/>
              </w:rPr>
              <w:t>量按0.</w:t>
            </w:r>
            <w:r>
              <w:rPr>
                <w:rFonts w:hint="eastAsia" w:cs="Times New Roman"/>
                <w:bCs/>
                <w:color w:val="auto"/>
                <w:highlight w:val="none"/>
                <w:lang w:val="en-US" w:eastAsia="zh-CN"/>
              </w:rPr>
              <w:t>10</w:t>
            </w:r>
            <w:r>
              <w:rPr>
                <w:rFonts w:hint="default" w:ascii="Times New Roman" w:hAnsi="Times New Roman" w:eastAsia="宋体" w:cs="Times New Roman"/>
                <w:bCs/>
                <w:color w:val="auto"/>
                <w:highlight w:val="none"/>
              </w:rPr>
              <w:t>m</w:t>
            </w:r>
            <w:r>
              <w:rPr>
                <w:rFonts w:hint="default" w:ascii="Times New Roman" w:hAnsi="Times New Roman" w:eastAsia="宋体" w:cs="Times New Roman"/>
                <w:bCs/>
                <w:color w:val="auto"/>
                <w:highlight w:val="none"/>
                <w:vertAlign w:val="superscript"/>
              </w:rPr>
              <w:t>3</w:t>
            </w:r>
            <w:r>
              <w:rPr>
                <w:rFonts w:hint="default" w:ascii="Times New Roman" w:hAnsi="Times New Roman" w:eastAsia="宋体" w:cs="Times New Roman"/>
                <w:bCs/>
                <w:color w:val="auto"/>
                <w:highlight w:val="none"/>
              </w:rPr>
              <w:t>/d，生活污水产生量按用水量的85%计，则施工期生活污水产生量为0.</w:t>
            </w:r>
            <w:r>
              <w:rPr>
                <w:rFonts w:hint="eastAsia" w:cs="Times New Roman"/>
                <w:bCs/>
                <w:color w:val="auto"/>
                <w:highlight w:val="none"/>
                <w:lang w:val="en-US" w:eastAsia="zh-CN"/>
              </w:rPr>
              <w:t>85</w:t>
            </w:r>
            <w:r>
              <w:rPr>
                <w:rFonts w:hint="default" w:ascii="Times New Roman" w:hAnsi="Times New Roman" w:eastAsia="宋体" w:cs="Times New Roman"/>
                <w:bCs/>
                <w:color w:val="auto"/>
                <w:highlight w:val="none"/>
              </w:rPr>
              <w:t>m</w:t>
            </w:r>
            <w:r>
              <w:rPr>
                <w:rFonts w:hint="default" w:ascii="Times New Roman" w:hAnsi="Times New Roman" w:eastAsia="宋体" w:cs="Times New Roman"/>
                <w:bCs/>
                <w:color w:val="auto"/>
                <w:highlight w:val="none"/>
                <w:vertAlign w:val="superscript"/>
              </w:rPr>
              <w:t>3</w:t>
            </w:r>
            <w:r>
              <w:rPr>
                <w:rFonts w:hint="default" w:ascii="Times New Roman" w:hAnsi="Times New Roman" w:eastAsia="宋体" w:cs="Times New Roman"/>
                <w:bCs/>
                <w:color w:val="auto"/>
                <w:highlight w:val="none"/>
              </w:rPr>
              <w:t>/d。</w:t>
            </w:r>
            <w:r>
              <w:rPr>
                <w:rFonts w:hint="eastAsia" w:cs="Times New Roman"/>
                <w:bCs/>
                <w:color w:val="auto"/>
                <w:highlight w:val="none"/>
                <w:lang w:val="en-US" w:eastAsia="zh-CN"/>
              </w:rPr>
              <w:t>项目施工人员主要来自当地，</w:t>
            </w:r>
            <w:r>
              <w:rPr>
                <w:rFonts w:hint="default" w:ascii="Times New Roman" w:hAnsi="Times New Roman" w:eastAsia="宋体" w:cs="Times New Roman"/>
                <w:color w:val="auto"/>
                <w:highlight w:val="none"/>
              </w:rPr>
              <w:t>生活污水</w:t>
            </w:r>
            <w:r>
              <w:rPr>
                <w:rFonts w:hint="eastAsia" w:cs="Times New Roman"/>
                <w:color w:val="auto"/>
                <w:highlight w:val="none"/>
                <w:lang w:val="en-US" w:eastAsia="zh-CN"/>
              </w:rPr>
              <w:t>产生量很小，经自建化粪池或依托周边农户的化粪池预处理后，用于农用施肥，不排入地表水</w:t>
            </w:r>
            <w:r>
              <w:rPr>
                <w:rFonts w:hint="default" w:ascii="Times New Roman" w:hAnsi="Times New Roman" w:eastAsia="宋体" w:cs="Times New Roman"/>
                <w:bCs/>
                <w:color w:val="auto"/>
                <w:highlight w:val="none"/>
              </w:rPr>
              <w:t>。</w:t>
            </w:r>
          </w:p>
          <w:p w14:paraId="517C882F">
            <w:pPr>
              <w:spacing w:line="360" w:lineRule="auto"/>
              <w:ind w:firstLine="482" w:firstLineChars="200"/>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3.噪声</w:t>
            </w:r>
          </w:p>
          <w:p w14:paraId="0F593C37">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项目施工期主要噪声来源于设备安装噪声。</w:t>
            </w:r>
          </w:p>
          <w:p w14:paraId="257B4755">
            <w:pPr>
              <w:spacing w:line="360" w:lineRule="auto"/>
              <w:ind w:firstLine="480" w:firstLineChars="200"/>
              <w:rPr>
                <w:rFonts w:hint="default" w:ascii="Times New Roman" w:hAnsi="Times New Roman" w:eastAsia="宋体" w:cs="Times New Roman"/>
                <w:bCs/>
                <w:color w:val="auto"/>
                <w:highlight w:val="none"/>
              </w:rPr>
            </w:pPr>
            <w:r>
              <w:rPr>
                <w:rFonts w:hint="eastAsia" w:cs="Times New Roman"/>
                <w:color w:val="auto"/>
                <w:highlight w:val="none"/>
                <w:lang w:val="en-US" w:eastAsia="zh-CN"/>
              </w:rPr>
              <w:t>项目位于农村环境，距离周边声环境敏感点较远（最近的农户相距厂界43m左右）。</w:t>
            </w:r>
            <w:r>
              <w:rPr>
                <w:rFonts w:hint="default" w:ascii="Times New Roman" w:hAnsi="Times New Roman" w:eastAsia="宋体" w:cs="Times New Roman"/>
                <w:color w:val="auto"/>
                <w:highlight w:val="none"/>
              </w:rPr>
              <w:t>通过选用低噪声设备，合理进行施工布置，文明施工方式，装卸、搬运不抛掷；合理安排施工时间，夜间(22:00~06:00</w:t>
            </w:r>
            <w:r>
              <w:rPr>
                <w:rFonts w:hint="eastAsia" w:cs="Times New Roman"/>
                <w:color w:val="auto"/>
                <w:highlight w:val="none"/>
                <w:lang w:eastAsia="zh-CN"/>
              </w:rPr>
              <w:t>）</w:t>
            </w:r>
            <w:r>
              <w:rPr>
                <w:rFonts w:hint="default" w:ascii="Times New Roman" w:hAnsi="Times New Roman" w:eastAsia="宋体" w:cs="Times New Roman"/>
                <w:color w:val="auto"/>
                <w:highlight w:val="none"/>
              </w:rPr>
              <w:t>禁止高噪声机械施工和电动工具作业，避免对周边环境产生影响；严格执行《建筑施工场界环境噪声排放标准》(GB12523-2011</w:t>
            </w:r>
            <w:r>
              <w:rPr>
                <w:rFonts w:hint="eastAsia" w:cs="Times New Roman"/>
                <w:color w:val="auto"/>
                <w:highlight w:val="none"/>
                <w:lang w:eastAsia="zh-CN"/>
              </w:rPr>
              <w:t>）</w:t>
            </w:r>
            <w:r>
              <w:rPr>
                <w:rFonts w:hint="default" w:ascii="Times New Roman" w:hAnsi="Times New Roman" w:eastAsia="宋体" w:cs="Times New Roman"/>
                <w:color w:val="auto"/>
                <w:highlight w:val="none"/>
              </w:rPr>
              <w:t>的要求。</w:t>
            </w:r>
          </w:p>
          <w:p w14:paraId="47E9EFBA">
            <w:pPr>
              <w:spacing w:line="360" w:lineRule="auto"/>
              <w:ind w:firstLine="482" w:firstLineChars="200"/>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4.固体废物</w:t>
            </w:r>
          </w:p>
          <w:p w14:paraId="5A71405F">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本项目施工期固体废物主要为施工人员生活垃圾、装修垃圾和设备的废包装材料。</w:t>
            </w:r>
          </w:p>
          <w:p w14:paraId="2880E528">
            <w:pPr>
              <w:spacing w:line="360" w:lineRule="auto"/>
              <w:ind w:firstLine="48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设备安装时产生的废包装材料产生量约为0.</w:t>
            </w:r>
            <w:r>
              <w:rPr>
                <w:rFonts w:hint="eastAsia" w:cs="Times New Roman"/>
                <w:bCs/>
                <w:color w:val="auto"/>
                <w:highlight w:val="none"/>
                <w:lang w:val="en-US" w:eastAsia="zh-CN"/>
              </w:rPr>
              <w:t>1</w:t>
            </w:r>
            <w:r>
              <w:rPr>
                <w:rFonts w:hint="default" w:ascii="Times New Roman" w:hAnsi="Times New Roman" w:eastAsia="宋体" w:cs="Times New Roman"/>
                <w:bCs/>
                <w:color w:val="auto"/>
                <w:highlight w:val="none"/>
              </w:rPr>
              <w:t>t，交由废品收购站回收；装修垃圾产生量约为0.</w:t>
            </w:r>
            <w:r>
              <w:rPr>
                <w:rFonts w:hint="eastAsia" w:cs="Times New Roman"/>
                <w:bCs/>
                <w:color w:val="auto"/>
                <w:highlight w:val="none"/>
                <w:lang w:val="en-US" w:eastAsia="zh-CN"/>
              </w:rPr>
              <w:t>08</w:t>
            </w:r>
            <w:r>
              <w:rPr>
                <w:rFonts w:hint="default" w:ascii="Times New Roman" w:hAnsi="Times New Roman" w:eastAsia="宋体" w:cs="Times New Roman"/>
                <w:bCs/>
                <w:color w:val="auto"/>
                <w:highlight w:val="none"/>
              </w:rPr>
              <w:t>t，除部分回收利用，剩余部分堆放达一定量时及时清运到指定的垃圾场处理；</w:t>
            </w:r>
            <w:r>
              <w:rPr>
                <w:rFonts w:hint="eastAsia" w:cs="Times New Roman"/>
                <w:bCs/>
                <w:color w:val="auto"/>
                <w:highlight w:val="none"/>
                <w:lang w:val="en-US" w:eastAsia="zh-CN"/>
              </w:rPr>
              <w:t>施工</w:t>
            </w:r>
            <w:r>
              <w:rPr>
                <w:rFonts w:hint="default" w:ascii="Times New Roman" w:hAnsi="Times New Roman" w:eastAsia="宋体" w:cs="Times New Roman"/>
                <w:bCs/>
                <w:color w:val="auto"/>
                <w:highlight w:val="none"/>
              </w:rPr>
              <w:t>工人数为10人，生活垃圾产生量按0.5kg/人·d计，预计产生总量为5kg/d，施工人员生活垃圾袋装收集后由环卫部门统一运送到垃圾处理场集中处理；装修使用的油漆桶等在施工结束后由装修公司带走进行无害化处置。</w:t>
            </w:r>
          </w:p>
          <w:p w14:paraId="5F269243">
            <w:pPr>
              <w:spacing w:line="360" w:lineRule="auto"/>
              <w:ind w:firstLine="480" w:firstLineChars="200"/>
              <w:rPr>
                <w:rFonts w:hint="default" w:ascii="Times New Roman" w:hAnsi="Times New Roman" w:eastAsia="宋体" w:cs="Times New Roman"/>
                <w:color w:val="auto"/>
                <w:kern w:val="0"/>
                <w:highlight w:val="none"/>
              </w:rPr>
            </w:pPr>
            <w:r>
              <w:rPr>
                <w:rFonts w:hint="default" w:ascii="Times New Roman" w:hAnsi="Times New Roman" w:eastAsia="宋体" w:cs="Times New Roman"/>
                <w:bCs/>
                <w:color w:val="auto"/>
                <w:highlight w:val="none"/>
              </w:rPr>
              <w:t>综上所述，项目施工期在严格落实了本环评提出的上述措施后，对环境影响很小，并可随施工期的结束而结束</w:t>
            </w:r>
            <w:r>
              <w:rPr>
                <w:rFonts w:hint="default" w:ascii="Times New Roman" w:hAnsi="Times New Roman" w:eastAsia="宋体" w:cs="Times New Roman"/>
                <w:color w:val="auto"/>
                <w:kern w:val="0"/>
                <w:highlight w:val="none"/>
              </w:rPr>
              <w:t>。</w:t>
            </w:r>
          </w:p>
          <w:p w14:paraId="05BF0B36">
            <w:pPr>
              <w:numPr>
                <w:ilvl w:val="0"/>
                <w:numId w:val="18"/>
              </w:numPr>
              <w:spacing w:line="360" w:lineRule="auto"/>
              <w:ind w:firstLine="482" w:firstLineChars="200"/>
              <w:rPr>
                <w:rFonts w:hint="eastAsia" w:cs="Times New Roman"/>
                <w:b/>
                <w:bCs/>
                <w:color w:val="auto"/>
                <w:kern w:val="0"/>
                <w:highlight w:val="none"/>
                <w:lang w:val="en-US" w:eastAsia="zh-CN"/>
              </w:rPr>
            </w:pPr>
            <w:r>
              <w:rPr>
                <w:rFonts w:hint="eastAsia" w:cs="Times New Roman"/>
                <w:b/>
                <w:bCs/>
                <w:color w:val="auto"/>
                <w:kern w:val="0"/>
                <w:highlight w:val="none"/>
                <w:lang w:val="en-US" w:eastAsia="zh-CN"/>
              </w:rPr>
              <w:t>生态环境保护措施</w:t>
            </w:r>
          </w:p>
          <w:p w14:paraId="24B78BA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color w:val="auto"/>
                <w:kern w:val="0"/>
                <w:highlight w:val="none"/>
                <w:lang w:val="en-US" w:eastAsia="zh-CN"/>
              </w:rPr>
            </w:pPr>
            <w:r>
              <w:rPr>
                <w:rFonts w:hint="default" w:cs="Times New Roman"/>
                <w:color w:val="auto"/>
                <w:kern w:val="0"/>
                <w:highlight w:val="none"/>
                <w:lang w:val="en-US" w:eastAsia="zh-CN"/>
              </w:rPr>
              <w:t>本项目</w:t>
            </w:r>
            <w:r>
              <w:rPr>
                <w:rFonts w:hint="eastAsia" w:cs="Times New Roman"/>
                <w:color w:val="auto"/>
                <w:kern w:val="0"/>
                <w:highlight w:val="none"/>
                <w:lang w:val="en-US" w:eastAsia="zh-CN"/>
              </w:rPr>
              <w:t>占地为林地，为商品林等可占用的林地类别，且已取得县级预审，转报上级主管部门。</w:t>
            </w:r>
          </w:p>
          <w:p w14:paraId="24CD8A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cs="Times New Roman"/>
                <w:color w:val="auto"/>
                <w:kern w:val="0"/>
                <w:highlight w:val="none"/>
                <w:lang w:val="en-US" w:eastAsia="zh-CN"/>
              </w:rPr>
            </w:pPr>
            <w:r>
              <w:rPr>
                <w:rFonts w:hint="eastAsia" w:cs="Times New Roman"/>
                <w:color w:val="auto"/>
                <w:kern w:val="0"/>
                <w:highlight w:val="none"/>
                <w:lang w:val="en-US" w:eastAsia="zh-CN"/>
              </w:rPr>
              <w:t>项目占地不属于自然保护区、风景名胜区等生态环境敏感区。施工期前应对占地范围内的林木进行清查，如涉及挂牌保护的古树名木，应向主管部门汇报，及时采取就地保护或移栽保护措施。</w:t>
            </w:r>
          </w:p>
          <w:p w14:paraId="569BC8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cs="Times New Roman"/>
                <w:color w:val="auto"/>
                <w:kern w:val="0"/>
                <w:highlight w:val="none"/>
                <w:lang w:val="en-US" w:eastAsia="zh-CN"/>
              </w:rPr>
            </w:pPr>
            <w:r>
              <w:rPr>
                <w:rFonts w:hint="eastAsia" w:cs="Times New Roman"/>
                <w:color w:val="auto"/>
                <w:kern w:val="0"/>
                <w:highlight w:val="none"/>
                <w:lang w:val="en-US" w:eastAsia="zh-CN"/>
              </w:rPr>
              <w:t>由于项目东侧约155m为贡嘎山国家级风景名胜区的一般控制区（海拔较本项目高约50m），项目施工人员应局限在占地范围内活动，不得无故上至风景名胜区进行活动。</w:t>
            </w:r>
          </w:p>
          <w:p w14:paraId="014FF7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cs="Times New Roman"/>
                <w:color w:val="auto"/>
                <w:kern w:val="0"/>
                <w:highlight w:val="none"/>
                <w:lang w:val="en-US" w:eastAsia="zh-CN"/>
              </w:rPr>
            </w:pPr>
            <w:r>
              <w:rPr>
                <w:rFonts w:hint="eastAsia" w:cs="Times New Roman"/>
                <w:color w:val="auto"/>
                <w:kern w:val="0"/>
                <w:highlight w:val="none"/>
                <w:lang w:val="en-US" w:eastAsia="zh-CN"/>
              </w:rPr>
              <w:t>此外，项目施工</w:t>
            </w:r>
            <w:r>
              <w:rPr>
                <w:rFonts w:hint="default" w:cs="Times New Roman"/>
                <w:color w:val="auto"/>
                <w:kern w:val="0"/>
                <w:highlight w:val="none"/>
                <w:lang w:val="en-US" w:eastAsia="zh-CN"/>
              </w:rPr>
              <w:t>对生态环境的影响主要表现</w:t>
            </w:r>
            <w:r>
              <w:rPr>
                <w:rFonts w:hint="eastAsia" w:cs="Times New Roman"/>
                <w:color w:val="auto"/>
                <w:kern w:val="0"/>
                <w:highlight w:val="none"/>
                <w:lang w:val="en-US" w:eastAsia="zh-CN"/>
              </w:rPr>
              <w:t>为</w:t>
            </w:r>
            <w:r>
              <w:rPr>
                <w:rFonts w:hint="default" w:cs="Times New Roman"/>
                <w:color w:val="auto"/>
                <w:kern w:val="0"/>
                <w:highlight w:val="none"/>
                <w:lang w:val="en-US" w:eastAsia="zh-CN"/>
              </w:rPr>
              <w:t>场地水土流失</w:t>
            </w:r>
            <w:r>
              <w:rPr>
                <w:rFonts w:hint="eastAsia" w:cs="Times New Roman"/>
                <w:color w:val="auto"/>
                <w:kern w:val="0"/>
                <w:highlight w:val="none"/>
                <w:lang w:val="en-US" w:eastAsia="zh-CN"/>
              </w:rPr>
              <w:t>影响</w:t>
            </w:r>
            <w:r>
              <w:rPr>
                <w:rFonts w:hint="default" w:cs="Times New Roman"/>
                <w:color w:val="auto"/>
                <w:kern w:val="0"/>
                <w:highlight w:val="none"/>
                <w:lang w:val="en-US" w:eastAsia="zh-CN"/>
              </w:rPr>
              <w:t>。</w:t>
            </w:r>
            <w:r>
              <w:rPr>
                <w:rFonts w:hint="eastAsia" w:cs="Times New Roman"/>
                <w:color w:val="auto"/>
                <w:kern w:val="0"/>
                <w:highlight w:val="none"/>
                <w:lang w:val="en-US" w:eastAsia="zh-CN"/>
              </w:rPr>
              <w:t>应</w:t>
            </w:r>
            <w:r>
              <w:rPr>
                <w:rFonts w:hint="default" w:cs="Times New Roman"/>
                <w:color w:val="auto"/>
                <w:kern w:val="0"/>
                <w:highlight w:val="none"/>
                <w:lang w:val="en-US" w:eastAsia="zh-CN"/>
              </w:rPr>
              <w:t>采取的措施有：应在厂区内修建排水沟渠，将雨季的地面径流进行引流，减轻地面负荷，防止造成污染影响；遵循先挡后建的原则，应在厂界修建围墙，防止雨季对土壤</w:t>
            </w:r>
            <w:r>
              <w:rPr>
                <w:rFonts w:hint="eastAsia" w:cs="Times New Roman"/>
                <w:color w:val="auto"/>
                <w:kern w:val="0"/>
                <w:highlight w:val="none"/>
                <w:lang w:val="en-US" w:eastAsia="zh-CN"/>
              </w:rPr>
              <w:t>造成</w:t>
            </w:r>
            <w:r>
              <w:rPr>
                <w:rFonts w:hint="default" w:cs="Times New Roman"/>
                <w:color w:val="auto"/>
                <w:kern w:val="0"/>
                <w:highlight w:val="none"/>
                <w:lang w:val="en-US" w:eastAsia="zh-CN"/>
              </w:rPr>
              <w:t>冲刷，</w:t>
            </w:r>
            <w:r>
              <w:rPr>
                <w:rFonts w:hint="eastAsia" w:cs="Times New Roman"/>
                <w:color w:val="auto"/>
                <w:kern w:val="0"/>
                <w:highlight w:val="none"/>
                <w:lang w:val="en-US" w:eastAsia="zh-CN"/>
              </w:rPr>
              <w:t>引起</w:t>
            </w:r>
            <w:r>
              <w:rPr>
                <w:rFonts w:hint="default" w:cs="Times New Roman"/>
                <w:color w:val="auto"/>
                <w:kern w:val="0"/>
                <w:highlight w:val="none"/>
                <w:lang w:val="en-US" w:eastAsia="zh-CN"/>
              </w:rPr>
              <w:t>水土流失；禁止在大雨和暴雨时进行土方工程施工；厂区内地面进行硬化或绿化，以防止厂区内水土流失。</w:t>
            </w:r>
          </w:p>
          <w:p w14:paraId="1F79F3ED">
            <w:pPr>
              <w:spacing w:line="360" w:lineRule="auto"/>
              <w:ind w:firstLine="480" w:firstLineChars="200"/>
              <w:rPr>
                <w:rFonts w:hint="default" w:ascii="Times New Roman" w:hAnsi="Times New Roman" w:eastAsia="宋体" w:cs="Times New Roman"/>
                <w:bCs/>
                <w:color w:val="auto"/>
                <w:spacing w:val="-10"/>
                <w:highlight w:val="none"/>
              </w:rPr>
            </w:pPr>
            <w:r>
              <w:rPr>
                <w:rFonts w:hint="default" w:cs="Times New Roman"/>
                <w:color w:val="auto"/>
                <w:kern w:val="0"/>
                <w:highlight w:val="none"/>
                <w:lang w:val="en-US" w:eastAsia="zh-CN"/>
              </w:rPr>
              <w:t>通过以上措施后本项目水土流失可得到较好的控制，故本项目采取的生态环境保护措施可行。</w:t>
            </w:r>
          </w:p>
        </w:tc>
      </w:tr>
      <w:tr w14:paraId="16F511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64" w:type="dxa"/>
            <w:tcMar>
              <w:left w:w="28" w:type="dxa"/>
              <w:right w:w="28" w:type="dxa"/>
            </w:tcMar>
            <w:vAlign w:val="center"/>
          </w:tcPr>
          <w:p w14:paraId="17036579">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运营</w:t>
            </w:r>
          </w:p>
          <w:p w14:paraId="3816FD24">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期环</w:t>
            </w:r>
          </w:p>
          <w:p w14:paraId="0A78136B">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境影</w:t>
            </w:r>
          </w:p>
          <w:p w14:paraId="74E6D12C">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响和</w:t>
            </w:r>
          </w:p>
          <w:p w14:paraId="70A29833">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保护</w:t>
            </w:r>
          </w:p>
          <w:p w14:paraId="22354FBF">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bCs/>
                <w:color w:val="auto"/>
                <w:szCs w:val="24"/>
                <w:highlight w:val="none"/>
              </w:rPr>
              <w:t>措施</w:t>
            </w:r>
          </w:p>
        </w:tc>
        <w:tc>
          <w:tcPr>
            <w:tcW w:w="8417" w:type="dxa"/>
            <w:vAlign w:val="center"/>
          </w:tcPr>
          <w:p w14:paraId="4AFD46CE">
            <w:pPr>
              <w:keepNext w:val="0"/>
              <w:keepLines w:val="0"/>
              <w:pageBreakBefore w:val="0"/>
              <w:widowControl w:val="0"/>
              <w:tabs>
                <w:tab w:val="left" w:pos="2580"/>
                <w:tab w:val="left" w:pos="7560"/>
              </w:tabs>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4.2营运期环境影响和保护措施</w:t>
            </w:r>
          </w:p>
          <w:p w14:paraId="7FE856DB">
            <w:pPr>
              <w:adjustRightInd w:val="0"/>
              <w:snapToGrid w:val="0"/>
              <w:spacing w:line="360" w:lineRule="auto"/>
              <w:ind w:firstLine="482" w:firstLineChars="200"/>
              <w:jc w:val="left"/>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4.2.1废气产排情况及达标排放分析</w:t>
            </w:r>
          </w:p>
          <w:p w14:paraId="1DEE8462">
            <w:pPr>
              <w:widowControl/>
              <w:spacing w:line="360" w:lineRule="auto"/>
              <w:ind w:firstLine="480" w:firstLineChars="200"/>
              <w:jc w:val="left"/>
              <w:rPr>
                <w:rFonts w:hint="default" w:ascii="Times New Roman" w:hAnsi="Times New Roman" w:eastAsia="宋体" w:cs="Times New Roman"/>
                <w:bCs/>
                <w:color w:val="auto"/>
                <w:kern w:val="0"/>
                <w:highlight w:val="none"/>
                <w:lang w:val="en-US" w:eastAsia="zh-CN"/>
              </w:rPr>
            </w:pPr>
            <w:r>
              <w:rPr>
                <w:rFonts w:hint="default" w:ascii="Times New Roman" w:hAnsi="Times New Roman" w:eastAsia="宋体" w:cs="Times New Roman"/>
                <w:bCs/>
                <w:color w:val="auto"/>
                <w:kern w:val="0"/>
                <w:highlight w:val="none"/>
              </w:rPr>
              <w:t>本项目</w:t>
            </w:r>
            <w:r>
              <w:rPr>
                <w:rFonts w:hint="eastAsia" w:cs="Times New Roman"/>
                <w:bCs/>
                <w:color w:val="auto"/>
                <w:kern w:val="0"/>
                <w:highlight w:val="none"/>
                <w:lang w:val="en-US" w:eastAsia="zh-CN"/>
              </w:rPr>
              <w:t>营运期</w:t>
            </w:r>
            <w:r>
              <w:rPr>
                <w:rFonts w:hint="default" w:ascii="Times New Roman" w:hAnsi="Times New Roman" w:eastAsia="宋体" w:cs="Times New Roman"/>
                <w:bCs/>
                <w:color w:val="auto"/>
                <w:kern w:val="0"/>
                <w:highlight w:val="none"/>
              </w:rPr>
              <w:t>废气主要为待宰、屠宰过程、污水</w:t>
            </w:r>
            <w:r>
              <w:rPr>
                <w:rFonts w:hint="eastAsia" w:ascii="Times New Roman" w:hAnsi="Times New Roman" w:eastAsia="宋体" w:cs="Times New Roman"/>
                <w:bCs/>
                <w:color w:val="auto"/>
                <w:kern w:val="0"/>
                <w:highlight w:val="none"/>
                <w:lang w:val="en-US" w:eastAsia="zh-CN"/>
              </w:rPr>
              <w:t>处理</w:t>
            </w:r>
            <w:r>
              <w:rPr>
                <w:rFonts w:hint="default" w:ascii="Times New Roman" w:hAnsi="Times New Roman" w:eastAsia="宋体" w:cs="Times New Roman"/>
                <w:bCs/>
                <w:color w:val="auto"/>
                <w:kern w:val="0"/>
                <w:highlight w:val="none"/>
              </w:rPr>
              <w:t>站</w:t>
            </w:r>
            <w:r>
              <w:rPr>
                <w:rFonts w:hint="eastAsia" w:ascii="Times New Roman" w:hAnsi="Times New Roman" w:eastAsia="宋体" w:cs="Times New Roman"/>
                <w:bCs/>
                <w:color w:val="auto"/>
                <w:kern w:val="0"/>
                <w:highlight w:val="none"/>
                <w:lang w:val="en-US" w:eastAsia="zh-CN"/>
              </w:rPr>
              <w:t>以及污粪暂存</w:t>
            </w:r>
            <w:r>
              <w:rPr>
                <w:rFonts w:hint="default" w:ascii="Times New Roman" w:hAnsi="Times New Roman" w:eastAsia="宋体" w:cs="Times New Roman"/>
                <w:bCs/>
                <w:color w:val="auto"/>
                <w:kern w:val="0"/>
                <w:highlight w:val="none"/>
              </w:rPr>
              <w:t>产生的恶臭。</w:t>
            </w:r>
            <w:r>
              <w:rPr>
                <w:rFonts w:hint="eastAsia" w:cs="Times New Roman"/>
                <w:bCs/>
                <w:color w:val="auto"/>
                <w:kern w:val="0"/>
                <w:highlight w:val="none"/>
                <w:lang w:val="en-US" w:eastAsia="zh-CN"/>
              </w:rPr>
              <w:t>项目屠宰量很小，营运期日工作时间较短，不设食堂和备用柴油发电机，故不产生以上废气。</w:t>
            </w:r>
          </w:p>
          <w:p w14:paraId="2FFA63DD">
            <w:pPr>
              <w:adjustRightInd w:val="0"/>
              <w:snapToGrid w:val="0"/>
              <w:spacing w:line="360" w:lineRule="auto"/>
              <w:ind w:firstLine="482" w:firstLineChars="200"/>
              <w:jc w:val="left"/>
              <w:rPr>
                <w:rFonts w:hint="default"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（一）产污分析</w:t>
            </w:r>
          </w:p>
          <w:p w14:paraId="014C6EED">
            <w:pPr>
              <w:spacing w:line="360" w:lineRule="auto"/>
              <w:ind w:firstLine="482" w:firstLineChars="200"/>
              <w:rPr>
                <w:rFonts w:hint="default"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1）恶臭产排污分析</w:t>
            </w:r>
          </w:p>
          <w:p w14:paraId="6478B314">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恶臭为多组分低浓度的混合气体，其成分可达几十到几百种，各成分之间既有协同作用也有拮抗作用。恶臭污染主要是通过影响人们的嗅觉来影响环境。由于个人的生理、心理条件、年龄、性别、职业、习惯等因素的不同对恶臭的敏感程度、厌恶程度和可耐受程度也不同。</w:t>
            </w:r>
          </w:p>
          <w:p w14:paraId="482C372E">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恶臭的影响也与污染源的性质、大气状况和距污染源的方位及距离有关。与屠宰场有关的恶臭物质多达23种，大多为氨、硫化氢、硫醇类、酮类、胺类、吲哚类和醛类，若未及时清除或清除后不能及时处理，将会使臭味成倍增加，进一步产生甲基硫醇、二甲基二硫醚、甲硫醚、三甲胺等恶臭气体，并会孳生大量蚊蝇，影响环境卫生。</w:t>
            </w:r>
          </w:p>
          <w:p w14:paraId="5A2BCFCC">
            <w:pPr>
              <w:spacing w:line="360" w:lineRule="auto"/>
              <w:ind w:firstLine="482" w:firstLineChars="200"/>
              <w:rPr>
                <w:rFonts w:hint="default" w:ascii="Times New Roman" w:hAnsi="Times New Roman" w:eastAsia="宋体" w:cs="Times New Roman"/>
                <w:b/>
                <w:bCs w:val="0"/>
                <w:color w:val="auto"/>
                <w:highlight w:val="none"/>
                <w:lang w:val="en-US" w:eastAsia="zh-CN"/>
              </w:rPr>
            </w:pPr>
            <w:r>
              <w:rPr>
                <w:rFonts w:hint="default" w:ascii="Times New Roman" w:hAnsi="Times New Roman" w:eastAsia="宋体" w:cs="Times New Roman"/>
                <w:b/>
                <w:bCs w:val="0"/>
                <w:color w:val="auto"/>
                <w:highlight w:val="none"/>
                <w:lang w:val="en-US" w:eastAsia="zh-CN"/>
              </w:rPr>
              <w:t>①待宰区恶臭</w:t>
            </w:r>
          </w:p>
          <w:p w14:paraId="2BA33845">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项目收运的生猪由专业的运输车辆运至项目区内。项目设置生猪待宰区，日均屠宰量为</w:t>
            </w:r>
            <w:r>
              <w:rPr>
                <w:rFonts w:hint="eastAsia" w:cs="Times New Roman"/>
                <w:bCs/>
                <w:color w:val="auto"/>
                <w:highlight w:val="none"/>
                <w:lang w:val="en-US" w:eastAsia="zh-CN"/>
              </w:rPr>
              <w:t>20</w:t>
            </w:r>
            <w:r>
              <w:rPr>
                <w:rFonts w:hint="default" w:ascii="Times New Roman" w:hAnsi="Times New Roman" w:eastAsia="宋体" w:cs="Times New Roman"/>
                <w:bCs/>
                <w:color w:val="auto"/>
                <w:highlight w:val="none"/>
                <w:lang w:val="en-US" w:eastAsia="zh-CN"/>
              </w:rPr>
              <w:t>头/d，待宰区最大容量为</w:t>
            </w:r>
            <w:r>
              <w:rPr>
                <w:rFonts w:hint="eastAsia" w:cs="Times New Roman"/>
                <w:bCs/>
                <w:color w:val="auto"/>
                <w:highlight w:val="none"/>
                <w:lang w:val="en-US" w:eastAsia="zh-CN"/>
              </w:rPr>
              <w:t>23</w:t>
            </w:r>
            <w:r>
              <w:rPr>
                <w:rFonts w:hint="default" w:ascii="Times New Roman" w:hAnsi="Times New Roman" w:eastAsia="宋体" w:cs="Times New Roman"/>
                <w:bCs/>
                <w:color w:val="auto"/>
                <w:highlight w:val="none"/>
                <w:lang w:val="en-US" w:eastAsia="zh-CN"/>
              </w:rPr>
              <w:t>头/d，生猪在厂区内静养时间为12h，不提供食物、仅维持水源，静养过程中产生少量粪尿排泄物，这些粪便产生NH</w:t>
            </w:r>
            <w:r>
              <w:rPr>
                <w:rFonts w:hint="default" w:ascii="Times New Roman" w:hAnsi="Times New Roman" w:eastAsia="宋体" w:cs="Times New Roman"/>
                <w:bCs/>
                <w:color w:val="auto"/>
                <w:highlight w:val="none"/>
                <w:vertAlign w:val="subscript"/>
                <w:lang w:val="en-US" w:eastAsia="zh-CN"/>
              </w:rPr>
              <w:t>3</w:t>
            </w:r>
            <w:r>
              <w:rPr>
                <w:rFonts w:hint="default" w:ascii="Times New Roman" w:hAnsi="Times New Roman" w:eastAsia="宋体" w:cs="Times New Roman"/>
                <w:bCs/>
                <w:color w:val="auto"/>
                <w:highlight w:val="none"/>
                <w:lang w:val="en-US" w:eastAsia="zh-CN"/>
              </w:rPr>
              <w:t>、H</w:t>
            </w:r>
            <w:r>
              <w:rPr>
                <w:rFonts w:hint="default" w:ascii="Times New Roman" w:hAnsi="Times New Roman" w:eastAsia="宋体" w:cs="Times New Roman"/>
                <w:bCs/>
                <w:color w:val="auto"/>
                <w:highlight w:val="none"/>
                <w:vertAlign w:val="subscript"/>
                <w:lang w:val="en-US" w:eastAsia="zh-CN"/>
              </w:rPr>
              <w:t>2</w:t>
            </w:r>
            <w:r>
              <w:rPr>
                <w:rFonts w:hint="default" w:ascii="Times New Roman" w:hAnsi="Times New Roman" w:eastAsia="宋体" w:cs="Times New Roman"/>
                <w:bCs/>
                <w:color w:val="auto"/>
                <w:highlight w:val="none"/>
                <w:lang w:val="en-US" w:eastAsia="zh-CN"/>
              </w:rPr>
              <w:t>S等恶臭有害气体，若未及时清除或清除后不能及时处理，将会使臭味成倍增加，进一步产生甲基硫醇、二甲基二硫醚、二甲胺等恶臭气体，并会滋生大量蚊蝇，影响环境卫生。待宰区恶臭已经包含粪便及胃肠渣暂存设施产生的恶臭。</w:t>
            </w:r>
          </w:p>
          <w:p w14:paraId="4523AE55">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生猪待宰间恶臭气体产生量通过类比《齐河宏康肉类加工有限公司年屠宰30万头生猪项目竣工环境保护验收监测报告》，齐河宏康肉类加工有限公司与本项目情况对比详细情况见下表。</w:t>
            </w:r>
          </w:p>
          <w:p w14:paraId="0B2302A3">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本项目待宰间恶臭类比项目基本情况表</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4290"/>
              <w:gridCol w:w="2654"/>
            </w:tblGrid>
            <w:tr w14:paraId="3961C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12" w:space="0"/>
                    <w:bottom w:val="single" w:color="auto" w:sz="8" w:space="0"/>
                    <w:right w:val="single" w:color="auto" w:sz="8" w:space="0"/>
                  </w:tcBorders>
                  <w:vAlign w:val="center"/>
                </w:tcPr>
                <w:p w14:paraId="3A35FF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分类</w:t>
                  </w:r>
                </w:p>
              </w:tc>
              <w:tc>
                <w:tcPr>
                  <w:tcW w:w="4290" w:type="dxa"/>
                  <w:tcBorders>
                    <w:top w:val="single" w:color="auto" w:sz="12" w:space="0"/>
                    <w:left w:val="single" w:color="auto" w:sz="8" w:space="0"/>
                    <w:bottom w:val="single" w:color="auto" w:sz="8" w:space="0"/>
                    <w:right w:val="single" w:color="auto" w:sz="8" w:space="0"/>
                  </w:tcBorders>
                  <w:vAlign w:val="center"/>
                </w:tcPr>
                <w:p w14:paraId="338BB25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default" w:ascii="Times New Roman" w:hAnsi="Times New Roman" w:eastAsia="宋体" w:cs="Times New Roman"/>
                      <w:b/>
                      <w:bCs w:val="0"/>
                      <w:color w:val="auto"/>
                      <w:sz w:val="18"/>
                      <w:szCs w:val="18"/>
                      <w:highlight w:val="none"/>
                      <w:vertAlign w:val="baseline"/>
                      <w:lang w:val="en-US" w:eastAsia="zh-CN"/>
                    </w:rPr>
                    <w:t>齐河宏康肉类加工有限公司年屠宰30万头生猪项目竣工环境保护验收监测报告内容</w:t>
                  </w:r>
                </w:p>
              </w:tc>
              <w:tc>
                <w:tcPr>
                  <w:tcW w:w="2654" w:type="dxa"/>
                  <w:tcBorders>
                    <w:top w:val="single" w:color="auto" w:sz="12" w:space="0"/>
                    <w:left w:val="single" w:color="auto" w:sz="8" w:space="0"/>
                    <w:bottom w:val="single" w:color="auto" w:sz="8" w:space="0"/>
                    <w:right w:val="nil"/>
                  </w:tcBorders>
                  <w:vAlign w:val="center"/>
                </w:tcPr>
                <w:p w14:paraId="1DBC5F5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本项目</w:t>
                  </w:r>
                </w:p>
              </w:tc>
            </w:tr>
            <w:tr w14:paraId="013FE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8" w:space="0"/>
                    <w:right w:val="single" w:color="auto" w:sz="8" w:space="0"/>
                  </w:tcBorders>
                  <w:vAlign w:val="center"/>
                </w:tcPr>
                <w:p w14:paraId="3B524D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年屠宰能力</w:t>
                  </w:r>
                </w:p>
              </w:tc>
              <w:tc>
                <w:tcPr>
                  <w:tcW w:w="4290" w:type="dxa"/>
                  <w:tcBorders>
                    <w:top w:val="single" w:color="auto" w:sz="8" w:space="0"/>
                    <w:left w:val="single" w:color="auto" w:sz="8" w:space="0"/>
                    <w:bottom w:val="single" w:color="auto" w:sz="8" w:space="0"/>
                    <w:right w:val="single" w:color="auto" w:sz="8" w:space="0"/>
                  </w:tcBorders>
                  <w:vAlign w:val="center"/>
                </w:tcPr>
                <w:p w14:paraId="2DFAA38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年屠宰生猪30万头/a，设计屠宰产量833头/d</w:t>
                  </w:r>
                </w:p>
              </w:tc>
              <w:tc>
                <w:tcPr>
                  <w:tcW w:w="2654" w:type="dxa"/>
                  <w:tcBorders>
                    <w:top w:val="single" w:color="auto" w:sz="8" w:space="0"/>
                    <w:left w:val="single" w:color="auto" w:sz="8" w:space="0"/>
                    <w:bottom w:val="single" w:color="auto" w:sz="8" w:space="0"/>
                    <w:right w:val="nil"/>
                  </w:tcBorders>
                  <w:vAlign w:val="center"/>
                </w:tcPr>
                <w:p w14:paraId="7D46B1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年屠宰生猪7500头，设计屠宰产量20头/d</w:t>
                  </w:r>
                </w:p>
              </w:tc>
            </w:tr>
            <w:tr w14:paraId="4630B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8" w:space="0"/>
                    <w:right w:val="single" w:color="auto" w:sz="8" w:space="0"/>
                  </w:tcBorders>
                  <w:vAlign w:val="center"/>
                </w:tcPr>
                <w:p w14:paraId="03B69BD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废气收集处理方式</w:t>
                  </w:r>
                </w:p>
              </w:tc>
              <w:tc>
                <w:tcPr>
                  <w:tcW w:w="4290" w:type="dxa"/>
                  <w:tcBorders>
                    <w:top w:val="single" w:color="auto" w:sz="8" w:space="0"/>
                    <w:left w:val="single" w:color="auto" w:sz="8" w:space="0"/>
                    <w:bottom w:val="single" w:color="auto" w:sz="8" w:space="0"/>
                    <w:right w:val="single" w:color="auto" w:sz="8" w:space="0"/>
                  </w:tcBorders>
                  <w:vAlign w:val="center"/>
                </w:tcPr>
                <w:p w14:paraId="275BC9B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待宰圈废气：喷淋塔+过滤+活性炭吸附+15m高排气筒</w:t>
                  </w:r>
                </w:p>
              </w:tc>
              <w:tc>
                <w:tcPr>
                  <w:tcW w:w="2654" w:type="dxa"/>
                  <w:tcBorders>
                    <w:top w:val="single" w:color="auto" w:sz="8" w:space="0"/>
                    <w:left w:val="single" w:color="auto" w:sz="8" w:space="0"/>
                    <w:bottom w:val="single" w:color="auto" w:sz="8" w:space="0"/>
                    <w:right w:val="nil"/>
                  </w:tcBorders>
                  <w:vAlign w:val="center"/>
                </w:tcPr>
                <w:p w14:paraId="396263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待宰圈废气：</w:t>
                  </w:r>
                  <w:r>
                    <w:rPr>
                      <w:rFonts w:hint="eastAsia" w:cs="Times New Roman"/>
                      <w:bCs/>
                      <w:color w:val="auto"/>
                      <w:sz w:val="18"/>
                      <w:szCs w:val="18"/>
                      <w:highlight w:val="none"/>
                      <w:vertAlign w:val="baseline"/>
                      <w:lang w:val="en-US" w:eastAsia="zh-CN"/>
                    </w:rPr>
                    <w:t>碱液</w:t>
                  </w:r>
                  <w:r>
                    <w:rPr>
                      <w:rFonts w:hint="default" w:ascii="Times New Roman" w:hAnsi="Times New Roman" w:eastAsia="宋体" w:cs="Times New Roman"/>
                      <w:bCs/>
                      <w:color w:val="auto"/>
                      <w:sz w:val="18"/>
                      <w:szCs w:val="18"/>
                      <w:highlight w:val="none"/>
                      <w:vertAlign w:val="baseline"/>
                      <w:lang w:val="en-US" w:eastAsia="zh-CN"/>
                    </w:rPr>
                    <w:t>喷淋+活性炭吸附+15m高排气筒</w:t>
                  </w:r>
                </w:p>
              </w:tc>
            </w:tr>
            <w:tr w14:paraId="2E14B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8" w:space="0"/>
                    <w:right w:val="single" w:color="auto" w:sz="8" w:space="0"/>
                  </w:tcBorders>
                  <w:vAlign w:val="center"/>
                </w:tcPr>
                <w:p w14:paraId="6FAC556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工作时间</w:t>
                  </w:r>
                </w:p>
              </w:tc>
              <w:tc>
                <w:tcPr>
                  <w:tcW w:w="4290" w:type="dxa"/>
                  <w:tcBorders>
                    <w:top w:val="single" w:color="auto" w:sz="8" w:space="0"/>
                    <w:left w:val="single" w:color="auto" w:sz="8" w:space="0"/>
                    <w:bottom w:val="single" w:color="auto" w:sz="8" w:space="0"/>
                    <w:right w:val="single" w:color="auto" w:sz="8" w:space="0"/>
                  </w:tcBorders>
                  <w:vAlign w:val="center"/>
                </w:tcPr>
                <w:p w14:paraId="2114DD1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年工作360天，待宰区停留时间12h</w:t>
                  </w:r>
                </w:p>
              </w:tc>
              <w:tc>
                <w:tcPr>
                  <w:tcW w:w="2654" w:type="dxa"/>
                  <w:tcBorders>
                    <w:top w:val="single" w:color="auto" w:sz="8" w:space="0"/>
                    <w:left w:val="single" w:color="auto" w:sz="8" w:space="0"/>
                    <w:bottom w:val="single" w:color="auto" w:sz="8" w:space="0"/>
                    <w:right w:val="nil"/>
                  </w:tcBorders>
                  <w:vAlign w:val="center"/>
                </w:tcPr>
                <w:p w14:paraId="3996CBC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年工作365天，待宰区停留时间12h</w:t>
                  </w:r>
                </w:p>
              </w:tc>
            </w:tr>
            <w:tr w14:paraId="152F8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12" w:space="0"/>
                    <w:right w:val="single" w:color="auto" w:sz="8" w:space="0"/>
                  </w:tcBorders>
                  <w:vAlign w:val="center"/>
                </w:tcPr>
                <w:p w14:paraId="4579679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验收时间生产工况</w:t>
                  </w:r>
                </w:p>
              </w:tc>
              <w:tc>
                <w:tcPr>
                  <w:tcW w:w="4290" w:type="dxa"/>
                  <w:tcBorders>
                    <w:top w:val="single" w:color="auto" w:sz="8" w:space="0"/>
                    <w:left w:val="single" w:color="auto" w:sz="8" w:space="0"/>
                    <w:bottom w:val="single" w:color="auto" w:sz="12" w:space="0"/>
                    <w:right w:val="single" w:color="auto" w:sz="8" w:space="0"/>
                  </w:tcBorders>
                  <w:vAlign w:val="center"/>
                </w:tcPr>
                <w:p w14:paraId="10F3C84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2022.3.11实际生产量为820只，负荷率98.44%；</w:t>
                  </w:r>
                </w:p>
                <w:p w14:paraId="3C4B5C7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2022.3.12实际生产量为823只，负荷率98.80%</w:t>
                  </w:r>
                </w:p>
              </w:tc>
              <w:tc>
                <w:tcPr>
                  <w:tcW w:w="2654" w:type="dxa"/>
                  <w:tcBorders>
                    <w:top w:val="single" w:color="auto" w:sz="8" w:space="0"/>
                    <w:left w:val="single" w:color="auto" w:sz="8" w:space="0"/>
                    <w:bottom w:val="single" w:color="auto" w:sz="12" w:space="0"/>
                    <w:right w:val="nil"/>
                  </w:tcBorders>
                  <w:vAlign w:val="center"/>
                </w:tcPr>
                <w:p w14:paraId="516A915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w:t>
                  </w:r>
                </w:p>
              </w:tc>
            </w:tr>
          </w:tbl>
          <w:p w14:paraId="15AD70A4">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本项目年屠宰生猪</w:t>
            </w:r>
            <w:r>
              <w:rPr>
                <w:rFonts w:hint="eastAsia" w:cs="Times New Roman"/>
                <w:bCs/>
                <w:color w:val="auto"/>
                <w:highlight w:val="none"/>
                <w:lang w:val="en-US" w:eastAsia="zh-CN"/>
              </w:rPr>
              <w:t>7300</w:t>
            </w:r>
            <w:r>
              <w:rPr>
                <w:rFonts w:hint="default" w:ascii="Times New Roman" w:hAnsi="Times New Roman" w:eastAsia="宋体" w:cs="Times New Roman"/>
                <w:bCs/>
                <w:color w:val="auto"/>
                <w:highlight w:val="none"/>
                <w:lang w:val="en-US" w:eastAsia="zh-CN"/>
              </w:rPr>
              <w:t>头，</w:t>
            </w:r>
            <w:r>
              <w:rPr>
                <w:rFonts w:hint="eastAsia" w:cs="Times New Roman"/>
                <w:bCs/>
                <w:color w:val="auto"/>
                <w:highlight w:val="none"/>
                <w:lang w:val="en-US" w:eastAsia="zh-CN"/>
              </w:rPr>
              <w:t>待宰区停留时间为12h，待宰圈废气处理方式为“碱液喷淋+活性炭吸附”，与类比项目的情况较为相似。本项目将与</w:t>
            </w:r>
            <w:r>
              <w:rPr>
                <w:rFonts w:hint="default" w:ascii="Times New Roman" w:hAnsi="Times New Roman" w:eastAsia="宋体" w:cs="Times New Roman"/>
                <w:bCs/>
                <w:color w:val="auto"/>
                <w:highlight w:val="none"/>
                <w:lang w:val="en-US" w:eastAsia="zh-CN"/>
              </w:rPr>
              <w:t>齐河宏康</w:t>
            </w:r>
            <w:r>
              <w:rPr>
                <w:rFonts w:hint="eastAsia" w:cs="Times New Roman"/>
                <w:bCs/>
                <w:color w:val="auto"/>
                <w:highlight w:val="none"/>
                <w:lang w:val="en-US" w:eastAsia="zh-CN"/>
              </w:rPr>
              <w:t>进行类比，并通过规模比例折算待宰区恶臭污染物产生量。</w:t>
            </w:r>
          </w:p>
          <w:p w14:paraId="6D36BBCC">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齐河宏康肉类加工有限公司生猪待宰圈废气进口监测数据</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1082"/>
              <w:gridCol w:w="807"/>
              <w:gridCol w:w="807"/>
              <w:gridCol w:w="808"/>
              <w:gridCol w:w="808"/>
              <w:gridCol w:w="808"/>
              <w:gridCol w:w="808"/>
              <w:gridCol w:w="808"/>
              <w:gridCol w:w="808"/>
            </w:tblGrid>
            <w:tr w14:paraId="6C6C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restart"/>
                  <w:tcBorders>
                    <w:top w:val="single" w:color="auto" w:sz="12" w:space="0"/>
                    <w:bottom w:val="single" w:color="auto" w:sz="8" w:space="0"/>
                    <w:right w:val="single" w:color="auto" w:sz="8" w:space="0"/>
                  </w:tcBorders>
                  <w:vAlign w:val="center"/>
                </w:tcPr>
                <w:p w14:paraId="5377795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污染物</w:t>
                  </w:r>
                </w:p>
              </w:tc>
              <w:tc>
                <w:tcPr>
                  <w:tcW w:w="1082" w:type="dxa"/>
                  <w:vMerge w:val="restart"/>
                  <w:tcBorders>
                    <w:top w:val="single" w:color="auto" w:sz="12" w:space="0"/>
                    <w:left w:val="single" w:color="auto" w:sz="8" w:space="0"/>
                    <w:bottom w:val="single" w:color="auto" w:sz="8" w:space="0"/>
                    <w:right w:val="single" w:color="auto" w:sz="8" w:space="0"/>
                  </w:tcBorders>
                  <w:vAlign w:val="center"/>
                </w:tcPr>
                <w:p w14:paraId="09826B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监测</w:t>
                  </w:r>
                </w:p>
                <w:p w14:paraId="2879346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日期</w:t>
                  </w:r>
                </w:p>
              </w:tc>
              <w:tc>
                <w:tcPr>
                  <w:tcW w:w="6462" w:type="dxa"/>
                  <w:gridSpan w:val="8"/>
                  <w:tcBorders>
                    <w:top w:val="single" w:color="auto" w:sz="12" w:space="0"/>
                    <w:left w:val="single" w:color="auto" w:sz="8" w:space="0"/>
                    <w:bottom w:val="single" w:color="auto" w:sz="8" w:space="0"/>
                    <w:right w:val="nil"/>
                  </w:tcBorders>
                  <w:vAlign w:val="center"/>
                </w:tcPr>
                <w:p w14:paraId="0289F86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监测日期</w:t>
                  </w:r>
                </w:p>
              </w:tc>
            </w:tr>
            <w:tr w14:paraId="735F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top w:val="single" w:color="auto" w:sz="8" w:space="0"/>
                    <w:left w:val="nil"/>
                    <w:bottom w:val="single" w:color="auto" w:sz="8" w:space="0"/>
                    <w:right w:val="single" w:color="auto" w:sz="8" w:space="0"/>
                  </w:tcBorders>
                  <w:vAlign w:val="center"/>
                </w:tcPr>
                <w:p w14:paraId="54490B9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1082" w:type="dxa"/>
                  <w:vMerge w:val="continue"/>
                  <w:tcBorders>
                    <w:top w:val="single" w:color="auto" w:sz="8" w:space="0"/>
                    <w:left w:val="single" w:color="auto" w:sz="8" w:space="0"/>
                    <w:bottom w:val="single" w:color="auto" w:sz="8" w:space="0"/>
                    <w:right w:val="single" w:color="auto" w:sz="8" w:space="0"/>
                  </w:tcBorders>
                  <w:vAlign w:val="center"/>
                </w:tcPr>
                <w:p w14:paraId="2D6B082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3230" w:type="dxa"/>
                  <w:gridSpan w:val="4"/>
                  <w:tcBorders>
                    <w:top w:val="single" w:color="auto" w:sz="8" w:space="0"/>
                    <w:left w:val="single" w:color="auto" w:sz="8" w:space="0"/>
                    <w:bottom w:val="single" w:color="auto" w:sz="8" w:space="0"/>
                    <w:right w:val="single" w:color="auto" w:sz="8" w:space="0"/>
                  </w:tcBorders>
                  <w:vAlign w:val="center"/>
                </w:tcPr>
                <w:p w14:paraId="3D657DC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2022.3.11</w:t>
                  </w:r>
                </w:p>
              </w:tc>
              <w:tc>
                <w:tcPr>
                  <w:tcW w:w="3232" w:type="dxa"/>
                  <w:gridSpan w:val="4"/>
                  <w:tcBorders>
                    <w:top w:val="single" w:color="auto" w:sz="8" w:space="0"/>
                    <w:left w:val="single" w:color="auto" w:sz="8" w:space="0"/>
                    <w:bottom w:val="single" w:color="auto" w:sz="8" w:space="0"/>
                    <w:right w:val="nil"/>
                  </w:tcBorders>
                  <w:vAlign w:val="center"/>
                </w:tcPr>
                <w:p w14:paraId="526CD82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2022.3.12</w:t>
                  </w:r>
                </w:p>
              </w:tc>
            </w:tr>
            <w:tr w14:paraId="5091D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top w:val="single" w:color="auto" w:sz="8" w:space="0"/>
                    <w:left w:val="nil"/>
                    <w:bottom w:val="single" w:color="auto" w:sz="8" w:space="0"/>
                    <w:right w:val="single" w:color="auto" w:sz="8" w:space="0"/>
                  </w:tcBorders>
                  <w:vAlign w:val="center"/>
                </w:tcPr>
                <w:p w14:paraId="0F7FAD7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1082" w:type="dxa"/>
                  <w:vMerge w:val="continue"/>
                  <w:tcBorders>
                    <w:top w:val="single" w:color="auto" w:sz="8" w:space="0"/>
                    <w:left w:val="single" w:color="auto" w:sz="8" w:space="0"/>
                    <w:bottom w:val="single" w:color="auto" w:sz="8" w:space="0"/>
                    <w:right w:val="single" w:color="auto" w:sz="8" w:space="0"/>
                  </w:tcBorders>
                  <w:vAlign w:val="center"/>
                </w:tcPr>
                <w:p w14:paraId="4393172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807" w:type="dxa"/>
                  <w:tcBorders>
                    <w:top w:val="single" w:color="auto" w:sz="8" w:space="0"/>
                    <w:left w:val="single" w:color="auto" w:sz="8" w:space="0"/>
                    <w:bottom w:val="single" w:color="auto" w:sz="8" w:space="0"/>
                    <w:right w:val="single" w:color="auto" w:sz="8" w:space="0"/>
                  </w:tcBorders>
                  <w:vAlign w:val="center"/>
                </w:tcPr>
                <w:p w14:paraId="20056E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第一次</w:t>
                  </w:r>
                </w:p>
              </w:tc>
              <w:tc>
                <w:tcPr>
                  <w:tcW w:w="807" w:type="dxa"/>
                  <w:tcBorders>
                    <w:top w:val="single" w:color="auto" w:sz="8" w:space="0"/>
                    <w:left w:val="single" w:color="auto" w:sz="8" w:space="0"/>
                    <w:bottom w:val="single" w:color="auto" w:sz="8" w:space="0"/>
                    <w:right w:val="single" w:color="auto" w:sz="8" w:space="0"/>
                  </w:tcBorders>
                  <w:vAlign w:val="center"/>
                </w:tcPr>
                <w:p w14:paraId="53B4555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第二次</w:t>
                  </w:r>
                </w:p>
              </w:tc>
              <w:tc>
                <w:tcPr>
                  <w:tcW w:w="808" w:type="dxa"/>
                  <w:tcBorders>
                    <w:top w:val="single" w:color="auto" w:sz="8" w:space="0"/>
                    <w:left w:val="single" w:color="auto" w:sz="8" w:space="0"/>
                    <w:bottom w:val="single" w:color="auto" w:sz="8" w:space="0"/>
                    <w:right w:val="single" w:color="auto" w:sz="8" w:space="0"/>
                  </w:tcBorders>
                  <w:vAlign w:val="center"/>
                </w:tcPr>
                <w:p w14:paraId="7C9221F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第三次</w:t>
                  </w:r>
                </w:p>
              </w:tc>
              <w:tc>
                <w:tcPr>
                  <w:tcW w:w="808" w:type="dxa"/>
                  <w:tcBorders>
                    <w:top w:val="single" w:color="auto" w:sz="8" w:space="0"/>
                    <w:left w:val="single" w:color="auto" w:sz="8" w:space="0"/>
                    <w:bottom w:val="single" w:color="auto" w:sz="8" w:space="0"/>
                    <w:right w:val="single" w:color="auto" w:sz="8" w:space="0"/>
                  </w:tcBorders>
                  <w:vAlign w:val="center"/>
                </w:tcPr>
                <w:p w14:paraId="2ADBF7B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第四次</w:t>
                  </w:r>
                </w:p>
              </w:tc>
              <w:tc>
                <w:tcPr>
                  <w:tcW w:w="808" w:type="dxa"/>
                  <w:tcBorders>
                    <w:top w:val="single" w:color="auto" w:sz="8" w:space="0"/>
                    <w:left w:val="single" w:color="auto" w:sz="8" w:space="0"/>
                    <w:bottom w:val="single" w:color="auto" w:sz="8" w:space="0"/>
                    <w:right w:val="single" w:color="auto" w:sz="8" w:space="0"/>
                  </w:tcBorders>
                  <w:vAlign w:val="center"/>
                </w:tcPr>
                <w:p w14:paraId="21ACD22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第一次</w:t>
                  </w:r>
                </w:p>
              </w:tc>
              <w:tc>
                <w:tcPr>
                  <w:tcW w:w="808" w:type="dxa"/>
                  <w:tcBorders>
                    <w:top w:val="single" w:color="auto" w:sz="8" w:space="0"/>
                    <w:left w:val="single" w:color="auto" w:sz="8" w:space="0"/>
                    <w:bottom w:val="single" w:color="auto" w:sz="8" w:space="0"/>
                    <w:right w:val="single" w:color="auto" w:sz="8" w:space="0"/>
                  </w:tcBorders>
                  <w:vAlign w:val="center"/>
                </w:tcPr>
                <w:p w14:paraId="772854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第二次</w:t>
                  </w:r>
                </w:p>
              </w:tc>
              <w:tc>
                <w:tcPr>
                  <w:tcW w:w="808" w:type="dxa"/>
                  <w:tcBorders>
                    <w:top w:val="single" w:color="auto" w:sz="8" w:space="0"/>
                    <w:left w:val="single" w:color="auto" w:sz="8" w:space="0"/>
                    <w:bottom w:val="single" w:color="auto" w:sz="8" w:space="0"/>
                    <w:right w:val="single" w:color="auto" w:sz="8" w:space="0"/>
                  </w:tcBorders>
                  <w:vAlign w:val="center"/>
                </w:tcPr>
                <w:p w14:paraId="611CAE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第三次</w:t>
                  </w:r>
                </w:p>
              </w:tc>
              <w:tc>
                <w:tcPr>
                  <w:tcW w:w="808" w:type="dxa"/>
                  <w:tcBorders>
                    <w:top w:val="single" w:color="auto" w:sz="8" w:space="0"/>
                    <w:left w:val="single" w:color="auto" w:sz="8" w:space="0"/>
                    <w:bottom w:val="single" w:color="auto" w:sz="8" w:space="0"/>
                    <w:right w:val="nil"/>
                  </w:tcBorders>
                  <w:vAlign w:val="center"/>
                </w:tcPr>
                <w:p w14:paraId="4E2F9A8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第四次</w:t>
                  </w:r>
                </w:p>
              </w:tc>
            </w:tr>
            <w:tr w14:paraId="0A4FE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gridSpan w:val="2"/>
                  <w:tcBorders>
                    <w:top w:val="single" w:color="auto" w:sz="8" w:space="0"/>
                    <w:left w:val="nil"/>
                    <w:bottom w:val="single" w:color="auto" w:sz="8" w:space="0"/>
                    <w:right w:val="single" w:color="auto" w:sz="8" w:space="0"/>
                  </w:tcBorders>
                  <w:vAlign w:val="center"/>
                </w:tcPr>
                <w:p w14:paraId="77D6DE6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标况风量Nm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/h</w:t>
                  </w:r>
                </w:p>
              </w:tc>
              <w:tc>
                <w:tcPr>
                  <w:tcW w:w="807" w:type="dxa"/>
                  <w:tcBorders>
                    <w:top w:val="single" w:color="auto" w:sz="8" w:space="0"/>
                    <w:left w:val="single" w:color="auto" w:sz="8" w:space="0"/>
                    <w:bottom w:val="single" w:color="auto" w:sz="8" w:space="0"/>
                    <w:right w:val="single" w:color="auto" w:sz="8" w:space="0"/>
                  </w:tcBorders>
                  <w:vAlign w:val="center"/>
                </w:tcPr>
                <w:p w14:paraId="37F2EF1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8757.93</w:t>
                  </w:r>
                </w:p>
              </w:tc>
              <w:tc>
                <w:tcPr>
                  <w:tcW w:w="807" w:type="dxa"/>
                  <w:tcBorders>
                    <w:top w:val="single" w:color="auto" w:sz="8" w:space="0"/>
                    <w:left w:val="single" w:color="auto" w:sz="8" w:space="0"/>
                    <w:bottom w:val="single" w:color="auto" w:sz="8" w:space="0"/>
                    <w:right w:val="single" w:color="auto" w:sz="8" w:space="0"/>
                  </w:tcBorders>
                  <w:vAlign w:val="center"/>
                </w:tcPr>
                <w:p w14:paraId="362D300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8747.72</w:t>
                  </w:r>
                </w:p>
              </w:tc>
              <w:tc>
                <w:tcPr>
                  <w:tcW w:w="808" w:type="dxa"/>
                  <w:tcBorders>
                    <w:top w:val="single" w:color="auto" w:sz="8" w:space="0"/>
                    <w:left w:val="single" w:color="auto" w:sz="8" w:space="0"/>
                    <w:bottom w:val="single" w:color="auto" w:sz="8" w:space="0"/>
                    <w:right w:val="single" w:color="auto" w:sz="8" w:space="0"/>
                  </w:tcBorders>
                  <w:vAlign w:val="center"/>
                </w:tcPr>
                <w:p w14:paraId="6977AD0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8849.55</w:t>
                  </w:r>
                </w:p>
              </w:tc>
              <w:tc>
                <w:tcPr>
                  <w:tcW w:w="808" w:type="dxa"/>
                  <w:tcBorders>
                    <w:top w:val="single" w:color="auto" w:sz="8" w:space="0"/>
                    <w:left w:val="single" w:color="auto" w:sz="8" w:space="0"/>
                    <w:bottom w:val="single" w:color="auto" w:sz="8" w:space="0"/>
                    <w:right w:val="single" w:color="auto" w:sz="8" w:space="0"/>
                  </w:tcBorders>
                  <w:vAlign w:val="center"/>
                </w:tcPr>
                <w:p w14:paraId="1CC71ED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8806.01</w:t>
                  </w:r>
                </w:p>
              </w:tc>
              <w:tc>
                <w:tcPr>
                  <w:tcW w:w="808" w:type="dxa"/>
                  <w:tcBorders>
                    <w:top w:val="single" w:color="auto" w:sz="8" w:space="0"/>
                    <w:left w:val="single" w:color="auto" w:sz="8" w:space="0"/>
                    <w:bottom w:val="single" w:color="auto" w:sz="8" w:space="0"/>
                    <w:right w:val="single" w:color="auto" w:sz="8" w:space="0"/>
                  </w:tcBorders>
                  <w:vAlign w:val="center"/>
                </w:tcPr>
                <w:p w14:paraId="256BC4D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9054.56</w:t>
                  </w:r>
                </w:p>
              </w:tc>
              <w:tc>
                <w:tcPr>
                  <w:tcW w:w="808" w:type="dxa"/>
                  <w:tcBorders>
                    <w:top w:val="single" w:color="auto" w:sz="8" w:space="0"/>
                    <w:left w:val="single" w:color="auto" w:sz="8" w:space="0"/>
                    <w:bottom w:val="single" w:color="auto" w:sz="8" w:space="0"/>
                    <w:right w:val="single" w:color="auto" w:sz="8" w:space="0"/>
                  </w:tcBorders>
                  <w:vAlign w:val="center"/>
                </w:tcPr>
                <w:p w14:paraId="0853EFB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9033.72</w:t>
                  </w:r>
                </w:p>
              </w:tc>
              <w:tc>
                <w:tcPr>
                  <w:tcW w:w="808" w:type="dxa"/>
                  <w:tcBorders>
                    <w:top w:val="single" w:color="auto" w:sz="8" w:space="0"/>
                    <w:left w:val="single" w:color="auto" w:sz="8" w:space="0"/>
                    <w:bottom w:val="single" w:color="auto" w:sz="8" w:space="0"/>
                    <w:right w:val="single" w:color="auto" w:sz="8" w:space="0"/>
                  </w:tcBorders>
                  <w:vAlign w:val="center"/>
                </w:tcPr>
                <w:p w14:paraId="6F9ECA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8995.68</w:t>
                  </w:r>
                </w:p>
              </w:tc>
              <w:tc>
                <w:tcPr>
                  <w:tcW w:w="808" w:type="dxa"/>
                  <w:tcBorders>
                    <w:top w:val="single" w:color="auto" w:sz="8" w:space="0"/>
                    <w:left w:val="single" w:color="auto" w:sz="8" w:space="0"/>
                    <w:bottom w:val="single" w:color="auto" w:sz="8" w:space="0"/>
                    <w:right w:val="nil"/>
                  </w:tcBorders>
                  <w:vAlign w:val="center"/>
                </w:tcPr>
                <w:p w14:paraId="7C2BC6D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8992.77</w:t>
                  </w:r>
                </w:p>
              </w:tc>
            </w:tr>
            <w:tr w14:paraId="4910F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restart"/>
                  <w:tcBorders>
                    <w:top w:val="single" w:color="auto" w:sz="8" w:space="0"/>
                    <w:left w:val="nil"/>
                    <w:bottom w:val="single" w:color="auto" w:sz="8" w:space="0"/>
                    <w:right w:val="single" w:color="auto" w:sz="8" w:space="0"/>
                  </w:tcBorders>
                  <w:vAlign w:val="center"/>
                </w:tcPr>
                <w:p w14:paraId="291A152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氨</w:t>
                  </w:r>
                </w:p>
              </w:tc>
              <w:tc>
                <w:tcPr>
                  <w:tcW w:w="1082" w:type="dxa"/>
                  <w:tcBorders>
                    <w:top w:val="single" w:color="auto" w:sz="8" w:space="0"/>
                    <w:left w:val="single" w:color="auto" w:sz="8" w:space="0"/>
                    <w:bottom w:val="single" w:color="auto" w:sz="8" w:space="0"/>
                    <w:right w:val="single" w:color="auto" w:sz="8" w:space="0"/>
                  </w:tcBorders>
                  <w:vAlign w:val="center"/>
                </w:tcPr>
                <w:p w14:paraId="773F3E5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产生浓度（mg/m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w:t>
                  </w:r>
                </w:p>
              </w:tc>
              <w:tc>
                <w:tcPr>
                  <w:tcW w:w="807" w:type="dxa"/>
                  <w:tcBorders>
                    <w:top w:val="single" w:color="auto" w:sz="8" w:space="0"/>
                    <w:left w:val="single" w:color="auto" w:sz="8" w:space="0"/>
                    <w:bottom w:val="single" w:color="auto" w:sz="8" w:space="0"/>
                    <w:right w:val="single" w:color="auto" w:sz="8" w:space="0"/>
                  </w:tcBorders>
                  <w:vAlign w:val="center"/>
                </w:tcPr>
                <w:p w14:paraId="5971E896">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14.4</w:t>
                  </w:r>
                </w:p>
              </w:tc>
              <w:tc>
                <w:tcPr>
                  <w:tcW w:w="807" w:type="dxa"/>
                  <w:tcBorders>
                    <w:top w:val="single" w:color="auto" w:sz="8" w:space="0"/>
                    <w:left w:val="single" w:color="auto" w:sz="8" w:space="0"/>
                    <w:bottom w:val="single" w:color="auto" w:sz="8" w:space="0"/>
                    <w:right w:val="single" w:color="auto" w:sz="8" w:space="0"/>
                  </w:tcBorders>
                  <w:vAlign w:val="center"/>
                </w:tcPr>
                <w:p w14:paraId="78C23FFA">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14.0</w:t>
                  </w:r>
                </w:p>
              </w:tc>
              <w:tc>
                <w:tcPr>
                  <w:tcW w:w="808" w:type="dxa"/>
                  <w:tcBorders>
                    <w:top w:val="single" w:color="auto" w:sz="8" w:space="0"/>
                    <w:left w:val="single" w:color="auto" w:sz="8" w:space="0"/>
                    <w:bottom w:val="single" w:color="auto" w:sz="8" w:space="0"/>
                    <w:right w:val="single" w:color="auto" w:sz="8" w:space="0"/>
                  </w:tcBorders>
                  <w:vAlign w:val="center"/>
                </w:tcPr>
                <w:p w14:paraId="07D37B9B">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12.6</w:t>
                  </w:r>
                </w:p>
              </w:tc>
              <w:tc>
                <w:tcPr>
                  <w:tcW w:w="808" w:type="dxa"/>
                  <w:tcBorders>
                    <w:top w:val="single" w:color="auto" w:sz="8" w:space="0"/>
                    <w:left w:val="single" w:color="auto" w:sz="8" w:space="0"/>
                    <w:bottom w:val="single" w:color="auto" w:sz="8" w:space="0"/>
                    <w:right w:val="single" w:color="auto" w:sz="8" w:space="0"/>
                  </w:tcBorders>
                  <w:vAlign w:val="center"/>
                </w:tcPr>
                <w:p w14:paraId="7A83BE81">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13.0</w:t>
                  </w:r>
                </w:p>
              </w:tc>
              <w:tc>
                <w:tcPr>
                  <w:tcW w:w="808" w:type="dxa"/>
                  <w:tcBorders>
                    <w:top w:val="single" w:color="auto" w:sz="8" w:space="0"/>
                    <w:left w:val="single" w:color="auto" w:sz="8" w:space="0"/>
                    <w:bottom w:val="single" w:color="auto" w:sz="8" w:space="0"/>
                    <w:right w:val="single" w:color="auto" w:sz="8" w:space="0"/>
                  </w:tcBorders>
                  <w:vAlign w:val="center"/>
                </w:tcPr>
                <w:p w14:paraId="7F3E21D5">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15.4</w:t>
                  </w:r>
                </w:p>
              </w:tc>
              <w:tc>
                <w:tcPr>
                  <w:tcW w:w="808" w:type="dxa"/>
                  <w:tcBorders>
                    <w:top w:val="single" w:color="auto" w:sz="8" w:space="0"/>
                    <w:left w:val="single" w:color="auto" w:sz="8" w:space="0"/>
                    <w:bottom w:val="single" w:color="auto" w:sz="8" w:space="0"/>
                    <w:right w:val="single" w:color="auto" w:sz="8" w:space="0"/>
                  </w:tcBorders>
                  <w:vAlign w:val="center"/>
                </w:tcPr>
                <w:p w14:paraId="561051A7">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13.1</w:t>
                  </w:r>
                </w:p>
              </w:tc>
              <w:tc>
                <w:tcPr>
                  <w:tcW w:w="808" w:type="dxa"/>
                  <w:tcBorders>
                    <w:top w:val="single" w:color="auto" w:sz="8" w:space="0"/>
                    <w:left w:val="single" w:color="auto" w:sz="8" w:space="0"/>
                    <w:bottom w:val="single" w:color="auto" w:sz="8" w:space="0"/>
                    <w:right w:val="single" w:color="auto" w:sz="8" w:space="0"/>
                  </w:tcBorders>
                  <w:vAlign w:val="center"/>
                </w:tcPr>
                <w:p w14:paraId="634A7E7D">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12.6</w:t>
                  </w:r>
                </w:p>
              </w:tc>
              <w:tc>
                <w:tcPr>
                  <w:tcW w:w="808" w:type="dxa"/>
                  <w:tcBorders>
                    <w:top w:val="single" w:color="auto" w:sz="8" w:space="0"/>
                    <w:left w:val="single" w:color="auto" w:sz="8" w:space="0"/>
                    <w:bottom w:val="single" w:color="auto" w:sz="8" w:space="0"/>
                    <w:right w:val="nil"/>
                  </w:tcBorders>
                  <w:vAlign w:val="center"/>
                </w:tcPr>
                <w:p w14:paraId="376559C7">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11.1</w:t>
                  </w:r>
                </w:p>
              </w:tc>
            </w:tr>
            <w:tr w14:paraId="16C71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top w:val="single" w:color="auto" w:sz="8" w:space="0"/>
                    <w:left w:val="nil"/>
                    <w:bottom w:val="single" w:color="auto" w:sz="8" w:space="0"/>
                    <w:right w:val="single" w:color="auto" w:sz="8" w:space="0"/>
                  </w:tcBorders>
                  <w:vAlign w:val="center"/>
                </w:tcPr>
                <w:p w14:paraId="47B81FB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82" w:type="dxa"/>
                  <w:tcBorders>
                    <w:top w:val="single" w:color="auto" w:sz="8" w:space="0"/>
                    <w:left w:val="single" w:color="auto" w:sz="8" w:space="0"/>
                    <w:bottom w:val="single" w:color="auto" w:sz="8" w:space="0"/>
                    <w:right w:val="single" w:color="auto" w:sz="8" w:space="0"/>
                  </w:tcBorders>
                  <w:vAlign w:val="center"/>
                </w:tcPr>
                <w:p w14:paraId="4956722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产生速率</w:t>
                  </w:r>
                </w:p>
                <w:p w14:paraId="09744A6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（kg/h）</w:t>
                  </w:r>
                </w:p>
              </w:tc>
              <w:tc>
                <w:tcPr>
                  <w:tcW w:w="807" w:type="dxa"/>
                  <w:tcBorders>
                    <w:top w:val="single" w:color="auto" w:sz="8" w:space="0"/>
                    <w:left w:val="single" w:color="auto" w:sz="8" w:space="0"/>
                    <w:bottom w:val="single" w:color="auto" w:sz="8" w:space="0"/>
                    <w:right w:val="single" w:color="auto" w:sz="8" w:space="0"/>
                  </w:tcBorders>
                  <w:vAlign w:val="center"/>
                </w:tcPr>
                <w:p w14:paraId="24B1AAFE">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0.126</w:t>
                  </w:r>
                </w:p>
              </w:tc>
              <w:tc>
                <w:tcPr>
                  <w:tcW w:w="807" w:type="dxa"/>
                  <w:tcBorders>
                    <w:top w:val="single" w:color="auto" w:sz="8" w:space="0"/>
                    <w:left w:val="single" w:color="auto" w:sz="8" w:space="0"/>
                    <w:bottom w:val="single" w:color="auto" w:sz="8" w:space="0"/>
                    <w:right w:val="single" w:color="auto" w:sz="8" w:space="0"/>
                  </w:tcBorders>
                  <w:vAlign w:val="center"/>
                </w:tcPr>
                <w:p w14:paraId="279FA82F">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0.122</w:t>
                  </w:r>
                </w:p>
              </w:tc>
              <w:tc>
                <w:tcPr>
                  <w:tcW w:w="808" w:type="dxa"/>
                  <w:tcBorders>
                    <w:top w:val="single" w:color="auto" w:sz="8" w:space="0"/>
                    <w:left w:val="single" w:color="auto" w:sz="8" w:space="0"/>
                    <w:bottom w:val="single" w:color="auto" w:sz="8" w:space="0"/>
                    <w:right w:val="single" w:color="auto" w:sz="8" w:space="0"/>
                  </w:tcBorders>
                  <w:vAlign w:val="center"/>
                </w:tcPr>
                <w:p w14:paraId="06EC8846">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0.111</w:t>
                  </w:r>
                </w:p>
              </w:tc>
              <w:tc>
                <w:tcPr>
                  <w:tcW w:w="808" w:type="dxa"/>
                  <w:tcBorders>
                    <w:top w:val="single" w:color="auto" w:sz="8" w:space="0"/>
                    <w:left w:val="single" w:color="auto" w:sz="8" w:space="0"/>
                    <w:bottom w:val="single" w:color="auto" w:sz="8" w:space="0"/>
                    <w:right w:val="single" w:color="auto" w:sz="8" w:space="0"/>
                  </w:tcBorders>
                  <w:vAlign w:val="center"/>
                </w:tcPr>
                <w:p w14:paraId="3C1BDC8A">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0.114</w:t>
                  </w:r>
                </w:p>
              </w:tc>
              <w:tc>
                <w:tcPr>
                  <w:tcW w:w="808" w:type="dxa"/>
                  <w:tcBorders>
                    <w:top w:val="single" w:color="auto" w:sz="8" w:space="0"/>
                    <w:left w:val="single" w:color="auto" w:sz="8" w:space="0"/>
                    <w:bottom w:val="single" w:color="auto" w:sz="8" w:space="0"/>
                    <w:right w:val="single" w:color="auto" w:sz="8" w:space="0"/>
                  </w:tcBorders>
                  <w:vAlign w:val="center"/>
                </w:tcPr>
                <w:p w14:paraId="6E478B73">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0.139</w:t>
                  </w:r>
                </w:p>
              </w:tc>
              <w:tc>
                <w:tcPr>
                  <w:tcW w:w="808" w:type="dxa"/>
                  <w:tcBorders>
                    <w:top w:val="single" w:color="auto" w:sz="8" w:space="0"/>
                    <w:left w:val="single" w:color="auto" w:sz="8" w:space="0"/>
                    <w:bottom w:val="single" w:color="auto" w:sz="8" w:space="0"/>
                    <w:right w:val="single" w:color="auto" w:sz="8" w:space="0"/>
                  </w:tcBorders>
                  <w:vAlign w:val="center"/>
                </w:tcPr>
                <w:p w14:paraId="14E0938D">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0.118</w:t>
                  </w:r>
                </w:p>
              </w:tc>
              <w:tc>
                <w:tcPr>
                  <w:tcW w:w="808" w:type="dxa"/>
                  <w:tcBorders>
                    <w:top w:val="single" w:color="auto" w:sz="8" w:space="0"/>
                    <w:left w:val="single" w:color="auto" w:sz="8" w:space="0"/>
                    <w:bottom w:val="single" w:color="auto" w:sz="8" w:space="0"/>
                    <w:right w:val="single" w:color="auto" w:sz="8" w:space="0"/>
                  </w:tcBorders>
                  <w:vAlign w:val="center"/>
                </w:tcPr>
                <w:p w14:paraId="46B1CFE9">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0.113</w:t>
                  </w:r>
                </w:p>
              </w:tc>
              <w:tc>
                <w:tcPr>
                  <w:tcW w:w="808" w:type="dxa"/>
                  <w:tcBorders>
                    <w:top w:val="single" w:color="auto" w:sz="8" w:space="0"/>
                    <w:left w:val="single" w:color="auto" w:sz="8" w:space="0"/>
                    <w:bottom w:val="single" w:color="auto" w:sz="8" w:space="0"/>
                    <w:right w:val="nil"/>
                  </w:tcBorders>
                  <w:vAlign w:val="center"/>
                </w:tcPr>
                <w:p w14:paraId="3ED7F9AE">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0.100</w:t>
                  </w:r>
                </w:p>
              </w:tc>
            </w:tr>
            <w:tr w14:paraId="62511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restart"/>
                  <w:tcBorders>
                    <w:top w:val="single" w:color="auto" w:sz="8" w:space="0"/>
                    <w:left w:val="nil"/>
                    <w:bottom w:val="single" w:color="auto" w:sz="8" w:space="0"/>
                    <w:right w:val="single" w:color="auto" w:sz="8" w:space="0"/>
                  </w:tcBorders>
                  <w:vAlign w:val="center"/>
                </w:tcPr>
                <w:p w14:paraId="59BA6FD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硫化氢</w:t>
                  </w:r>
                </w:p>
              </w:tc>
              <w:tc>
                <w:tcPr>
                  <w:tcW w:w="1082" w:type="dxa"/>
                  <w:tcBorders>
                    <w:top w:val="single" w:color="auto" w:sz="8" w:space="0"/>
                    <w:left w:val="single" w:color="auto" w:sz="8" w:space="0"/>
                    <w:bottom w:val="single" w:color="auto" w:sz="8" w:space="0"/>
                    <w:right w:val="single" w:color="auto" w:sz="8" w:space="0"/>
                  </w:tcBorders>
                  <w:vAlign w:val="center"/>
                </w:tcPr>
                <w:p w14:paraId="4D5CA4D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产生浓度（mg/m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w:t>
                  </w:r>
                </w:p>
              </w:tc>
              <w:tc>
                <w:tcPr>
                  <w:tcW w:w="807" w:type="dxa"/>
                  <w:tcBorders>
                    <w:top w:val="single" w:color="auto" w:sz="8" w:space="0"/>
                    <w:left w:val="single" w:color="auto" w:sz="8" w:space="0"/>
                    <w:bottom w:val="single" w:color="auto" w:sz="8" w:space="0"/>
                    <w:right w:val="single" w:color="auto" w:sz="8" w:space="0"/>
                  </w:tcBorders>
                  <w:vAlign w:val="center"/>
                </w:tcPr>
                <w:p w14:paraId="26623DFE">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0.989</w:t>
                  </w:r>
                </w:p>
              </w:tc>
              <w:tc>
                <w:tcPr>
                  <w:tcW w:w="807" w:type="dxa"/>
                  <w:tcBorders>
                    <w:top w:val="single" w:color="auto" w:sz="8" w:space="0"/>
                    <w:left w:val="single" w:color="auto" w:sz="8" w:space="0"/>
                    <w:bottom w:val="single" w:color="auto" w:sz="8" w:space="0"/>
                    <w:right w:val="single" w:color="auto" w:sz="8" w:space="0"/>
                  </w:tcBorders>
                  <w:vAlign w:val="center"/>
                </w:tcPr>
                <w:p w14:paraId="21707176">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0.880</w:t>
                  </w:r>
                </w:p>
              </w:tc>
              <w:tc>
                <w:tcPr>
                  <w:tcW w:w="808" w:type="dxa"/>
                  <w:tcBorders>
                    <w:top w:val="single" w:color="auto" w:sz="8" w:space="0"/>
                    <w:left w:val="single" w:color="auto" w:sz="8" w:space="0"/>
                    <w:bottom w:val="single" w:color="auto" w:sz="8" w:space="0"/>
                    <w:right w:val="single" w:color="auto" w:sz="8" w:space="0"/>
                  </w:tcBorders>
                  <w:vAlign w:val="center"/>
                </w:tcPr>
                <w:p w14:paraId="7A6C458F">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0.626</w:t>
                  </w:r>
                </w:p>
              </w:tc>
              <w:tc>
                <w:tcPr>
                  <w:tcW w:w="808" w:type="dxa"/>
                  <w:tcBorders>
                    <w:top w:val="single" w:color="auto" w:sz="8" w:space="0"/>
                    <w:left w:val="single" w:color="auto" w:sz="8" w:space="0"/>
                    <w:bottom w:val="single" w:color="auto" w:sz="8" w:space="0"/>
                    <w:right w:val="single" w:color="auto" w:sz="8" w:space="0"/>
                  </w:tcBorders>
                  <w:vAlign w:val="center"/>
                </w:tcPr>
                <w:p w14:paraId="1EC80718">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0.580</w:t>
                  </w:r>
                </w:p>
              </w:tc>
              <w:tc>
                <w:tcPr>
                  <w:tcW w:w="808" w:type="dxa"/>
                  <w:tcBorders>
                    <w:top w:val="single" w:color="auto" w:sz="8" w:space="0"/>
                    <w:left w:val="single" w:color="auto" w:sz="8" w:space="0"/>
                    <w:bottom w:val="single" w:color="auto" w:sz="8" w:space="0"/>
                    <w:right w:val="single" w:color="auto" w:sz="8" w:space="0"/>
                  </w:tcBorders>
                  <w:vAlign w:val="center"/>
                </w:tcPr>
                <w:p w14:paraId="7F71722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1.03</w:t>
                  </w:r>
                </w:p>
              </w:tc>
              <w:tc>
                <w:tcPr>
                  <w:tcW w:w="808" w:type="dxa"/>
                  <w:tcBorders>
                    <w:top w:val="single" w:color="auto" w:sz="8" w:space="0"/>
                    <w:left w:val="single" w:color="auto" w:sz="8" w:space="0"/>
                    <w:bottom w:val="single" w:color="auto" w:sz="8" w:space="0"/>
                    <w:right w:val="single" w:color="auto" w:sz="8" w:space="0"/>
                  </w:tcBorders>
                  <w:vAlign w:val="center"/>
                </w:tcPr>
                <w:p w14:paraId="3939A295">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0.815</w:t>
                  </w:r>
                </w:p>
              </w:tc>
              <w:tc>
                <w:tcPr>
                  <w:tcW w:w="808" w:type="dxa"/>
                  <w:tcBorders>
                    <w:top w:val="single" w:color="auto" w:sz="8" w:space="0"/>
                    <w:left w:val="single" w:color="auto" w:sz="8" w:space="0"/>
                    <w:bottom w:val="single" w:color="auto" w:sz="8" w:space="0"/>
                    <w:right w:val="single" w:color="auto" w:sz="8" w:space="0"/>
                  </w:tcBorders>
                  <w:vAlign w:val="center"/>
                </w:tcPr>
                <w:p w14:paraId="5279D5A9">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0.744</w:t>
                  </w:r>
                </w:p>
              </w:tc>
              <w:tc>
                <w:tcPr>
                  <w:tcW w:w="808" w:type="dxa"/>
                  <w:tcBorders>
                    <w:top w:val="single" w:color="auto" w:sz="8" w:space="0"/>
                    <w:left w:val="single" w:color="auto" w:sz="8" w:space="0"/>
                    <w:bottom w:val="single" w:color="auto" w:sz="8" w:space="0"/>
                    <w:right w:val="nil"/>
                  </w:tcBorders>
                  <w:vAlign w:val="center"/>
                </w:tcPr>
                <w:p w14:paraId="3DDF6EDB">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0.647</w:t>
                  </w:r>
                </w:p>
              </w:tc>
            </w:tr>
            <w:tr w14:paraId="0D63F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top w:val="single" w:color="auto" w:sz="8" w:space="0"/>
                    <w:left w:val="nil"/>
                    <w:bottom w:val="single" w:color="auto" w:sz="12" w:space="0"/>
                    <w:right w:val="single" w:color="auto" w:sz="8" w:space="0"/>
                  </w:tcBorders>
                  <w:vAlign w:val="center"/>
                </w:tcPr>
                <w:p w14:paraId="25EA1C9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82" w:type="dxa"/>
                  <w:tcBorders>
                    <w:top w:val="single" w:color="auto" w:sz="8" w:space="0"/>
                    <w:left w:val="single" w:color="auto" w:sz="8" w:space="0"/>
                    <w:bottom w:val="single" w:color="auto" w:sz="12" w:space="0"/>
                    <w:right w:val="single" w:color="auto" w:sz="8" w:space="0"/>
                  </w:tcBorders>
                  <w:vAlign w:val="center"/>
                </w:tcPr>
                <w:p w14:paraId="6F9B064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产生速率</w:t>
                  </w:r>
                </w:p>
                <w:p w14:paraId="4505A9C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（kg/h）</w:t>
                  </w:r>
                </w:p>
              </w:tc>
              <w:tc>
                <w:tcPr>
                  <w:tcW w:w="807" w:type="dxa"/>
                  <w:tcBorders>
                    <w:top w:val="single" w:color="auto" w:sz="8" w:space="0"/>
                    <w:left w:val="single" w:color="auto" w:sz="8" w:space="0"/>
                    <w:bottom w:val="single" w:color="auto" w:sz="12" w:space="0"/>
                    <w:right w:val="single" w:color="auto" w:sz="8" w:space="0"/>
                  </w:tcBorders>
                  <w:vAlign w:val="center"/>
                </w:tcPr>
                <w:p w14:paraId="33A5F046">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8.66E-03</w:t>
                  </w:r>
                </w:p>
              </w:tc>
              <w:tc>
                <w:tcPr>
                  <w:tcW w:w="807" w:type="dxa"/>
                  <w:tcBorders>
                    <w:top w:val="single" w:color="auto" w:sz="8" w:space="0"/>
                    <w:left w:val="single" w:color="auto" w:sz="8" w:space="0"/>
                    <w:bottom w:val="single" w:color="auto" w:sz="12" w:space="0"/>
                    <w:right w:val="single" w:color="auto" w:sz="8" w:space="0"/>
                  </w:tcBorders>
                  <w:vAlign w:val="center"/>
                </w:tcPr>
                <w:p w14:paraId="5A1D966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7.70E-03</w:t>
                  </w:r>
                </w:p>
              </w:tc>
              <w:tc>
                <w:tcPr>
                  <w:tcW w:w="808" w:type="dxa"/>
                  <w:tcBorders>
                    <w:top w:val="single" w:color="auto" w:sz="8" w:space="0"/>
                    <w:left w:val="single" w:color="auto" w:sz="8" w:space="0"/>
                    <w:bottom w:val="single" w:color="auto" w:sz="12" w:space="0"/>
                    <w:right w:val="single" w:color="auto" w:sz="8" w:space="0"/>
                  </w:tcBorders>
                  <w:vAlign w:val="center"/>
                </w:tcPr>
                <w:p w14:paraId="0D40047A">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5.54E-03</w:t>
                  </w:r>
                </w:p>
              </w:tc>
              <w:tc>
                <w:tcPr>
                  <w:tcW w:w="808" w:type="dxa"/>
                  <w:tcBorders>
                    <w:top w:val="single" w:color="auto" w:sz="8" w:space="0"/>
                    <w:left w:val="single" w:color="auto" w:sz="8" w:space="0"/>
                    <w:bottom w:val="single" w:color="auto" w:sz="12" w:space="0"/>
                    <w:right w:val="single" w:color="auto" w:sz="8" w:space="0"/>
                  </w:tcBorders>
                  <w:vAlign w:val="center"/>
                </w:tcPr>
                <w:p w14:paraId="2DA9C082">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5.11E-03</w:t>
                  </w:r>
                </w:p>
              </w:tc>
              <w:tc>
                <w:tcPr>
                  <w:tcW w:w="808" w:type="dxa"/>
                  <w:tcBorders>
                    <w:top w:val="single" w:color="auto" w:sz="8" w:space="0"/>
                    <w:left w:val="single" w:color="auto" w:sz="8" w:space="0"/>
                    <w:bottom w:val="single" w:color="auto" w:sz="12" w:space="0"/>
                    <w:right w:val="single" w:color="auto" w:sz="8" w:space="0"/>
                  </w:tcBorders>
                  <w:vAlign w:val="center"/>
                </w:tcPr>
                <w:p w14:paraId="750C6BC0">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9.33E-03</w:t>
                  </w:r>
                </w:p>
              </w:tc>
              <w:tc>
                <w:tcPr>
                  <w:tcW w:w="808" w:type="dxa"/>
                  <w:tcBorders>
                    <w:top w:val="single" w:color="auto" w:sz="8" w:space="0"/>
                    <w:left w:val="single" w:color="auto" w:sz="8" w:space="0"/>
                    <w:bottom w:val="single" w:color="auto" w:sz="12" w:space="0"/>
                    <w:right w:val="single" w:color="auto" w:sz="8" w:space="0"/>
                  </w:tcBorders>
                  <w:vAlign w:val="center"/>
                </w:tcPr>
                <w:p w14:paraId="74E78AD7">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7.36E-03</w:t>
                  </w:r>
                </w:p>
              </w:tc>
              <w:tc>
                <w:tcPr>
                  <w:tcW w:w="808" w:type="dxa"/>
                  <w:tcBorders>
                    <w:top w:val="single" w:color="auto" w:sz="8" w:space="0"/>
                    <w:left w:val="single" w:color="auto" w:sz="8" w:space="0"/>
                    <w:bottom w:val="single" w:color="auto" w:sz="12" w:space="0"/>
                    <w:right w:val="single" w:color="auto" w:sz="8" w:space="0"/>
                  </w:tcBorders>
                  <w:vAlign w:val="center"/>
                </w:tcPr>
                <w:p w14:paraId="7E1E4646">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6.69E-03</w:t>
                  </w:r>
                </w:p>
              </w:tc>
              <w:tc>
                <w:tcPr>
                  <w:tcW w:w="808" w:type="dxa"/>
                  <w:tcBorders>
                    <w:top w:val="single" w:color="auto" w:sz="8" w:space="0"/>
                    <w:left w:val="single" w:color="auto" w:sz="8" w:space="0"/>
                    <w:bottom w:val="single" w:color="auto" w:sz="12" w:space="0"/>
                    <w:right w:val="nil"/>
                  </w:tcBorders>
                  <w:vAlign w:val="center"/>
                </w:tcPr>
                <w:p w14:paraId="06B1A748">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5.82E-03</w:t>
                  </w:r>
                </w:p>
              </w:tc>
            </w:tr>
          </w:tbl>
          <w:p w14:paraId="63C9581B">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此外，</w:t>
            </w:r>
            <w:r>
              <w:rPr>
                <w:rFonts w:hint="default" w:ascii="Times New Roman" w:hAnsi="Times New Roman" w:eastAsia="宋体" w:cs="Times New Roman"/>
                <w:bCs/>
                <w:color w:val="auto"/>
                <w:highlight w:val="none"/>
                <w:lang w:val="en-US" w:eastAsia="zh-CN"/>
              </w:rPr>
              <w:t>生猪待宰间恶臭气体产生量通过类比《道孚绿野农特产品投资开发有限公司</w:t>
            </w:r>
            <w:r>
              <w:rPr>
                <w:rFonts w:hint="eastAsia" w:cs="Times New Roman"/>
                <w:bCs/>
                <w:color w:val="auto"/>
                <w:highlight w:val="none"/>
                <w:lang w:val="en-US" w:eastAsia="zh-CN"/>
              </w:rPr>
              <w:t>2022-2023年年度例行监测报告</w:t>
            </w:r>
            <w:r>
              <w:rPr>
                <w:rFonts w:hint="default" w:ascii="Times New Roman" w:hAnsi="Times New Roman" w:eastAsia="宋体" w:cs="Times New Roman"/>
                <w:bCs/>
                <w:color w:val="auto"/>
                <w:highlight w:val="none"/>
                <w:lang w:val="en-US" w:eastAsia="zh-CN"/>
              </w:rPr>
              <w:t>》，道孚绿野农特产品投资开发有限公司</w:t>
            </w:r>
            <w:r>
              <w:rPr>
                <w:rFonts w:hint="eastAsia" w:cs="Times New Roman"/>
                <w:bCs/>
                <w:color w:val="auto"/>
                <w:highlight w:val="none"/>
                <w:lang w:val="en-US" w:eastAsia="zh-CN"/>
              </w:rPr>
              <w:t>年屠宰生猪6000头、年屠宰牛2000头（</w:t>
            </w:r>
            <w:r>
              <w:rPr>
                <w:rFonts w:hint="eastAsia" w:ascii="Times New Roman" w:hAnsi="Times New Roman" w:eastAsia="宋体" w:cs="Times New Roman"/>
                <w:bCs/>
                <w:color w:val="auto"/>
                <w:highlight w:val="none"/>
                <w:lang w:val="en-US" w:eastAsia="zh-CN"/>
              </w:rPr>
              <w:t>日屠宰生猪量为16.7头、日屠宰肉牛量为5.6头</w:t>
            </w:r>
            <w:r>
              <w:rPr>
                <w:rFonts w:hint="eastAsia" w:cs="Times New Roman"/>
                <w:bCs/>
                <w:color w:val="auto"/>
                <w:highlight w:val="none"/>
                <w:lang w:val="en-US" w:eastAsia="zh-CN"/>
              </w:rPr>
              <w:t>）</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根据《道孚县牲畜定点屠宰场建设项目环境影响报告表》</w:t>
            </w:r>
            <w:r>
              <w:rPr>
                <w:rFonts w:hint="default" w:ascii="Times New Roman" w:hAnsi="Times New Roman" w:cs="Times New Roman"/>
                <w:color w:val="auto"/>
                <w:sz w:val="24"/>
                <w:highlight w:val="none"/>
              </w:rPr>
              <w:t>猪的活屠重为110kg/头</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牛的活屠重为</w:t>
            </w:r>
            <w:r>
              <w:rPr>
                <w:rFonts w:hint="eastAsia" w:ascii="Times New Roman" w:hAnsi="Times New Roman" w:cs="Times New Roman"/>
                <w:color w:val="auto"/>
                <w:sz w:val="24"/>
                <w:highlight w:val="none"/>
                <w:lang w:val="en-US" w:eastAsia="zh-CN"/>
              </w:rPr>
              <w:t>250</w:t>
            </w:r>
            <w:r>
              <w:rPr>
                <w:rFonts w:hint="default" w:ascii="Times New Roman" w:hAnsi="Times New Roman" w:cs="Times New Roman"/>
                <w:color w:val="auto"/>
                <w:sz w:val="24"/>
                <w:highlight w:val="none"/>
              </w:rPr>
              <w:t>kg/头</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故该</w:t>
            </w:r>
            <w:r>
              <w:rPr>
                <w:rFonts w:hint="eastAsia" w:ascii="Times New Roman" w:hAnsi="Times New Roman" w:cs="Times New Roman"/>
                <w:b/>
                <w:bCs/>
                <w:color w:val="auto"/>
                <w:sz w:val="24"/>
                <w:highlight w:val="none"/>
                <w:lang w:val="en-US" w:eastAsia="zh-CN"/>
              </w:rPr>
              <w:t>1头牛折算成2.3头猪</w:t>
            </w:r>
            <w:r>
              <w:rPr>
                <w:rFonts w:hint="eastAsia" w:ascii="Times New Roman" w:hAnsi="Times New Roman" w:cs="Times New Roman"/>
                <w:color w:val="auto"/>
                <w:sz w:val="24"/>
                <w:highlight w:val="none"/>
                <w:lang w:val="en-US" w:eastAsia="zh-CN"/>
              </w:rPr>
              <w:t>，</w:t>
            </w:r>
            <w:r>
              <w:rPr>
                <w:rFonts w:hint="default" w:ascii="Times New Roman" w:hAnsi="Times New Roman" w:eastAsia="宋体" w:cs="Times New Roman"/>
                <w:bCs/>
                <w:color w:val="auto"/>
                <w:highlight w:val="none"/>
                <w:lang w:val="en-US" w:eastAsia="zh-CN"/>
              </w:rPr>
              <w:t>道孚绿野农特产品投资开发有限公司</w:t>
            </w:r>
            <w:r>
              <w:rPr>
                <w:rFonts w:hint="eastAsia" w:ascii="Times New Roman" w:hAnsi="Times New Roman" w:eastAsia="宋体" w:cs="Times New Roman"/>
                <w:bCs/>
                <w:color w:val="auto"/>
                <w:highlight w:val="none"/>
                <w:lang w:val="en-US" w:eastAsia="zh-CN"/>
              </w:rPr>
              <w:t>折算成生猪</w:t>
            </w:r>
            <w:r>
              <w:rPr>
                <w:rFonts w:hint="eastAsia" w:cs="Times New Roman"/>
                <w:bCs/>
                <w:color w:val="auto"/>
                <w:highlight w:val="none"/>
                <w:lang w:val="en-US" w:eastAsia="zh-CN"/>
              </w:rPr>
              <w:t>屠宰量约生猪</w:t>
            </w:r>
            <w:r>
              <w:rPr>
                <w:rFonts w:hint="eastAsia" w:ascii="Times New Roman" w:hAnsi="Times New Roman" w:eastAsia="宋体" w:cs="Times New Roman"/>
                <w:bCs/>
                <w:color w:val="auto"/>
                <w:highlight w:val="none"/>
                <w:lang w:val="en-US" w:eastAsia="zh-CN"/>
              </w:rPr>
              <w:t>10545头。</w:t>
            </w:r>
          </w:p>
          <w:p w14:paraId="6973CA5E">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与本项目情况对比详细情况见下表。</w:t>
            </w:r>
          </w:p>
          <w:p w14:paraId="4A4250BC">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本项目待宰间恶臭类比项目基本情况表</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4290"/>
              <w:gridCol w:w="2654"/>
            </w:tblGrid>
            <w:tr w14:paraId="323BA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12" w:space="0"/>
                    <w:bottom w:val="single" w:color="auto" w:sz="8" w:space="0"/>
                    <w:right w:val="single" w:color="auto" w:sz="8" w:space="0"/>
                  </w:tcBorders>
                  <w:vAlign w:val="center"/>
                </w:tcPr>
                <w:p w14:paraId="485D2D8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分类</w:t>
                  </w:r>
                </w:p>
              </w:tc>
              <w:tc>
                <w:tcPr>
                  <w:tcW w:w="4290" w:type="dxa"/>
                  <w:tcBorders>
                    <w:top w:val="single" w:color="auto" w:sz="12" w:space="0"/>
                    <w:left w:val="single" w:color="auto" w:sz="8" w:space="0"/>
                    <w:bottom w:val="single" w:color="auto" w:sz="8" w:space="0"/>
                    <w:right w:val="single" w:color="auto" w:sz="8" w:space="0"/>
                  </w:tcBorders>
                  <w:vAlign w:val="center"/>
                </w:tcPr>
                <w:p w14:paraId="5BE1066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default" w:ascii="Times New Roman" w:hAnsi="Times New Roman" w:eastAsia="宋体" w:cs="Times New Roman"/>
                      <w:b/>
                      <w:bCs w:val="0"/>
                      <w:color w:val="auto"/>
                      <w:sz w:val="18"/>
                      <w:szCs w:val="18"/>
                      <w:highlight w:val="none"/>
                      <w:vertAlign w:val="baseline"/>
                      <w:lang w:val="en-US" w:eastAsia="zh-CN"/>
                    </w:rPr>
                    <w:t>道孚绿野农特产品投资开发有限公司</w:t>
                  </w:r>
                  <w:r>
                    <w:rPr>
                      <w:rFonts w:hint="eastAsia" w:cs="Times New Roman"/>
                      <w:b/>
                      <w:bCs w:val="0"/>
                      <w:color w:val="auto"/>
                      <w:sz w:val="18"/>
                      <w:szCs w:val="18"/>
                      <w:highlight w:val="none"/>
                      <w:vertAlign w:val="baseline"/>
                      <w:lang w:val="en-US" w:eastAsia="zh-CN"/>
                    </w:rPr>
                    <w:t>屠宰项目</w:t>
                  </w:r>
                </w:p>
              </w:tc>
              <w:tc>
                <w:tcPr>
                  <w:tcW w:w="2654" w:type="dxa"/>
                  <w:tcBorders>
                    <w:top w:val="single" w:color="auto" w:sz="12" w:space="0"/>
                    <w:left w:val="single" w:color="auto" w:sz="8" w:space="0"/>
                    <w:bottom w:val="single" w:color="auto" w:sz="8" w:space="0"/>
                    <w:right w:val="nil"/>
                  </w:tcBorders>
                  <w:vAlign w:val="center"/>
                </w:tcPr>
                <w:p w14:paraId="661B70C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本项目</w:t>
                  </w:r>
                </w:p>
              </w:tc>
            </w:tr>
            <w:tr w14:paraId="42626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8" w:space="0"/>
                    <w:right w:val="single" w:color="auto" w:sz="8" w:space="0"/>
                  </w:tcBorders>
                  <w:vAlign w:val="center"/>
                </w:tcPr>
                <w:p w14:paraId="1ACA5C7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年屠宰能力</w:t>
                  </w:r>
                </w:p>
              </w:tc>
              <w:tc>
                <w:tcPr>
                  <w:tcW w:w="4290" w:type="dxa"/>
                  <w:tcBorders>
                    <w:top w:val="single" w:color="auto" w:sz="8" w:space="0"/>
                    <w:left w:val="single" w:color="auto" w:sz="8" w:space="0"/>
                    <w:bottom w:val="single" w:color="auto" w:sz="8" w:space="0"/>
                    <w:right w:val="single" w:color="auto" w:sz="8" w:space="0"/>
                  </w:tcBorders>
                  <w:vAlign w:val="center"/>
                </w:tcPr>
                <w:p w14:paraId="11EE1B8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屠宰生猪6000头、年屠宰牛2000头</w:t>
                  </w:r>
                  <w:r>
                    <w:rPr>
                      <w:rFonts w:hint="eastAsia" w:cs="Times New Roman"/>
                      <w:bCs/>
                      <w:color w:val="auto"/>
                      <w:sz w:val="18"/>
                      <w:szCs w:val="18"/>
                      <w:highlight w:val="none"/>
                      <w:vertAlign w:val="baseline"/>
                      <w:lang w:val="en-US" w:eastAsia="zh-CN"/>
                    </w:rPr>
                    <w:t>；折算成生猪屠宰量约生猪10545头（折算屠宰量29.58头/d生猪）</w:t>
                  </w:r>
                </w:p>
              </w:tc>
              <w:tc>
                <w:tcPr>
                  <w:tcW w:w="2654" w:type="dxa"/>
                  <w:tcBorders>
                    <w:top w:val="single" w:color="auto" w:sz="8" w:space="0"/>
                    <w:left w:val="single" w:color="auto" w:sz="8" w:space="0"/>
                    <w:bottom w:val="single" w:color="auto" w:sz="8" w:space="0"/>
                    <w:right w:val="nil"/>
                  </w:tcBorders>
                  <w:vAlign w:val="center"/>
                </w:tcPr>
                <w:p w14:paraId="29CE0BB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年屠宰生猪7500头，设计屠宰产量20头/d</w:t>
                  </w:r>
                </w:p>
              </w:tc>
            </w:tr>
            <w:tr w14:paraId="7852D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8" w:space="0"/>
                    <w:right w:val="single" w:color="auto" w:sz="8" w:space="0"/>
                  </w:tcBorders>
                  <w:vAlign w:val="center"/>
                </w:tcPr>
                <w:p w14:paraId="477ACE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废气收集处理方式</w:t>
                  </w:r>
                </w:p>
              </w:tc>
              <w:tc>
                <w:tcPr>
                  <w:tcW w:w="4290" w:type="dxa"/>
                  <w:tcBorders>
                    <w:top w:val="single" w:color="auto" w:sz="8" w:space="0"/>
                    <w:left w:val="single" w:color="auto" w:sz="8" w:space="0"/>
                    <w:bottom w:val="single" w:color="auto" w:sz="8" w:space="0"/>
                    <w:right w:val="single" w:color="auto" w:sz="8" w:space="0"/>
                  </w:tcBorders>
                  <w:vAlign w:val="center"/>
                </w:tcPr>
                <w:p w14:paraId="08EF5A0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ascii="Times New Roman" w:hAnsi="Times New Roman" w:eastAsia="宋体" w:cs="Times New Roman"/>
                      <w:bCs/>
                      <w:color w:val="auto"/>
                      <w:sz w:val="18"/>
                      <w:szCs w:val="18"/>
                      <w:highlight w:val="none"/>
                      <w:vertAlign w:val="baseline"/>
                      <w:lang w:val="en-US" w:eastAsia="zh-CN"/>
                    </w:rPr>
                    <w:t>屠宰车间、待宰车间、污水处理站</w:t>
                  </w:r>
                  <w:r>
                    <w:rPr>
                      <w:rFonts w:hint="default" w:ascii="Times New Roman" w:hAnsi="Times New Roman" w:eastAsia="宋体" w:cs="Times New Roman"/>
                      <w:bCs/>
                      <w:color w:val="auto"/>
                      <w:sz w:val="18"/>
                      <w:szCs w:val="18"/>
                      <w:highlight w:val="none"/>
                      <w:vertAlign w:val="baseline"/>
                      <w:lang w:val="en-US" w:eastAsia="zh-CN"/>
                    </w:rPr>
                    <w:t>废气：</w:t>
                  </w:r>
                  <w:r>
                    <w:rPr>
                      <w:rFonts w:hint="eastAsia" w:cs="Times New Roman"/>
                      <w:bCs/>
                      <w:color w:val="auto"/>
                      <w:sz w:val="18"/>
                      <w:szCs w:val="18"/>
                      <w:highlight w:val="none"/>
                      <w:vertAlign w:val="baseline"/>
                      <w:lang w:val="en-US" w:eastAsia="zh-CN"/>
                    </w:rPr>
                    <w:t>低温等离子+</w:t>
                  </w:r>
                  <w:r>
                    <w:rPr>
                      <w:rFonts w:hint="default" w:ascii="Times New Roman" w:hAnsi="Times New Roman" w:eastAsia="宋体" w:cs="Times New Roman"/>
                      <w:bCs/>
                      <w:color w:val="auto"/>
                      <w:sz w:val="18"/>
                      <w:szCs w:val="18"/>
                      <w:highlight w:val="none"/>
                      <w:vertAlign w:val="baseline"/>
                      <w:lang w:val="en-US" w:eastAsia="zh-CN"/>
                    </w:rPr>
                    <w:t>活性炭吸附+15m高排气筒</w:t>
                  </w:r>
                </w:p>
              </w:tc>
              <w:tc>
                <w:tcPr>
                  <w:tcW w:w="2654" w:type="dxa"/>
                  <w:tcBorders>
                    <w:top w:val="single" w:color="auto" w:sz="8" w:space="0"/>
                    <w:left w:val="single" w:color="auto" w:sz="8" w:space="0"/>
                    <w:bottom w:val="single" w:color="auto" w:sz="8" w:space="0"/>
                    <w:right w:val="nil"/>
                  </w:tcBorders>
                  <w:vAlign w:val="center"/>
                </w:tcPr>
                <w:p w14:paraId="63722FF6">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待宰圈废气：</w:t>
                  </w:r>
                  <w:r>
                    <w:rPr>
                      <w:rFonts w:hint="eastAsia" w:cs="Times New Roman"/>
                      <w:bCs/>
                      <w:color w:val="auto"/>
                      <w:sz w:val="18"/>
                      <w:szCs w:val="18"/>
                      <w:highlight w:val="none"/>
                      <w:vertAlign w:val="baseline"/>
                      <w:lang w:val="en-US" w:eastAsia="zh-CN"/>
                    </w:rPr>
                    <w:t>碱液</w:t>
                  </w:r>
                  <w:r>
                    <w:rPr>
                      <w:rFonts w:hint="default" w:ascii="Times New Roman" w:hAnsi="Times New Roman" w:eastAsia="宋体" w:cs="Times New Roman"/>
                      <w:bCs/>
                      <w:color w:val="auto"/>
                      <w:sz w:val="18"/>
                      <w:szCs w:val="18"/>
                      <w:highlight w:val="none"/>
                      <w:vertAlign w:val="baseline"/>
                      <w:lang w:val="en-US" w:eastAsia="zh-CN"/>
                    </w:rPr>
                    <w:t>喷淋+活性炭吸附+15m高排气筒</w:t>
                  </w:r>
                </w:p>
              </w:tc>
            </w:tr>
            <w:tr w14:paraId="78AEC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Borders>
                    <w:top w:val="single" w:color="auto" w:sz="8" w:space="0"/>
                    <w:left w:val="nil"/>
                    <w:bottom w:val="single" w:color="auto" w:sz="8" w:space="0"/>
                    <w:right w:val="single" w:color="auto" w:sz="8" w:space="0"/>
                  </w:tcBorders>
                  <w:vAlign w:val="center"/>
                </w:tcPr>
                <w:p w14:paraId="50A84C3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工作时间</w:t>
                  </w:r>
                </w:p>
              </w:tc>
              <w:tc>
                <w:tcPr>
                  <w:tcW w:w="4290" w:type="dxa"/>
                  <w:tcBorders>
                    <w:top w:val="single" w:color="auto" w:sz="8" w:space="0"/>
                    <w:left w:val="single" w:color="auto" w:sz="8" w:space="0"/>
                    <w:bottom w:val="single" w:color="auto" w:sz="8" w:space="0"/>
                    <w:right w:val="single" w:color="auto" w:sz="8" w:space="0"/>
                  </w:tcBorders>
                  <w:vAlign w:val="center"/>
                </w:tcPr>
                <w:p w14:paraId="24329FA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default" w:ascii="Times New Roman" w:hAnsi="Times New Roman" w:eastAsia="宋体" w:cs="Times New Roman"/>
                      <w:bCs/>
                      <w:color w:val="auto"/>
                      <w:sz w:val="18"/>
                      <w:szCs w:val="18"/>
                      <w:highlight w:val="none"/>
                      <w:vertAlign w:val="baseline"/>
                      <w:lang w:val="en-US" w:eastAsia="zh-CN"/>
                    </w:rPr>
                    <w:t>年工作360天，待宰区停留时间12h</w:t>
                  </w:r>
                </w:p>
              </w:tc>
              <w:tc>
                <w:tcPr>
                  <w:tcW w:w="2654" w:type="dxa"/>
                  <w:tcBorders>
                    <w:top w:val="single" w:color="auto" w:sz="8" w:space="0"/>
                    <w:left w:val="single" w:color="auto" w:sz="8" w:space="0"/>
                    <w:bottom w:val="single" w:color="auto" w:sz="8" w:space="0"/>
                    <w:right w:val="nil"/>
                  </w:tcBorders>
                  <w:vAlign w:val="center"/>
                </w:tcPr>
                <w:p w14:paraId="724FC0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年工作365天，待宰区停留时间12h</w:t>
                  </w:r>
                </w:p>
              </w:tc>
            </w:tr>
          </w:tbl>
          <w:p w14:paraId="00D4A9AA">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cs="Times New Roman"/>
                <w:bCs/>
                <w:color w:val="auto"/>
                <w:highlight w:val="none"/>
                <w:lang w:val="en-US" w:eastAsia="zh-CN"/>
              </w:rPr>
              <w:t>本项目将与道孚绿野农特产品投资开发有限公司2022-2023年年度例行监测报告进行类比，并通过排气筒排放情况倒推废气产生源强。</w:t>
            </w:r>
          </w:p>
          <w:p w14:paraId="565D0057">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道孚绿野农特产品投资开发有限公司2022-2023年年度例行监测报告废气</w:t>
            </w:r>
            <w:r>
              <w:rPr>
                <w:rFonts w:hint="eastAsia" w:cs="Times New Roman"/>
                <w:bCs/>
                <w:color w:val="auto"/>
                <w:sz w:val="21"/>
                <w:szCs w:val="21"/>
                <w:highlight w:val="none"/>
                <w:lang w:val="en-US" w:eastAsia="zh-CN"/>
              </w:rPr>
              <w:t>排放口</w:t>
            </w:r>
            <w:r>
              <w:rPr>
                <w:rFonts w:hint="eastAsia" w:ascii="Times New Roman" w:hAnsi="Times New Roman" w:eastAsia="宋体" w:cs="Times New Roman"/>
                <w:bCs/>
                <w:color w:val="auto"/>
                <w:sz w:val="21"/>
                <w:szCs w:val="21"/>
                <w:highlight w:val="none"/>
                <w:lang w:val="en-US" w:eastAsia="zh-CN"/>
              </w:rPr>
              <w:t>监测数据</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5"/>
              <w:gridCol w:w="1077"/>
              <w:gridCol w:w="806"/>
              <w:gridCol w:w="806"/>
              <w:gridCol w:w="807"/>
              <w:gridCol w:w="807"/>
              <w:gridCol w:w="817"/>
              <w:gridCol w:w="817"/>
              <w:gridCol w:w="817"/>
              <w:gridCol w:w="817"/>
            </w:tblGrid>
            <w:tr w14:paraId="086D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vMerge w:val="restart"/>
                  <w:tcBorders>
                    <w:top w:val="single" w:color="auto" w:sz="12" w:space="0"/>
                    <w:bottom w:val="single" w:color="auto" w:sz="8" w:space="0"/>
                    <w:right w:val="single" w:color="auto" w:sz="8" w:space="0"/>
                  </w:tcBorders>
                  <w:vAlign w:val="center"/>
                </w:tcPr>
                <w:p w14:paraId="17B68E4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污染物</w:t>
                  </w:r>
                </w:p>
              </w:tc>
              <w:tc>
                <w:tcPr>
                  <w:tcW w:w="1077" w:type="dxa"/>
                  <w:vMerge w:val="restart"/>
                  <w:tcBorders>
                    <w:top w:val="single" w:color="auto" w:sz="12" w:space="0"/>
                    <w:left w:val="single" w:color="auto" w:sz="8" w:space="0"/>
                    <w:bottom w:val="single" w:color="auto" w:sz="8" w:space="0"/>
                    <w:right w:val="single" w:color="auto" w:sz="8" w:space="0"/>
                  </w:tcBorders>
                  <w:vAlign w:val="center"/>
                </w:tcPr>
                <w:p w14:paraId="73ADCF3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监测</w:t>
                  </w:r>
                </w:p>
                <w:p w14:paraId="52E002F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日期</w:t>
                  </w:r>
                </w:p>
              </w:tc>
              <w:tc>
                <w:tcPr>
                  <w:tcW w:w="6494" w:type="dxa"/>
                  <w:gridSpan w:val="8"/>
                  <w:tcBorders>
                    <w:top w:val="single" w:color="auto" w:sz="12" w:space="0"/>
                    <w:left w:val="single" w:color="auto" w:sz="8" w:space="0"/>
                    <w:bottom w:val="single" w:color="auto" w:sz="8" w:space="0"/>
                    <w:right w:val="nil"/>
                  </w:tcBorders>
                  <w:vAlign w:val="center"/>
                </w:tcPr>
                <w:p w14:paraId="2DB1500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监测日期</w:t>
                  </w:r>
                </w:p>
              </w:tc>
            </w:tr>
            <w:tr w14:paraId="61AD6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505" w:type="dxa"/>
                  <w:vMerge w:val="continue"/>
                  <w:tcBorders>
                    <w:top w:val="single" w:color="auto" w:sz="8" w:space="0"/>
                    <w:left w:val="nil"/>
                    <w:bottom w:val="single" w:color="auto" w:sz="8" w:space="0"/>
                    <w:right w:val="single" w:color="auto" w:sz="8" w:space="0"/>
                  </w:tcBorders>
                  <w:vAlign w:val="center"/>
                </w:tcPr>
                <w:p w14:paraId="6234C96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1077" w:type="dxa"/>
                  <w:vMerge w:val="continue"/>
                  <w:tcBorders>
                    <w:top w:val="single" w:color="auto" w:sz="8" w:space="0"/>
                    <w:left w:val="single" w:color="auto" w:sz="8" w:space="0"/>
                    <w:bottom w:val="single" w:color="auto" w:sz="8" w:space="0"/>
                    <w:right w:val="single" w:color="auto" w:sz="8" w:space="0"/>
                  </w:tcBorders>
                  <w:vAlign w:val="center"/>
                </w:tcPr>
                <w:p w14:paraId="7E4E5DE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3226" w:type="dxa"/>
                  <w:gridSpan w:val="4"/>
                  <w:tcBorders>
                    <w:top w:val="single" w:color="auto" w:sz="8" w:space="0"/>
                    <w:left w:val="single" w:color="auto" w:sz="8" w:space="0"/>
                    <w:bottom w:val="single" w:color="auto" w:sz="8" w:space="0"/>
                    <w:right w:val="single" w:color="auto" w:sz="8" w:space="0"/>
                  </w:tcBorders>
                  <w:vAlign w:val="center"/>
                </w:tcPr>
                <w:p w14:paraId="65B4C57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ascii="Times New Roman" w:hAnsi="Times New Roman" w:eastAsia="宋体" w:cs="Times New Roman"/>
                      <w:b/>
                      <w:bCs w:val="0"/>
                      <w:color w:val="auto"/>
                      <w:sz w:val="18"/>
                      <w:szCs w:val="18"/>
                      <w:highlight w:val="none"/>
                      <w:vertAlign w:val="baseline"/>
                      <w:lang w:val="en-US" w:eastAsia="zh-CN"/>
                    </w:rPr>
                    <w:t>2022.12.12</w:t>
                  </w:r>
                </w:p>
              </w:tc>
              <w:tc>
                <w:tcPr>
                  <w:tcW w:w="3268" w:type="dxa"/>
                  <w:gridSpan w:val="4"/>
                  <w:tcBorders>
                    <w:top w:val="single" w:color="auto" w:sz="8" w:space="0"/>
                    <w:left w:val="single" w:color="auto" w:sz="8" w:space="0"/>
                    <w:bottom w:val="single" w:color="auto" w:sz="8" w:space="0"/>
                    <w:right w:val="nil"/>
                  </w:tcBorders>
                  <w:vAlign w:val="center"/>
                </w:tcPr>
                <w:p w14:paraId="180D0EF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2023.11.23</w:t>
                  </w:r>
                </w:p>
              </w:tc>
            </w:tr>
            <w:tr w14:paraId="41E13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vMerge w:val="continue"/>
                  <w:tcBorders>
                    <w:top w:val="single" w:color="auto" w:sz="8" w:space="0"/>
                    <w:left w:val="nil"/>
                    <w:bottom w:val="single" w:color="auto" w:sz="8" w:space="0"/>
                    <w:right w:val="single" w:color="auto" w:sz="8" w:space="0"/>
                  </w:tcBorders>
                  <w:vAlign w:val="center"/>
                </w:tcPr>
                <w:p w14:paraId="6DB8CCC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1077" w:type="dxa"/>
                  <w:vMerge w:val="continue"/>
                  <w:tcBorders>
                    <w:top w:val="single" w:color="auto" w:sz="8" w:space="0"/>
                    <w:left w:val="single" w:color="auto" w:sz="8" w:space="0"/>
                    <w:bottom w:val="single" w:color="auto" w:sz="8" w:space="0"/>
                    <w:right w:val="single" w:color="auto" w:sz="8" w:space="0"/>
                  </w:tcBorders>
                  <w:vAlign w:val="center"/>
                </w:tcPr>
                <w:p w14:paraId="1C6FB58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p>
              </w:tc>
              <w:tc>
                <w:tcPr>
                  <w:tcW w:w="806" w:type="dxa"/>
                  <w:tcBorders>
                    <w:top w:val="single" w:color="auto" w:sz="8" w:space="0"/>
                    <w:left w:val="single" w:color="auto" w:sz="8" w:space="0"/>
                    <w:bottom w:val="single" w:color="auto" w:sz="8" w:space="0"/>
                    <w:right w:val="single" w:color="auto" w:sz="8" w:space="0"/>
                  </w:tcBorders>
                  <w:vAlign w:val="center"/>
                </w:tcPr>
                <w:p w14:paraId="0F91E87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第一次</w:t>
                  </w:r>
                </w:p>
              </w:tc>
              <w:tc>
                <w:tcPr>
                  <w:tcW w:w="806" w:type="dxa"/>
                  <w:tcBorders>
                    <w:top w:val="single" w:color="auto" w:sz="8" w:space="0"/>
                    <w:left w:val="single" w:color="auto" w:sz="8" w:space="0"/>
                    <w:bottom w:val="single" w:color="auto" w:sz="8" w:space="0"/>
                    <w:right w:val="single" w:color="auto" w:sz="8" w:space="0"/>
                  </w:tcBorders>
                  <w:vAlign w:val="center"/>
                </w:tcPr>
                <w:p w14:paraId="2430BFD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第二次</w:t>
                  </w:r>
                </w:p>
              </w:tc>
              <w:tc>
                <w:tcPr>
                  <w:tcW w:w="807" w:type="dxa"/>
                  <w:tcBorders>
                    <w:top w:val="single" w:color="auto" w:sz="8" w:space="0"/>
                    <w:left w:val="single" w:color="auto" w:sz="8" w:space="0"/>
                    <w:bottom w:val="single" w:color="auto" w:sz="8" w:space="0"/>
                    <w:right w:val="single" w:color="auto" w:sz="8" w:space="0"/>
                  </w:tcBorders>
                  <w:vAlign w:val="center"/>
                </w:tcPr>
                <w:p w14:paraId="1D37D94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第三次</w:t>
                  </w:r>
                </w:p>
              </w:tc>
              <w:tc>
                <w:tcPr>
                  <w:tcW w:w="807" w:type="dxa"/>
                  <w:tcBorders>
                    <w:top w:val="single" w:color="auto" w:sz="8" w:space="0"/>
                    <w:left w:val="single" w:color="auto" w:sz="8" w:space="0"/>
                    <w:bottom w:val="single" w:color="auto" w:sz="8" w:space="0"/>
                    <w:right w:val="single" w:color="auto" w:sz="8" w:space="0"/>
                  </w:tcBorders>
                  <w:vAlign w:val="center"/>
                </w:tcPr>
                <w:p w14:paraId="126AF5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最大值</w:t>
                  </w:r>
                </w:p>
              </w:tc>
              <w:tc>
                <w:tcPr>
                  <w:tcW w:w="817" w:type="dxa"/>
                  <w:tcBorders>
                    <w:top w:val="single" w:color="auto" w:sz="8" w:space="0"/>
                    <w:left w:val="single" w:color="auto" w:sz="8" w:space="0"/>
                    <w:bottom w:val="single" w:color="auto" w:sz="8" w:space="0"/>
                    <w:right w:val="single" w:color="auto" w:sz="8" w:space="0"/>
                  </w:tcBorders>
                  <w:vAlign w:val="center"/>
                </w:tcPr>
                <w:p w14:paraId="3263D4E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第一次</w:t>
                  </w:r>
                </w:p>
              </w:tc>
              <w:tc>
                <w:tcPr>
                  <w:tcW w:w="817" w:type="dxa"/>
                  <w:tcBorders>
                    <w:top w:val="single" w:color="auto" w:sz="8" w:space="0"/>
                    <w:left w:val="single" w:color="auto" w:sz="8" w:space="0"/>
                    <w:bottom w:val="single" w:color="auto" w:sz="8" w:space="0"/>
                    <w:right w:val="single" w:color="auto" w:sz="8" w:space="0"/>
                  </w:tcBorders>
                  <w:vAlign w:val="center"/>
                </w:tcPr>
                <w:p w14:paraId="5557BC3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第二次</w:t>
                  </w:r>
                </w:p>
              </w:tc>
              <w:tc>
                <w:tcPr>
                  <w:tcW w:w="817" w:type="dxa"/>
                  <w:tcBorders>
                    <w:top w:val="single" w:color="auto" w:sz="8" w:space="0"/>
                    <w:left w:val="single" w:color="auto" w:sz="8" w:space="0"/>
                    <w:bottom w:val="single" w:color="auto" w:sz="8" w:space="0"/>
                    <w:right w:val="single" w:color="auto" w:sz="8" w:space="0"/>
                  </w:tcBorders>
                  <w:vAlign w:val="center"/>
                </w:tcPr>
                <w:p w14:paraId="5599578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第三次</w:t>
                  </w:r>
                </w:p>
              </w:tc>
              <w:tc>
                <w:tcPr>
                  <w:tcW w:w="817" w:type="dxa"/>
                  <w:tcBorders>
                    <w:top w:val="single" w:color="auto" w:sz="8" w:space="0"/>
                    <w:left w:val="single" w:color="auto" w:sz="8" w:space="0"/>
                    <w:bottom w:val="single" w:color="auto" w:sz="8" w:space="0"/>
                    <w:right w:val="nil"/>
                  </w:tcBorders>
                  <w:vAlign w:val="center"/>
                </w:tcPr>
                <w:p w14:paraId="132C21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bCs w:val="0"/>
                      <w:color w:val="auto"/>
                      <w:sz w:val="18"/>
                      <w:szCs w:val="18"/>
                      <w:highlight w:val="none"/>
                      <w:vertAlign w:val="baseline"/>
                      <w:lang w:val="en-US" w:eastAsia="zh-CN"/>
                    </w:rPr>
                  </w:pPr>
                  <w:r>
                    <w:rPr>
                      <w:rFonts w:hint="eastAsia" w:cs="Times New Roman"/>
                      <w:b/>
                      <w:bCs w:val="0"/>
                      <w:color w:val="auto"/>
                      <w:sz w:val="18"/>
                      <w:szCs w:val="18"/>
                      <w:highlight w:val="none"/>
                      <w:vertAlign w:val="baseline"/>
                      <w:lang w:val="en-US" w:eastAsia="zh-CN"/>
                    </w:rPr>
                    <w:t>最大值</w:t>
                  </w:r>
                </w:p>
              </w:tc>
            </w:tr>
            <w:tr w14:paraId="698D2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2" w:type="dxa"/>
                  <w:gridSpan w:val="2"/>
                  <w:tcBorders>
                    <w:top w:val="single" w:color="auto" w:sz="8" w:space="0"/>
                    <w:left w:val="nil"/>
                    <w:bottom w:val="single" w:color="auto" w:sz="8" w:space="0"/>
                    <w:right w:val="single" w:color="auto" w:sz="8" w:space="0"/>
                  </w:tcBorders>
                  <w:vAlign w:val="center"/>
                </w:tcPr>
                <w:p w14:paraId="4B4BCE1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标况风量Nm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/h</w:t>
                  </w:r>
                </w:p>
              </w:tc>
              <w:tc>
                <w:tcPr>
                  <w:tcW w:w="806" w:type="dxa"/>
                  <w:tcBorders>
                    <w:top w:val="single" w:color="auto" w:sz="8" w:space="0"/>
                    <w:left w:val="single" w:color="auto" w:sz="8" w:space="0"/>
                    <w:bottom w:val="single" w:color="auto" w:sz="8" w:space="0"/>
                    <w:right w:val="single" w:color="auto" w:sz="8" w:space="0"/>
                  </w:tcBorders>
                  <w:vAlign w:val="center"/>
                </w:tcPr>
                <w:p w14:paraId="44856F4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1010</w:t>
                  </w:r>
                </w:p>
              </w:tc>
              <w:tc>
                <w:tcPr>
                  <w:tcW w:w="806" w:type="dxa"/>
                  <w:tcBorders>
                    <w:top w:val="single" w:color="auto" w:sz="8" w:space="0"/>
                    <w:left w:val="single" w:color="auto" w:sz="8" w:space="0"/>
                    <w:bottom w:val="single" w:color="auto" w:sz="8" w:space="0"/>
                    <w:right w:val="single" w:color="auto" w:sz="8" w:space="0"/>
                  </w:tcBorders>
                  <w:vAlign w:val="center"/>
                </w:tcPr>
                <w:p w14:paraId="244E842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971</w:t>
                  </w:r>
                </w:p>
              </w:tc>
              <w:tc>
                <w:tcPr>
                  <w:tcW w:w="807" w:type="dxa"/>
                  <w:tcBorders>
                    <w:top w:val="single" w:color="auto" w:sz="8" w:space="0"/>
                    <w:left w:val="single" w:color="auto" w:sz="8" w:space="0"/>
                    <w:bottom w:val="single" w:color="auto" w:sz="8" w:space="0"/>
                    <w:right w:val="single" w:color="auto" w:sz="8" w:space="0"/>
                  </w:tcBorders>
                  <w:vAlign w:val="center"/>
                </w:tcPr>
                <w:p w14:paraId="48746AE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971</w:t>
                  </w:r>
                </w:p>
              </w:tc>
              <w:tc>
                <w:tcPr>
                  <w:tcW w:w="807" w:type="dxa"/>
                  <w:tcBorders>
                    <w:top w:val="single" w:color="auto" w:sz="8" w:space="0"/>
                    <w:left w:val="single" w:color="auto" w:sz="8" w:space="0"/>
                    <w:bottom w:val="single" w:color="auto" w:sz="8" w:space="0"/>
                    <w:right w:val="single" w:color="auto" w:sz="8" w:space="0"/>
                  </w:tcBorders>
                  <w:vAlign w:val="center"/>
                </w:tcPr>
                <w:p w14:paraId="4C53328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1010</w:t>
                  </w:r>
                </w:p>
              </w:tc>
              <w:tc>
                <w:tcPr>
                  <w:tcW w:w="817" w:type="dxa"/>
                  <w:tcBorders>
                    <w:top w:val="single" w:color="auto" w:sz="8" w:space="0"/>
                    <w:left w:val="single" w:color="auto" w:sz="8" w:space="0"/>
                    <w:bottom w:val="single" w:color="auto" w:sz="8" w:space="0"/>
                    <w:right w:val="single" w:color="auto" w:sz="8" w:space="0"/>
                  </w:tcBorders>
                  <w:vAlign w:val="center"/>
                </w:tcPr>
                <w:p w14:paraId="5B881B5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1182</w:t>
                  </w:r>
                </w:p>
              </w:tc>
              <w:tc>
                <w:tcPr>
                  <w:tcW w:w="817" w:type="dxa"/>
                  <w:tcBorders>
                    <w:top w:val="single" w:color="auto" w:sz="8" w:space="0"/>
                    <w:left w:val="single" w:color="auto" w:sz="8" w:space="0"/>
                    <w:bottom w:val="single" w:color="auto" w:sz="8" w:space="0"/>
                    <w:right w:val="single" w:color="auto" w:sz="8" w:space="0"/>
                  </w:tcBorders>
                  <w:vAlign w:val="center"/>
                </w:tcPr>
                <w:p w14:paraId="14041D7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1179</w:t>
                  </w:r>
                </w:p>
              </w:tc>
              <w:tc>
                <w:tcPr>
                  <w:tcW w:w="817" w:type="dxa"/>
                  <w:tcBorders>
                    <w:top w:val="single" w:color="auto" w:sz="8" w:space="0"/>
                    <w:left w:val="single" w:color="auto" w:sz="8" w:space="0"/>
                    <w:bottom w:val="single" w:color="auto" w:sz="8" w:space="0"/>
                    <w:right w:val="single" w:color="auto" w:sz="8" w:space="0"/>
                  </w:tcBorders>
                  <w:vAlign w:val="center"/>
                </w:tcPr>
                <w:p w14:paraId="46A008E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1119</w:t>
                  </w:r>
                </w:p>
              </w:tc>
              <w:tc>
                <w:tcPr>
                  <w:tcW w:w="817" w:type="dxa"/>
                  <w:tcBorders>
                    <w:top w:val="single" w:color="auto" w:sz="8" w:space="0"/>
                    <w:left w:val="single" w:color="auto" w:sz="8" w:space="0"/>
                    <w:bottom w:val="single" w:color="auto" w:sz="8" w:space="0"/>
                    <w:right w:val="nil"/>
                  </w:tcBorders>
                  <w:vAlign w:val="center"/>
                </w:tcPr>
                <w:p w14:paraId="7720CB1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1182</w:t>
                  </w:r>
                </w:p>
              </w:tc>
            </w:tr>
            <w:tr w14:paraId="7C387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vMerge w:val="restart"/>
                  <w:tcBorders>
                    <w:top w:val="single" w:color="auto" w:sz="8" w:space="0"/>
                    <w:left w:val="nil"/>
                    <w:bottom w:val="single" w:color="auto" w:sz="8" w:space="0"/>
                    <w:right w:val="single" w:color="auto" w:sz="8" w:space="0"/>
                  </w:tcBorders>
                  <w:vAlign w:val="center"/>
                </w:tcPr>
                <w:p w14:paraId="16C611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氨</w:t>
                  </w:r>
                </w:p>
              </w:tc>
              <w:tc>
                <w:tcPr>
                  <w:tcW w:w="1077" w:type="dxa"/>
                  <w:tcBorders>
                    <w:top w:val="single" w:color="auto" w:sz="8" w:space="0"/>
                    <w:left w:val="single" w:color="auto" w:sz="8" w:space="0"/>
                    <w:bottom w:val="single" w:color="auto" w:sz="8" w:space="0"/>
                    <w:right w:val="single" w:color="auto" w:sz="8" w:space="0"/>
                  </w:tcBorders>
                  <w:vAlign w:val="center"/>
                </w:tcPr>
                <w:p w14:paraId="62C299F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产生浓度（mg/m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w:t>
                  </w:r>
                </w:p>
              </w:tc>
              <w:tc>
                <w:tcPr>
                  <w:tcW w:w="806" w:type="dxa"/>
                  <w:tcBorders>
                    <w:top w:val="single" w:color="auto" w:sz="8" w:space="0"/>
                    <w:left w:val="single" w:color="auto" w:sz="8" w:space="0"/>
                    <w:bottom w:val="single" w:color="auto" w:sz="8" w:space="0"/>
                    <w:right w:val="single" w:color="auto" w:sz="8" w:space="0"/>
                  </w:tcBorders>
                  <w:vAlign w:val="center"/>
                </w:tcPr>
                <w:p w14:paraId="764CE36F">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1.24</w:t>
                  </w:r>
                </w:p>
              </w:tc>
              <w:tc>
                <w:tcPr>
                  <w:tcW w:w="806" w:type="dxa"/>
                  <w:tcBorders>
                    <w:top w:val="single" w:color="auto" w:sz="8" w:space="0"/>
                    <w:left w:val="single" w:color="auto" w:sz="8" w:space="0"/>
                    <w:bottom w:val="single" w:color="auto" w:sz="8" w:space="0"/>
                    <w:right w:val="single" w:color="auto" w:sz="8" w:space="0"/>
                  </w:tcBorders>
                  <w:vAlign w:val="center"/>
                </w:tcPr>
                <w:p w14:paraId="2BF2465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1.03</w:t>
                  </w:r>
                </w:p>
              </w:tc>
              <w:tc>
                <w:tcPr>
                  <w:tcW w:w="807" w:type="dxa"/>
                  <w:tcBorders>
                    <w:top w:val="single" w:color="auto" w:sz="8" w:space="0"/>
                    <w:left w:val="single" w:color="auto" w:sz="8" w:space="0"/>
                    <w:bottom w:val="single" w:color="auto" w:sz="8" w:space="0"/>
                    <w:right w:val="single" w:color="auto" w:sz="8" w:space="0"/>
                  </w:tcBorders>
                  <w:vAlign w:val="center"/>
                </w:tcPr>
                <w:p w14:paraId="608ADF1D">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1.39</w:t>
                  </w:r>
                </w:p>
              </w:tc>
              <w:tc>
                <w:tcPr>
                  <w:tcW w:w="807" w:type="dxa"/>
                  <w:tcBorders>
                    <w:top w:val="single" w:color="auto" w:sz="8" w:space="0"/>
                    <w:left w:val="single" w:color="auto" w:sz="8" w:space="0"/>
                    <w:bottom w:val="single" w:color="auto" w:sz="8" w:space="0"/>
                    <w:right w:val="single" w:color="auto" w:sz="8" w:space="0"/>
                  </w:tcBorders>
                  <w:vAlign w:val="center"/>
                </w:tcPr>
                <w:p w14:paraId="0FC19277">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1.39</w:t>
                  </w:r>
                </w:p>
              </w:tc>
              <w:tc>
                <w:tcPr>
                  <w:tcW w:w="817" w:type="dxa"/>
                  <w:tcBorders>
                    <w:top w:val="single" w:color="auto" w:sz="8" w:space="0"/>
                    <w:left w:val="single" w:color="auto" w:sz="8" w:space="0"/>
                    <w:bottom w:val="single" w:color="auto" w:sz="8" w:space="0"/>
                    <w:right w:val="single" w:color="auto" w:sz="8" w:space="0"/>
                  </w:tcBorders>
                  <w:vAlign w:val="center"/>
                </w:tcPr>
                <w:p w14:paraId="19C9D2B3">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1.02</w:t>
                  </w:r>
                </w:p>
              </w:tc>
              <w:tc>
                <w:tcPr>
                  <w:tcW w:w="817" w:type="dxa"/>
                  <w:tcBorders>
                    <w:top w:val="single" w:color="auto" w:sz="8" w:space="0"/>
                    <w:left w:val="single" w:color="auto" w:sz="8" w:space="0"/>
                    <w:bottom w:val="single" w:color="auto" w:sz="8" w:space="0"/>
                    <w:right w:val="single" w:color="auto" w:sz="8" w:space="0"/>
                  </w:tcBorders>
                  <w:vAlign w:val="center"/>
                </w:tcPr>
                <w:p w14:paraId="4778A4F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1.09</w:t>
                  </w:r>
                </w:p>
              </w:tc>
              <w:tc>
                <w:tcPr>
                  <w:tcW w:w="817" w:type="dxa"/>
                  <w:tcBorders>
                    <w:top w:val="single" w:color="auto" w:sz="8" w:space="0"/>
                    <w:left w:val="single" w:color="auto" w:sz="8" w:space="0"/>
                    <w:bottom w:val="single" w:color="auto" w:sz="8" w:space="0"/>
                    <w:right w:val="single" w:color="auto" w:sz="8" w:space="0"/>
                  </w:tcBorders>
                  <w:vAlign w:val="center"/>
                </w:tcPr>
                <w:p w14:paraId="1AF1507B">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1.05</w:t>
                  </w:r>
                </w:p>
              </w:tc>
              <w:tc>
                <w:tcPr>
                  <w:tcW w:w="817" w:type="dxa"/>
                  <w:tcBorders>
                    <w:top w:val="single" w:color="auto" w:sz="8" w:space="0"/>
                    <w:left w:val="single" w:color="auto" w:sz="8" w:space="0"/>
                    <w:bottom w:val="single" w:color="auto" w:sz="8" w:space="0"/>
                    <w:right w:val="nil"/>
                  </w:tcBorders>
                  <w:vAlign w:val="center"/>
                </w:tcPr>
                <w:p w14:paraId="684EA36F">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1.09</w:t>
                  </w:r>
                </w:p>
              </w:tc>
            </w:tr>
            <w:tr w14:paraId="6FC1F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vMerge w:val="continue"/>
                  <w:tcBorders>
                    <w:top w:val="single" w:color="auto" w:sz="8" w:space="0"/>
                    <w:left w:val="nil"/>
                    <w:bottom w:val="single" w:color="auto" w:sz="8" w:space="0"/>
                    <w:right w:val="single" w:color="auto" w:sz="8" w:space="0"/>
                  </w:tcBorders>
                  <w:vAlign w:val="center"/>
                </w:tcPr>
                <w:p w14:paraId="7959BF8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77" w:type="dxa"/>
                  <w:tcBorders>
                    <w:top w:val="single" w:color="auto" w:sz="8" w:space="0"/>
                    <w:left w:val="single" w:color="auto" w:sz="8" w:space="0"/>
                    <w:bottom w:val="single" w:color="auto" w:sz="8" w:space="0"/>
                    <w:right w:val="single" w:color="auto" w:sz="8" w:space="0"/>
                  </w:tcBorders>
                  <w:vAlign w:val="center"/>
                </w:tcPr>
                <w:p w14:paraId="698D03E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产生速率</w:t>
                  </w:r>
                </w:p>
                <w:p w14:paraId="2615260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（kg/h）</w:t>
                  </w:r>
                </w:p>
              </w:tc>
              <w:tc>
                <w:tcPr>
                  <w:tcW w:w="806" w:type="dxa"/>
                  <w:tcBorders>
                    <w:top w:val="single" w:color="auto" w:sz="8" w:space="0"/>
                    <w:left w:val="single" w:color="auto" w:sz="8" w:space="0"/>
                    <w:bottom w:val="single" w:color="auto" w:sz="8" w:space="0"/>
                    <w:right w:val="single" w:color="auto" w:sz="8" w:space="0"/>
                  </w:tcBorders>
                  <w:vAlign w:val="center"/>
                </w:tcPr>
                <w:p w14:paraId="3EBA607D">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06" w:type="dxa"/>
                  <w:tcBorders>
                    <w:top w:val="single" w:color="auto" w:sz="8" w:space="0"/>
                    <w:left w:val="single" w:color="auto" w:sz="8" w:space="0"/>
                    <w:bottom w:val="single" w:color="auto" w:sz="8" w:space="0"/>
                    <w:right w:val="single" w:color="auto" w:sz="8" w:space="0"/>
                  </w:tcBorders>
                  <w:vAlign w:val="center"/>
                </w:tcPr>
                <w:p w14:paraId="0482C91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07" w:type="dxa"/>
                  <w:tcBorders>
                    <w:top w:val="single" w:color="auto" w:sz="8" w:space="0"/>
                    <w:left w:val="single" w:color="auto" w:sz="8" w:space="0"/>
                    <w:bottom w:val="single" w:color="auto" w:sz="8" w:space="0"/>
                    <w:right w:val="single" w:color="auto" w:sz="8" w:space="0"/>
                  </w:tcBorders>
                  <w:vAlign w:val="center"/>
                </w:tcPr>
                <w:p w14:paraId="142A1CC7">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07" w:type="dxa"/>
                  <w:tcBorders>
                    <w:top w:val="single" w:color="auto" w:sz="8" w:space="0"/>
                    <w:left w:val="single" w:color="auto" w:sz="8" w:space="0"/>
                    <w:bottom w:val="single" w:color="auto" w:sz="8" w:space="0"/>
                    <w:right w:val="single" w:color="auto" w:sz="8" w:space="0"/>
                  </w:tcBorders>
                  <w:vAlign w:val="center"/>
                </w:tcPr>
                <w:p w14:paraId="28782963">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1.3</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17" w:type="dxa"/>
                  <w:tcBorders>
                    <w:top w:val="single" w:color="auto" w:sz="8" w:space="0"/>
                    <w:left w:val="single" w:color="auto" w:sz="8" w:space="0"/>
                    <w:bottom w:val="single" w:color="auto" w:sz="8" w:space="0"/>
                    <w:right w:val="single" w:color="auto" w:sz="8" w:space="0"/>
                  </w:tcBorders>
                  <w:shd w:val="clear" w:color="auto" w:fill="auto"/>
                  <w:vAlign w:val="center"/>
                </w:tcPr>
                <w:p w14:paraId="14E1A1D2">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1.21</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17" w:type="dxa"/>
                  <w:tcBorders>
                    <w:top w:val="single" w:color="auto" w:sz="8" w:space="0"/>
                    <w:left w:val="single" w:color="auto" w:sz="8" w:space="0"/>
                    <w:bottom w:val="single" w:color="auto" w:sz="8" w:space="0"/>
                    <w:right w:val="single" w:color="auto" w:sz="8" w:space="0"/>
                  </w:tcBorders>
                  <w:shd w:val="clear" w:color="auto" w:fill="auto"/>
                  <w:vAlign w:val="center"/>
                </w:tcPr>
                <w:p w14:paraId="55915BF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1.29</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17" w:type="dxa"/>
                  <w:tcBorders>
                    <w:top w:val="single" w:color="auto" w:sz="8" w:space="0"/>
                    <w:left w:val="single" w:color="auto" w:sz="8" w:space="0"/>
                    <w:bottom w:val="single" w:color="auto" w:sz="8" w:space="0"/>
                    <w:right w:val="single" w:color="auto" w:sz="8" w:space="0"/>
                  </w:tcBorders>
                  <w:shd w:val="clear" w:color="auto" w:fill="auto"/>
                  <w:vAlign w:val="center"/>
                </w:tcPr>
                <w:p w14:paraId="070743EE">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1.17</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c>
                <w:tcPr>
                  <w:tcW w:w="817" w:type="dxa"/>
                  <w:tcBorders>
                    <w:top w:val="single" w:color="auto" w:sz="8" w:space="0"/>
                    <w:left w:val="single" w:color="auto" w:sz="8" w:space="0"/>
                    <w:bottom w:val="single" w:color="auto" w:sz="8" w:space="0"/>
                    <w:right w:val="nil"/>
                  </w:tcBorders>
                  <w:shd w:val="clear" w:color="auto" w:fill="auto"/>
                  <w:vAlign w:val="center"/>
                </w:tcPr>
                <w:p w14:paraId="09D1FE50">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1.29</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-3</w:t>
                  </w:r>
                </w:p>
              </w:tc>
            </w:tr>
            <w:tr w14:paraId="5E9AD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vMerge w:val="restart"/>
                  <w:tcBorders>
                    <w:top w:val="single" w:color="auto" w:sz="8" w:space="0"/>
                    <w:left w:val="nil"/>
                    <w:bottom w:val="single" w:color="auto" w:sz="8" w:space="0"/>
                    <w:right w:val="single" w:color="auto" w:sz="8" w:space="0"/>
                  </w:tcBorders>
                  <w:vAlign w:val="center"/>
                </w:tcPr>
                <w:p w14:paraId="6AF4F44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硫化氢</w:t>
                  </w:r>
                </w:p>
              </w:tc>
              <w:tc>
                <w:tcPr>
                  <w:tcW w:w="1077" w:type="dxa"/>
                  <w:tcBorders>
                    <w:top w:val="single" w:color="auto" w:sz="8" w:space="0"/>
                    <w:left w:val="single" w:color="auto" w:sz="8" w:space="0"/>
                    <w:bottom w:val="single" w:color="auto" w:sz="8" w:space="0"/>
                    <w:right w:val="single" w:color="auto" w:sz="8" w:space="0"/>
                  </w:tcBorders>
                  <w:vAlign w:val="center"/>
                </w:tcPr>
                <w:p w14:paraId="5C8FEF9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产生浓度（mg/m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w:t>
                  </w:r>
                </w:p>
              </w:tc>
              <w:tc>
                <w:tcPr>
                  <w:tcW w:w="806" w:type="dxa"/>
                  <w:tcBorders>
                    <w:top w:val="single" w:color="auto" w:sz="8" w:space="0"/>
                    <w:left w:val="single" w:color="auto" w:sz="8" w:space="0"/>
                    <w:bottom w:val="single" w:color="auto" w:sz="8" w:space="0"/>
                    <w:right w:val="single" w:color="auto" w:sz="8" w:space="0"/>
                  </w:tcBorders>
                  <w:vAlign w:val="center"/>
                </w:tcPr>
                <w:p w14:paraId="3B65CF58">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0.01</w:t>
                  </w:r>
                </w:p>
              </w:tc>
              <w:tc>
                <w:tcPr>
                  <w:tcW w:w="806" w:type="dxa"/>
                  <w:tcBorders>
                    <w:top w:val="single" w:color="auto" w:sz="8" w:space="0"/>
                    <w:left w:val="single" w:color="auto" w:sz="8" w:space="0"/>
                    <w:bottom w:val="single" w:color="auto" w:sz="8" w:space="0"/>
                    <w:right w:val="single" w:color="auto" w:sz="8" w:space="0"/>
                  </w:tcBorders>
                  <w:vAlign w:val="center"/>
                </w:tcPr>
                <w:p w14:paraId="14A152DF">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0.02</w:t>
                  </w:r>
                </w:p>
              </w:tc>
              <w:tc>
                <w:tcPr>
                  <w:tcW w:w="807" w:type="dxa"/>
                  <w:tcBorders>
                    <w:top w:val="single" w:color="auto" w:sz="8" w:space="0"/>
                    <w:left w:val="single" w:color="auto" w:sz="8" w:space="0"/>
                    <w:bottom w:val="single" w:color="auto" w:sz="8" w:space="0"/>
                    <w:right w:val="single" w:color="auto" w:sz="8" w:space="0"/>
                  </w:tcBorders>
                  <w:vAlign w:val="center"/>
                </w:tcPr>
                <w:p w14:paraId="49684BD3">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0.02</w:t>
                  </w:r>
                </w:p>
              </w:tc>
              <w:tc>
                <w:tcPr>
                  <w:tcW w:w="807" w:type="dxa"/>
                  <w:tcBorders>
                    <w:top w:val="single" w:color="auto" w:sz="8" w:space="0"/>
                    <w:left w:val="single" w:color="auto" w:sz="8" w:space="0"/>
                    <w:bottom w:val="single" w:color="auto" w:sz="8" w:space="0"/>
                    <w:right w:val="single" w:color="auto" w:sz="8" w:space="0"/>
                  </w:tcBorders>
                  <w:vAlign w:val="center"/>
                </w:tcPr>
                <w:p w14:paraId="0B672A51">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0.02</w:t>
                  </w:r>
                </w:p>
              </w:tc>
              <w:tc>
                <w:tcPr>
                  <w:tcW w:w="817" w:type="dxa"/>
                  <w:tcBorders>
                    <w:top w:val="single" w:color="auto" w:sz="8" w:space="0"/>
                    <w:left w:val="single" w:color="auto" w:sz="8" w:space="0"/>
                    <w:bottom w:val="single" w:color="auto" w:sz="8" w:space="0"/>
                    <w:right w:val="single" w:color="auto" w:sz="8" w:space="0"/>
                  </w:tcBorders>
                  <w:shd w:val="clear" w:color="auto" w:fill="auto"/>
                  <w:vAlign w:val="center"/>
                </w:tcPr>
                <w:p w14:paraId="6CA29670">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ND</w:t>
                  </w:r>
                </w:p>
              </w:tc>
              <w:tc>
                <w:tcPr>
                  <w:tcW w:w="817" w:type="dxa"/>
                  <w:tcBorders>
                    <w:top w:val="single" w:color="auto" w:sz="8" w:space="0"/>
                    <w:left w:val="single" w:color="auto" w:sz="8" w:space="0"/>
                    <w:bottom w:val="single" w:color="auto" w:sz="8" w:space="0"/>
                    <w:right w:val="single" w:color="auto" w:sz="8" w:space="0"/>
                  </w:tcBorders>
                  <w:shd w:val="clear" w:color="auto" w:fill="auto"/>
                  <w:vAlign w:val="center"/>
                </w:tcPr>
                <w:p w14:paraId="42C32DA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ND</w:t>
                  </w:r>
                </w:p>
              </w:tc>
              <w:tc>
                <w:tcPr>
                  <w:tcW w:w="817" w:type="dxa"/>
                  <w:tcBorders>
                    <w:top w:val="single" w:color="auto" w:sz="8" w:space="0"/>
                    <w:left w:val="single" w:color="auto" w:sz="8" w:space="0"/>
                    <w:bottom w:val="single" w:color="auto" w:sz="8" w:space="0"/>
                    <w:right w:val="single" w:color="auto" w:sz="8" w:space="0"/>
                  </w:tcBorders>
                  <w:shd w:val="clear" w:color="auto" w:fill="auto"/>
                  <w:vAlign w:val="center"/>
                </w:tcPr>
                <w:p w14:paraId="5FCA97CD">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ND</w:t>
                  </w:r>
                </w:p>
              </w:tc>
              <w:tc>
                <w:tcPr>
                  <w:tcW w:w="817" w:type="dxa"/>
                  <w:tcBorders>
                    <w:top w:val="single" w:color="auto" w:sz="8" w:space="0"/>
                    <w:left w:val="single" w:color="auto" w:sz="8" w:space="0"/>
                    <w:bottom w:val="single" w:color="auto" w:sz="8" w:space="0"/>
                    <w:right w:val="nil"/>
                  </w:tcBorders>
                  <w:shd w:val="clear" w:color="auto" w:fill="auto"/>
                  <w:vAlign w:val="center"/>
                </w:tcPr>
                <w:p w14:paraId="352D18D7">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ND</w:t>
                  </w:r>
                </w:p>
              </w:tc>
            </w:tr>
            <w:tr w14:paraId="49DC5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dxa"/>
                  <w:vMerge w:val="continue"/>
                  <w:tcBorders>
                    <w:top w:val="single" w:color="auto" w:sz="8" w:space="0"/>
                    <w:left w:val="nil"/>
                    <w:bottom w:val="single" w:color="auto" w:sz="12" w:space="0"/>
                    <w:right w:val="single" w:color="auto" w:sz="8" w:space="0"/>
                  </w:tcBorders>
                  <w:vAlign w:val="center"/>
                </w:tcPr>
                <w:p w14:paraId="284AB32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77" w:type="dxa"/>
                  <w:tcBorders>
                    <w:top w:val="single" w:color="auto" w:sz="8" w:space="0"/>
                    <w:left w:val="single" w:color="auto" w:sz="8" w:space="0"/>
                    <w:bottom w:val="single" w:color="auto" w:sz="12" w:space="0"/>
                    <w:right w:val="single" w:color="auto" w:sz="8" w:space="0"/>
                  </w:tcBorders>
                  <w:vAlign w:val="center"/>
                </w:tcPr>
                <w:p w14:paraId="33EF0B6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产生速率</w:t>
                  </w:r>
                </w:p>
                <w:p w14:paraId="1465B59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（kg/h）</w:t>
                  </w:r>
                </w:p>
              </w:tc>
              <w:tc>
                <w:tcPr>
                  <w:tcW w:w="806" w:type="dxa"/>
                  <w:tcBorders>
                    <w:top w:val="single" w:color="auto" w:sz="8" w:space="0"/>
                    <w:left w:val="single" w:color="auto" w:sz="8" w:space="0"/>
                    <w:bottom w:val="single" w:color="auto" w:sz="12" w:space="0"/>
                    <w:right w:val="single" w:color="auto" w:sz="8" w:space="0"/>
                  </w:tcBorders>
                  <w:shd w:val="clear" w:color="auto" w:fill="auto"/>
                  <w:vAlign w:val="center"/>
                </w:tcPr>
                <w:p w14:paraId="1B5E4145">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default"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1.0</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-5</w:t>
                  </w:r>
                </w:p>
              </w:tc>
              <w:tc>
                <w:tcPr>
                  <w:tcW w:w="806" w:type="dxa"/>
                  <w:tcBorders>
                    <w:top w:val="single" w:color="auto" w:sz="8" w:space="0"/>
                    <w:left w:val="single" w:color="auto" w:sz="8" w:space="0"/>
                    <w:bottom w:val="single" w:color="auto" w:sz="12" w:space="0"/>
                    <w:right w:val="single" w:color="auto" w:sz="8" w:space="0"/>
                  </w:tcBorders>
                  <w:shd w:val="clear" w:color="auto" w:fill="auto"/>
                  <w:vAlign w:val="center"/>
                </w:tcPr>
                <w:p w14:paraId="3B470F96">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1.9</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-5</w:t>
                  </w:r>
                </w:p>
              </w:tc>
              <w:tc>
                <w:tcPr>
                  <w:tcW w:w="807" w:type="dxa"/>
                  <w:tcBorders>
                    <w:top w:val="single" w:color="auto" w:sz="8" w:space="0"/>
                    <w:left w:val="single" w:color="auto" w:sz="8" w:space="0"/>
                    <w:bottom w:val="single" w:color="auto" w:sz="12" w:space="0"/>
                    <w:right w:val="single" w:color="auto" w:sz="8" w:space="0"/>
                  </w:tcBorders>
                  <w:shd w:val="clear" w:color="auto" w:fill="auto"/>
                  <w:vAlign w:val="center"/>
                </w:tcPr>
                <w:p w14:paraId="4E1A6D3A">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1.9</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-5</w:t>
                  </w:r>
                </w:p>
              </w:tc>
              <w:tc>
                <w:tcPr>
                  <w:tcW w:w="807" w:type="dxa"/>
                  <w:tcBorders>
                    <w:top w:val="single" w:color="auto" w:sz="8" w:space="0"/>
                    <w:left w:val="single" w:color="auto" w:sz="8" w:space="0"/>
                    <w:bottom w:val="single" w:color="auto" w:sz="12" w:space="0"/>
                    <w:right w:val="single" w:color="auto" w:sz="8" w:space="0"/>
                  </w:tcBorders>
                  <w:shd w:val="clear" w:color="auto" w:fill="auto"/>
                  <w:vAlign w:val="center"/>
                </w:tcPr>
                <w:p w14:paraId="17B88559">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1.9</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-5</w:t>
                  </w:r>
                </w:p>
              </w:tc>
              <w:tc>
                <w:tcPr>
                  <w:tcW w:w="817" w:type="dxa"/>
                  <w:tcBorders>
                    <w:top w:val="single" w:color="auto" w:sz="8" w:space="0"/>
                    <w:left w:val="single" w:color="auto" w:sz="8" w:space="0"/>
                    <w:bottom w:val="single" w:color="auto" w:sz="12" w:space="0"/>
                    <w:right w:val="single" w:color="auto" w:sz="8" w:space="0"/>
                  </w:tcBorders>
                  <w:shd w:val="clear" w:color="auto" w:fill="auto"/>
                  <w:vAlign w:val="center"/>
                </w:tcPr>
                <w:p w14:paraId="5AD60EBC">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5.91</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-6</w:t>
                  </w:r>
                </w:p>
              </w:tc>
              <w:tc>
                <w:tcPr>
                  <w:tcW w:w="817" w:type="dxa"/>
                  <w:tcBorders>
                    <w:top w:val="single" w:color="auto" w:sz="8" w:space="0"/>
                    <w:left w:val="single" w:color="auto" w:sz="8" w:space="0"/>
                    <w:bottom w:val="single" w:color="auto" w:sz="12" w:space="0"/>
                    <w:right w:val="single" w:color="auto" w:sz="8" w:space="0"/>
                  </w:tcBorders>
                  <w:shd w:val="clear" w:color="auto" w:fill="auto"/>
                  <w:vAlign w:val="center"/>
                </w:tcPr>
                <w:p w14:paraId="2F532C8F">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5.90</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-6</w:t>
                  </w:r>
                </w:p>
              </w:tc>
              <w:tc>
                <w:tcPr>
                  <w:tcW w:w="817" w:type="dxa"/>
                  <w:tcBorders>
                    <w:top w:val="single" w:color="auto" w:sz="8" w:space="0"/>
                    <w:left w:val="single" w:color="auto" w:sz="8" w:space="0"/>
                    <w:bottom w:val="single" w:color="auto" w:sz="12" w:space="0"/>
                    <w:right w:val="single" w:color="auto" w:sz="8" w:space="0"/>
                  </w:tcBorders>
                  <w:shd w:val="clear" w:color="auto" w:fill="auto"/>
                  <w:vAlign w:val="center"/>
                </w:tcPr>
                <w:p w14:paraId="6B40C794">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5.60</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-6</w:t>
                  </w:r>
                </w:p>
              </w:tc>
              <w:tc>
                <w:tcPr>
                  <w:tcW w:w="817" w:type="dxa"/>
                  <w:tcBorders>
                    <w:top w:val="single" w:color="auto" w:sz="8" w:space="0"/>
                    <w:left w:val="single" w:color="auto" w:sz="8" w:space="0"/>
                    <w:bottom w:val="single" w:color="auto" w:sz="12" w:space="0"/>
                    <w:right w:val="nil"/>
                  </w:tcBorders>
                  <w:shd w:val="clear" w:color="auto" w:fill="auto"/>
                  <w:vAlign w:val="center"/>
                </w:tcPr>
                <w:p w14:paraId="2CB79342">
                  <w:pPr>
                    <w:keepNext w:val="0"/>
                    <w:keepLines w:val="0"/>
                    <w:pageBreakBefore w:val="0"/>
                    <w:widowControl w:val="0"/>
                    <w:kinsoku/>
                    <w:wordWrap/>
                    <w:overflowPunct/>
                    <w:topLinePunct w:val="0"/>
                    <w:autoSpaceDE/>
                    <w:autoSpaceDN/>
                    <w:bidi w:val="0"/>
                    <w:adjustRightInd/>
                    <w:snapToGrid/>
                    <w:spacing w:line="280" w:lineRule="exact"/>
                    <w:ind w:left="-48" w:leftChars="-20" w:right="-48" w:rightChars="-20"/>
                    <w:jc w:val="center"/>
                    <w:textAlignment w:val="auto"/>
                    <w:rPr>
                      <w:rFonts w:hint="eastAsia" w:ascii="Times New Roman" w:hAnsi="Times New Roman" w:eastAsia="宋体" w:cs="Times New Roman"/>
                      <w:bCs/>
                      <w:color w:val="auto"/>
                      <w:kern w:val="2"/>
                      <w:sz w:val="18"/>
                      <w:szCs w:val="18"/>
                      <w:highlight w:val="none"/>
                      <w:vertAlign w:val="baseline"/>
                      <w:lang w:val="en-US" w:eastAsia="zh-CN" w:bidi="ar-SA"/>
                    </w:rPr>
                  </w:pPr>
                  <w:r>
                    <w:rPr>
                      <w:rFonts w:hint="eastAsia" w:cs="Times New Roman"/>
                      <w:bCs/>
                      <w:color w:val="auto"/>
                      <w:sz w:val="18"/>
                      <w:szCs w:val="18"/>
                      <w:highlight w:val="none"/>
                      <w:vertAlign w:val="baseline"/>
                      <w:lang w:val="en-US" w:eastAsia="zh-CN"/>
                    </w:rPr>
                    <w:t>5.91</w:t>
                  </w:r>
                  <w:r>
                    <w:rPr>
                      <w:rFonts w:hint="default" w:ascii="Arial" w:hAnsi="Arial" w:cs="Arial"/>
                      <w:bCs/>
                      <w:color w:val="auto"/>
                      <w:sz w:val="18"/>
                      <w:szCs w:val="18"/>
                      <w:highlight w:val="none"/>
                      <w:vertAlign w:val="baseline"/>
                      <w:lang w:val="en-US" w:eastAsia="zh-CN"/>
                    </w:rPr>
                    <w:t>×</w:t>
                  </w:r>
                  <w:r>
                    <w:rPr>
                      <w:rFonts w:hint="eastAsia" w:cs="Times New Roman"/>
                      <w:bCs/>
                      <w:color w:val="auto"/>
                      <w:sz w:val="18"/>
                      <w:szCs w:val="18"/>
                      <w:highlight w:val="none"/>
                      <w:vertAlign w:val="baseline"/>
                      <w:lang w:val="en-US" w:eastAsia="zh-CN"/>
                    </w:rPr>
                    <w:t>10</w:t>
                  </w:r>
                  <w:r>
                    <w:rPr>
                      <w:rFonts w:hint="eastAsia" w:cs="Times New Roman"/>
                      <w:bCs/>
                      <w:color w:val="auto"/>
                      <w:sz w:val="18"/>
                      <w:szCs w:val="18"/>
                      <w:highlight w:val="none"/>
                      <w:vertAlign w:val="superscript"/>
                      <w:lang w:val="en-US" w:eastAsia="zh-CN"/>
                    </w:rPr>
                    <w:t>-6</w:t>
                  </w:r>
                </w:p>
              </w:tc>
            </w:tr>
          </w:tbl>
          <w:p w14:paraId="11B36776">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cs="Times New Roman"/>
                <w:color w:val="auto"/>
                <w:sz w:val="24"/>
                <w:highlight w:val="none"/>
                <w:lang w:val="en-US" w:eastAsia="zh-CN"/>
              </w:rPr>
              <w:t>根据道孚绿野农特产品投资开发有限公司道孚县牲畜定点屠宰场排污许可证（91513326MA67UNQT3A001U），该项目有组织收集点位为待宰圈、屠宰车间、厂内综合废水处理站，采用“低温等离子+活性炭吸附+15m排气筒排放”。同时根据《道孚县牲畜定点屠宰场建设项目环境影响报告表》，该</w:t>
            </w:r>
            <w:r>
              <w:rPr>
                <w:rFonts w:hint="eastAsia" w:ascii="Times New Roman" w:hAnsi="Times New Roman" w:eastAsia="宋体" w:cs="Times New Roman"/>
                <w:bCs/>
                <w:color w:val="auto"/>
                <w:highlight w:val="none"/>
                <w:lang w:val="en-US" w:eastAsia="zh-CN"/>
              </w:rPr>
              <w:t>项目有组织废气收集率按80%，处理效率按85%计算</w:t>
            </w:r>
            <w:r>
              <w:rPr>
                <w:rFonts w:hint="eastAsia" w:cs="Times New Roman"/>
                <w:bCs/>
                <w:color w:val="auto"/>
                <w:highlight w:val="none"/>
                <w:lang w:val="en-US" w:eastAsia="zh-CN"/>
              </w:rPr>
              <w:t>，故根据例行监测数据核算废气最大产生速率为氨：0.0108kg/h，硫化氢：0.0002kg/h</w:t>
            </w:r>
          </w:p>
          <w:p w14:paraId="5C2329C4">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另参考待宰间恶臭参照中国环境科学学会学术年会论文集（2010）中的《养猪场恶臭影响量化分析及控制对策研究》（天津市环境影响评价中心，孙艳青、张潞、李万庆）资料，生猪恶臭产污系数为NH</w:t>
            </w:r>
            <w:r>
              <w:rPr>
                <w:rFonts w:hint="eastAsia" w:ascii="Times New Roman" w:hAnsi="Times New Roman" w:eastAsia="宋体" w:cs="Times New Roman"/>
                <w:bCs/>
                <w:color w:val="auto"/>
                <w:highlight w:val="none"/>
                <w:vertAlign w:val="subscript"/>
                <w:lang w:val="en-US" w:eastAsia="zh-CN"/>
              </w:rPr>
              <w:t>3</w:t>
            </w:r>
            <w:r>
              <w:rPr>
                <w:rFonts w:hint="eastAsia" w:ascii="Times New Roman" w:hAnsi="Times New Roman" w:eastAsia="宋体" w:cs="Times New Roman"/>
                <w:bCs/>
                <w:color w:val="auto"/>
                <w:highlight w:val="none"/>
                <w:lang w:val="en-US" w:eastAsia="zh-CN"/>
              </w:rPr>
              <w:t>5.65g/（头·d）、H</w:t>
            </w:r>
            <w:r>
              <w:rPr>
                <w:rFonts w:hint="eastAsia" w:ascii="Times New Roman" w:hAnsi="Times New Roman" w:eastAsia="宋体" w:cs="Times New Roman"/>
                <w:bCs/>
                <w:color w:val="auto"/>
                <w:highlight w:val="none"/>
                <w:vertAlign w:val="subscript"/>
                <w:lang w:val="en-US" w:eastAsia="zh-CN"/>
              </w:rPr>
              <w:t>2</w:t>
            </w:r>
            <w:r>
              <w:rPr>
                <w:rFonts w:hint="eastAsia" w:ascii="Times New Roman" w:hAnsi="Times New Roman" w:eastAsia="宋体" w:cs="Times New Roman"/>
                <w:bCs/>
                <w:color w:val="auto"/>
                <w:highlight w:val="none"/>
                <w:lang w:val="en-US" w:eastAsia="zh-CN"/>
              </w:rPr>
              <w:t>S0.5g/（头·d），则本项目各待宰间恶臭产生情况见下表。</w:t>
            </w:r>
          </w:p>
          <w:p w14:paraId="6218972C">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本项目待宰区恶臭产生情况表</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2"/>
              <w:gridCol w:w="930"/>
              <w:gridCol w:w="1544"/>
            </w:tblGrid>
            <w:tr w14:paraId="72CCC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vMerge w:val="restart"/>
                  <w:vAlign w:val="center"/>
                </w:tcPr>
                <w:p w14:paraId="5364D04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分类</w:t>
                  </w:r>
                </w:p>
              </w:tc>
              <w:tc>
                <w:tcPr>
                  <w:tcW w:w="2474" w:type="dxa"/>
                  <w:gridSpan w:val="2"/>
                  <w:tcBorders>
                    <w:right w:val="nil"/>
                  </w:tcBorders>
                  <w:vAlign w:val="center"/>
                </w:tcPr>
                <w:p w14:paraId="7B075D07">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恶臭污染物产生情况（kg/h）</w:t>
                  </w:r>
                </w:p>
              </w:tc>
            </w:tr>
            <w:tr w14:paraId="5AFCD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vMerge w:val="continue"/>
                  <w:tcBorders>
                    <w:left w:val="nil"/>
                  </w:tcBorders>
                  <w:vAlign w:val="center"/>
                </w:tcPr>
                <w:p w14:paraId="42504420">
                  <w:pPr>
                    <w:jc w:val="center"/>
                    <w:rPr>
                      <w:rFonts w:hint="default" w:ascii="Times New Roman" w:hAnsi="Times New Roman" w:eastAsia="宋体" w:cs="Times New Roman"/>
                      <w:color w:val="auto"/>
                      <w:sz w:val="21"/>
                      <w:szCs w:val="21"/>
                      <w:highlight w:val="none"/>
                      <w:lang w:val="en-US" w:eastAsia="zh-CN"/>
                    </w:rPr>
                  </w:pPr>
                </w:p>
              </w:tc>
              <w:tc>
                <w:tcPr>
                  <w:tcW w:w="930" w:type="dxa"/>
                  <w:vAlign w:val="center"/>
                </w:tcPr>
                <w:p w14:paraId="716B148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氨</w:t>
                  </w:r>
                </w:p>
              </w:tc>
              <w:tc>
                <w:tcPr>
                  <w:tcW w:w="1544" w:type="dxa"/>
                  <w:tcBorders>
                    <w:right w:val="nil"/>
                  </w:tcBorders>
                  <w:vAlign w:val="center"/>
                </w:tcPr>
                <w:p w14:paraId="082436E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硫化氢</w:t>
                  </w:r>
                </w:p>
              </w:tc>
            </w:tr>
            <w:tr w14:paraId="30520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vAlign w:val="center"/>
                </w:tcPr>
                <w:p w14:paraId="09852C2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类比</w:t>
                  </w:r>
                  <w:r>
                    <w:rPr>
                      <w:rFonts w:hint="eastAsia" w:ascii="Times New Roman" w:hAnsi="Times New Roman" w:eastAsia="宋体" w:cs="Times New Roman"/>
                      <w:color w:val="auto"/>
                      <w:sz w:val="21"/>
                      <w:szCs w:val="21"/>
                      <w:highlight w:val="none"/>
                      <w:lang w:val="en-US" w:eastAsia="zh-CN"/>
                    </w:rPr>
                    <w:t>法-《</w:t>
                  </w:r>
                  <w:r>
                    <w:rPr>
                      <w:rFonts w:hint="default" w:ascii="Times New Roman" w:hAnsi="Times New Roman" w:eastAsia="宋体" w:cs="Times New Roman"/>
                      <w:color w:val="auto"/>
                      <w:sz w:val="21"/>
                      <w:szCs w:val="21"/>
                      <w:highlight w:val="none"/>
                      <w:lang w:val="en-US" w:eastAsia="zh-CN"/>
                    </w:rPr>
                    <w:t>齐河宏康年屠宰30万头生猪项目屠宰区</w:t>
                  </w:r>
                  <w:r>
                    <w:rPr>
                      <w:rFonts w:hint="eastAsia" w:ascii="Times New Roman" w:hAnsi="Times New Roman" w:eastAsia="宋体" w:cs="Times New Roman"/>
                      <w:color w:val="auto"/>
                      <w:sz w:val="21"/>
                      <w:szCs w:val="21"/>
                      <w:highlight w:val="none"/>
                      <w:lang w:val="en-US" w:eastAsia="zh-CN"/>
                    </w:rPr>
                    <w:t>》</w:t>
                  </w:r>
                </w:p>
              </w:tc>
              <w:tc>
                <w:tcPr>
                  <w:tcW w:w="930" w:type="dxa"/>
                  <w:vAlign w:val="center"/>
                </w:tcPr>
                <w:p w14:paraId="5188FD0F">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0.0034</w:t>
                  </w:r>
                </w:p>
              </w:tc>
              <w:tc>
                <w:tcPr>
                  <w:tcW w:w="1544" w:type="dxa"/>
                  <w:tcBorders>
                    <w:right w:val="nil"/>
                  </w:tcBorders>
                  <w:vAlign w:val="center"/>
                </w:tcPr>
                <w:p w14:paraId="35F7B1E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0.00023</w:t>
                  </w:r>
                </w:p>
              </w:tc>
            </w:tr>
            <w:tr w14:paraId="3BFD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shd w:val="clear" w:color="auto" w:fill="auto"/>
                  <w:vAlign w:val="center"/>
                </w:tcPr>
                <w:p w14:paraId="1E6FBE1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类比</w:t>
                  </w:r>
                  <w:r>
                    <w:rPr>
                      <w:rFonts w:hint="eastAsia" w:ascii="Times New Roman" w:hAnsi="Times New Roman" w:eastAsia="宋体" w:cs="Times New Roman"/>
                      <w:color w:val="auto"/>
                      <w:sz w:val="21"/>
                      <w:szCs w:val="21"/>
                      <w:highlight w:val="none"/>
                      <w:lang w:val="en-US" w:eastAsia="zh-CN"/>
                    </w:rPr>
                    <w:t>法-《道孚县牲畜定点屠宰场》</w:t>
                  </w:r>
                </w:p>
              </w:tc>
              <w:tc>
                <w:tcPr>
                  <w:tcW w:w="930" w:type="dxa"/>
                  <w:shd w:val="clear" w:color="auto" w:fill="auto"/>
                  <w:vAlign w:val="center"/>
                </w:tcPr>
                <w:p w14:paraId="7E53FB23">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108</w:t>
                  </w:r>
                </w:p>
              </w:tc>
              <w:tc>
                <w:tcPr>
                  <w:tcW w:w="1544" w:type="dxa"/>
                  <w:tcBorders>
                    <w:right w:val="nil"/>
                  </w:tcBorders>
                  <w:shd w:val="clear" w:color="auto" w:fill="auto"/>
                  <w:vAlign w:val="center"/>
                </w:tcPr>
                <w:p w14:paraId="04E61449">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0.0002</w:t>
                  </w:r>
                </w:p>
              </w:tc>
            </w:tr>
            <w:tr w14:paraId="2251B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vAlign w:val="center"/>
                </w:tcPr>
                <w:p w14:paraId="0A73E56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产污系数-《养猪场恶臭影响量化分析及控制对策研究》</w:t>
                  </w:r>
                </w:p>
              </w:tc>
              <w:tc>
                <w:tcPr>
                  <w:tcW w:w="930" w:type="dxa"/>
                  <w:vAlign w:val="center"/>
                </w:tcPr>
                <w:p w14:paraId="07B9559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094</w:t>
                  </w:r>
                </w:p>
              </w:tc>
              <w:tc>
                <w:tcPr>
                  <w:tcW w:w="1544" w:type="dxa"/>
                  <w:tcBorders>
                    <w:right w:val="nil"/>
                  </w:tcBorders>
                  <w:vAlign w:val="center"/>
                </w:tcPr>
                <w:p w14:paraId="55EDDE0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0.0008</w:t>
                  </w:r>
                </w:p>
              </w:tc>
            </w:tr>
            <w:tr w14:paraId="2719E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vAlign w:val="center"/>
                </w:tcPr>
                <w:p w14:paraId="6054FDB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本项目（年屠宰7</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00头生猪）</w:t>
                  </w:r>
                  <w:r>
                    <w:rPr>
                      <w:rFonts w:hint="eastAsia" w:ascii="Times New Roman" w:hAnsi="Times New Roman" w:eastAsia="宋体" w:cs="Times New Roman"/>
                      <w:color w:val="auto"/>
                      <w:sz w:val="21"/>
                      <w:szCs w:val="21"/>
                      <w:highlight w:val="none"/>
                      <w:lang w:val="en-US" w:eastAsia="zh-CN"/>
                    </w:rPr>
                    <w:t>最终取值</w:t>
                  </w:r>
                </w:p>
              </w:tc>
              <w:tc>
                <w:tcPr>
                  <w:tcW w:w="930" w:type="dxa"/>
                  <w:vAlign w:val="center"/>
                </w:tcPr>
                <w:p w14:paraId="6054B61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108</w:t>
                  </w:r>
                </w:p>
              </w:tc>
              <w:tc>
                <w:tcPr>
                  <w:tcW w:w="1544" w:type="dxa"/>
                  <w:tcBorders>
                    <w:right w:val="nil"/>
                  </w:tcBorders>
                  <w:vAlign w:val="center"/>
                </w:tcPr>
                <w:p w14:paraId="203816E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08</w:t>
                  </w:r>
                </w:p>
              </w:tc>
            </w:tr>
          </w:tbl>
          <w:p w14:paraId="54B709FC">
            <w:pPr>
              <w:spacing w:line="360" w:lineRule="auto"/>
              <w:ind w:firstLine="482" w:firstLineChars="200"/>
              <w:rPr>
                <w:rFonts w:hint="default" w:ascii="Times New Roman" w:hAnsi="Times New Roman" w:eastAsia="宋体" w:cs="Times New Roman"/>
                <w:b/>
                <w:bCs w:val="0"/>
                <w:color w:val="auto"/>
                <w:highlight w:val="none"/>
                <w:lang w:val="en-US" w:eastAsia="zh-CN"/>
              </w:rPr>
            </w:pPr>
            <w:r>
              <w:rPr>
                <w:rFonts w:hint="default" w:ascii="Times New Roman" w:hAnsi="Times New Roman" w:eastAsia="宋体" w:cs="Times New Roman"/>
                <w:b/>
                <w:bCs w:val="0"/>
                <w:color w:val="auto"/>
                <w:highlight w:val="none"/>
                <w:lang w:val="en-US" w:eastAsia="zh-CN"/>
              </w:rPr>
              <w:t>②屠宰区恶臭</w:t>
            </w:r>
          </w:p>
          <w:p w14:paraId="69937543">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屠宰车间内许多作业都要使用热水或冷水，地面上容易积有大量冷热水，所以空气湿度很高。屠宰后的生猪的湿皮、血、肠胃内容物、粪尿等的臭气混杂在一起，产生刺鼻的腥臭味，并扩散至整个厂区及周围地区。项目屠宰时间约为每天4h</w:t>
            </w:r>
            <w:r>
              <w:rPr>
                <w:rFonts w:hint="eastAsia" w:cs="Times New Roman"/>
                <w:bCs/>
                <w:color w:val="auto"/>
                <w:highlight w:val="none"/>
                <w:lang w:val="en-US" w:eastAsia="zh-CN"/>
              </w:rPr>
              <w:t>（一班制）</w:t>
            </w:r>
            <w:r>
              <w:rPr>
                <w:rFonts w:hint="default" w:ascii="Times New Roman" w:hAnsi="Times New Roman" w:eastAsia="宋体" w:cs="Times New Roman"/>
                <w:bCs/>
                <w:color w:val="auto"/>
                <w:highlight w:val="none"/>
                <w:lang w:val="en-US" w:eastAsia="zh-CN"/>
              </w:rPr>
              <w:t>，加上清洗整理时间</w:t>
            </w:r>
            <w:r>
              <w:rPr>
                <w:rFonts w:hint="eastAsia" w:cs="Times New Roman"/>
                <w:bCs/>
                <w:color w:val="auto"/>
                <w:highlight w:val="none"/>
                <w:lang w:val="en-US" w:eastAsia="zh-CN"/>
              </w:rPr>
              <w:t>每天工作时间为8</w:t>
            </w:r>
            <w:r>
              <w:rPr>
                <w:rFonts w:hint="default" w:ascii="Times New Roman" w:hAnsi="Times New Roman" w:eastAsia="宋体" w:cs="Times New Roman"/>
                <w:bCs/>
                <w:color w:val="auto"/>
                <w:highlight w:val="none"/>
                <w:lang w:val="en-US" w:eastAsia="zh-CN"/>
              </w:rPr>
              <w:t>h。</w:t>
            </w:r>
          </w:p>
          <w:p w14:paraId="578EDEED">
            <w:pPr>
              <w:spacing w:line="360" w:lineRule="auto"/>
              <w:ind w:firstLine="480" w:firstLineChars="200"/>
              <w:rPr>
                <w:rFonts w:hint="eastAsia"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生猪</w:t>
            </w:r>
            <w:r>
              <w:rPr>
                <w:rFonts w:hint="eastAsia" w:cs="Times New Roman"/>
                <w:bCs/>
                <w:color w:val="auto"/>
                <w:highlight w:val="none"/>
                <w:lang w:val="en-US" w:eastAsia="zh-CN"/>
              </w:rPr>
              <w:t>屠宰区</w:t>
            </w:r>
            <w:r>
              <w:rPr>
                <w:rFonts w:hint="default" w:ascii="Times New Roman" w:hAnsi="Times New Roman" w:eastAsia="宋体" w:cs="Times New Roman"/>
                <w:bCs/>
                <w:color w:val="auto"/>
                <w:highlight w:val="none"/>
                <w:lang w:val="en-US" w:eastAsia="zh-CN"/>
              </w:rPr>
              <w:t>恶臭气体产生量类比《齐河宏康肉类加工有限公司年屠宰30万头生猪项目竣工环境保护验收监测报告》</w:t>
            </w:r>
            <w:r>
              <w:rPr>
                <w:rFonts w:hint="eastAsia" w:cs="Times New Roman"/>
                <w:bCs/>
                <w:color w:val="auto"/>
                <w:highlight w:val="none"/>
                <w:lang w:val="en-US" w:eastAsia="zh-CN"/>
              </w:rPr>
              <w:t>、</w:t>
            </w:r>
            <w:r>
              <w:rPr>
                <w:rFonts w:hint="default" w:ascii="Times New Roman" w:hAnsi="Times New Roman" w:eastAsia="宋体" w:cs="Times New Roman"/>
                <w:bCs/>
                <w:color w:val="auto"/>
                <w:highlight w:val="none"/>
                <w:lang w:val="en-US" w:eastAsia="zh-CN"/>
              </w:rPr>
              <w:t>《道孚绿野农特产品投资开发有限公司</w:t>
            </w:r>
            <w:r>
              <w:rPr>
                <w:rFonts w:hint="eastAsia" w:cs="Times New Roman"/>
                <w:bCs/>
                <w:color w:val="auto"/>
                <w:highlight w:val="none"/>
                <w:lang w:val="en-US" w:eastAsia="zh-CN"/>
              </w:rPr>
              <w:t>2022-2023年年度例行监测报告</w:t>
            </w:r>
            <w:r>
              <w:rPr>
                <w:rFonts w:hint="default" w:ascii="Times New Roman" w:hAnsi="Times New Roman" w:eastAsia="宋体" w:cs="Times New Roman"/>
                <w:bCs/>
                <w:color w:val="auto"/>
                <w:highlight w:val="none"/>
                <w:lang w:val="en-US" w:eastAsia="zh-CN"/>
              </w:rPr>
              <w:t>》</w:t>
            </w:r>
            <w:r>
              <w:rPr>
                <w:rFonts w:hint="eastAsia" w:cs="Times New Roman"/>
                <w:bCs/>
                <w:color w:val="auto"/>
                <w:highlight w:val="none"/>
                <w:lang w:val="en-US" w:eastAsia="zh-CN"/>
              </w:rPr>
              <w:t>，以及安徽某肉联厂恶臭污染物排放源强监测数据。</w:t>
            </w:r>
          </w:p>
          <w:p w14:paraId="52AD27F3">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cs="Times New Roman"/>
                <w:bCs/>
                <w:color w:val="auto"/>
                <w:highlight w:val="none"/>
                <w:lang w:val="en-US" w:eastAsia="zh-CN"/>
              </w:rPr>
              <w:t>齐河宏康项目屠宰车间、废气进口恶臭监测数据见下表。</w:t>
            </w:r>
          </w:p>
          <w:p w14:paraId="36A1A598">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齐河宏康肉类加工有限公司生猪屠宰区废气进口监测数据</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1082"/>
              <w:gridCol w:w="807"/>
              <w:gridCol w:w="807"/>
              <w:gridCol w:w="808"/>
              <w:gridCol w:w="808"/>
              <w:gridCol w:w="808"/>
              <w:gridCol w:w="808"/>
              <w:gridCol w:w="808"/>
              <w:gridCol w:w="808"/>
            </w:tblGrid>
            <w:tr w14:paraId="15269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restart"/>
                  <w:vAlign w:val="center"/>
                </w:tcPr>
                <w:p w14:paraId="4055891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污染物</w:t>
                  </w:r>
                </w:p>
              </w:tc>
              <w:tc>
                <w:tcPr>
                  <w:tcW w:w="1082" w:type="dxa"/>
                  <w:vMerge w:val="restart"/>
                  <w:vAlign w:val="center"/>
                </w:tcPr>
                <w:p w14:paraId="385520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监测</w:t>
                  </w:r>
                </w:p>
                <w:p w14:paraId="0CD27C5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日期</w:t>
                  </w:r>
                </w:p>
              </w:tc>
              <w:tc>
                <w:tcPr>
                  <w:tcW w:w="6462" w:type="dxa"/>
                  <w:gridSpan w:val="8"/>
                  <w:tcBorders>
                    <w:right w:val="nil"/>
                  </w:tcBorders>
                  <w:vAlign w:val="center"/>
                </w:tcPr>
                <w:p w14:paraId="5523CF9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监测日期</w:t>
                  </w:r>
                </w:p>
              </w:tc>
            </w:tr>
            <w:tr w14:paraId="730B8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left w:val="nil"/>
                  </w:tcBorders>
                  <w:vAlign w:val="center"/>
                </w:tcPr>
                <w:p w14:paraId="6E7F7ED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82" w:type="dxa"/>
                  <w:vMerge w:val="continue"/>
                  <w:vAlign w:val="center"/>
                </w:tcPr>
                <w:p w14:paraId="2158AA7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3230" w:type="dxa"/>
                  <w:gridSpan w:val="4"/>
                  <w:vAlign w:val="center"/>
                </w:tcPr>
                <w:p w14:paraId="2FE16DD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2022.3.11</w:t>
                  </w:r>
                </w:p>
              </w:tc>
              <w:tc>
                <w:tcPr>
                  <w:tcW w:w="3232" w:type="dxa"/>
                  <w:gridSpan w:val="4"/>
                  <w:tcBorders>
                    <w:right w:val="nil"/>
                  </w:tcBorders>
                  <w:vAlign w:val="center"/>
                </w:tcPr>
                <w:p w14:paraId="3905BE1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2022.3.12</w:t>
                  </w:r>
                </w:p>
              </w:tc>
            </w:tr>
            <w:tr w14:paraId="19C76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left w:val="nil"/>
                  </w:tcBorders>
                  <w:vAlign w:val="center"/>
                </w:tcPr>
                <w:p w14:paraId="5CB2389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82" w:type="dxa"/>
                  <w:vMerge w:val="continue"/>
                  <w:vAlign w:val="center"/>
                </w:tcPr>
                <w:p w14:paraId="5846891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807" w:type="dxa"/>
                  <w:vAlign w:val="center"/>
                </w:tcPr>
                <w:p w14:paraId="562C900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第一次</w:t>
                  </w:r>
                </w:p>
              </w:tc>
              <w:tc>
                <w:tcPr>
                  <w:tcW w:w="807" w:type="dxa"/>
                  <w:vAlign w:val="center"/>
                </w:tcPr>
                <w:p w14:paraId="7363CF6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第二次</w:t>
                  </w:r>
                </w:p>
              </w:tc>
              <w:tc>
                <w:tcPr>
                  <w:tcW w:w="808" w:type="dxa"/>
                  <w:vAlign w:val="center"/>
                </w:tcPr>
                <w:p w14:paraId="5CE2622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第三次</w:t>
                  </w:r>
                </w:p>
              </w:tc>
              <w:tc>
                <w:tcPr>
                  <w:tcW w:w="808" w:type="dxa"/>
                  <w:vAlign w:val="center"/>
                </w:tcPr>
                <w:p w14:paraId="2F34BDD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第四次</w:t>
                  </w:r>
                </w:p>
              </w:tc>
              <w:tc>
                <w:tcPr>
                  <w:tcW w:w="808" w:type="dxa"/>
                  <w:vAlign w:val="center"/>
                </w:tcPr>
                <w:p w14:paraId="3D33CF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第一次</w:t>
                  </w:r>
                </w:p>
              </w:tc>
              <w:tc>
                <w:tcPr>
                  <w:tcW w:w="808" w:type="dxa"/>
                  <w:vAlign w:val="center"/>
                </w:tcPr>
                <w:p w14:paraId="7606B03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第二次</w:t>
                  </w:r>
                </w:p>
              </w:tc>
              <w:tc>
                <w:tcPr>
                  <w:tcW w:w="808" w:type="dxa"/>
                  <w:vAlign w:val="center"/>
                </w:tcPr>
                <w:p w14:paraId="7417E0E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第三次</w:t>
                  </w:r>
                </w:p>
              </w:tc>
              <w:tc>
                <w:tcPr>
                  <w:tcW w:w="808" w:type="dxa"/>
                  <w:tcBorders>
                    <w:right w:val="nil"/>
                  </w:tcBorders>
                  <w:vAlign w:val="center"/>
                </w:tcPr>
                <w:p w14:paraId="2724533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第四次</w:t>
                  </w:r>
                </w:p>
              </w:tc>
            </w:tr>
            <w:tr w14:paraId="2DFCC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4" w:type="dxa"/>
                  <w:gridSpan w:val="2"/>
                  <w:tcBorders>
                    <w:left w:val="nil"/>
                  </w:tcBorders>
                  <w:vAlign w:val="center"/>
                </w:tcPr>
                <w:p w14:paraId="47364A9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标况风量Nm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/h</w:t>
                  </w:r>
                </w:p>
              </w:tc>
              <w:tc>
                <w:tcPr>
                  <w:tcW w:w="807" w:type="dxa"/>
                  <w:vAlign w:val="center"/>
                </w:tcPr>
                <w:p w14:paraId="379BBD7E">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14455.17</w:t>
                  </w:r>
                </w:p>
              </w:tc>
              <w:tc>
                <w:tcPr>
                  <w:tcW w:w="807" w:type="dxa"/>
                  <w:vAlign w:val="center"/>
                </w:tcPr>
                <w:p w14:paraId="39589598">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14433.22</w:t>
                  </w:r>
                </w:p>
              </w:tc>
              <w:tc>
                <w:tcPr>
                  <w:tcW w:w="808" w:type="dxa"/>
                  <w:vAlign w:val="center"/>
                </w:tcPr>
                <w:p w14:paraId="16F580C0">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14415.48</w:t>
                  </w:r>
                </w:p>
              </w:tc>
              <w:tc>
                <w:tcPr>
                  <w:tcW w:w="808" w:type="dxa"/>
                  <w:vAlign w:val="center"/>
                </w:tcPr>
                <w:p w14:paraId="5A9164D1">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14417.05</w:t>
                  </w:r>
                </w:p>
              </w:tc>
              <w:tc>
                <w:tcPr>
                  <w:tcW w:w="808" w:type="dxa"/>
                  <w:vAlign w:val="center"/>
                </w:tcPr>
                <w:p w14:paraId="7DB48E1A">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14422.75</w:t>
                  </w:r>
                </w:p>
              </w:tc>
              <w:tc>
                <w:tcPr>
                  <w:tcW w:w="808" w:type="dxa"/>
                  <w:vAlign w:val="center"/>
                </w:tcPr>
                <w:p w14:paraId="51A8325C">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14537.95</w:t>
                  </w:r>
                </w:p>
              </w:tc>
              <w:tc>
                <w:tcPr>
                  <w:tcW w:w="808" w:type="dxa"/>
                  <w:vAlign w:val="center"/>
                </w:tcPr>
                <w:p w14:paraId="7A52D57E">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14537.95</w:t>
                  </w:r>
                </w:p>
              </w:tc>
              <w:tc>
                <w:tcPr>
                  <w:tcW w:w="808" w:type="dxa"/>
                  <w:tcBorders>
                    <w:right w:val="nil"/>
                  </w:tcBorders>
                  <w:vAlign w:val="center"/>
                </w:tcPr>
                <w:p w14:paraId="1DC6F1AD">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14516.88</w:t>
                  </w:r>
                </w:p>
              </w:tc>
            </w:tr>
            <w:tr w14:paraId="5034A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restart"/>
                  <w:tcBorders>
                    <w:left w:val="nil"/>
                  </w:tcBorders>
                  <w:vAlign w:val="center"/>
                </w:tcPr>
                <w:p w14:paraId="3D639B3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氨</w:t>
                  </w:r>
                </w:p>
              </w:tc>
              <w:tc>
                <w:tcPr>
                  <w:tcW w:w="1082" w:type="dxa"/>
                  <w:vAlign w:val="center"/>
                </w:tcPr>
                <w:p w14:paraId="65C428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产生浓度（mg/m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w:t>
                  </w:r>
                </w:p>
              </w:tc>
              <w:tc>
                <w:tcPr>
                  <w:tcW w:w="807" w:type="dxa"/>
                  <w:vAlign w:val="center"/>
                </w:tcPr>
                <w:p w14:paraId="1E32B8A3">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12.8</w:t>
                  </w:r>
                </w:p>
              </w:tc>
              <w:tc>
                <w:tcPr>
                  <w:tcW w:w="807" w:type="dxa"/>
                  <w:vAlign w:val="center"/>
                </w:tcPr>
                <w:p w14:paraId="1FBDFC04">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11.9</w:t>
                  </w:r>
                </w:p>
              </w:tc>
              <w:tc>
                <w:tcPr>
                  <w:tcW w:w="808" w:type="dxa"/>
                  <w:vAlign w:val="center"/>
                </w:tcPr>
                <w:p w14:paraId="443854C4">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10.8</w:t>
                  </w:r>
                </w:p>
              </w:tc>
              <w:tc>
                <w:tcPr>
                  <w:tcW w:w="808" w:type="dxa"/>
                  <w:vAlign w:val="center"/>
                </w:tcPr>
                <w:p w14:paraId="07EF0816">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11.1</w:t>
                  </w:r>
                </w:p>
              </w:tc>
              <w:tc>
                <w:tcPr>
                  <w:tcW w:w="808" w:type="dxa"/>
                  <w:vAlign w:val="center"/>
                </w:tcPr>
                <w:p w14:paraId="529ADD68">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12.1</w:t>
                  </w:r>
                </w:p>
              </w:tc>
              <w:tc>
                <w:tcPr>
                  <w:tcW w:w="808" w:type="dxa"/>
                  <w:vAlign w:val="center"/>
                </w:tcPr>
                <w:p w14:paraId="6342A389">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10.1</w:t>
                  </w:r>
                </w:p>
              </w:tc>
              <w:tc>
                <w:tcPr>
                  <w:tcW w:w="808" w:type="dxa"/>
                  <w:vAlign w:val="center"/>
                </w:tcPr>
                <w:p w14:paraId="30CE266C">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10.5</w:t>
                  </w:r>
                </w:p>
              </w:tc>
              <w:tc>
                <w:tcPr>
                  <w:tcW w:w="808" w:type="dxa"/>
                  <w:tcBorders>
                    <w:right w:val="nil"/>
                  </w:tcBorders>
                  <w:vAlign w:val="center"/>
                </w:tcPr>
                <w:p w14:paraId="52C96258">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10.5</w:t>
                  </w:r>
                </w:p>
              </w:tc>
            </w:tr>
            <w:tr w14:paraId="74983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left w:val="nil"/>
                  </w:tcBorders>
                  <w:vAlign w:val="center"/>
                </w:tcPr>
                <w:p w14:paraId="5C7F80B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82" w:type="dxa"/>
                  <w:vAlign w:val="center"/>
                </w:tcPr>
                <w:p w14:paraId="091C348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产生速率</w:t>
                  </w:r>
                </w:p>
                <w:p w14:paraId="6C4E825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（kg/h）</w:t>
                  </w:r>
                </w:p>
              </w:tc>
              <w:tc>
                <w:tcPr>
                  <w:tcW w:w="807" w:type="dxa"/>
                  <w:vAlign w:val="center"/>
                </w:tcPr>
                <w:p w14:paraId="27520FA2">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0.185</w:t>
                  </w:r>
                </w:p>
              </w:tc>
              <w:tc>
                <w:tcPr>
                  <w:tcW w:w="807" w:type="dxa"/>
                  <w:vAlign w:val="center"/>
                </w:tcPr>
                <w:p w14:paraId="7F683D97">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0.172</w:t>
                  </w:r>
                </w:p>
              </w:tc>
              <w:tc>
                <w:tcPr>
                  <w:tcW w:w="808" w:type="dxa"/>
                  <w:vAlign w:val="center"/>
                </w:tcPr>
                <w:p w14:paraId="4A9759B0">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0.156</w:t>
                  </w:r>
                </w:p>
              </w:tc>
              <w:tc>
                <w:tcPr>
                  <w:tcW w:w="808" w:type="dxa"/>
                  <w:vAlign w:val="center"/>
                </w:tcPr>
                <w:p w14:paraId="01618856">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0.160</w:t>
                  </w:r>
                </w:p>
              </w:tc>
              <w:tc>
                <w:tcPr>
                  <w:tcW w:w="808" w:type="dxa"/>
                  <w:vAlign w:val="center"/>
                </w:tcPr>
                <w:p w14:paraId="103BBB62">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0.174</w:t>
                  </w:r>
                </w:p>
              </w:tc>
              <w:tc>
                <w:tcPr>
                  <w:tcW w:w="808" w:type="dxa"/>
                  <w:vAlign w:val="center"/>
                </w:tcPr>
                <w:p w14:paraId="67211CF1">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0.147</w:t>
                  </w:r>
                </w:p>
              </w:tc>
              <w:tc>
                <w:tcPr>
                  <w:tcW w:w="808" w:type="dxa"/>
                  <w:vAlign w:val="center"/>
                </w:tcPr>
                <w:p w14:paraId="69F1D472">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0.153</w:t>
                  </w:r>
                </w:p>
              </w:tc>
              <w:tc>
                <w:tcPr>
                  <w:tcW w:w="808" w:type="dxa"/>
                  <w:tcBorders>
                    <w:right w:val="nil"/>
                  </w:tcBorders>
                  <w:vAlign w:val="center"/>
                </w:tcPr>
                <w:p w14:paraId="44D2748C">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0.152</w:t>
                  </w:r>
                </w:p>
              </w:tc>
            </w:tr>
            <w:tr w14:paraId="4D62E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restart"/>
                  <w:tcBorders>
                    <w:left w:val="nil"/>
                  </w:tcBorders>
                  <w:vAlign w:val="center"/>
                </w:tcPr>
                <w:p w14:paraId="404C8C4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硫化氢</w:t>
                  </w:r>
                </w:p>
              </w:tc>
              <w:tc>
                <w:tcPr>
                  <w:tcW w:w="1082" w:type="dxa"/>
                  <w:vAlign w:val="center"/>
                </w:tcPr>
                <w:p w14:paraId="0E4AC64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产生浓度（mg/m</w:t>
                  </w:r>
                  <w:r>
                    <w:rPr>
                      <w:rFonts w:hint="eastAsia" w:cs="Times New Roman"/>
                      <w:bCs/>
                      <w:color w:val="auto"/>
                      <w:sz w:val="18"/>
                      <w:szCs w:val="18"/>
                      <w:highlight w:val="none"/>
                      <w:vertAlign w:val="superscript"/>
                      <w:lang w:val="en-US" w:eastAsia="zh-CN"/>
                    </w:rPr>
                    <w:t>3</w:t>
                  </w:r>
                  <w:r>
                    <w:rPr>
                      <w:rFonts w:hint="eastAsia" w:cs="Times New Roman"/>
                      <w:bCs/>
                      <w:color w:val="auto"/>
                      <w:sz w:val="18"/>
                      <w:szCs w:val="18"/>
                      <w:highlight w:val="none"/>
                      <w:vertAlign w:val="baseline"/>
                      <w:lang w:val="en-US" w:eastAsia="zh-CN"/>
                    </w:rPr>
                    <w:t>）</w:t>
                  </w:r>
                </w:p>
              </w:tc>
              <w:tc>
                <w:tcPr>
                  <w:tcW w:w="807" w:type="dxa"/>
                  <w:vAlign w:val="center"/>
                </w:tcPr>
                <w:p w14:paraId="648F31E7">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0.777</w:t>
                  </w:r>
                </w:p>
              </w:tc>
              <w:tc>
                <w:tcPr>
                  <w:tcW w:w="807" w:type="dxa"/>
                  <w:vAlign w:val="center"/>
                </w:tcPr>
                <w:p w14:paraId="290C0940">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0.623</w:t>
                  </w:r>
                </w:p>
              </w:tc>
              <w:tc>
                <w:tcPr>
                  <w:tcW w:w="808" w:type="dxa"/>
                  <w:vAlign w:val="center"/>
                </w:tcPr>
                <w:p w14:paraId="77242F3E">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0.551</w:t>
                  </w:r>
                </w:p>
              </w:tc>
              <w:tc>
                <w:tcPr>
                  <w:tcW w:w="808" w:type="dxa"/>
                  <w:vAlign w:val="center"/>
                </w:tcPr>
                <w:p w14:paraId="7CC467CC">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0.506</w:t>
                  </w:r>
                </w:p>
              </w:tc>
              <w:tc>
                <w:tcPr>
                  <w:tcW w:w="808" w:type="dxa"/>
                  <w:vAlign w:val="center"/>
                </w:tcPr>
                <w:p w14:paraId="51C1405C">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0.790</w:t>
                  </w:r>
                </w:p>
              </w:tc>
              <w:tc>
                <w:tcPr>
                  <w:tcW w:w="808" w:type="dxa"/>
                  <w:vAlign w:val="center"/>
                </w:tcPr>
                <w:p w14:paraId="633376D2">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0.641</w:t>
                  </w:r>
                </w:p>
              </w:tc>
              <w:tc>
                <w:tcPr>
                  <w:tcW w:w="808" w:type="dxa"/>
                  <w:vAlign w:val="center"/>
                </w:tcPr>
                <w:p w14:paraId="6F413183">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0.625</w:t>
                  </w:r>
                </w:p>
              </w:tc>
              <w:tc>
                <w:tcPr>
                  <w:tcW w:w="808" w:type="dxa"/>
                  <w:tcBorders>
                    <w:right w:val="nil"/>
                  </w:tcBorders>
                  <w:vAlign w:val="center"/>
                </w:tcPr>
                <w:p w14:paraId="5DE5DC08">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0.527</w:t>
                  </w:r>
                </w:p>
              </w:tc>
            </w:tr>
            <w:tr w14:paraId="36773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2" w:type="dxa"/>
                  <w:vMerge w:val="continue"/>
                  <w:tcBorders>
                    <w:left w:val="nil"/>
                  </w:tcBorders>
                  <w:vAlign w:val="center"/>
                </w:tcPr>
                <w:p w14:paraId="668ACAD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p>
              </w:tc>
              <w:tc>
                <w:tcPr>
                  <w:tcW w:w="1082" w:type="dxa"/>
                  <w:vAlign w:val="center"/>
                </w:tcPr>
                <w:p w14:paraId="42CCBB8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产生速率</w:t>
                  </w:r>
                </w:p>
                <w:p w14:paraId="0521F6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（kg/h）</w:t>
                  </w:r>
                </w:p>
              </w:tc>
              <w:tc>
                <w:tcPr>
                  <w:tcW w:w="807" w:type="dxa"/>
                  <w:vAlign w:val="center"/>
                </w:tcPr>
                <w:p w14:paraId="2D78FC22">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0.011</w:t>
                  </w:r>
                </w:p>
              </w:tc>
              <w:tc>
                <w:tcPr>
                  <w:tcW w:w="807" w:type="dxa"/>
                  <w:vAlign w:val="center"/>
                </w:tcPr>
                <w:p w14:paraId="53AE483D">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8.99E-03</w:t>
                  </w:r>
                </w:p>
              </w:tc>
              <w:tc>
                <w:tcPr>
                  <w:tcW w:w="808" w:type="dxa"/>
                  <w:vAlign w:val="center"/>
                </w:tcPr>
                <w:p w14:paraId="279B0AED">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7.94E-03</w:t>
                  </w:r>
                </w:p>
              </w:tc>
              <w:tc>
                <w:tcPr>
                  <w:tcW w:w="808" w:type="dxa"/>
                  <w:vAlign w:val="center"/>
                </w:tcPr>
                <w:p w14:paraId="3870CFAC">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7.30E-03</w:t>
                  </w:r>
                </w:p>
              </w:tc>
              <w:tc>
                <w:tcPr>
                  <w:tcW w:w="808" w:type="dxa"/>
                  <w:vAlign w:val="center"/>
                </w:tcPr>
                <w:p w14:paraId="4765DB32">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default"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0.011</w:t>
                  </w:r>
                </w:p>
              </w:tc>
              <w:tc>
                <w:tcPr>
                  <w:tcW w:w="808" w:type="dxa"/>
                  <w:vAlign w:val="center"/>
                </w:tcPr>
                <w:p w14:paraId="312B2775">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9.32E-03</w:t>
                  </w:r>
                </w:p>
              </w:tc>
              <w:tc>
                <w:tcPr>
                  <w:tcW w:w="808" w:type="dxa"/>
                  <w:vAlign w:val="center"/>
                </w:tcPr>
                <w:p w14:paraId="416C7891">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9.09E-03</w:t>
                  </w:r>
                </w:p>
              </w:tc>
              <w:tc>
                <w:tcPr>
                  <w:tcW w:w="808" w:type="dxa"/>
                  <w:tcBorders>
                    <w:right w:val="nil"/>
                  </w:tcBorders>
                  <w:vAlign w:val="center"/>
                </w:tcPr>
                <w:p w14:paraId="02CFEA6A">
                  <w:pPr>
                    <w:keepNext w:val="0"/>
                    <w:keepLines w:val="0"/>
                    <w:pageBreakBefore w:val="0"/>
                    <w:widowControl w:val="0"/>
                    <w:kinsoku/>
                    <w:wordWrap/>
                    <w:overflowPunct/>
                    <w:topLinePunct w:val="0"/>
                    <w:autoSpaceDE/>
                    <w:autoSpaceDN/>
                    <w:bidi w:val="0"/>
                    <w:adjustRightInd/>
                    <w:snapToGrid/>
                    <w:spacing w:line="280" w:lineRule="exact"/>
                    <w:ind w:left="-72" w:leftChars="-30" w:right="-72" w:rightChars="-30"/>
                    <w:jc w:val="center"/>
                    <w:textAlignment w:val="auto"/>
                    <w:rPr>
                      <w:rFonts w:hint="eastAsia" w:cs="Times New Roman"/>
                      <w:bCs/>
                      <w:color w:val="auto"/>
                      <w:sz w:val="18"/>
                      <w:szCs w:val="18"/>
                      <w:highlight w:val="none"/>
                      <w:vertAlign w:val="baseline"/>
                      <w:lang w:val="en-US" w:eastAsia="zh-CN"/>
                    </w:rPr>
                  </w:pPr>
                  <w:r>
                    <w:rPr>
                      <w:rFonts w:hint="eastAsia" w:cs="Times New Roman"/>
                      <w:bCs/>
                      <w:color w:val="auto"/>
                      <w:sz w:val="18"/>
                      <w:szCs w:val="18"/>
                      <w:highlight w:val="none"/>
                      <w:vertAlign w:val="baseline"/>
                      <w:lang w:val="en-US" w:eastAsia="zh-CN"/>
                    </w:rPr>
                    <w:t>7.65E-03</w:t>
                  </w:r>
                </w:p>
              </w:tc>
            </w:tr>
          </w:tbl>
          <w:p w14:paraId="6CDF32CF">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cs="Times New Roman"/>
                <w:bCs/>
                <w:color w:val="auto"/>
                <w:highlight w:val="none"/>
                <w:lang w:val="en-US" w:eastAsia="zh-CN"/>
              </w:rPr>
              <w:t>道孚绿野农特产品投资开发有限公司2022-2023年年度例行监测报告废气排放口监测数据见表4-4，</w:t>
            </w:r>
            <w:r>
              <w:rPr>
                <w:rFonts w:hint="eastAsia" w:ascii="Times New Roman" w:hAnsi="Times New Roman" w:cs="Times New Roman"/>
                <w:color w:val="auto"/>
                <w:sz w:val="24"/>
                <w:highlight w:val="none"/>
                <w:lang w:val="en-US" w:eastAsia="zh-CN"/>
              </w:rPr>
              <w:t>根据道孚绿野农特产品投资开发有限公司道孚县牲畜定点屠宰场排污许可证及《道孚县牲畜定点屠宰场建设项目环境影响报告表》，该项目有组织收集点位为待宰圈、屠宰车间、厂内综合废水处理站，采用“低温等离子+活性炭吸附+15m排气筒排放”，</w:t>
            </w:r>
            <w:r>
              <w:rPr>
                <w:rFonts w:hint="eastAsia" w:ascii="Times New Roman" w:hAnsi="Times New Roman" w:eastAsia="宋体" w:cs="Times New Roman"/>
                <w:bCs/>
                <w:color w:val="auto"/>
                <w:highlight w:val="none"/>
                <w:lang w:val="en-US" w:eastAsia="zh-CN"/>
              </w:rPr>
              <w:t>有组织废气收集率按80%，处理效率按85%计算</w:t>
            </w:r>
            <w:r>
              <w:rPr>
                <w:rFonts w:hint="eastAsia" w:cs="Times New Roman"/>
                <w:bCs/>
                <w:color w:val="auto"/>
                <w:highlight w:val="none"/>
                <w:lang w:val="en-US" w:eastAsia="zh-CN"/>
              </w:rPr>
              <w:t>，故根据例行监测数据核算废气最大产生速率为氨：0.0108kg/h，硫化氢：0.0002kg/h。</w:t>
            </w:r>
          </w:p>
          <w:p w14:paraId="23495692">
            <w:pPr>
              <w:spacing w:line="360" w:lineRule="auto"/>
              <w:ind w:firstLine="480" w:firstLineChars="200"/>
              <w:rPr>
                <w:rFonts w:hint="eastAsia" w:cs="Times New Roman"/>
                <w:bCs/>
                <w:color w:val="auto"/>
                <w:highlight w:val="none"/>
                <w:lang w:val="en-US" w:eastAsia="zh-CN"/>
              </w:rPr>
            </w:pPr>
            <w:r>
              <w:rPr>
                <w:rFonts w:hint="eastAsia" w:cs="Times New Roman"/>
                <w:bCs/>
                <w:color w:val="auto"/>
                <w:highlight w:val="none"/>
                <w:lang w:val="en-US" w:eastAsia="zh-CN"/>
              </w:rPr>
              <w:t>此外，参考某文献资料中安徽某肉联厂的恶臭无组织排放源强监测数据。安徽某肉联厂日屠宰量为6500头（年屠宰23.4万头生猪），全封闭、机械化和流水线屠宰，全自动切割屠宰后的生猪胴体。文献于2010年5月25日～2011年1月13日分4次(1次/季度）测定该肉联厂恶臭污染物排放源强，监测现场气候和监测结果见下表。</w:t>
            </w:r>
          </w:p>
          <w:p w14:paraId="78BA6B98">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安徽某肉联厂恶臭污染源强监测数据</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2"/>
              <w:gridCol w:w="2692"/>
              <w:gridCol w:w="2692"/>
            </w:tblGrid>
            <w:tr w14:paraId="1BD87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vMerge w:val="restart"/>
                  <w:vAlign w:val="center"/>
                </w:tcPr>
                <w:p w14:paraId="41B5A063">
                  <w:pPr>
                    <w:jc w:val="center"/>
                    <w:rPr>
                      <w:rFonts w:hint="default"/>
                      <w:color w:val="auto"/>
                      <w:sz w:val="21"/>
                      <w:szCs w:val="21"/>
                      <w:highlight w:val="none"/>
                      <w:lang w:val="en-US" w:eastAsia="zh-CN"/>
                    </w:rPr>
                  </w:pPr>
                  <w:r>
                    <w:rPr>
                      <w:rFonts w:hint="eastAsia"/>
                      <w:color w:val="auto"/>
                      <w:sz w:val="21"/>
                      <w:szCs w:val="21"/>
                      <w:highlight w:val="none"/>
                      <w:lang w:val="en-US" w:eastAsia="zh-CN"/>
                    </w:rPr>
                    <w:t>采样时间</w:t>
                  </w:r>
                </w:p>
              </w:tc>
              <w:tc>
                <w:tcPr>
                  <w:tcW w:w="5384" w:type="dxa"/>
                  <w:gridSpan w:val="2"/>
                  <w:tcBorders>
                    <w:right w:val="nil"/>
                  </w:tcBorders>
                  <w:vAlign w:val="center"/>
                </w:tcPr>
                <w:p w14:paraId="3262C040">
                  <w:pPr>
                    <w:jc w:val="center"/>
                    <w:rPr>
                      <w:rFonts w:hint="default"/>
                      <w:color w:val="auto"/>
                      <w:sz w:val="21"/>
                      <w:szCs w:val="21"/>
                      <w:highlight w:val="none"/>
                      <w:lang w:val="en-US" w:eastAsia="zh-CN"/>
                    </w:rPr>
                  </w:pPr>
                  <w:r>
                    <w:rPr>
                      <w:rFonts w:hint="eastAsia"/>
                      <w:color w:val="auto"/>
                      <w:sz w:val="21"/>
                      <w:szCs w:val="21"/>
                      <w:highlight w:val="none"/>
                      <w:lang w:val="en-US" w:eastAsia="zh-CN"/>
                    </w:rPr>
                    <w:t>无组织恶臭污染源强（kg/h）</w:t>
                  </w:r>
                </w:p>
              </w:tc>
            </w:tr>
            <w:tr w14:paraId="6E3A1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vMerge w:val="continue"/>
                  <w:tcBorders>
                    <w:left w:val="nil"/>
                  </w:tcBorders>
                  <w:vAlign w:val="center"/>
                </w:tcPr>
                <w:p w14:paraId="748AB13E">
                  <w:pPr>
                    <w:jc w:val="center"/>
                    <w:rPr>
                      <w:rFonts w:hint="default"/>
                      <w:color w:val="auto"/>
                      <w:sz w:val="21"/>
                      <w:szCs w:val="21"/>
                      <w:highlight w:val="none"/>
                      <w:lang w:val="en-US" w:eastAsia="zh-CN"/>
                    </w:rPr>
                  </w:pPr>
                </w:p>
              </w:tc>
              <w:tc>
                <w:tcPr>
                  <w:tcW w:w="2692" w:type="dxa"/>
                  <w:shd w:val="clear" w:color="auto" w:fill="auto"/>
                  <w:vAlign w:val="center"/>
                </w:tcPr>
                <w:p w14:paraId="044085CF">
                  <w:pPr>
                    <w:jc w:val="center"/>
                    <w:rPr>
                      <w:rFonts w:hint="default"/>
                      <w:color w:val="auto"/>
                      <w:sz w:val="21"/>
                      <w:szCs w:val="21"/>
                      <w:highlight w:val="none"/>
                      <w:lang w:val="en-US" w:eastAsia="zh-CN"/>
                    </w:rPr>
                  </w:pPr>
                  <w:r>
                    <w:rPr>
                      <w:rFonts w:hint="eastAsia"/>
                      <w:color w:val="auto"/>
                      <w:sz w:val="21"/>
                      <w:szCs w:val="21"/>
                      <w:highlight w:val="none"/>
                      <w:lang w:val="en-US" w:eastAsia="zh-CN"/>
                    </w:rPr>
                    <w:t>氨</w:t>
                  </w:r>
                </w:p>
              </w:tc>
              <w:tc>
                <w:tcPr>
                  <w:tcW w:w="2692" w:type="dxa"/>
                  <w:tcBorders>
                    <w:right w:val="nil"/>
                  </w:tcBorders>
                  <w:shd w:val="clear" w:color="auto" w:fill="auto"/>
                  <w:vAlign w:val="center"/>
                </w:tcPr>
                <w:p w14:paraId="5A094C98">
                  <w:pPr>
                    <w:jc w:val="center"/>
                    <w:rPr>
                      <w:rFonts w:hint="default"/>
                      <w:color w:val="auto"/>
                      <w:sz w:val="21"/>
                      <w:szCs w:val="21"/>
                      <w:highlight w:val="none"/>
                      <w:lang w:val="en-US" w:eastAsia="zh-CN"/>
                    </w:rPr>
                  </w:pPr>
                  <w:r>
                    <w:rPr>
                      <w:rFonts w:hint="eastAsia"/>
                      <w:color w:val="auto"/>
                      <w:sz w:val="21"/>
                      <w:szCs w:val="21"/>
                      <w:highlight w:val="none"/>
                      <w:lang w:val="en-US" w:eastAsia="zh-CN"/>
                    </w:rPr>
                    <w:t>硫化氢</w:t>
                  </w:r>
                </w:p>
              </w:tc>
            </w:tr>
            <w:tr w14:paraId="4133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tcBorders>
                    <w:left w:val="nil"/>
                  </w:tcBorders>
                  <w:vAlign w:val="center"/>
                </w:tcPr>
                <w:p w14:paraId="1A5FF164">
                  <w:pPr>
                    <w:jc w:val="center"/>
                    <w:rPr>
                      <w:rFonts w:hint="default"/>
                      <w:color w:val="auto"/>
                      <w:sz w:val="21"/>
                      <w:szCs w:val="21"/>
                      <w:highlight w:val="none"/>
                      <w:lang w:val="en-US" w:eastAsia="zh-CN"/>
                    </w:rPr>
                  </w:pPr>
                  <w:r>
                    <w:rPr>
                      <w:rFonts w:hint="default"/>
                      <w:color w:val="auto"/>
                      <w:sz w:val="21"/>
                      <w:szCs w:val="21"/>
                      <w:highlight w:val="none"/>
                      <w:lang w:val="en-US" w:eastAsia="zh-CN"/>
                    </w:rPr>
                    <w:t>2010.5.25-27</w:t>
                  </w:r>
                </w:p>
              </w:tc>
              <w:tc>
                <w:tcPr>
                  <w:tcW w:w="2692" w:type="dxa"/>
                  <w:vAlign w:val="center"/>
                </w:tcPr>
                <w:p w14:paraId="6F8F69CF">
                  <w:pPr>
                    <w:jc w:val="center"/>
                    <w:rPr>
                      <w:rFonts w:hint="default"/>
                      <w:color w:val="auto"/>
                      <w:sz w:val="21"/>
                      <w:szCs w:val="21"/>
                      <w:highlight w:val="none"/>
                      <w:lang w:val="en-US" w:eastAsia="zh-CN"/>
                    </w:rPr>
                  </w:pPr>
                  <w:r>
                    <w:rPr>
                      <w:rFonts w:hint="default"/>
                      <w:color w:val="auto"/>
                      <w:sz w:val="21"/>
                      <w:szCs w:val="21"/>
                      <w:highlight w:val="none"/>
                      <w:lang w:val="en-US" w:eastAsia="zh-CN"/>
                    </w:rPr>
                    <w:t>0.505~1.134</w:t>
                  </w:r>
                </w:p>
              </w:tc>
              <w:tc>
                <w:tcPr>
                  <w:tcW w:w="2692" w:type="dxa"/>
                  <w:tcBorders>
                    <w:right w:val="nil"/>
                  </w:tcBorders>
                  <w:vAlign w:val="center"/>
                </w:tcPr>
                <w:p w14:paraId="58DAC39F">
                  <w:pPr>
                    <w:jc w:val="center"/>
                    <w:rPr>
                      <w:rFonts w:hint="default"/>
                      <w:color w:val="auto"/>
                      <w:sz w:val="21"/>
                      <w:szCs w:val="21"/>
                      <w:highlight w:val="none"/>
                      <w:lang w:val="en-US" w:eastAsia="zh-CN"/>
                    </w:rPr>
                  </w:pPr>
                  <w:r>
                    <w:rPr>
                      <w:rFonts w:hint="default"/>
                      <w:color w:val="auto"/>
                      <w:sz w:val="21"/>
                      <w:szCs w:val="21"/>
                      <w:highlight w:val="none"/>
                      <w:lang w:val="en-US" w:eastAsia="zh-CN"/>
                    </w:rPr>
                    <w:t>0.004~0.046</w:t>
                  </w:r>
                </w:p>
              </w:tc>
            </w:tr>
            <w:tr w14:paraId="75A6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tcBorders>
                    <w:left w:val="nil"/>
                  </w:tcBorders>
                  <w:vAlign w:val="center"/>
                </w:tcPr>
                <w:p w14:paraId="34A777F4">
                  <w:pPr>
                    <w:jc w:val="center"/>
                    <w:rPr>
                      <w:rFonts w:hint="default"/>
                      <w:color w:val="auto"/>
                      <w:sz w:val="21"/>
                      <w:szCs w:val="21"/>
                      <w:highlight w:val="none"/>
                      <w:lang w:val="en-US" w:eastAsia="zh-CN"/>
                    </w:rPr>
                  </w:pPr>
                  <w:r>
                    <w:rPr>
                      <w:rFonts w:hint="default"/>
                      <w:color w:val="auto"/>
                      <w:sz w:val="21"/>
                      <w:szCs w:val="21"/>
                      <w:highlight w:val="none"/>
                      <w:lang w:val="en-US" w:eastAsia="zh-CN"/>
                    </w:rPr>
                    <w:t>2010.8.24-26</w:t>
                  </w:r>
                </w:p>
              </w:tc>
              <w:tc>
                <w:tcPr>
                  <w:tcW w:w="2692" w:type="dxa"/>
                  <w:vAlign w:val="center"/>
                </w:tcPr>
                <w:p w14:paraId="0AB5840F">
                  <w:pPr>
                    <w:jc w:val="center"/>
                    <w:rPr>
                      <w:rFonts w:hint="default"/>
                      <w:color w:val="auto"/>
                      <w:sz w:val="21"/>
                      <w:szCs w:val="21"/>
                      <w:highlight w:val="none"/>
                      <w:lang w:val="en-US" w:eastAsia="zh-CN"/>
                    </w:rPr>
                  </w:pPr>
                  <w:r>
                    <w:rPr>
                      <w:rFonts w:hint="default"/>
                      <w:color w:val="auto"/>
                      <w:sz w:val="21"/>
                      <w:szCs w:val="21"/>
                      <w:highlight w:val="none"/>
                      <w:lang w:val="en-US" w:eastAsia="zh-CN"/>
                    </w:rPr>
                    <w:t>1.005~2.182</w:t>
                  </w:r>
                </w:p>
              </w:tc>
              <w:tc>
                <w:tcPr>
                  <w:tcW w:w="2692" w:type="dxa"/>
                  <w:tcBorders>
                    <w:right w:val="nil"/>
                  </w:tcBorders>
                  <w:vAlign w:val="center"/>
                </w:tcPr>
                <w:p w14:paraId="48F2C30D">
                  <w:pPr>
                    <w:jc w:val="center"/>
                    <w:rPr>
                      <w:rFonts w:hint="default"/>
                      <w:color w:val="auto"/>
                      <w:sz w:val="21"/>
                      <w:szCs w:val="21"/>
                      <w:highlight w:val="none"/>
                      <w:lang w:val="en-US" w:eastAsia="zh-CN"/>
                    </w:rPr>
                  </w:pPr>
                  <w:r>
                    <w:rPr>
                      <w:rFonts w:hint="default"/>
                      <w:color w:val="auto"/>
                      <w:sz w:val="21"/>
                      <w:szCs w:val="21"/>
                      <w:highlight w:val="none"/>
                      <w:lang w:val="en-US" w:eastAsia="zh-CN"/>
                    </w:rPr>
                    <w:t>0.014~0.020</w:t>
                  </w:r>
                </w:p>
              </w:tc>
            </w:tr>
            <w:tr w14:paraId="33E62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tcBorders>
                    <w:left w:val="nil"/>
                  </w:tcBorders>
                  <w:vAlign w:val="center"/>
                </w:tcPr>
                <w:p w14:paraId="4B6DAF00">
                  <w:pPr>
                    <w:jc w:val="center"/>
                    <w:rPr>
                      <w:rFonts w:hint="default"/>
                      <w:color w:val="auto"/>
                      <w:sz w:val="21"/>
                      <w:szCs w:val="21"/>
                      <w:highlight w:val="none"/>
                      <w:lang w:val="en-US" w:eastAsia="zh-CN"/>
                    </w:rPr>
                  </w:pPr>
                  <w:r>
                    <w:rPr>
                      <w:rFonts w:hint="default"/>
                      <w:color w:val="auto"/>
                      <w:sz w:val="21"/>
                      <w:szCs w:val="21"/>
                      <w:highlight w:val="none"/>
                      <w:lang w:val="en-US" w:eastAsia="zh-CN"/>
                    </w:rPr>
                    <w:t>2010.11.25-27</w:t>
                  </w:r>
                </w:p>
              </w:tc>
              <w:tc>
                <w:tcPr>
                  <w:tcW w:w="2692" w:type="dxa"/>
                  <w:vAlign w:val="center"/>
                </w:tcPr>
                <w:p w14:paraId="2433AEBE">
                  <w:pPr>
                    <w:jc w:val="center"/>
                    <w:rPr>
                      <w:rFonts w:hint="default"/>
                      <w:color w:val="auto"/>
                      <w:sz w:val="21"/>
                      <w:szCs w:val="21"/>
                      <w:highlight w:val="none"/>
                      <w:lang w:val="en-US" w:eastAsia="zh-CN"/>
                    </w:rPr>
                  </w:pPr>
                  <w:r>
                    <w:rPr>
                      <w:rFonts w:hint="default"/>
                      <w:color w:val="auto"/>
                      <w:sz w:val="21"/>
                      <w:szCs w:val="21"/>
                      <w:highlight w:val="none"/>
                      <w:lang w:val="en-US" w:eastAsia="zh-CN"/>
                    </w:rPr>
                    <w:t>0.376~0.696</w:t>
                  </w:r>
                </w:p>
              </w:tc>
              <w:tc>
                <w:tcPr>
                  <w:tcW w:w="2692" w:type="dxa"/>
                  <w:tcBorders>
                    <w:right w:val="nil"/>
                  </w:tcBorders>
                  <w:vAlign w:val="center"/>
                </w:tcPr>
                <w:p w14:paraId="1F165CE5">
                  <w:pPr>
                    <w:jc w:val="center"/>
                    <w:rPr>
                      <w:rFonts w:hint="default"/>
                      <w:color w:val="auto"/>
                      <w:sz w:val="21"/>
                      <w:szCs w:val="21"/>
                      <w:highlight w:val="none"/>
                      <w:lang w:val="en-US" w:eastAsia="zh-CN"/>
                    </w:rPr>
                  </w:pPr>
                  <w:r>
                    <w:rPr>
                      <w:rFonts w:hint="default"/>
                      <w:color w:val="auto"/>
                      <w:sz w:val="21"/>
                      <w:szCs w:val="21"/>
                      <w:highlight w:val="none"/>
                      <w:lang w:val="en-US" w:eastAsia="zh-CN"/>
                    </w:rPr>
                    <w:t>0.005~0.011</w:t>
                  </w:r>
                </w:p>
              </w:tc>
            </w:tr>
            <w:tr w14:paraId="12DEB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tcBorders>
                    <w:left w:val="nil"/>
                  </w:tcBorders>
                  <w:vAlign w:val="center"/>
                </w:tcPr>
                <w:p w14:paraId="61C43D87">
                  <w:pPr>
                    <w:jc w:val="center"/>
                    <w:rPr>
                      <w:rFonts w:hint="default"/>
                      <w:color w:val="auto"/>
                      <w:sz w:val="21"/>
                      <w:szCs w:val="21"/>
                      <w:highlight w:val="none"/>
                      <w:lang w:val="en-US" w:eastAsia="zh-CN"/>
                    </w:rPr>
                  </w:pPr>
                  <w:r>
                    <w:rPr>
                      <w:rFonts w:hint="default"/>
                      <w:color w:val="auto"/>
                      <w:sz w:val="21"/>
                      <w:szCs w:val="21"/>
                      <w:highlight w:val="none"/>
                      <w:lang w:val="en-US" w:eastAsia="zh-CN"/>
                    </w:rPr>
                    <w:t>2011.1.11-13</w:t>
                  </w:r>
                </w:p>
              </w:tc>
              <w:tc>
                <w:tcPr>
                  <w:tcW w:w="2692" w:type="dxa"/>
                  <w:vAlign w:val="center"/>
                </w:tcPr>
                <w:p w14:paraId="76C828A9">
                  <w:pPr>
                    <w:jc w:val="center"/>
                    <w:rPr>
                      <w:rFonts w:hint="default"/>
                      <w:color w:val="auto"/>
                      <w:sz w:val="21"/>
                      <w:szCs w:val="21"/>
                      <w:highlight w:val="none"/>
                      <w:lang w:val="en-US" w:eastAsia="zh-CN"/>
                    </w:rPr>
                  </w:pPr>
                  <w:r>
                    <w:rPr>
                      <w:rFonts w:hint="default"/>
                      <w:color w:val="auto"/>
                      <w:sz w:val="21"/>
                      <w:szCs w:val="21"/>
                      <w:highlight w:val="none"/>
                      <w:lang w:val="en-US" w:eastAsia="zh-CN"/>
                    </w:rPr>
                    <w:t>0.245~0.813</w:t>
                  </w:r>
                </w:p>
              </w:tc>
              <w:tc>
                <w:tcPr>
                  <w:tcW w:w="2692" w:type="dxa"/>
                  <w:tcBorders>
                    <w:right w:val="nil"/>
                  </w:tcBorders>
                  <w:vAlign w:val="center"/>
                </w:tcPr>
                <w:p w14:paraId="32A641A6">
                  <w:pPr>
                    <w:jc w:val="center"/>
                    <w:rPr>
                      <w:rFonts w:hint="default"/>
                      <w:color w:val="auto"/>
                      <w:sz w:val="21"/>
                      <w:szCs w:val="21"/>
                      <w:highlight w:val="none"/>
                      <w:lang w:val="en-US" w:eastAsia="zh-CN"/>
                    </w:rPr>
                  </w:pPr>
                  <w:r>
                    <w:rPr>
                      <w:rFonts w:hint="default"/>
                      <w:color w:val="auto"/>
                      <w:sz w:val="21"/>
                      <w:szCs w:val="21"/>
                      <w:highlight w:val="none"/>
                      <w:lang w:val="en-US" w:eastAsia="zh-CN"/>
                    </w:rPr>
                    <w:t>0.005~0.087</w:t>
                  </w:r>
                </w:p>
              </w:tc>
            </w:tr>
          </w:tbl>
          <w:p w14:paraId="32E38212">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根据监测结果可知,该肉联厂无组织恶臭污染物NH</w:t>
            </w:r>
            <w:r>
              <w:rPr>
                <w:rFonts w:hint="eastAsia" w:ascii="Times New Roman" w:hAnsi="Times New Roman" w:eastAsia="宋体" w:cs="Times New Roman"/>
                <w:bCs/>
                <w:color w:val="auto"/>
                <w:highlight w:val="none"/>
                <w:vertAlign w:val="subscript"/>
                <w:lang w:val="en-US" w:eastAsia="zh-CN"/>
              </w:rPr>
              <w:t>3</w:t>
            </w:r>
            <w:r>
              <w:rPr>
                <w:rFonts w:hint="eastAsia" w:ascii="Times New Roman" w:hAnsi="Times New Roman" w:eastAsia="宋体" w:cs="Times New Roman"/>
                <w:bCs/>
                <w:color w:val="auto"/>
                <w:highlight w:val="none"/>
                <w:lang w:val="en-US" w:eastAsia="zh-CN"/>
              </w:rPr>
              <w:t>、H</w:t>
            </w:r>
            <w:r>
              <w:rPr>
                <w:rFonts w:hint="eastAsia" w:ascii="Times New Roman" w:hAnsi="Times New Roman" w:eastAsia="宋体" w:cs="Times New Roman"/>
                <w:bCs/>
                <w:color w:val="auto"/>
                <w:highlight w:val="none"/>
                <w:vertAlign w:val="subscript"/>
                <w:lang w:val="en-US" w:eastAsia="zh-CN"/>
              </w:rPr>
              <w:t>2</w:t>
            </w:r>
            <w:r>
              <w:rPr>
                <w:rFonts w:hint="eastAsia" w:ascii="Times New Roman" w:hAnsi="Times New Roman" w:eastAsia="宋体" w:cs="Times New Roman"/>
                <w:bCs/>
                <w:color w:val="auto"/>
                <w:highlight w:val="none"/>
                <w:lang w:val="en-US" w:eastAsia="zh-CN"/>
              </w:rPr>
              <w:t>S排放源强分别介于0.245~2.182kg/h、0.004~0.087kg/h之间，平均排放源强为0.87kg/h、0.024kg/h。</w:t>
            </w:r>
          </w:p>
          <w:p w14:paraId="432B9C1E">
            <w:pPr>
              <w:spacing w:line="360" w:lineRule="auto"/>
              <w:ind w:firstLine="480" w:firstLineChars="200"/>
              <w:rPr>
                <w:rFonts w:hint="eastAsia" w:cs="Times New Roman"/>
                <w:bCs/>
                <w:color w:val="auto"/>
                <w:highlight w:val="none"/>
                <w:lang w:val="en-US" w:eastAsia="zh-CN"/>
              </w:rPr>
            </w:pPr>
            <w:r>
              <w:rPr>
                <w:rFonts w:hint="eastAsia" w:cs="Times New Roman"/>
                <w:bCs/>
                <w:color w:val="auto"/>
                <w:highlight w:val="none"/>
                <w:lang w:val="en-US" w:eastAsia="zh-CN"/>
              </w:rPr>
              <w:t>安徽某肉联厂的恶臭监测数据为全厂无组织恶臭排放源强，包含了屠宰区、待宰区、污水站；道</w:t>
            </w:r>
            <w:r>
              <w:rPr>
                <w:rFonts w:hint="eastAsia" w:ascii="Times New Roman" w:hAnsi="Times New Roman" w:cs="Times New Roman"/>
                <w:color w:val="auto"/>
                <w:sz w:val="24"/>
                <w:highlight w:val="none"/>
                <w:lang w:val="en-US" w:eastAsia="zh-CN"/>
              </w:rPr>
              <w:t>孚绿野农特产品投资开发有限公司有组织收集点位为待宰圈、屠宰车间、厂内综合废水处理站；</w:t>
            </w:r>
            <w:r>
              <w:rPr>
                <w:rFonts w:hint="eastAsia" w:cs="Times New Roman"/>
                <w:bCs/>
                <w:color w:val="auto"/>
                <w:highlight w:val="none"/>
                <w:lang w:val="en-US" w:eastAsia="zh-CN"/>
              </w:rPr>
              <w:t>而齐河宏康项目竣工验收监测数据为针对屠宰区的源强监测。可以看出，安徽某肉联厂的监测数据较齐河宏康项目、道</w:t>
            </w:r>
            <w:r>
              <w:rPr>
                <w:rFonts w:hint="eastAsia" w:ascii="Times New Roman" w:hAnsi="Times New Roman" w:cs="Times New Roman"/>
                <w:color w:val="auto"/>
                <w:sz w:val="24"/>
                <w:highlight w:val="none"/>
                <w:lang w:val="en-US" w:eastAsia="zh-CN"/>
              </w:rPr>
              <w:t>孚定点屠宰场</w:t>
            </w:r>
            <w:r>
              <w:rPr>
                <w:rFonts w:hint="eastAsia" w:cs="Times New Roman"/>
                <w:bCs/>
                <w:color w:val="auto"/>
                <w:highlight w:val="none"/>
                <w:lang w:val="en-US" w:eastAsia="zh-CN"/>
              </w:rPr>
              <w:t>项目大。</w:t>
            </w:r>
          </w:p>
          <w:p w14:paraId="6BC2CF0B">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cs="Times New Roman"/>
                <w:bCs/>
                <w:color w:val="auto"/>
                <w:highlight w:val="none"/>
                <w:lang w:val="en-US" w:eastAsia="zh-CN"/>
              </w:rPr>
              <w:t>从屠宰项目不同区域的恶臭监测数据来看，屠宰区的恶臭排放量大于待宰区。本项目从最不利的角度，取安徽某肉联厂和齐河宏康项目、道孚定点屠宰场检测值中的最大值作为类比对象，按屠宰规模折算本项目屠宰区恶臭产生情况见下表。</w:t>
            </w:r>
          </w:p>
          <w:p w14:paraId="57446B00">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本项目屠宰区恶臭产生情况表</w:t>
            </w:r>
          </w:p>
          <w:tbl>
            <w:tblPr>
              <w:tblStyle w:val="33"/>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02"/>
              <w:gridCol w:w="930"/>
              <w:gridCol w:w="1544"/>
            </w:tblGrid>
            <w:tr w14:paraId="600E2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vMerge w:val="restart"/>
                  <w:vAlign w:val="center"/>
                </w:tcPr>
                <w:p w14:paraId="69754D0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分类</w:t>
                  </w:r>
                </w:p>
              </w:tc>
              <w:tc>
                <w:tcPr>
                  <w:tcW w:w="2474" w:type="dxa"/>
                  <w:gridSpan w:val="2"/>
                  <w:tcBorders>
                    <w:right w:val="nil"/>
                  </w:tcBorders>
                  <w:vAlign w:val="center"/>
                </w:tcPr>
                <w:p w14:paraId="647EF66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恶臭污染物产生情况（kg/h）</w:t>
                  </w:r>
                </w:p>
              </w:tc>
            </w:tr>
            <w:tr w14:paraId="3723B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vMerge w:val="continue"/>
                  <w:tcBorders>
                    <w:left w:val="nil"/>
                  </w:tcBorders>
                  <w:vAlign w:val="center"/>
                </w:tcPr>
                <w:p w14:paraId="03C92393">
                  <w:pPr>
                    <w:jc w:val="center"/>
                    <w:rPr>
                      <w:rFonts w:hint="default" w:ascii="Times New Roman" w:hAnsi="Times New Roman" w:eastAsia="宋体" w:cs="Times New Roman"/>
                      <w:color w:val="auto"/>
                      <w:sz w:val="21"/>
                      <w:szCs w:val="21"/>
                      <w:highlight w:val="none"/>
                      <w:lang w:val="en-US" w:eastAsia="zh-CN"/>
                    </w:rPr>
                  </w:pPr>
                </w:p>
              </w:tc>
              <w:tc>
                <w:tcPr>
                  <w:tcW w:w="930" w:type="dxa"/>
                  <w:vAlign w:val="center"/>
                </w:tcPr>
                <w:p w14:paraId="2FC41BE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氨</w:t>
                  </w:r>
                </w:p>
              </w:tc>
              <w:tc>
                <w:tcPr>
                  <w:tcW w:w="1544" w:type="dxa"/>
                  <w:tcBorders>
                    <w:right w:val="nil"/>
                  </w:tcBorders>
                  <w:vAlign w:val="center"/>
                </w:tcPr>
                <w:p w14:paraId="2C217B5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硫化氢</w:t>
                  </w:r>
                </w:p>
              </w:tc>
            </w:tr>
            <w:tr w14:paraId="0001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vAlign w:val="center"/>
                </w:tcPr>
                <w:p w14:paraId="78E79BC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类比项目（齐河宏康年屠宰30万头生猪项目屠宰区）</w:t>
                  </w:r>
                </w:p>
              </w:tc>
              <w:tc>
                <w:tcPr>
                  <w:tcW w:w="930" w:type="dxa"/>
                  <w:vAlign w:val="center"/>
                </w:tcPr>
                <w:p w14:paraId="13EEEA2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0.185</w:t>
                  </w:r>
                </w:p>
              </w:tc>
              <w:tc>
                <w:tcPr>
                  <w:tcW w:w="1544" w:type="dxa"/>
                  <w:tcBorders>
                    <w:right w:val="nil"/>
                  </w:tcBorders>
                  <w:vAlign w:val="center"/>
                </w:tcPr>
                <w:p w14:paraId="52DE3A0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0.011</w:t>
                  </w:r>
                </w:p>
              </w:tc>
            </w:tr>
            <w:tr w14:paraId="51944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shd w:val="clear" w:color="auto" w:fill="auto"/>
                  <w:vAlign w:val="center"/>
                </w:tcPr>
                <w:p w14:paraId="6FCD1607">
                  <w:pPr>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类比</w:t>
                  </w:r>
                  <w:r>
                    <w:rPr>
                      <w:rFonts w:hint="eastAsia" w:ascii="Times New Roman" w:hAnsi="Times New Roman" w:eastAsia="宋体" w:cs="Times New Roman"/>
                      <w:color w:val="auto"/>
                      <w:sz w:val="21"/>
                      <w:szCs w:val="21"/>
                      <w:highlight w:val="none"/>
                      <w:lang w:val="en-US" w:eastAsia="zh-CN"/>
                    </w:rPr>
                    <w:t>法-《道孚县牲畜定点屠宰场》</w:t>
                  </w:r>
                </w:p>
              </w:tc>
              <w:tc>
                <w:tcPr>
                  <w:tcW w:w="930" w:type="dxa"/>
                  <w:shd w:val="clear" w:color="auto" w:fill="auto"/>
                  <w:vAlign w:val="center"/>
                </w:tcPr>
                <w:p w14:paraId="054CACA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108</w:t>
                  </w:r>
                </w:p>
              </w:tc>
              <w:tc>
                <w:tcPr>
                  <w:tcW w:w="1544" w:type="dxa"/>
                  <w:tcBorders>
                    <w:right w:val="nil"/>
                  </w:tcBorders>
                  <w:shd w:val="clear" w:color="auto" w:fill="auto"/>
                  <w:vAlign w:val="center"/>
                </w:tcPr>
                <w:p w14:paraId="1090AEF0">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0.0002</w:t>
                  </w:r>
                </w:p>
              </w:tc>
            </w:tr>
            <w:tr w14:paraId="4F019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vAlign w:val="center"/>
                </w:tcPr>
                <w:p w14:paraId="07365277">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类比项目（安徽某肉联厂23.4万头生猪项目全厂）</w:t>
                  </w:r>
                </w:p>
              </w:tc>
              <w:tc>
                <w:tcPr>
                  <w:tcW w:w="930" w:type="dxa"/>
                  <w:vAlign w:val="center"/>
                </w:tcPr>
                <w:p w14:paraId="48EC1EB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2.182</w:t>
                  </w:r>
                </w:p>
              </w:tc>
              <w:tc>
                <w:tcPr>
                  <w:tcW w:w="1544" w:type="dxa"/>
                  <w:tcBorders>
                    <w:right w:val="nil"/>
                  </w:tcBorders>
                  <w:vAlign w:val="center"/>
                </w:tcPr>
                <w:p w14:paraId="5A71F27E">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0.046</w:t>
                  </w:r>
                </w:p>
              </w:tc>
            </w:tr>
            <w:tr w14:paraId="7DC8D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02" w:type="dxa"/>
                  <w:tcBorders>
                    <w:left w:val="nil"/>
                  </w:tcBorders>
                  <w:vAlign w:val="center"/>
                </w:tcPr>
                <w:p w14:paraId="2179F60C">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本项目（年屠宰7300头生猪）</w:t>
                  </w:r>
                </w:p>
              </w:tc>
              <w:tc>
                <w:tcPr>
                  <w:tcW w:w="930" w:type="dxa"/>
                  <w:vAlign w:val="center"/>
                </w:tcPr>
                <w:p w14:paraId="6B69A017">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0.070</w:t>
                  </w:r>
                </w:p>
              </w:tc>
              <w:tc>
                <w:tcPr>
                  <w:tcW w:w="1544" w:type="dxa"/>
                  <w:tcBorders>
                    <w:right w:val="nil"/>
                  </w:tcBorders>
                  <w:vAlign w:val="center"/>
                </w:tcPr>
                <w:p w14:paraId="3D1D9CDC">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0.0015</w:t>
                  </w:r>
                </w:p>
              </w:tc>
            </w:tr>
          </w:tbl>
          <w:p w14:paraId="40150171">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③污水处理站</w:t>
            </w:r>
          </w:p>
          <w:p w14:paraId="0A1E94D7">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污水处理站生产废水中有机物厌氧分解可产生NH</w:t>
            </w:r>
            <w:r>
              <w:rPr>
                <w:rFonts w:hint="default" w:ascii="Times New Roman" w:hAnsi="Times New Roman" w:eastAsia="宋体" w:cs="Times New Roman"/>
                <w:bCs/>
                <w:color w:val="auto"/>
                <w:highlight w:val="none"/>
                <w:vertAlign w:val="subscript"/>
                <w:lang w:val="en-US" w:eastAsia="zh-CN"/>
              </w:rPr>
              <w:t>3</w:t>
            </w:r>
            <w:r>
              <w:rPr>
                <w:rFonts w:hint="default" w:ascii="Times New Roman" w:hAnsi="Times New Roman" w:eastAsia="宋体" w:cs="Times New Roman"/>
                <w:bCs/>
                <w:color w:val="auto"/>
                <w:highlight w:val="none"/>
                <w:lang w:val="en-US" w:eastAsia="zh-CN"/>
              </w:rPr>
              <w:t>、H</w:t>
            </w:r>
            <w:r>
              <w:rPr>
                <w:rFonts w:hint="default" w:ascii="Times New Roman" w:hAnsi="Times New Roman" w:eastAsia="宋体" w:cs="Times New Roman"/>
                <w:bCs/>
                <w:color w:val="auto"/>
                <w:highlight w:val="none"/>
                <w:vertAlign w:val="subscript"/>
                <w:lang w:val="en-US" w:eastAsia="zh-CN"/>
              </w:rPr>
              <w:t>2</w:t>
            </w:r>
            <w:r>
              <w:rPr>
                <w:rFonts w:hint="default" w:ascii="Times New Roman" w:hAnsi="Times New Roman" w:eastAsia="宋体" w:cs="Times New Roman"/>
                <w:bCs/>
                <w:color w:val="auto"/>
                <w:highlight w:val="none"/>
                <w:lang w:val="en-US" w:eastAsia="zh-CN"/>
              </w:rPr>
              <w:t>S等恶臭有害气体。</w:t>
            </w:r>
          </w:p>
          <w:p w14:paraId="479A6371">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根据拟建项目污水处理工艺，</w:t>
            </w:r>
            <w:r>
              <w:rPr>
                <w:rFonts w:hint="eastAsia" w:ascii="Times New Roman" w:hAnsi="Times New Roman" w:eastAsia="宋体" w:cs="Times New Roman"/>
                <w:bCs/>
                <w:color w:val="auto"/>
                <w:highlight w:val="none"/>
                <w:lang w:val="en-US" w:eastAsia="zh-CN"/>
              </w:rPr>
              <w:t>本项目采用“粗/细格栅+隔油池+调节池+一体化污水处理设施（厌氧+好氧+沉淀+消毒）”，</w:t>
            </w:r>
            <w:r>
              <w:rPr>
                <w:rFonts w:hint="default" w:ascii="Times New Roman" w:hAnsi="Times New Roman" w:eastAsia="宋体" w:cs="Times New Roman"/>
                <w:bCs/>
                <w:color w:val="auto"/>
                <w:highlight w:val="none"/>
                <w:lang w:val="en-US" w:eastAsia="zh-CN"/>
              </w:rPr>
              <w:t>产生恶臭物质的构筑物主要有格栅、</w:t>
            </w:r>
            <w:r>
              <w:rPr>
                <w:rFonts w:hint="eastAsia" w:ascii="Times New Roman" w:hAnsi="Times New Roman" w:eastAsia="宋体" w:cs="Times New Roman"/>
                <w:bCs/>
                <w:color w:val="auto"/>
                <w:highlight w:val="none"/>
                <w:lang w:val="en-US" w:eastAsia="zh-CN"/>
              </w:rPr>
              <w:t>一体化污水设施</w:t>
            </w:r>
            <w:r>
              <w:rPr>
                <w:rFonts w:hint="default" w:ascii="Times New Roman" w:hAnsi="Times New Roman" w:eastAsia="宋体" w:cs="Times New Roman"/>
                <w:bCs/>
                <w:color w:val="auto"/>
                <w:highlight w:val="none"/>
                <w:lang w:val="en-US" w:eastAsia="zh-CN"/>
              </w:rPr>
              <w:t>等。污水处理中的恶臭的排放量（浓度）与污水成分、处理工艺、操作管理水平以及季节等有关，夏天散发的臭气浓度较其他季节高。</w:t>
            </w:r>
          </w:p>
          <w:p w14:paraId="50CB94CC">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根据《环境影响评价案例分析》（2015年版）中所述：参考美国EPA对城市污水处理厂恶臭污染物产生情况的研究，污水处理系统每处理1gBOD</w:t>
            </w:r>
            <w:r>
              <w:rPr>
                <w:rFonts w:hint="default" w:ascii="Times New Roman" w:hAnsi="Times New Roman" w:eastAsia="宋体" w:cs="Times New Roman"/>
                <w:bCs/>
                <w:color w:val="auto"/>
                <w:highlight w:val="none"/>
                <w:vertAlign w:val="subscript"/>
                <w:lang w:val="en-US" w:eastAsia="zh-CN"/>
              </w:rPr>
              <w:t>5</w:t>
            </w:r>
            <w:r>
              <w:rPr>
                <w:rFonts w:hint="default" w:ascii="Times New Roman" w:hAnsi="Times New Roman" w:eastAsia="宋体" w:cs="Times New Roman"/>
                <w:bCs/>
                <w:color w:val="auto"/>
                <w:highlight w:val="none"/>
                <w:lang w:val="en-US" w:eastAsia="zh-CN"/>
              </w:rPr>
              <w:t>，可产生0.0031g的氨气和0.00012g硫化氢，根据本项目水平衡分析，本项目污水处理站污水日处理规模为</w:t>
            </w:r>
            <w:r>
              <w:rPr>
                <w:rFonts w:hint="eastAsia" w:ascii="Times New Roman" w:hAnsi="Times New Roman" w:eastAsia="宋体" w:cs="Times New Roman"/>
                <w:bCs/>
                <w:color w:val="auto"/>
                <w:highlight w:val="none"/>
                <w:lang w:val="en-US" w:eastAsia="zh-CN"/>
              </w:rPr>
              <w:t>11.386</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3</w:t>
            </w:r>
            <w:r>
              <w:rPr>
                <w:rFonts w:hint="default" w:ascii="Times New Roman" w:hAnsi="Times New Roman" w:eastAsia="宋体" w:cs="Times New Roman"/>
                <w:bCs/>
                <w:color w:val="auto"/>
                <w:highlight w:val="none"/>
                <w:lang w:val="en-US" w:eastAsia="zh-CN"/>
              </w:rPr>
              <w:t>/d</w:t>
            </w:r>
            <w:r>
              <w:rPr>
                <w:rFonts w:hint="eastAsia" w:ascii="Times New Roman" w:hAnsi="Times New Roman" w:eastAsia="宋体" w:cs="Times New Roman"/>
                <w:bCs/>
                <w:color w:val="auto"/>
                <w:highlight w:val="none"/>
                <w:lang w:val="en-US" w:eastAsia="zh-CN"/>
              </w:rPr>
              <w:t>（旺季12.916</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3</w:t>
            </w:r>
            <w:r>
              <w:rPr>
                <w:rFonts w:hint="default" w:ascii="Times New Roman" w:hAnsi="Times New Roman" w:eastAsia="宋体" w:cs="Times New Roman"/>
                <w:bCs/>
                <w:color w:val="auto"/>
                <w:highlight w:val="none"/>
                <w:lang w:val="en-US" w:eastAsia="zh-CN"/>
              </w:rPr>
              <w:t>/d</w:t>
            </w:r>
            <w:r>
              <w:rPr>
                <w:rFonts w:hint="eastAsia" w:ascii="Times New Roman" w:hAnsi="Times New Roman" w:eastAsia="宋体" w:cs="Times New Roman"/>
                <w:bCs/>
                <w:color w:val="auto"/>
                <w:highlight w:val="none"/>
                <w:lang w:val="en-US" w:eastAsia="zh-CN"/>
              </w:rPr>
              <w:t>）</w:t>
            </w:r>
            <w:r>
              <w:rPr>
                <w:rFonts w:hint="default" w:ascii="Times New Roman" w:hAnsi="Times New Roman" w:eastAsia="宋体" w:cs="Times New Roman"/>
                <w:bCs/>
                <w:color w:val="auto"/>
                <w:highlight w:val="none"/>
                <w:lang w:val="en-US" w:eastAsia="zh-CN"/>
              </w:rPr>
              <w:t>，年处理规模为</w:t>
            </w:r>
            <w:r>
              <w:rPr>
                <w:rFonts w:hint="eastAsia" w:ascii="Times New Roman" w:hAnsi="Times New Roman" w:eastAsia="宋体" w:cs="Times New Roman"/>
                <w:bCs/>
                <w:color w:val="auto"/>
                <w:highlight w:val="none"/>
                <w:lang w:val="en-US" w:eastAsia="zh-CN"/>
              </w:rPr>
              <w:t>4155.8</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3</w:t>
            </w:r>
            <w:r>
              <w:rPr>
                <w:rFonts w:hint="default" w:ascii="Times New Roman" w:hAnsi="Times New Roman" w:eastAsia="宋体" w:cs="Times New Roman"/>
                <w:bCs/>
                <w:color w:val="auto"/>
                <w:highlight w:val="none"/>
                <w:lang w:val="en-US" w:eastAsia="zh-CN"/>
              </w:rPr>
              <w:t>/d，根据废水源强计算章节，本项目综合废水进水水质BOD</w:t>
            </w:r>
            <w:r>
              <w:rPr>
                <w:rFonts w:hint="default" w:ascii="Times New Roman" w:hAnsi="Times New Roman" w:eastAsia="宋体" w:cs="Times New Roman"/>
                <w:bCs/>
                <w:color w:val="auto"/>
                <w:highlight w:val="none"/>
                <w:vertAlign w:val="subscript"/>
                <w:lang w:val="en-US" w:eastAsia="zh-CN"/>
              </w:rPr>
              <w:t>5</w:t>
            </w:r>
            <w:r>
              <w:rPr>
                <w:rFonts w:hint="default" w:ascii="Times New Roman" w:hAnsi="Times New Roman" w:eastAsia="宋体" w:cs="Times New Roman"/>
                <w:bCs/>
                <w:color w:val="auto"/>
                <w:highlight w:val="none"/>
                <w:lang w:val="en-US" w:eastAsia="zh-CN"/>
              </w:rPr>
              <w:t>取</w:t>
            </w:r>
            <w:r>
              <w:rPr>
                <w:rFonts w:hint="eastAsia" w:ascii="Times New Roman" w:hAnsi="Times New Roman" w:eastAsia="宋体" w:cs="Times New Roman"/>
                <w:bCs/>
                <w:color w:val="auto"/>
                <w:highlight w:val="none"/>
                <w:lang w:val="en-US" w:eastAsia="zh-CN"/>
              </w:rPr>
              <w:t>806.69</w:t>
            </w:r>
            <w:r>
              <w:rPr>
                <w:rFonts w:hint="default" w:ascii="Times New Roman" w:hAnsi="Times New Roman" w:eastAsia="宋体" w:cs="Times New Roman"/>
                <w:bCs/>
                <w:color w:val="auto"/>
                <w:highlight w:val="none"/>
                <w:lang w:val="en-US" w:eastAsia="zh-CN"/>
              </w:rPr>
              <w:t>mg/L，经污水处理站处理后，出水水质BOD</w:t>
            </w:r>
            <w:r>
              <w:rPr>
                <w:rFonts w:hint="default" w:ascii="Times New Roman" w:hAnsi="Times New Roman" w:eastAsia="宋体" w:cs="Times New Roman"/>
                <w:bCs/>
                <w:color w:val="auto"/>
                <w:highlight w:val="none"/>
                <w:vertAlign w:val="subscript"/>
                <w:lang w:val="en-US" w:eastAsia="zh-CN"/>
              </w:rPr>
              <w:t>5</w:t>
            </w:r>
            <w:r>
              <w:rPr>
                <w:rFonts w:hint="default" w:ascii="Times New Roman" w:hAnsi="Times New Roman" w:eastAsia="宋体" w:cs="Times New Roman"/>
                <w:bCs/>
                <w:color w:val="auto"/>
                <w:highlight w:val="none"/>
                <w:lang w:val="en-US" w:eastAsia="zh-CN"/>
              </w:rPr>
              <w:t>取</w:t>
            </w:r>
            <w:r>
              <w:rPr>
                <w:rFonts w:hint="eastAsia" w:ascii="Times New Roman" w:hAnsi="Times New Roman" w:eastAsia="宋体" w:cs="Times New Roman"/>
                <w:bCs/>
                <w:color w:val="auto"/>
                <w:highlight w:val="none"/>
                <w:lang w:val="en-US" w:eastAsia="zh-CN"/>
              </w:rPr>
              <w:t>80.67</w:t>
            </w:r>
            <w:r>
              <w:rPr>
                <w:rFonts w:hint="default" w:ascii="Times New Roman" w:hAnsi="Times New Roman" w:eastAsia="宋体" w:cs="Times New Roman"/>
                <w:bCs/>
                <w:color w:val="auto"/>
                <w:highlight w:val="none"/>
                <w:lang w:val="en-US" w:eastAsia="zh-CN"/>
              </w:rPr>
              <w:t>mg/L计算，本项目污水处理站去除的全厂BOD</w:t>
            </w:r>
            <w:r>
              <w:rPr>
                <w:rFonts w:hint="default" w:ascii="Times New Roman" w:hAnsi="Times New Roman" w:eastAsia="宋体" w:cs="Times New Roman"/>
                <w:bCs/>
                <w:color w:val="auto"/>
                <w:highlight w:val="none"/>
                <w:vertAlign w:val="subscript"/>
                <w:lang w:val="en-US" w:eastAsia="zh-CN"/>
              </w:rPr>
              <w:t>5</w:t>
            </w:r>
            <w:r>
              <w:rPr>
                <w:rFonts w:hint="default" w:ascii="Times New Roman" w:hAnsi="Times New Roman" w:eastAsia="宋体" w:cs="Times New Roman"/>
                <w:bCs/>
                <w:color w:val="auto"/>
                <w:highlight w:val="none"/>
                <w:lang w:val="en-US" w:eastAsia="zh-CN"/>
              </w:rPr>
              <w:t>量为</w:t>
            </w:r>
            <w:r>
              <w:rPr>
                <w:rFonts w:hint="eastAsia" w:ascii="Times New Roman" w:hAnsi="Times New Roman" w:eastAsia="宋体" w:cs="Times New Roman"/>
                <w:bCs/>
                <w:color w:val="auto"/>
                <w:highlight w:val="none"/>
                <w:lang w:val="en-US" w:eastAsia="zh-CN"/>
              </w:rPr>
              <w:t>3.017</w:t>
            </w:r>
            <w:r>
              <w:rPr>
                <w:rFonts w:hint="default" w:ascii="Times New Roman" w:hAnsi="Times New Roman" w:eastAsia="宋体" w:cs="Times New Roman"/>
                <w:bCs/>
                <w:color w:val="auto"/>
                <w:highlight w:val="none"/>
                <w:lang w:val="en-US" w:eastAsia="zh-CN"/>
              </w:rPr>
              <w:t>t/a，污水处理站氨气产生量为</w:t>
            </w:r>
            <w:r>
              <w:rPr>
                <w:rFonts w:hint="eastAsia" w:ascii="Times New Roman" w:hAnsi="Times New Roman" w:eastAsia="宋体" w:cs="Times New Roman"/>
                <w:bCs/>
                <w:color w:val="auto"/>
                <w:highlight w:val="none"/>
                <w:lang w:val="en-US" w:eastAsia="zh-CN"/>
              </w:rPr>
              <w:t>9.35kg</w:t>
            </w:r>
            <w:r>
              <w:rPr>
                <w:rFonts w:hint="default" w:ascii="Times New Roman" w:hAnsi="Times New Roman" w:eastAsia="宋体" w:cs="Times New Roman"/>
                <w:bCs/>
                <w:color w:val="auto"/>
                <w:highlight w:val="none"/>
                <w:lang w:val="en-US" w:eastAsia="zh-CN"/>
              </w:rPr>
              <w:t>/a</w:t>
            </w:r>
            <w:r>
              <w:rPr>
                <w:rFonts w:hint="eastAsia" w:ascii="Times New Roman" w:hAnsi="Times New Roman" w:eastAsia="宋体" w:cs="Times New Roman"/>
                <w:bCs/>
                <w:color w:val="auto"/>
                <w:highlight w:val="none"/>
                <w:lang w:val="en-US" w:eastAsia="zh-CN"/>
              </w:rPr>
              <w:t>（0.001kg/h）</w:t>
            </w:r>
            <w:r>
              <w:rPr>
                <w:rFonts w:hint="default" w:ascii="Times New Roman" w:hAnsi="Times New Roman" w:eastAsia="宋体" w:cs="Times New Roman"/>
                <w:bCs/>
                <w:color w:val="auto"/>
                <w:highlight w:val="none"/>
                <w:lang w:val="en-US" w:eastAsia="zh-CN"/>
              </w:rPr>
              <w:t>，硫化氢产生量为</w:t>
            </w:r>
            <w:r>
              <w:rPr>
                <w:rFonts w:hint="eastAsia" w:ascii="Times New Roman" w:hAnsi="Times New Roman" w:eastAsia="宋体" w:cs="Times New Roman"/>
                <w:bCs/>
                <w:color w:val="auto"/>
                <w:highlight w:val="none"/>
                <w:lang w:val="en-US" w:eastAsia="zh-CN"/>
              </w:rPr>
              <w:t>0.36kg</w:t>
            </w:r>
            <w:r>
              <w:rPr>
                <w:rFonts w:hint="default" w:ascii="Times New Roman" w:hAnsi="Times New Roman" w:eastAsia="宋体" w:cs="Times New Roman"/>
                <w:bCs/>
                <w:color w:val="auto"/>
                <w:highlight w:val="none"/>
                <w:lang w:val="en-US" w:eastAsia="zh-CN"/>
              </w:rPr>
              <w:t>/a</w:t>
            </w:r>
            <w:r>
              <w:rPr>
                <w:rFonts w:hint="eastAsia" w:ascii="Times New Roman" w:hAnsi="Times New Roman" w:eastAsia="宋体" w:cs="Times New Roman"/>
                <w:bCs/>
                <w:color w:val="auto"/>
                <w:highlight w:val="none"/>
                <w:lang w:val="en-US" w:eastAsia="zh-CN"/>
              </w:rPr>
              <w:t>（0.00004kg/h）</w:t>
            </w:r>
            <w:r>
              <w:rPr>
                <w:rFonts w:hint="default" w:ascii="Times New Roman" w:hAnsi="Times New Roman" w:eastAsia="宋体" w:cs="Times New Roman"/>
                <w:bCs/>
                <w:color w:val="auto"/>
                <w:highlight w:val="none"/>
                <w:lang w:val="en-US" w:eastAsia="zh-CN"/>
              </w:rPr>
              <w:t>。</w:t>
            </w:r>
          </w:p>
          <w:p w14:paraId="5A6F2B89">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④猪粪、猪毛及肠内容物暂存间</w:t>
            </w:r>
          </w:p>
          <w:p w14:paraId="0A2FAD52">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参照《排污许可证申请与核发技术规范畜禽养殖行业》（HJ1029-2019）表9各类畜禽污染物产生量，生猪粪便产生量为1.24kg/头·天，本项目生猪待宰圈</w:t>
            </w:r>
            <w:r>
              <w:rPr>
                <w:rFonts w:hint="eastAsia" w:ascii="Times New Roman" w:hAnsi="Times New Roman" w:eastAsia="宋体" w:cs="Times New Roman"/>
                <w:bCs/>
                <w:color w:val="auto"/>
                <w:highlight w:val="none"/>
                <w:lang w:val="en-US" w:eastAsia="zh-CN"/>
              </w:rPr>
              <w:t>平均</w:t>
            </w:r>
            <w:r>
              <w:rPr>
                <w:rFonts w:hint="default" w:ascii="Times New Roman" w:hAnsi="Times New Roman" w:eastAsia="宋体" w:cs="Times New Roman"/>
                <w:bCs/>
                <w:color w:val="auto"/>
                <w:highlight w:val="none"/>
                <w:lang w:val="en-US" w:eastAsia="zh-CN"/>
              </w:rPr>
              <w:t>待宰为</w:t>
            </w:r>
            <w:r>
              <w:rPr>
                <w:rFonts w:hint="eastAsia" w:ascii="Times New Roman" w:hAnsi="Times New Roman" w:eastAsia="宋体" w:cs="Times New Roman"/>
                <w:bCs/>
                <w:color w:val="auto"/>
                <w:highlight w:val="none"/>
                <w:lang w:val="en-US" w:eastAsia="zh-CN"/>
              </w:rPr>
              <w:t>20</w:t>
            </w:r>
            <w:r>
              <w:rPr>
                <w:rFonts w:hint="default" w:ascii="Times New Roman" w:hAnsi="Times New Roman" w:eastAsia="宋体" w:cs="Times New Roman"/>
                <w:bCs/>
                <w:color w:val="auto"/>
                <w:highlight w:val="none"/>
                <w:lang w:val="en-US" w:eastAsia="zh-CN"/>
              </w:rPr>
              <w:t>头，则粪便产生量约为</w:t>
            </w:r>
            <w:r>
              <w:rPr>
                <w:rFonts w:hint="eastAsia" w:ascii="Times New Roman" w:hAnsi="Times New Roman" w:eastAsia="宋体" w:cs="Times New Roman"/>
                <w:bCs/>
                <w:color w:val="auto"/>
                <w:highlight w:val="none"/>
                <w:lang w:val="en-US" w:eastAsia="zh-CN"/>
              </w:rPr>
              <w:t>24.8kg</w:t>
            </w:r>
            <w:r>
              <w:rPr>
                <w:rFonts w:hint="default" w:ascii="Times New Roman" w:hAnsi="Times New Roman" w:eastAsia="宋体" w:cs="Times New Roman"/>
                <w:bCs/>
                <w:color w:val="auto"/>
                <w:highlight w:val="none"/>
                <w:lang w:val="en-US" w:eastAsia="zh-CN"/>
              </w:rPr>
              <w:t>/d</w:t>
            </w:r>
            <w:r>
              <w:rPr>
                <w:rFonts w:hint="eastAsia" w:ascii="Times New Roman" w:hAnsi="Times New Roman" w:eastAsia="宋体" w:cs="Times New Roman"/>
                <w:bCs/>
                <w:color w:val="auto"/>
                <w:highlight w:val="none"/>
                <w:lang w:val="en-US" w:eastAsia="zh-CN"/>
              </w:rPr>
              <w:t>（9.052t/a）</w:t>
            </w:r>
            <w:r>
              <w:rPr>
                <w:rFonts w:hint="default" w:ascii="Times New Roman" w:hAnsi="Times New Roman" w:eastAsia="宋体" w:cs="Times New Roman"/>
                <w:bCs/>
                <w:color w:val="auto"/>
                <w:highlight w:val="none"/>
                <w:lang w:val="en-US" w:eastAsia="zh-CN"/>
              </w:rPr>
              <w:t>，经查阅《恶臭环境科学词典》（北京大学出版社，1993年1月第一版）P163牲畜粪便的化学成分表可知，每kg粪便（湿）中含氮5.4g、硫0.5g，根据《粪便沼液中氨态氮含量的影响因素实验研究》（农业工程学报，2005年第21卷第6期），粪便在30℃、搅拌半小时的情况下，发酵液中氨态氮占总氮的0.925%，以此折算成氨及硫化氢分别为0.061g/kg粪便、0.005g/kg粪便（假设硫的发酵比例与氮相同）。通过计算，粪污暂存间氨产生量：</w:t>
            </w:r>
            <w:r>
              <w:rPr>
                <w:rFonts w:hint="eastAsia" w:ascii="Times New Roman" w:hAnsi="Times New Roman" w:eastAsia="宋体" w:cs="Times New Roman"/>
                <w:bCs/>
                <w:color w:val="auto"/>
                <w:highlight w:val="none"/>
                <w:lang w:val="en-US" w:eastAsia="zh-CN"/>
              </w:rPr>
              <w:t>0.55kg/a（0.00006kg/h）</w:t>
            </w:r>
            <w:r>
              <w:rPr>
                <w:rFonts w:hint="default" w:ascii="Times New Roman" w:hAnsi="Times New Roman" w:eastAsia="宋体" w:cs="Times New Roman"/>
                <w:bCs/>
                <w:color w:val="auto"/>
                <w:highlight w:val="none"/>
                <w:lang w:val="en-US" w:eastAsia="zh-CN"/>
              </w:rPr>
              <w:t>，硫化氢产生量：</w:t>
            </w:r>
            <w:r>
              <w:rPr>
                <w:rFonts w:hint="eastAsia" w:ascii="Times New Roman" w:hAnsi="Times New Roman" w:eastAsia="宋体" w:cs="Times New Roman"/>
                <w:bCs/>
                <w:color w:val="auto"/>
                <w:highlight w:val="none"/>
                <w:lang w:val="en-US" w:eastAsia="zh-CN"/>
              </w:rPr>
              <w:t>0.045kg/a（0.000005kg/h）</w:t>
            </w:r>
            <w:r>
              <w:rPr>
                <w:rFonts w:hint="default" w:ascii="Times New Roman" w:hAnsi="Times New Roman" w:eastAsia="宋体" w:cs="Times New Roman"/>
                <w:bCs/>
                <w:color w:val="auto"/>
                <w:highlight w:val="none"/>
                <w:lang w:val="en-US" w:eastAsia="zh-CN"/>
              </w:rPr>
              <w:t>。</w:t>
            </w:r>
          </w:p>
          <w:p w14:paraId="49A0B24E">
            <w:pPr>
              <w:spacing w:before="54" w:line="219" w:lineRule="auto"/>
              <w:ind w:left="600"/>
              <w:rPr>
                <w:rFonts w:ascii="宋体" w:hAnsi="宋体" w:eastAsia="宋体" w:cs="宋体"/>
                <w:color w:val="auto"/>
                <w:sz w:val="24"/>
                <w:szCs w:val="24"/>
                <w:highlight w:val="none"/>
              </w:rPr>
            </w:pPr>
            <w:r>
              <w:rPr>
                <w:rFonts w:ascii="宋体" w:hAnsi="宋体" w:eastAsia="宋体" w:cs="宋体"/>
                <w:color w:val="auto"/>
                <w:spacing w:val="-1"/>
                <w:sz w:val="24"/>
                <w:szCs w:val="24"/>
                <w:highlight w:val="none"/>
              </w:rPr>
              <w:t>综上，本项目恶臭污染物产生情况如下表所示：</w:t>
            </w:r>
          </w:p>
          <w:p w14:paraId="3CDAB5C2">
            <w:pPr>
              <w:pStyle w:val="15"/>
              <w:numPr>
                <w:ilvl w:val="0"/>
                <w:numId w:val="19"/>
              </w:numPr>
              <w:ind w:left="425" w:leftChars="0" w:right="113" w:rightChars="0" w:hanging="425"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本项目运营期恶臭污染物源强统计表</w:t>
            </w:r>
          </w:p>
          <w:p w14:paraId="3CCF4907">
            <w:pPr>
              <w:spacing w:line="124" w:lineRule="auto"/>
              <w:rPr>
                <w:rFonts w:ascii="Arial"/>
                <w:color w:val="auto"/>
                <w:sz w:val="2"/>
                <w:highlight w:val="none"/>
              </w:rPr>
            </w:pPr>
          </w:p>
          <w:tbl>
            <w:tblPr>
              <w:tblStyle w:val="103"/>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30"/>
              <w:gridCol w:w="1143"/>
              <w:gridCol w:w="1144"/>
              <w:gridCol w:w="1144"/>
              <w:gridCol w:w="1143"/>
              <w:gridCol w:w="1144"/>
              <w:gridCol w:w="1146"/>
            </w:tblGrid>
            <w:tr w14:paraId="62999C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811" w:type="pct"/>
                  <w:vMerge w:val="restart"/>
                  <w:tcBorders>
                    <w:top w:val="single" w:color="000000" w:sz="10" w:space="0"/>
                    <w:left w:val="nil"/>
                    <w:bottom w:val="nil"/>
                  </w:tcBorders>
                  <w:vAlign w:val="center"/>
                </w:tcPr>
                <w:p w14:paraId="2B651DB2">
                  <w:pPr>
                    <w:jc w:val="center"/>
                    <w:rPr>
                      <w:color w:val="auto"/>
                      <w:sz w:val="21"/>
                      <w:szCs w:val="21"/>
                      <w:highlight w:val="none"/>
                    </w:rPr>
                  </w:pPr>
                  <w:r>
                    <w:rPr>
                      <w:color w:val="auto"/>
                      <w:sz w:val="21"/>
                      <w:szCs w:val="21"/>
                      <w:highlight w:val="none"/>
                    </w:rPr>
                    <w:t>产臭单元</w:t>
                  </w:r>
                </w:p>
              </w:tc>
              <w:tc>
                <w:tcPr>
                  <w:tcW w:w="2093" w:type="pct"/>
                  <w:gridSpan w:val="3"/>
                  <w:tcBorders>
                    <w:top w:val="single" w:color="000000" w:sz="10" w:space="0"/>
                  </w:tcBorders>
                  <w:vAlign w:val="center"/>
                </w:tcPr>
                <w:p w14:paraId="3173C8EB">
                  <w:pPr>
                    <w:jc w:val="center"/>
                    <w:rPr>
                      <w:color w:val="auto"/>
                      <w:sz w:val="21"/>
                      <w:szCs w:val="21"/>
                      <w:highlight w:val="none"/>
                    </w:rPr>
                  </w:pPr>
                  <w:r>
                    <w:rPr>
                      <w:color w:val="auto"/>
                      <w:sz w:val="21"/>
                      <w:szCs w:val="21"/>
                      <w:highlight w:val="none"/>
                    </w:rPr>
                    <w:t>NH</w:t>
                  </w:r>
                  <w:r>
                    <w:rPr>
                      <w:color w:val="auto"/>
                      <w:sz w:val="21"/>
                      <w:szCs w:val="21"/>
                      <w:highlight w:val="none"/>
                      <w:vertAlign w:val="subscript"/>
                    </w:rPr>
                    <w:t>3</w:t>
                  </w:r>
                </w:p>
              </w:tc>
              <w:tc>
                <w:tcPr>
                  <w:tcW w:w="2094" w:type="pct"/>
                  <w:gridSpan w:val="3"/>
                  <w:tcBorders>
                    <w:top w:val="single" w:color="000000" w:sz="10" w:space="0"/>
                    <w:right w:val="nil"/>
                  </w:tcBorders>
                  <w:vAlign w:val="center"/>
                </w:tcPr>
                <w:p w14:paraId="4BB8E9A0">
                  <w:pPr>
                    <w:jc w:val="center"/>
                    <w:rPr>
                      <w:color w:val="auto"/>
                      <w:sz w:val="21"/>
                      <w:szCs w:val="21"/>
                      <w:highlight w:val="none"/>
                    </w:rPr>
                  </w:pPr>
                  <w:r>
                    <w:rPr>
                      <w:color w:val="auto"/>
                      <w:sz w:val="21"/>
                      <w:szCs w:val="21"/>
                      <w:highlight w:val="none"/>
                    </w:rPr>
                    <w:t>H</w:t>
                  </w:r>
                  <w:r>
                    <w:rPr>
                      <w:color w:val="auto"/>
                      <w:sz w:val="21"/>
                      <w:szCs w:val="21"/>
                      <w:highlight w:val="none"/>
                      <w:vertAlign w:val="subscript"/>
                    </w:rPr>
                    <w:t>2</w:t>
                  </w:r>
                  <w:r>
                    <w:rPr>
                      <w:color w:val="auto"/>
                      <w:sz w:val="21"/>
                      <w:szCs w:val="21"/>
                      <w:highlight w:val="none"/>
                    </w:rPr>
                    <w:t>S</w:t>
                  </w:r>
                </w:p>
              </w:tc>
            </w:tr>
            <w:tr w14:paraId="4A579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811" w:type="pct"/>
                  <w:vMerge w:val="continue"/>
                  <w:tcBorders>
                    <w:top w:val="nil"/>
                    <w:left w:val="nil"/>
                  </w:tcBorders>
                  <w:vAlign w:val="center"/>
                </w:tcPr>
                <w:p w14:paraId="10AF468B">
                  <w:pPr>
                    <w:jc w:val="center"/>
                    <w:rPr>
                      <w:color w:val="auto"/>
                      <w:sz w:val="21"/>
                      <w:szCs w:val="21"/>
                      <w:highlight w:val="none"/>
                    </w:rPr>
                  </w:pPr>
                </w:p>
              </w:tc>
              <w:tc>
                <w:tcPr>
                  <w:tcW w:w="697" w:type="pct"/>
                  <w:vAlign w:val="center"/>
                </w:tcPr>
                <w:p w14:paraId="194EBCF5">
                  <w:pPr>
                    <w:jc w:val="center"/>
                    <w:rPr>
                      <w:color w:val="auto"/>
                      <w:sz w:val="21"/>
                      <w:szCs w:val="21"/>
                      <w:highlight w:val="none"/>
                    </w:rPr>
                  </w:pPr>
                  <w:r>
                    <w:rPr>
                      <w:color w:val="auto"/>
                      <w:sz w:val="21"/>
                      <w:szCs w:val="21"/>
                      <w:highlight w:val="none"/>
                    </w:rPr>
                    <w:t>产生速率kg/h</w:t>
                  </w:r>
                </w:p>
              </w:tc>
              <w:tc>
                <w:tcPr>
                  <w:tcW w:w="698" w:type="pct"/>
                  <w:vAlign w:val="center"/>
                </w:tcPr>
                <w:p w14:paraId="714B0868">
                  <w:pPr>
                    <w:jc w:val="center"/>
                    <w:rPr>
                      <w:color w:val="auto"/>
                      <w:sz w:val="21"/>
                      <w:szCs w:val="21"/>
                      <w:highlight w:val="none"/>
                    </w:rPr>
                  </w:pPr>
                  <w:r>
                    <w:rPr>
                      <w:color w:val="auto"/>
                      <w:sz w:val="21"/>
                      <w:szCs w:val="21"/>
                      <w:highlight w:val="none"/>
                    </w:rPr>
                    <w:t>产生时间h</w:t>
                  </w:r>
                </w:p>
              </w:tc>
              <w:tc>
                <w:tcPr>
                  <w:tcW w:w="698" w:type="pct"/>
                  <w:vAlign w:val="center"/>
                </w:tcPr>
                <w:p w14:paraId="2BD2A40E">
                  <w:pPr>
                    <w:jc w:val="center"/>
                    <w:rPr>
                      <w:color w:val="auto"/>
                      <w:sz w:val="21"/>
                      <w:szCs w:val="21"/>
                      <w:highlight w:val="none"/>
                    </w:rPr>
                  </w:pPr>
                  <w:r>
                    <w:rPr>
                      <w:color w:val="auto"/>
                      <w:sz w:val="21"/>
                      <w:szCs w:val="21"/>
                      <w:highlight w:val="none"/>
                    </w:rPr>
                    <w:t>年产生量</w:t>
                  </w:r>
                  <w:r>
                    <w:rPr>
                      <w:rFonts w:hint="eastAsia"/>
                      <w:color w:val="auto"/>
                      <w:sz w:val="21"/>
                      <w:szCs w:val="21"/>
                      <w:highlight w:val="none"/>
                      <w:lang w:val="en-US" w:eastAsia="zh-CN"/>
                    </w:rPr>
                    <w:t>kg</w:t>
                  </w:r>
                  <w:r>
                    <w:rPr>
                      <w:color w:val="auto"/>
                      <w:sz w:val="21"/>
                      <w:szCs w:val="21"/>
                      <w:highlight w:val="none"/>
                    </w:rPr>
                    <w:t>/a</w:t>
                  </w:r>
                </w:p>
              </w:tc>
              <w:tc>
                <w:tcPr>
                  <w:tcW w:w="697" w:type="pct"/>
                  <w:vAlign w:val="center"/>
                </w:tcPr>
                <w:p w14:paraId="4B654A80">
                  <w:pPr>
                    <w:jc w:val="center"/>
                    <w:rPr>
                      <w:color w:val="auto"/>
                      <w:sz w:val="21"/>
                      <w:szCs w:val="21"/>
                      <w:highlight w:val="none"/>
                    </w:rPr>
                  </w:pPr>
                  <w:r>
                    <w:rPr>
                      <w:color w:val="auto"/>
                      <w:sz w:val="21"/>
                      <w:szCs w:val="21"/>
                      <w:highlight w:val="none"/>
                    </w:rPr>
                    <w:t>产生速率kg/h</w:t>
                  </w:r>
                </w:p>
              </w:tc>
              <w:tc>
                <w:tcPr>
                  <w:tcW w:w="698" w:type="pct"/>
                  <w:vAlign w:val="center"/>
                </w:tcPr>
                <w:p w14:paraId="6412004D">
                  <w:pPr>
                    <w:jc w:val="center"/>
                    <w:rPr>
                      <w:color w:val="auto"/>
                      <w:sz w:val="21"/>
                      <w:szCs w:val="21"/>
                      <w:highlight w:val="none"/>
                    </w:rPr>
                  </w:pPr>
                  <w:r>
                    <w:rPr>
                      <w:color w:val="auto"/>
                      <w:sz w:val="21"/>
                      <w:szCs w:val="21"/>
                      <w:highlight w:val="none"/>
                    </w:rPr>
                    <w:t>产生时间h</w:t>
                  </w:r>
                </w:p>
              </w:tc>
              <w:tc>
                <w:tcPr>
                  <w:tcW w:w="698" w:type="pct"/>
                  <w:tcBorders>
                    <w:right w:val="nil"/>
                  </w:tcBorders>
                  <w:vAlign w:val="center"/>
                </w:tcPr>
                <w:p w14:paraId="577B02B7">
                  <w:pPr>
                    <w:jc w:val="center"/>
                    <w:rPr>
                      <w:color w:val="auto"/>
                      <w:sz w:val="21"/>
                      <w:szCs w:val="21"/>
                      <w:highlight w:val="none"/>
                    </w:rPr>
                  </w:pPr>
                  <w:r>
                    <w:rPr>
                      <w:color w:val="auto"/>
                      <w:sz w:val="21"/>
                      <w:szCs w:val="21"/>
                      <w:highlight w:val="none"/>
                    </w:rPr>
                    <w:t>年产生量</w:t>
                  </w:r>
                  <w:r>
                    <w:rPr>
                      <w:rFonts w:hint="eastAsia"/>
                      <w:color w:val="auto"/>
                      <w:sz w:val="21"/>
                      <w:szCs w:val="21"/>
                      <w:highlight w:val="none"/>
                      <w:lang w:val="en-US" w:eastAsia="zh-CN"/>
                    </w:rPr>
                    <w:t>kg</w:t>
                  </w:r>
                  <w:r>
                    <w:rPr>
                      <w:color w:val="auto"/>
                      <w:sz w:val="21"/>
                      <w:szCs w:val="21"/>
                      <w:highlight w:val="none"/>
                    </w:rPr>
                    <w:t>/a</w:t>
                  </w:r>
                </w:p>
              </w:tc>
            </w:tr>
            <w:tr w14:paraId="6D697B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811" w:type="pct"/>
                  <w:tcBorders>
                    <w:left w:val="nil"/>
                  </w:tcBorders>
                  <w:vAlign w:val="center"/>
                </w:tcPr>
                <w:p w14:paraId="296E170E">
                  <w:pPr>
                    <w:jc w:val="center"/>
                    <w:rPr>
                      <w:color w:val="auto"/>
                      <w:sz w:val="21"/>
                      <w:szCs w:val="21"/>
                      <w:highlight w:val="none"/>
                    </w:rPr>
                  </w:pPr>
                  <w:r>
                    <w:rPr>
                      <w:color w:val="auto"/>
                      <w:sz w:val="21"/>
                      <w:szCs w:val="21"/>
                      <w:highlight w:val="none"/>
                    </w:rPr>
                    <w:t>待宰区</w:t>
                  </w:r>
                </w:p>
              </w:tc>
              <w:tc>
                <w:tcPr>
                  <w:tcW w:w="1143" w:type="dxa"/>
                  <w:vAlign w:val="center"/>
                </w:tcPr>
                <w:p w14:paraId="45261D5B">
                  <w:pPr>
                    <w:keepNext w:val="0"/>
                    <w:keepLines w:val="0"/>
                    <w:widowControl/>
                    <w:suppressLineNumbers w:val="0"/>
                    <w:jc w:val="center"/>
                    <w:textAlignment w:val="center"/>
                    <w:rPr>
                      <w:rFonts w:hint="default" w:eastAsia="宋体"/>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0.0108</w:t>
                  </w:r>
                </w:p>
              </w:tc>
              <w:tc>
                <w:tcPr>
                  <w:tcW w:w="698" w:type="pct"/>
                  <w:vAlign w:val="center"/>
                </w:tcPr>
                <w:p w14:paraId="1A5875EB">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4380</w:t>
                  </w:r>
                </w:p>
              </w:tc>
              <w:tc>
                <w:tcPr>
                  <w:tcW w:w="1144" w:type="dxa"/>
                  <w:vAlign w:val="center"/>
                </w:tcPr>
                <w:p w14:paraId="4154081A">
                  <w:pPr>
                    <w:keepNext w:val="0"/>
                    <w:keepLines w:val="0"/>
                    <w:widowControl/>
                    <w:suppressLineNumbers w:val="0"/>
                    <w:jc w:val="center"/>
                    <w:textAlignment w:val="center"/>
                    <w:rPr>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47.304</w:t>
                  </w:r>
                </w:p>
              </w:tc>
              <w:tc>
                <w:tcPr>
                  <w:tcW w:w="697" w:type="pct"/>
                  <w:vAlign w:val="center"/>
                </w:tcPr>
                <w:p w14:paraId="63E83887">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0.0008</w:t>
                  </w:r>
                </w:p>
              </w:tc>
              <w:tc>
                <w:tcPr>
                  <w:tcW w:w="1144" w:type="dxa"/>
                  <w:vAlign w:val="center"/>
                </w:tcPr>
                <w:p w14:paraId="14BB2CE5">
                  <w:pPr>
                    <w:jc w:val="center"/>
                    <w:rPr>
                      <w:color w:val="auto"/>
                      <w:sz w:val="21"/>
                      <w:szCs w:val="21"/>
                      <w:highlight w:val="none"/>
                    </w:rPr>
                  </w:pPr>
                  <w:r>
                    <w:rPr>
                      <w:rFonts w:hint="eastAsia"/>
                      <w:color w:val="auto"/>
                      <w:sz w:val="21"/>
                      <w:szCs w:val="21"/>
                      <w:highlight w:val="none"/>
                      <w:lang w:val="en-US" w:eastAsia="zh-CN"/>
                    </w:rPr>
                    <w:t>4380</w:t>
                  </w:r>
                </w:p>
              </w:tc>
              <w:tc>
                <w:tcPr>
                  <w:tcW w:w="1146" w:type="dxa"/>
                  <w:tcBorders>
                    <w:right w:val="nil"/>
                  </w:tcBorders>
                  <w:vAlign w:val="center"/>
                </w:tcPr>
                <w:p w14:paraId="1B9D37EA">
                  <w:pPr>
                    <w:keepNext w:val="0"/>
                    <w:keepLines w:val="0"/>
                    <w:widowControl/>
                    <w:suppressLineNumbers w:val="0"/>
                    <w:jc w:val="center"/>
                    <w:textAlignment w:val="center"/>
                    <w:rPr>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3.504</w:t>
                  </w:r>
                </w:p>
              </w:tc>
            </w:tr>
            <w:tr w14:paraId="212A1D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811" w:type="pct"/>
                  <w:tcBorders>
                    <w:left w:val="nil"/>
                  </w:tcBorders>
                  <w:vAlign w:val="center"/>
                </w:tcPr>
                <w:p w14:paraId="22167E07">
                  <w:pPr>
                    <w:jc w:val="center"/>
                    <w:rPr>
                      <w:color w:val="auto"/>
                      <w:sz w:val="21"/>
                      <w:szCs w:val="21"/>
                      <w:highlight w:val="none"/>
                    </w:rPr>
                  </w:pPr>
                  <w:r>
                    <w:rPr>
                      <w:color w:val="auto"/>
                      <w:sz w:val="21"/>
                      <w:szCs w:val="21"/>
                      <w:highlight w:val="none"/>
                    </w:rPr>
                    <w:t>屠宰区</w:t>
                  </w:r>
                </w:p>
              </w:tc>
              <w:tc>
                <w:tcPr>
                  <w:tcW w:w="1143" w:type="dxa"/>
                  <w:vAlign w:val="center"/>
                </w:tcPr>
                <w:p w14:paraId="00209806">
                  <w:pPr>
                    <w:keepNext w:val="0"/>
                    <w:keepLines w:val="0"/>
                    <w:widowControl/>
                    <w:suppressLineNumbers w:val="0"/>
                    <w:jc w:val="center"/>
                    <w:textAlignment w:val="center"/>
                    <w:rPr>
                      <w:rFonts w:hint="default" w:eastAsia="宋体"/>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0.07</w:t>
                  </w:r>
                </w:p>
              </w:tc>
              <w:tc>
                <w:tcPr>
                  <w:tcW w:w="698" w:type="pct"/>
                  <w:vAlign w:val="center"/>
                </w:tcPr>
                <w:p w14:paraId="558C815A">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1460</w:t>
                  </w:r>
                </w:p>
              </w:tc>
              <w:tc>
                <w:tcPr>
                  <w:tcW w:w="1144" w:type="dxa"/>
                  <w:vAlign w:val="center"/>
                </w:tcPr>
                <w:p w14:paraId="1D9F818C">
                  <w:pPr>
                    <w:keepNext w:val="0"/>
                    <w:keepLines w:val="0"/>
                    <w:widowControl/>
                    <w:suppressLineNumbers w:val="0"/>
                    <w:jc w:val="center"/>
                    <w:textAlignment w:val="center"/>
                    <w:rPr>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102.2</w:t>
                  </w:r>
                </w:p>
              </w:tc>
              <w:tc>
                <w:tcPr>
                  <w:tcW w:w="697" w:type="pct"/>
                  <w:vAlign w:val="center"/>
                </w:tcPr>
                <w:p w14:paraId="2FAB1B52">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0.0015</w:t>
                  </w:r>
                </w:p>
              </w:tc>
              <w:tc>
                <w:tcPr>
                  <w:tcW w:w="1144" w:type="dxa"/>
                  <w:vAlign w:val="center"/>
                </w:tcPr>
                <w:p w14:paraId="387E9B08">
                  <w:pPr>
                    <w:jc w:val="center"/>
                    <w:rPr>
                      <w:color w:val="auto"/>
                      <w:sz w:val="21"/>
                      <w:szCs w:val="21"/>
                      <w:highlight w:val="none"/>
                    </w:rPr>
                  </w:pPr>
                  <w:r>
                    <w:rPr>
                      <w:rFonts w:hint="eastAsia"/>
                      <w:color w:val="auto"/>
                      <w:sz w:val="21"/>
                      <w:szCs w:val="21"/>
                      <w:highlight w:val="none"/>
                      <w:lang w:val="en-US" w:eastAsia="zh-CN"/>
                    </w:rPr>
                    <w:t>1460</w:t>
                  </w:r>
                </w:p>
              </w:tc>
              <w:tc>
                <w:tcPr>
                  <w:tcW w:w="1146" w:type="dxa"/>
                  <w:tcBorders>
                    <w:right w:val="nil"/>
                  </w:tcBorders>
                  <w:vAlign w:val="center"/>
                </w:tcPr>
                <w:p w14:paraId="5236DBE4">
                  <w:pPr>
                    <w:keepNext w:val="0"/>
                    <w:keepLines w:val="0"/>
                    <w:widowControl/>
                    <w:suppressLineNumbers w:val="0"/>
                    <w:jc w:val="center"/>
                    <w:textAlignment w:val="center"/>
                    <w:rPr>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2.19</w:t>
                  </w:r>
                </w:p>
              </w:tc>
            </w:tr>
            <w:tr w14:paraId="0EA390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811" w:type="pct"/>
                  <w:tcBorders>
                    <w:left w:val="nil"/>
                  </w:tcBorders>
                  <w:vAlign w:val="center"/>
                </w:tcPr>
                <w:p w14:paraId="6FCC82C9">
                  <w:pPr>
                    <w:jc w:val="center"/>
                    <w:rPr>
                      <w:color w:val="auto"/>
                      <w:sz w:val="21"/>
                      <w:szCs w:val="21"/>
                      <w:highlight w:val="none"/>
                    </w:rPr>
                  </w:pPr>
                  <w:r>
                    <w:rPr>
                      <w:color w:val="auto"/>
                      <w:sz w:val="21"/>
                      <w:szCs w:val="21"/>
                      <w:highlight w:val="none"/>
                    </w:rPr>
                    <w:t>污水处理站</w:t>
                  </w:r>
                </w:p>
              </w:tc>
              <w:tc>
                <w:tcPr>
                  <w:tcW w:w="1143" w:type="dxa"/>
                  <w:vAlign w:val="center"/>
                </w:tcPr>
                <w:p w14:paraId="5A03336E">
                  <w:pPr>
                    <w:keepNext w:val="0"/>
                    <w:keepLines w:val="0"/>
                    <w:widowControl/>
                    <w:suppressLineNumbers w:val="0"/>
                    <w:jc w:val="center"/>
                    <w:textAlignment w:val="center"/>
                    <w:rPr>
                      <w:rFonts w:hint="default" w:eastAsia="宋体"/>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698" w:type="pct"/>
                  <w:vAlign w:val="center"/>
                </w:tcPr>
                <w:p w14:paraId="2B274B08">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8760</w:t>
                  </w:r>
                </w:p>
              </w:tc>
              <w:tc>
                <w:tcPr>
                  <w:tcW w:w="1144" w:type="dxa"/>
                  <w:vAlign w:val="center"/>
                </w:tcPr>
                <w:p w14:paraId="1D57D913">
                  <w:pPr>
                    <w:keepNext w:val="0"/>
                    <w:keepLines w:val="0"/>
                    <w:widowControl/>
                    <w:suppressLineNumbers w:val="0"/>
                    <w:jc w:val="center"/>
                    <w:textAlignment w:val="center"/>
                    <w:rPr>
                      <w:rFonts w:hint="default" w:eastAsia="宋体"/>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9.35</w:t>
                  </w:r>
                </w:p>
              </w:tc>
              <w:tc>
                <w:tcPr>
                  <w:tcW w:w="697" w:type="pct"/>
                  <w:vAlign w:val="center"/>
                </w:tcPr>
                <w:p w14:paraId="27382B2A">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0.00004</w:t>
                  </w:r>
                </w:p>
              </w:tc>
              <w:tc>
                <w:tcPr>
                  <w:tcW w:w="1144" w:type="dxa"/>
                  <w:vAlign w:val="center"/>
                </w:tcPr>
                <w:p w14:paraId="654F152B">
                  <w:pPr>
                    <w:jc w:val="center"/>
                    <w:rPr>
                      <w:color w:val="auto"/>
                      <w:sz w:val="21"/>
                      <w:szCs w:val="21"/>
                      <w:highlight w:val="none"/>
                    </w:rPr>
                  </w:pPr>
                  <w:r>
                    <w:rPr>
                      <w:rFonts w:hint="eastAsia"/>
                      <w:color w:val="auto"/>
                      <w:sz w:val="21"/>
                      <w:szCs w:val="21"/>
                      <w:highlight w:val="none"/>
                      <w:lang w:val="en-US" w:eastAsia="zh-CN"/>
                    </w:rPr>
                    <w:t>8760</w:t>
                  </w:r>
                </w:p>
              </w:tc>
              <w:tc>
                <w:tcPr>
                  <w:tcW w:w="698" w:type="pct"/>
                  <w:tcBorders>
                    <w:right w:val="nil"/>
                  </w:tcBorders>
                  <w:vAlign w:val="center"/>
                </w:tcPr>
                <w:p w14:paraId="26C60E03">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0.36</w:t>
                  </w:r>
                </w:p>
              </w:tc>
            </w:tr>
            <w:tr w14:paraId="7489B0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811" w:type="pct"/>
                  <w:tcBorders>
                    <w:left w:val="nil"/>
                  </w:tcBorders>
                  <w:vAlign w:val="center"/>
                </w:tcPr>
                <w:p w14:paraId="717DBF2E">
                  <w:pPr>
                    <w:jc w:val="center"/>
                    <w:rPr>
                      <w:color w:val="auto"/>
                      <w:sz w:val="21"/>
                      <w:szCs w:val="21"/>
                      <w:highlight w:val="none"/>
                    </w:rPr>
                  </w:pPr>
                  <w:r>
                    <w:rPr>
                      <w:rFonts w:hint="eastAsia"/>
                      <w:color w:val="auto"/>
                      <w:sz w:val="21"/>
                      <w:szCs w:val="21"/>
                      <w:highlight w:val="none"/>
                    </w:rPr>
                    <w:t>猪粪、猪毛及肠内容物暂存间</w:t>
                  </w:r>
                </w:p>
              </w:tc>
              <w:tc>
                <w:tcPr>
                  <w:tcW w:w="1143" w:type="dxa"/>
                  <w:vAlign w:val="center"/>
                </w:tcPr>
                <w:p w14:paraId="0D39868F">
                  <w:pPr>
                    <w:keepNext w:val="0"/>
                    <w:keepLines w:val="0"/>
                    <w:widowControl/>
                    <w:suppressLineNumbers w:val="0"/>
                    <w:jc w:val="center"/>
                    <w:textAlignment w:val="center"/>
                    <w:rPr>
                      <w:rFonts w:hint="default" w:eastAsia="宋体"/>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0.00006</w:t>
                  </w:r>
                </w:p>
              </w:tc>
              <w:tc>
                <w:tcPr>
                  <w:tcW w:w="698" w:type="pct"/>
                  <w:vAlign w:val="center"/>
                </w:tcPr>
                <w:p w14:paraId="27084F6C">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8760</w:t>
                  </w:r>
                </w:p>
              </w:tc>
              <w:tc>
                <w:tcPr>
                  <w:tcW w:w="1144" w:type="dxa"/>
                  <w:vAlign w:val="center"/>
                </w:tcPr>
                <w:p w14:paraId="159BF229">
                  <w:pPr>
                    <w:keepNext w:val="0"/>
                    <w:keepLines w:val="0"/>
                    <w:widowControl/>
                    <w:suppressLineNumbers w:val="0"/>
                    <w:jc w:val="center"/>
                    <w:textAlignment w:val="center"/>
                    <w:rPr>
                      <w:rFonts w:hint="default" w:eastAsia="宋体"/>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0.55</w:t>
                  </w:r>
                </w:p>
              </w:tc>
              <w:tc>
                <w:tcPr>
                  <w:tcW w:w="697" w:type="pct"/>
                  <w:vAlign w:val="center"/>
                </w:tcPr>
                <w:p w14:paraId="7970630A">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0.000005</w:t>
                  </w:r>
                </w:p>
              </w:tc>
              <w:tc>
                <w:tcPr>
                  <w:tcW w:w="1144" w:type="dxa"/>
                  <w:vAlign w:val="center"/>
                </w:tcPr>
                <w:p w14:paraId="23AD1EC2">
                  <w:pPr>
                    <w:jc w:val="center"/>
                    <w:rPr>
                      <w:color w:val="auto"/>
                      <w:sz w:val="21"/>
                      <w:szCs w:val="21"/>
                      <w:highlight w:val="none"/>
                    </w:rPr>
                  </w:pPr>
                  <w:r>
                    <w:rPr>
                      <w:rFonts w:hint="eastAsia"/>
                      <w:color w:val="auto"/>
                      <w:sz w:val="21"/>
                      <w:szCs w:val="21"/>
                      <w:highlight w:val="none"/>
                      <w:lang w:val="en-US" w:eastAsia="zh-CN"/>
                    </w:rPr>
                    <w:t>8760</w:t>
                  </w:r>
                </w:p>
              </w:tc>
              <w:tc>
                <w:tcPr>
                  <w:tcW w:w="698" w:type="pct"/>
                  <w:tcBorders>
                    <w:right w:val="nil"/>
                  </w:tcBorders>
                  <w:vAlign w:val="center"/>
                </w:tcPr>
                <w:p w14:paraId="5C32469F">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0.045</w:t>
                  </w:r>
                </w:p>
              </w:tc>
            </w:tr>
            <w:tr w14:paraId="54F48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811" w:type="pct"/>
                  <w:tcBorders>
                    <w:left w:val="nil"/>
                    <w:bottom w:val="single" w:color="000000" w:sz="10" w:space="0"/>
                  </w:tcBorders>
                  <w:vAlign w:val="center"/>
                </w:tcPr>
                <w:p w14:paraId="50F344A3">
                  <w:pPr>
                    <w:jc w:val="center"/>
                    <w:rPr>
                      <w:color w:val="auto"/>
                      <w:sz w:val="21"/>
                      <w:szCs w:val="21"/>
                      <w:highlight w:val="none"/>
                    </w:rPr>
                  </w:pPr>
                  <w:r>
                    <w:rPr>
                      <w:color w:val="auto"/>
                      <w:sz w:val="21"/>
                      <w:szCs w:val="21"/>
                      <w:highlight w:val="none"/>
                    </w:rPr>
                    <w:t>合计</w:t>
                  </w:r>
                </w:p>
              </w:tc>
              <w:tc>
                <w:tcPr>
                  <w:tcW w:w="1143" w:type="dxa"/>
                  <w:tcBorders>
                    <w:bottom w:val="single" w:color="000000" w:sz="10" w:space="0"/>
                  </w:tcBorders>
                  <w:vAlign w:val="center"/>
                </w:tcPr>
                <w:p w14:paraId="43A50982">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0.08186</w:t>
                  </w:r>
                </w:p>
              </w:tc>
              <w:tc>
                <w:tcPr>
                  <w:tcW w:w="1144" w:type="dxa"/>
                  <w:tcBorders>
                    <w:bottom w:val="single" w:color="000000" w:sz="10" w:space="0"/>
                  </w:tcBorders>
                  <w:vAlign w:val="center"/>
                </w:tcPr>
                <w:p w14:paraId="1BABF3EE">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144" w:type="dxa"/>
                  <w:tcBorders>
                    <w:bottom w:val="single" w:color="000000" w:sz="10" w:space="0"/>
                  </w:tcBorders>
                  <w:vAlign w:val="center"/>
                </w:tcPr>
                <w:p w14:paraId="6D0F49B2">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159.404</w:t>
                  </w:r>
                </w:p>
              </w:tc>
              <w:tc>
                <w:tcPr>
                  <w:tcW w:w="1143" w:type="dxa"/>
                  <w:tcBorders>
                    <w:bottom w:val="single" w:color="000000" w:sz="10" w:space="0"/>
                  </w:tcBorders>
                  <w:vAlign w:val="center"/>
                </w:tcPr>
                <w:p w14:paraId="7F7FE4A1">
                  <w:pPr>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0.002345</w:t>
                  </w:r>
                </w:p>
              </w:tc>
              <w:tc>
                <w:tcPr>
                  <w:tcW w:w="1144" w:type="dxa"/>
                  <w:tcBorders>
                    <w:bottom w:val="single" w:color="000000" w:sz="10" w:space="0"/>
                  </w:tcBorders>
                  <w:vAlign w:val="center"/>
                </w:tcPr>
                <w:p w14:paraId="3E86FAF6">
                  <w:pPr>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146" w:type="dxa"/>
                  <w:tcBorders>
                    <w:bottom w:val="single" w:color="000000" w:sz="10" w:space="0"/>
                    <w:right w:val="nil"/>
                  </w:tcBorders>
                  <w:vAlign w:val="center"/>
                </w:tcPr>
                <w:p w14:paraId="14309EBC">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6.099</w:t>
                  </w:r>
                </w:p>
              </w:tc>
            </w:tr>
          </w:tbl>
          <w:p w14:paraId="7A8944ED">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废气治理措施：</w:t>
            </w:r>
          </w:p>
          <w:p w14:paraId="1AE1695B">
            <w:pPr>
              <w:spacing w:line="360" w:lineRule="auto"/>
              <w:ind w:firstLine="482" w:firstLineChars="200"/>
              <w:rPr>
                <w:rFonts w:hint="default"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①密闭收集治理措施</w:t>
            </w:r>
          </w:p>
          <w:p w14:paraId="3DB03D77">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本次评价要求对待宰区（含待宰圈、急宰间、隔离圈、冲淋间）、屠宰区（屠宰车间及分割车间）、污水处理站进行封闭，设置负压抽风处置措施。</w:t>
            </w:r>
          </w:p>
          <w:p w14:paraId="41D3F9D9">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根据项目平面布置，待宰区、屠宰区均位于屠宰及分割车间内，两区域紧邻但相互独立，墙体底部设置通过门，待宰区生猪通过门进入屠宰区。污水处理站位于屠宰及分割车间外东南侧，因此待宰区、屠宰区、污水处理站废气收集后，可通过同一套废气处理装置处理后排放。</w:t>
            </w:r>
          </w:p>
          <w:p w14:paraId="119B5C68">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本项目屠宰及分割车间均为密闭彩钢结构，为密闭厂房，安装固定密闭式采光玻璃，厂房内清洁区域非清洁区分隔设置。</w:t>
            </w:r>
          </w:p>
          <w:p w14:paraId="2EE62210">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待宰圈卸猪通道设置可快速开启的两道密闭车间门，生猪从运输车辆进入卸猪通道时开启第一道门，此时待宰间相通的第二道门处于关闭状态，生猪由卸猪通道进入待宰间时开启第二道门，与外环境相通的第一道门处于关闭状态。卸猪通道内设置有抽风口，进而减少卸猪过程中恶臭逸散。</w:t>
            </w:r>
          </w:p>
          <w:p w14:paraId="75703156">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猪粪、猪毛及肠内容物暂存间位于污水处理站旁，为单独房间，在猪粪、猪毛及肠内容物暂存间内设置一侧抽风，另一侧底部设置补风百叶窗（带调节功能），形成对流，保证区域内负压环境。</w:t>
            </w:r>
          </w:p>
          <w:p w14:paraId="17C873FF">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针对猪肉出口通道出入口、对卸猪通道出入口设置封闭大门，且在进出大门上方安装空气幕帘。除卸猪、屠宰时间外，其他时段均为封闭状态。由于生猪屠宰车间内为微负压状态，在封闭状态下，恶臭气体可有效收集；在成品白条肉出厂过程中，通过空气幕帘形成空气隔断，减少和阻隔室内外空气的对流，减少室内恶臭外溢，以控制生猪屠宰车间的密闭收集条件。</w:t>
            </w:r>
          </w:p>
          <w:p w14:paraId="18F54DAC">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污水处理站隔油池、调节池均为地埋式，采用加密封盖的措施，格栅机设置于独立密闭区域内，一体化污水处理设施为密闭设施，至于密闭房间内，区域内设置一侧抽风，另一侧底部设置补风百叶窗（带调节功能），形成对流，保证区域内负压环境，污水处理站恶臭气体通过负压管道进行收集。</w:t>
            </w:r>
          </w:p>
          <w:p w14:paraId="2C09FE66">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设置负压抽风系统，并设置供风系统，待宰区总面积37.8</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2</w:t>
            </w:r>
            <w:r>
              <w:rPr>
                <w:rFonts w:hint="eastAsia" w:ascii="Times New Roman" w:hAnsi="Times New Roman" w:eastAsia="宋体" w:cs="Times New Roman"/>
                <w:bCs/>
                <w:color w:val="auto"/>
                <w:highlight w:val="none"/>
                <w:lang w:val="en-US" w:eastAsia="zh-CN"/>
              </w:rPr>
              <w:t>，屠宰区总面积259.5</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2</w:t>
            </w:r>
            <w:r>
              <w:rPr>
                <w:rFonts w:hint="eastAsia" w:ascii="Times New Roman" w:hAnsi="Times New Roman" w:eastAsia="宋体" w:cs="Times New Roman"/>
                <w:bCs/>
                <w:color w:val="auto"/>
                <w:highlight w:val="none"/>
                <w:vertAlign w:val="baseline"/>
                <w:lang w:val="en-US" w:eastAsia="zh-CN"/>
              </w:rPr>
              <w:t>，厂房高度6.3m，废气收集区域总容积1873</w:t>
            </w:r>
            <w:r>
              <w:rPr>
                <w:rFonts w:hint="eastAsia" w:ascii="Times New Roman" w:hAnsi="Times New Roman" w:eastAsia="宋体" w:cs="Times New Roman"/>
                <w:bCs/>
                <w:color w:val="auto"/>
                <w:highlight w:val="none"/>
                <w:lang w:val="en-US" w:eastAsia="zh-CN"/>
              </w:rPr>
              <w:t>m</w:t>
            </w:r>
            <w:r>
              <w:rPr>
                <w:rFonts w:hint="eastAsia" w:ascii="Times New Roman" w:hAnsi="Times New Roman" w:eastAsia="宋体" w:cs="Times New Roman"/>
                <w:bCs/>
                <w:color w:val="auto"/>
                <w:highlight w:val="none"/>
                <w:vertAlign w:val="superscript"/>
                <w:lang w:val="en-US" w:eastAsia="zh-CN"/>
              </w:rPr>
              <w:t>3</w:t>
            </w:r>
            <w:r>
              <w:rPr>
                <w:rFonts w:hint="eastAsia" w:ascii="Times New Roman" w:hAnsi="Times New Roman" w:eastAsia="宋体" w:cs="Times New Roman"/>
                <w:bCs/>
                <w:color w:val="auto"/>
                <w:highlight w:val="none"/>
                <w:lang w:val="en-US" w:eastAsia="zh-CN"/>
              </w:rPr>
              <w:t>。污水处理站产生恶臭的处理单元为一体化污水处理设施并位于密闭房间内，对污水处理站房</w:t>
            </w:r>
          </w:p>
          <w:p w14:paraId="3C6B5871">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采取负压抽风系统，并设置供风系统，一体化污水处理站房占地面积约15</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2</w:t>
            </w:r>
            <w:r>
              <w:rPr>
                <w:rFonts w:hint="eastAsia" w:ascii="Times New Roman" w:hAnsi="Times New Roman" w:eastAsia="宋体" w:cs="Times New Roman"/>
                <w:bCs/>
                <w:color w:val="auto"/>
                <w:highlight w:val="none"/>
                <w:vertAlign w:val="superscript"/>
                <w:lang w:val="en-US" w:eastAsia="zh-CN"/>
              </w:rPr>
              <w:t>，</w:t>
            </w:r>
            <w:r>
              <w:rPr>
                <w:rFonts w:hint="eastAsia" w:ascii="Times New Roman" w:hAnsi="Times New Roman" w:eastAsia="宋体" w:cs="Times New Roman"/>
                <w:bCs/>
                <w:color w:val="auto"/>
                <w:highlight w:val="none"/>
                <w:vertAlign w:val="baseline"/>
                <w:lang w:val="en-US" w:eastAsia="zh-CN"/>
              </w:rPr>
              <w:t>，房间高度3m，废气收集区域容积45</w:t>
            </w:r>
            <w:r>
              <w:rPr>
                <w:rFonts w:hint="eastAsia" w:ascii="Times New Roman" w:hAnsi="Times New Roman" w:eastAsia="宋体" w:cs="Times New Roman"/>
                <w:bCs/>
                <w:color w:val="auto"/>
                <w:highlight w:val="none"/>
                <w:lang w:val="en-US" w:eastAsia="zh-CN"/>
              </w:rPr>
              <w:t>m</w:t>
            </w:r>
            <w:r>
              <w:rPr>
                <w:rFonts w:hint="eastAsia" w:ascii="Times New Roman" w:hAnsi="Times New Roman" w:eastAsia="宋体" w:cs="Times New Roman"/>
                <w:bCs/>
                <w:color w:val="auto"/>
                <w:highlight w:val="none"/>
                <w:vertAlign w:val="superscript"/>
                <w:lang w:val="en-US" w:eastAsia="zh-CN"/>
              </w:rPr>
              <w:t>3</w:t>
            </w:r>
            <w:r>
              <w:rPr>
                <w:rFonts w:hint="eastAsia" w:ascii="Times New Roman" w:hAnsi="Times New Roman" w:eastAsia="宋体" w:cs="Times New Roman"/>
                <w:bCs/>
                <w:color w:val="auto"/>
                <w:highlight w:val="none"/>
                <w:lang w:val="en-US" w:eastAsia="zh-CN"/>
              </w:rPr>
              <w:t>。猪粪、猪毛及肠内容物暂存间位于污水处理站旁，为单独密闭房间，设置负压抽风系统，并设置供风系统，暂存间总面积10</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2</w:t>
            </w:r>
            <w:r>
              <w:rPr>
                <w:rFonts w:hint="eastAsia" w:ascii="Times New Roman" w:hAnsi="Times New Roman" w:eastAsia="宋体" w:cs="Times New Roman"/>
                <w:bCs/>
                <w:color w:val="auto"/>
                <w:highlight w:val="none"/>
                <w:lang w:val="en-US" w:eastAsia="zh-CN"/>
              </w:rPr>
              <w:t>，</w:t>
            </w:r>
            <w:r>
              <w:rPr>
                <w:rFonts w:hint="eastAsia" w:ascii="Times New Roman" w:hAnsi="Times New Roman" w:eastAsia="宋体" w:cs="Times New Roman"/>
                <w:bCs/>
                <w:color w:val="auto"/>
                <w:highlight w:val="none"/>
                <w:vertAlign w:val="baseline"/>
                <w:lang w:val="en-US" w:eastAsia="zh-CN"/>
              </w:rPr>
              <w:t>厂房高度2.5m，废气收集区域总容积25</w:t>
            </w:r>
            <w:r>
              <w:rPr>
                <w:rFonts w:hint="eastAsia" w:ascii="Times New Roman" w:hAnsi="Times New Roman" w:eastAsia="宋体" w:cs="Times New Roman"/>
                <w:bCs/>
                <w:color w:val="auto"/>
                <w:highlight w:val="none"/>
                <w:lang w:val="en-US" w:eastAsia="zh-CN"/>
              </w:rPr>
              <w:t>m</w:t>
            </w:r>
            <w:r>
              <w:rPr>
                <w:rFonts w:hint="eastAsia" w:ascii="Times New Roman" w:hAnsi="Times New Roman" w:eastAsia="宋体" w:cs="Times New Roman"/>
                <w:bCs/>
                <w:color w:val="auto"/>
                <w:highlight w:val="none"/>
                <w:vertAlign w:val="superscript"/>
                <w:lang w:val="en-US" w:eastAsia="zh-CN"/>
              </w:rPr>
              <w:t>3</w:t>
            </w:r>
            <w:r>
              <w:rPr>
                <w:rFonts w:hint="eastAsia" w:ascii="Times New Roman" w:hAnsi="Times New Roman" w:eastAsia="宋体" w:cs="Times New Roman"/>
                <w:bCs/>
                <w:color w:val="auto"/>
                <w:highlight w:val="none"/>
                <w:lang w:val="en-US" w:eastAsia="zh-CN"/>
              </w:rPr>
              <w:t>。综上，本项目臭气收集区域总容积约1943m</w:t>
            </w:r>
            <w:r>
              <w:rPr>
                <w:rFonts w:hint="eastAsia" w:ascii="Times New Roman" w:hAnsi="Times New Roman" w:eastAsia="宋体" w:cs="Times New Roman"/>
                <w:bCs/>
                <w:color w:val="auto"/>
                <w:highlight w:val="none"/>
                <w:vertAlign w:val="superscript"/>
                <w:lang w:val="en-US" w:eastAsia="zh-CN"/>
              </w:rPr>
              <w:t>3</w:t>
            </w:r>
            <w:r>
              <w:rPr>
                <w:rFonts w:hint="eastAsia" w:ascii="Times New Roman" w:hAnsi="Times New Roman" w:eastAsia="宋体" w:cs="Times New Roman"/>
                <w:bCs/>
                <w:color w:val="auto"/>
                <w:highlight w:val="none"/>
                <w:lang w:val="en-US" w:eastAsia="zh-CN"/>
              </w:rPr>
              <w:t>。</w:t>
            </w:r>
          </w:p>
          <w:p w14:paraId="2C4DB34A">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根据《简明通风设计手册》并结合实际运行经验可知，为了保证整个空间处于负压状态，其排风量不应小于</w:t>
            </w:r>
            <w:r>
              <w:rPr>
                <w:rFonts w:hint="default" w:ascii="Times New Roman" w:hAnsi="Times New Roman" w:eastAsia="宋体" w:cs="Times New Roman"/>
                <w:bCs/>
                <w:color w:val="auto"/>
                <w:highlight w:val="none"/>
                <w:lang w:val="en-US" w:eastAsia="zh-CN"/>
              </w:rPr>
              <w:t>6</w:t>
            </w:r>
            <w:r>
              <w:rPr>
                <w:rFonts w:hint="eastAsia" w:ascii="Times New Roman" w:hAnsi="Times New Roman" w:eastAsia="宋体" w:cs="Times New Roman"/>
                <w:bCs/>
                <w:color w:val="auto"/>
                <w:highlight w:val="none"/>
                <w:lang w:val="en-US" w:eastAsia="zh-CN"/>
              </w:rPr>
              <w:t>次</w:t>
            </w:r>
            <w:r>
              <w:rPr>
                <w:rFonts w:hint="default" w:ascii="Times New Roman" w:hAnsi="Times New Roman" w:eastAsia="宋体" w:cs="Times New Roman"/>
                <w:bCs/>
                <w:color w:val="auto"/>
                <w:highlight w:val="none"/>
                <w:lang w:val="en-US" w:eastAsia="zh-CN"/>
              </w:rPr>
              <w:t>/h</w:t>
            </w:r>
            <w:r>
              <w:rPr>
                <w:rFonts w:hint="eastAsia" w:ascii="Times New Roman" w:hAnsi="Times New Roman" w:eastAsia="宋体" w:cs="Times New Roman"/>
                <w:bCs/>
                <w:color w:val="auto"/>
                <w:highlight w:val="none"/>
                <w:lang w:val="en-US" w:eastAsia="zh-CN"/>
              </w:rPr>
              <w:t>换气计算。因此，经计算，每小时风量不低于11658</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3</w:t>
            </w:r>
            <w:r>
              <w:rPr>
                <w:rFonts w:hint="default" w:ascii="Times New Roman" w:hAnsi="Times New Roman" w:eastAsia="宋体" w:cs="Times New Roman"/>
                <w:bCs/>
                <w:color w:val="auto"/>
                <w:highlight w:val="none"/>
                <w:lang w:val="en-US" w:eastAsia="zh-CN"/>
              </w:rPr>
              <w:t>/h</w:t>
            </w:r>
            <w:r>
              <w:rPr>
                <w:rFonts w:hint="eastAsia" w:ascii="Times New Roman" w:hAnsi="Times New Roman" w:eastAsia="宋体" w:cs="Times New Roman"/>
                <w:bCs/>
                <w:color w:val="auto"/>
                <w:highlight w:val="none"/>
                <w:lang w:val="en-US" w:eastAsia="zh-CN"/>
              </w:rPr>
              <w:t>，日工作时间为</w:t>
            </w:r>
            <w:r>
              <w:rPr>
                <w:rFonts w:hint="default" w:ascii="Times New Roman" w:hAnsi="Times New Roman" w:eastAsia="宋体" w:cs="Times New Roman"/>
                <w:bCs/>
                <w:color w:val="auto"/>
                <w:highlight w:val="none"/>
                <w:lang w:val="en-US" w:eastAsia="zh-CN"/>
              </w:rPr>
              <w:t>24h</w:t>
            </w:r>
            <w:r>
              <w:rPr>
                <w:rFonts w:hint="eastAsia" w:ascii="Times New Roman" w:hAnsi="Times New Roman" w:eastAsia="宋体" w:cs="Times New Roman"/>
                <w:bCs/>
                <w:color w:val="auto"/>
                <w:highlight w:val="none"/>
                <w:lang w:val="en-US" w:eastAsia="zh-CN"/>
              </w:rPr>
              <w:t>。负压抽出的恶臭气体经密闭管道收集后，通过一套废气处理装置（液喷淋塔+活性炭吸附）进行处理后经</w:t>
            </w:r>
            <w:r>
              <w:rPr>
                <w:rFonts w:hint="default" w:ascii="Times New Roman" w:hAnsi="Times New Roman" w:eastAsia="宋体" w:cs="Times New Roman"/>
                <w:bCs/>
                <w:color w:val="auto"/>
                <w:highlight w:val="none"/>
                <w:lang w:val="en-US" w:eastAsia="zh-CN"/>
              </w:rPr>
              <w:t>15m</w:t>
            </w:r>
            <w:r>
              <w:rPr>
                <w:rFonts w:hint="eastAsia" w:ascii="Times New Roman" w:hAnsi="Times New Roman" w:eastAsia="宋体" w:cs="Times New Roman"/>
                <w:bCs/>
                <w:color w:val="auto"/>
                <w:highlight w:val="none"/>
                <w:lang w:val="en-US" w:eastAsia="zh-CN"/>
              </w:rPr>
              <w:t>排气筒进行排放。本项目收集效率按9</w:t>
            </w:r>
            <w:r>
              <w:rPr>
                <w:rFonts w:hint="eastAsia" w:cs="Times New Roman"/>
                <w:bCs/>
                <w:color w:val="auto"/>
                <w:highlight w:val="none"/>
                <w:lang w:val="en-US" w:eastAsia="zh-CN"/>
              </w:rPr>
              <w:t>0</w:t>
            </w:r>
            <w:r>
              <w:rPr>
                <w:rFonts w:hint="eastAsia" w:ascii="Times New Roman" w:hAnsi="Times New Roman" w:eastAsia="宋体" w:cs="Times New Roman"/>
                <w:bCs/>
                <w:color w:val="auto"/>
                <w:highlight w:val="none"/>
                <w:lang w:val="en-US" w:eastAsia="zh-CN"/>
              </w:rPr>
              <w:t>%计。</w:t>
            </w:r>
          </w:p>
          <w:p w14:paraId="1637504D">
            <w:pPr>
              <w:spacing w:line="360" w:lineRule="auto"/>
              <w:ind w:firstLine="482" w:firstLineChars="200"/>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 xml:space="preserve">②屠宰与分割车间（含待宰区）恶臭治理措施 </w:t>
            </w:r>
          </w:p>
          <w:p w14:paraId="0D244EDD">
            <w:pPr>
              <w:spacing w:line="360" w:lineRule="auto"/>
              <w:ind w:firstLine="480" w:firstLineChars="200"/>
              <w:rPr>
                <w:rFonts w:hint="eastAsia"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A.</w:t>
            </w:r>
            <w:r>
              <w:rPr>
                <w:rFonts w:hint="eastAsia" w:ascii="Times New Roman" w:hAnsi="Times New Roman" w:eastAsia="宋体" w:cs="Times New Roman"/>
                <w:bCs/>
                <w:color w:val="auto"/>
                <w:highlight w:val="none"/>
                <w:lang w:val="en-US" w:eastAsia="zh-CN"/>
              </w:rPr>
              <w:t>控制待宰圈的储存量，即每日运往本项目待宰车间内的生猪全部宰杀（除需要隔离观察的生猪除外），均不在待宰圈内长时间静养，在每日屠宰赶猪后对待宰圈进行冲洗消毒，清洗废水通过厂内污水收集系统进入自建污水处理站；</w:t>
            </w:r>
          </w:p>
          <w:p w14:paraId="7BD43B12">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B.卸载生猪时，应加强对表面污物较多的生猪进行冲洗，待宰圈猪粪进行干清粪，粪便日产日清，粪便经收集至粪便暂存点暂存后，</w:t>
            </w:r>
            <w:r>
              <w:rPr>
                <w:rFonts w:hint="eastAsia" w:ascii="Times New Roman" w:hAnsi="Times New Roman" w:eastAsia="宋体" w:cs="Times New Roman"/>
                <w:bCs/>
                <w:color w:val="auto"/>
                <w:highlight w:val="none"/>
                <w:lang w:val="en-US" w:eastAsia="zh-CN"/>
              </w:rPr>
              <w:t>交由附近村民运走作为肥料</w:t>
            </w:r>
            <w:r>
              <w:rPr>
                <w:rFonts w:hint="default" w:ascii="Times New Roman" w:hAnsi="Times New Roman" w:eastAsia="宋体" w:cs="Times New Roman"/>
                <w:bCs/>
                <w:color w:val="auto"/>
                <w:highlight w:val="none"/>
                <w:lang w:val="en-US" w:eastAsia="zh-CN"/>
              </w:rPr>
              <w:t>；</w:t>
            </w:r>
          </w:p>
          <w:p w14:paraId="47B44B44">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C</w:t>
            </w:r>
            <w:r>
              <w:rPr>
                <w:rFonts w:hint="default" w:ascii="Times New Roman" w:hAnsi="Times New Roman" w:eastAsia="宋体" w:cs="Times New Roman"/>
                <w:bCs/>
                <w:color w:val="auto"/>
                <w:highlight w:val="none"/>
                <w:lang w:val="en-US" w:eastAsia="zh-CN"/>
              </w:rPr>
              <w:t>.待宰区</w:t>
            </w:r>
            <w:r>
              <w:rPr>
                <w:rFonts w:hint="eastAsia" w:ascii="Times New Roman" w:hAnsi="Times New Roman" w:eastAsia="宋体" w:cs="Times New Roman"/>
                <w:bCs/>
                <w:color w:val="auto"/>
                <w:highlight w:val="none"/>
                <w:lang w:val="en-US" w:eastAsia="zh-CN"/>
              </w:rPr>
              <w:t>与屠宰车间均为独立房间</w:t>
            </w:r>
            <w:r>
              <w:rPr>
                <w:rFonts w:hint="default" w:ascii="Times New Roman" w:hAnsi="Times New Roman" w:eastAsia="宋体" w:cs="Times New Roman"/>
                <w:bCs/>
                <w:color w:val="auto"/>
                <w:highlight w:val="none"/>
                <w:lang w:val="en-US" w:eastAsia="zh-CN"/>
              </w:rPr>
              <w:t>，严格分区，车间内利用自然通风及辅助机械通风方式进行换气；</w:t>
            </w:r>
          </w:p>
          <w:p w14:paraId="541777B9">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D</w:t>
            </w:r>
            <w:r>
              <w:rPr>
                <w:rFonts w:hint="default" w:ascii="Times New Roman" w:hAnsi="Times New Roman" w:eastAsia="宋体" w:cs="Times New Roman"/>
                <w:bCs/>
                <w:color w:val="auto"/>
                <w:highlight w:val="none"/>
                <w:lang w:val="en-US" w:eastAsia="zh-CN"/>
              </w:rPr>
              <w:t>.每日屠宰完毕后及时采用高压水枪及时冲洗消毒，减少胃渣、血水等在车间停留，从而减小恶臭源强；清洗废水通过厂内污水收集系统进入自建污水处理站；</w:t>
            </w:r>
          </w:p>
          <w:p w14:paraId="40968114">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E</w:t>
            </w:r>
            <w:r>
              <w:rPr>
                <w:rFonts w:hint="default" w:ascii="Times New Roman" w:hAnsi="Times New Roman" w:eastAsia="宋体" w:cs="Times New Roman"/>
                <w:bCs/>
                <w:color w:val="auto"/>
                <w:highlight w:val="none"/>
                <w:lang w:val="en-US" w:eastAsia="zh-CN"/>
              </w:rPr>
              <w:t>.屠宰加工车间刺杀与采血一次完成，血液通过血液输送系统及输送管道送 至血液储存罐，尽量减少血液产生的异味在空气中的扩散；屠宰过程中的内脏等副产品及时分装于带盖收集桶，并及时盖盖送往内脏处理间；</w:t>
            </w:r>
          </w:p>
          <w:p w14:paraId="06739681">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F</w:t>
            </w:r>
            <w:r>
              <w:rPr>
                <w:rFonts w:hint="default" w:ascii="Times New Roman" w:hAnsi="Times New Roman" w:eastAsia="宋体" w:cs="Times New Roman"/>
                <w:bCs/>
                <w:color w:val="auto"/>
                <w:highlight w:val="none"/>
                <w:lang w:val="en-US" w:eastAsia="zh-CN"/>
              </w:rPr>
              <w:t>.及时清理屠宰车间内的肠胃内容物、碎肉和碎骨等下脚料，及时用密闭容器收集清运，肠胃内容物采取干法收集，同粪便一起日产日清；</w:t>
            </w:r>
          </w:p>
          <w:p w14:paraId="5A3E25A0">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G</w:t>
            </w:r>
            <w:r>
              <w:rPr>
                <w:rFonts w:hint="default" w:ascii="Times New Roman" w:hAnsi="Times New Roman" w:eastAsia="宋体" w:cs="Times New Roman"/>
                <w:bCs/>
                <w:color w:val="auto"/>
                <w:highlight w:val="none"/>
                <w:lang w:val="en-US" w:eastAsia="zh-CN"/>
              </w:rPr>
              <w:t>.每日按时对</w:t>
            </w:r>
            <w:r>
              <w:rPr>
                <w:rFonts w:hint="eastAsia" w:ascii="Times New Roman" w:hAnsi="Times New Roman" w:eastAsia="宋体" w:cs="Times New Roman"/>
                <w:bCs/>
                <w:color w:val="auto"/>
                <w:highlight w:val="none"/>
                <w:lang w:val="en-US" w:eastAsia="zh-CN"/>
              </w:rPr>
              <w:t>待宰区、屠宰车间</w:t>
            </w:r>
            <w:r>
              <w:rPr>
                <w:rFonts w:hint="default" w:ascii="Times New Roman" w:hAnsi="Times New Roman" w:eastAsia="宋体" w:cs="Times New Roman"/>
                <w:bCs/>
                <w:color w:val="auto"/>
                <w:highlight w:val="none"/>
                <w:lang w:val="en-US" w:eastAsia="zh-CN"/>
              </w:rPr>
              <w:t>喷洒生物除臭剂除臭，通过除臭剂中的益生菌分解作用、雾化颗粒对臭气的吸附作用降低恶臭气体浓度；</w:t>
            </w:r>
          </w:p>
          <w:p w14:paraId="18F2F59D">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H</w:t>
            </w:r>
            <w:r>
              <w:rPr>
                <w:rFonts w:hint="default" w:ascii="Times New Roman" w:hAnsi="Times New Roman" w:eastAsia="宋体" w:cs="Times New Roman"/>
                <w:bCs/>
                <w:color w:val="auto"/>
                <w:highlight w:val="none"/>
                <w:lang w:val="en-US" w:eastAsia="zh-CN"/>
              </w:rPr>
              <w:t>.加强厂区绿化，进一步减轻恶臭污染物对环境的影响。</w:t>
            </w:r>
          </w:p>
          <w:p w14:paraId="14C42F8F">
            <w:pPr>
              <w:spacing w:line="360" w:lineRule="auto"/>
              <w:ind w:firstLine="482" w:firstLineChars="200"/>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③污水处理站恶臭治理措施</w:t>
            </w:r>
          </w:p>
          <w:p w14:paraId="057B2E0E">
            <w:pPr>
              <w:spacing w:line="360" w:lineRule="auto"/>
              <w:ind w:firstLine="480" w:firstLineChars="200"/>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A.对污水处理站产生的污泥及时清运，减少污泥在厂区内的堆存量和堆存时</w:t>
            </w:r>
            <w:r>
              <w:rPr>
                <w:rFonts w:hint="default" w:ascii="Times New Roman" w:hAnsi="Times New Roman" w:eastAsia="宋体" w:cs="Times New Roman"/>
                <w:bCs/>
                <w:color w:val="auto"/>
                <w:highlight w:val="none"/>
                <w:lang w:val="en-US" w:eastAsia="zh-CN"/>
              </w:rPr>
              <w:t>间；</w:t>
            </w:r>
            <w:r>
              <w:rPr>
                <w:rFonts w:hint="eastAsia" w:ascii="Times New Roman" w:hAnsi="Times New Roman" w:eastAsia="宋体" w:cs="Times New Roman"/>
                <w:bCs/>
                <w:color w:val="auto"/>
                <w:highlight w:val="none"/>
                <w:lang w:val="en-US" w:eastAsia="zh-CN"/>
              </w:rPr>
              <w:t>污水处理站隔油池、调节池均为地埋式，采用加密封盖的措施，格栅机设置于独立密闭区域内，一体化污水处理设施为密闭设施，至于密闭房间内</w:t>
            </w:r>
            <w:r>
              <w:rPr>
                <w:rFonts w:hint="default" w:ascii="Times New Roman" w:hAnsi="Times New Roman" w:eastAsia="宋体" w:cs="Times New Roman"/>
                <w:bCs/>
                <w:color w:val="auto"/>
                <w:highlight w:val="none"/>
                <w:lang w:val="en-US" w:eastAsia="zh-CN"/>
              </w:rPr>
              <w:t>采取负压抽风系统，并设置供风系统，减小臭气对厂区周围环境的影响；</w:t>
            </w:r>
          </w:p>
          <w:p w14:paraId="1C344402">
            <w:pPr>
              <w:spacing w:line="360" w:lineRule="auto"/>
              <w:ind w:firstLine="482" w:firstLineChars="200"/>
              <w:rPr>
                <w:rFonts w:hint="default" w:ascii="Times New Roman" w:hAnsi="Times New Roman" w:eastAsia="宋体" w:cs="Times New Roman"/>
                <w:b/>
                <w:bCs w:val="0"/>
                <w:color w:val="auto"/>
                <w:highlight w:val="none"/>
                <w:lang w:val="en-US" w:eastAsia="zh-CN"/>
              </w:rPr>
            </w:pPr>
            <w:r>
              <w:rPr>
                <w:rFonts w:hint="default" w:ascii="Times New Roman" w:hAnsi="Times New Roman" w:eastAsia="宋体" w:cs="Times New Roman"/>
                <w:b/>
                <w:bCs w:val="0"/>
                <w:color w:val="auto"/>
                <w:highlight w:val="none"/>
                <w:lang w:val="en-US" w:eastAsia="zh-CN"/>
              </w:rPr>
              <w:t>B.加强厂区绿化，在污水处理站的周围种植乔木绿化隔离带；</w:t>
            </w:r>
          </w:p>
          <w:p w14:paraId="3E2B7FE9">
            <w:pPr>
              <w:spacing w:line="360" w:lineRule="auto"/>
              <w:ind w:firstLine="482" w:firstLineChars="200"/>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⑤恶臭治理设施工艺确定</w:t>
            </w:r>
          </w:p>
          <w:p w14:paraId="0A709765">
            <w:pPr>
              <w:spacing w:line="360" w:lineRule="auto"/>
              <w:ind w:firstLine="480" w:firstLineChars="200"/>
              <w:rPr>
                <w:rFonts w:hint="default" w:ascii="Times New Roman" w:hAnsi="Times New Roman" w:eastAsia="宋体" w:cs="Times New Roman"/>
                <w:b w:val="0"/>
                <w:bCs/>
                <w:color w:val="auto"/>
                <w:highlight w:val="none"/>
                <w:lang w:val="en-US" w:eastAsia="zh-CN"/>
              </w:rPr>
            </w:pPr>
            <w:r>
              <w:rPr>
                <w:rFonts w:hint="eastAsia" w:ascii="Times New Roman" w:hAnsi="Times New Roman" w:eastAsia="宋体" w:cs="Times New Roman"/>
                <w:b w:val="0"/>
                <w:bCs/>
                <w:color w:val="auto"/>
                <w:highlight w:val="none"/>
                <w:lang w:val="en-US" w:eastAsia="zh-CN"/>
              </w:rPr>
              <w:t>常规恶臭控制工艺包括物理脱臭、化学脱臭及生物脱臭等。本项目拟采用“碱液喷淋+活性炭吸附装置”进行废气处理。</w:t>
            </w:r>
          </w:p>
          <w:p w14:paraId="4727F479">
            <w:pPr>
              <w:spacing w:before="34" w:line="355" w:lineRule="auto"/>
              <w:ind w:left="107" w:right="41" w:firstLine="468"/>
              <w:rPr>
                <w:rFonts w:hint="eastAsia" w:ascii="宋体" w:hAnsi="宋体" w:eastAsia="宋体" w:cs="宋体"/>
                <w:color w:val="auto"/>
                <w:sz w:val="24"/>
                <w:szCs w:val="24"/>
                <w:highlight w:val="none"/>
                <w:lang w:val="en-US" w:eastAsia="zh-CN"/>
              </w:rPr>
            </w:pPr>
            <w:r>
              <w:rPr>
                <w:rFonts w:ascii="宋体" w:hAnsi="宋体" w:eastAsia="宋体" w:cs="宋体"/>
                <w:b/>
                <w:bCs/>
                <w:color w:val="auto"/>
                <w:spacing w:val="-4"/>
                <w:sz w:val="24"/>
                <w:szCs w:val="24"/>
                <w:highlight w:val="none"/>
              </w:rPr>
              <w:t>“</w:t>
            </w:r>
            <w:r>
              <w:rPr>
                <w:rFonts w:hint="eastAsia" w:ascii="宋体" w:hAnsi="宋体" w:eastAsia="宋体" w:cs="宋体"/>
                <w:b/>
                <w:bCs/>
                <w:color w:val="auto"/>
                <w:spacing w:val="-4"/>
                <w:sz w:val="24"/>
                <w:szCs w:val="24"/>
                <w:highlight w:val="none"/>
                <w:lang w:val="en-US" w:eastAsia="zh-CN"/>
              </w:rPr>
              <w:t>碱液</w:t>
            </w:r>
            <w:r>
              <w:rPr>
                <w:rFonts w:ascii="宋体" w:hAnsi="宋体" w:eastAsia="宋体" w:cs="宋体"/>
                <w:b/>
                <w:bCs/>
                <w:color w:val="auto"/>
                <w:spacing w:val="-4"/>
                <w:sz w:val="24"/>
                <w:szCs w:val="24"/>
                <w:highlight w:val="none"/>
              </w:rPr>
              <w:t>喷淋塔</w:t>
            </w:r>
            <w:r>
              <w:rPr>
                <w:rFonts w:ascii="Times New Roman" w:hAnsi="Times New Roman" w:eastAsia="Times New Roman" w:cs="Times New Roman"/>
                <w:b/>
                <w:bCs/>
                <w:color w:val="auto"/>
                <w:spacing w:val="-4"/>
                <w:sz w:val="24"/>
                <w:szCs w:val="24"/>
                <w:highlight w:val="none"/>
              </w:rPr>
              <w:t>+</w:t>
            </w:r>
            <w:r>
              <w:rPr>
                <w:rFonts w:ascii="宋体" w:hAnsi="宋体" w:eastAsia="宋体" w:cs="宋体"/>
                <w:b/>
                <w:bCs/>
                <w:color w:val="auto"/>
                <w:spacing w:val="-4"/>
                <w:sz w:val="24"/>
                <w:szCs w:val="24"/>
                <w:highlight w:val="none"/>
              </w:rPr>
              <w:t>活性炭吸附箱”工艺原理：</w:t>
            </w:r>
            <w:r>
              <w:rPr>
                <w:rFonts w:ascii="宋体" w:hAnsi="宋体" w:eastAsia="宋体" w:cs="宋体"/>
                <w:color w:val="auto"/>
                <w:spacing w:val="-4"/>
                <w:sz w:val="24"/>
                <w:szCs w:val="24"/>
                <w:highlight w:val="none"/>
              </w:rPr>
              <w:t>喷淋塔内气、液两相呈逆流流动，</w:t>
            </w:r>
            <w:r>
              <w:rPr>
                <w:rFonts w:ascii="宋体" w:hAnsi="宋体" w:eastAsia="宋体" w:cs="宋体"/>
                <w:color w:val="auto"/>
                <w:sz w:val="24"/>
                <w:szCs w:val="24"/>
                <w:highlight w:val="none"/>
              </w:rPr>
              <w:t>气液两相在塔体内逆流接触，水分子通过范德华力和分子间的重力作用，能充分吸收恶臭气体，恶臭气体不断融入溶液中，随后恶臭气体进入活性炭吸附箱进行二次处理，通过活性炭自身发达的孔隙结构，将恶臭气体吸引到孔</w:t>
            </w:r>
            <w:r>
              <w:rPr>
                <w:rFonts w:ascii="宋体" w:hAnsi="宋体" w:eastAsia="宋体" w:cs="宋体"/>
                <w:color w:val="auto"/>
                <w:spacing w:val="-5"/>
                <w:sz w:val="24"/>
                <w:szCs w:val="24"/>
                <w:highlight w:val="none"/>
              </w:rPr>
              <w:t>径中。恶臭气体通过喷淋塔处理后由干式过滤器进行拦截处理，内含除雾绵，</w:t>
            </w:r>
            <w:r>
              <w:rPr>
                <w:rFonts w:ascii="宋体" w:hAnsi="宋体" w:eastAsia="宋体" w:cs="宋体"/>
                <w:color w:val="auto"/>
                <w:sz w:val="24"/>
                <w:szCs w:val="24"/>
                <w:highlight w:val="none"/>
              </w:rPr>
              <w:t>能有效去除气雾，防止气雾堵塞活性炭滤料</w:t>
            </w:r>
            <w:r>
              <w:rPr>
                <w:rFonts w:ascii="宋体" w:hAnsi="宋体" w:eastAsia="宋体" w:cs="宋体"/>
                <w:color w:val="auto"/>
                <w:spacing w:val="-1"/>
                <w:sz w:val="24"/>
                <w:szCs w:val="24"/>
                <w:highlight w:val="none"/>
              </w:rPr>
              <w:t>，影响活性炭吸附性能。</w:t>
            </w:r>
            <w:r>
              <w:rPr>
                <w:rFonts w:hint="eastAsia" w:ascii="宋体" w:hAnsi="宋体" w:eastAsia="宋体" w:cs="宋体"/>
                <w:color w:val="auto"/>
                <w:spacing w:val="-1"/>
                <w:sz w:val="24"/>
                <w:szCs w:val="24"/>
                <w:highlight w:val="none"/>
              </w:rPr>
              <w:t>根据类比同类项目，本项目处理效率以</w:t>
            </w:r>
            <w:r>
              <w:rPr>
                <w:rFonts w:hint="eastAsia" w:ascii="宋体" w:hAnsi="宋体" w:cs="宋体"/>
                <w:color w:val="auto"/>
                <w:spacing w:val="-1"/>
                <w:sz w:val="24"/>
                <w:szCs w:val="24"/>
                <w:highlight w:val="none"/>
                <w:lang w:val="en-US" w:eastAsia="zh-CN"/>
              </w:rPr>
              <w:t>85</w:t>
            </w:r>
            <w:r>
              <w:rPr>
                <w:rFonts w:hint="eastAsia" w:ascii="宋体" w:hAnsi="宋体" w:eastAsia="宋体" w:cs="宋体"/>
                <w:color w:val="auto"/>
                <w:spacing w:val="-1"/>
                <w:sz w:val="24"/>
                <w:szCs w:val="24"/>
                <w:highlight w:val="none"/>
              </w:rPr>
              <w:t>%计算</w:t>
            </w:r>
            <w:r>
              <w:rPr>
                <w:rFonts w:hint="eastAsia" w:ascii="宋体" w:hAnsi="宋体" w:eastAsia="宋体" w:cs="宋体"/>
                <w:color w:val="auto"/>
                <w:spacing w:val="-1"/>
                <w:sz w:val="24"/>
                <w:szCs w:val="24"/>
                <w:highlight w:val="none"/>
                <w:lang w:val="en-US" w:eastAsia="zh-CN"/>
              </w:rPr>
              <w:t>.</w:t>
            </w:r>
          </w:p>
          <w:p w14:paraId="58D5E1D8">
            <w:pPr>
              <w:spacing w:line="360" w:lineRule="auto"/>
              <w:ind w:firstLine="480" w:firstLineChars="200"/>
              <w:rPr>
                <w:rFonts w:hint="eastAsia" w:ascii="Times New Roman" w:hAnsi="Times New Roman" w:eastAsia="宋体" w:cs="Times New Roman"/>
                <w:b w:val="0"/>
                <w:bCs/>
                <w:color w:val="auto"/>
                <w:highlight w:val="none"/>
                <w:lang w:val="en-US" w:eastAsia="zh-CN"/>
              </w:rPr>
            </w:pPr>
            <w:r>
              <w:rPr>
                <w:rFonts w:hint="eastAsia" w:ascii="Times New Roman" w:hAnsi="Times New Roman" w:eastAsia="宋体" w:cs="Times New Roman"/>
                <w:b w:val="0"/>
                <w:bCs/>
                <w:color w:val="auto"/>
                <w:highlight w:val="none"/>
                <w:lang w:val="en-US" w:eastAsia="zh-CN"/>
              </w:rPr>
              <w:t>本项目恶臭污染物排放情况见下表：</w:t>
            </w:r>
          </w:p>
          <w:p w14:paraId="7E238A72">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恶臭</w:t>
            </w:r>
            <w:r>
              <w:rPr>
                <w:rFonts w:hint="default" w:ascii="Times New Roman" w:hAnsi="Times New Roman" w:eastAsia="宋体" w:cs="Times New Roman"/>
                <w:bCs/>
                <w:color w:val="auto"/>
                <w:sz w:val="21"/>
                <w:szCs w:val="21"/>
                <w:highlight w:val="none"/>
                <w:lang w:val="en-US" w:eastAsia="zh-CN"/>
              </w:rPr>
              <w:t>排放情况一览表</w:t>
            </w:r>
          </w:p>
          <w:tbl>
            <w:tblPr>
              <w:tblStyle w:val="103"/>
              <w:tblW w:w="8126"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831"/>
              <w:gridCol w:w="765"/>
              <w:gridCol w:w="885"/>
              <w:gridCol w:w="1192"/>
              <w:gridCol w:w="778"/>
              <w:gridCol w:w="710"/>
              <w:gridCol w:w="813"/>
              <w:gridCol w:w="858"/>
              <w:gridCol w:w="621"/>
              <w:gridCol w:w="673"/>
            </w:tblGrid>
            <w:tr w14:paraId="2DF57FE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7" w:hRule="atLeast"/>
                <w:jc w:val="center"/>
              </w:trPr>
              <w:tc>
                <w:tcPr>
                  <w:tcW w:w="831" w:type="dxa"/>
                  <w:vMerge w:val="restart"/>
                  <w:tcBorders>
                    <w:tl2br w:val="nil"/>
                    <w:tr2bl w:val="nil"/>
                  </w:tcBorders>
                  <w:vAlign w:val="center"/>
                </w:tcPr>
                <w:p w14:paraId="52DB2BEB">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污染物</w:t>
                  </w:r>
                </w:p>
              </w:tc>
              <w:tc>
                <w:tcPr>
                  <w:tcW w:w="1650" w:type="dxa"/>
                  <w:gridSpan w:val="2"/>
                  <w:vMerge w:val="restart"/>
                  <w:tcBorders>
                    <w:tl2br w:val="nil"/>
                    <w:tr2bl w:val="nil"/>
                  </w:tcBorders>
                  <w:vAlign w:val="center"/>
                </w:tcPr>
                <w:p w14:paraId="042E51A2">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产生情况</w:t>
                  </w:r>
                </w:p>
              </w:tc>
              <w:tc>
                <w:tcPr>
                  <w:tcW w:w="1192" w:type="dxa"/>
                  <w:vMerge w:val="restart"/>
                  <w:tcBorders>
                    <w:tl2br w:val="nil"/>
                    <w:tr2bl w:val="nil"/>
                  </w:tcBorders>
                  <w:vAlign w:val="center"/>
                </w:tcPr>
                <w:p w14:paraId="2CDC4FEB">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治理措施</w:t>
                  </w:r>
                </w:p>
              </w:tc>
              <w:tc>
                <w:tcPr>
                  <w:tcW w:w="778" w:type="dxa"/>
                  <w:vMerge w:val="restart"/>
                  <w:tcBorders>
                    <w:tl2br w:val="nil"/>
                    <w:tr2bl w:val="nil"/>
                  </w:tcBorders>
                  <w:vAlign w:val="center"/>
                </w:tcPr>
                <w:p w14:paraId="12AE2BFF">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风量</w:t>
                  </w:r>
                  <w:r>
                    <w:rPr>
                      <w:rFonts w:hint="default" w:ascii="Times New Roman" w:hAnsi="Times New Roman" w:eastAsia="宋体" w:cs="Times New Roman"/>
                      <w:b/>
                      <w:bCs w:val="0"/>
                      <w:color w:val="auto"/>
                      <w:sz w:val="21"/>
                      <w:szCs w:val="21"/>
                      <w:highlight w:val="none"/>
                      <w:lang w:val="en-US" w:eastAsia="zh-CN"/>
                    </w:rPr>
                    <w:t>m</w:t>
                  </w:r>
                  <w:r>
                    <w:rPr>
                      <w:rFonts w:hint="default" w:ascii="Times New Roman" w:hAnsi="Times New Roman" w:eastAsia="宋体" w:cs="Times New Roman"/>
                      <w:b/>
                      <w:bCs w:val="0"/>
                      <w:color w:val="auto"/>
                      <w:sz w:val="21"/>
                      <w:szCs w:val="21"/>
                      <w:highlight w:val="none"/>
                      <w:vertAlign w:val="superscript"/>
                      <w:lang w:val="en-US" w:eastAsia="zh-CN"/>
                    </w:rPr>
                    <w:t>3</w:t>
                  </w:r>
                  <w:r>
                    <w:rPr>
                      <w:rFonts w:hint="default" w:ascii="Times New Roman" w:hAnsi="Times New Roman" w:eastAsia="宋体" w:cs="Times New Roman"/>
                      <w:b/>
                      <w:bCs w:val="0"/>
                      <w:color w:val="auto"/>
                      <w:sz w:val="21"/>
                      <w:szCs w:val="21"/>
                      <w:highlight w:val="none"/>
                      <w:lang w:val="en-US" w:eastAsia="zh-CN"/>
                    </w:rPr>
                    <w:t>/h</w:t>
                  </w:r>
                </w:p>
              </w:tc>
              <w:tc>
                <w:tcPr>
                  <w:tcW w:w="3675" w:type="dxa"/>
                  <w:gridSpan w:val="5"/>
                  <w:tcBorders>
                    <w:tl2br w:val="nil"/>
                    <w:tr2bl w:val="nil"/>
                  </w:tcBorders>
                  <w:vAlign w:val="center"/>
                </w:tcPr>
                <w:p w14:paraId="2E8ED757">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排放情况</w:t>
                  </w:r>
                </w:p>
              </w:tc>
            </w:tr>
            <w:tr w14:paraId="01D74ED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7" w:hRule="atLeast"/>
                <w:jc w:val="center"/>
              </w:trPr>
              <w:tc>
                <w:tcPr>
                  <w:tcW w:w="831" w:type="dxa"/>
                  <w:vMerge w:val="continue"/>
                  <w:tcBorders>
                    <w:tl2br w:val="nil"/>
                    <w:tr2bl w:val="nil"/>
                  </w:tcBorders>
                  <w:vAlign w:val="center"/>
                </w:tcPr>
                <w:p w14:paraId="5AD02DD0">
                  <w:pPr>
                    <w:adjustRightInd w:val="0"/>
                    <w:snapToGrid w:val="0"/>
                    <w:jc w:val="center"/>
                    <w:rPr>
                      <w:rFonts w:hint="default" w:ascii="Times New Roman" w:hAnsi="Times New Roman" w:eastAsia="宋体" w:cs="Times New Roman"/>
                      <w:color w:val="auto"/>
                      <w:highlight w:val="none"/>
                    </w:rPr>
                  </w:pPr>
                </w:p>
              </w:tc>
              <w:tc>
                <w:tcPr>
                  <w:tcW w:w="1650" w:type="dxa"/>
                  <w:gridSpan w:val="2"/>
                  <w:vMerge w:val="continue"/>
                  <w:tcBorders>
                    <w:tl2br w:val="nil"/>
                    <w:tr2bl w:val="nil"/>
                  </w:tcBorders>
                  <w:vAlign w:val="center"/>
                </w:tcPr>
                <w:p w14:paraId="6631A7A7">
                  <w:pPr>
                    <w:adjustRightInd w:val="0"/>
                    <w:snapToGrid w:val="0"/>
                    <w:jc w:val="center"/>
                    <w:rPr>
                      <w:rFonts w:hint="default" w:ascii="Times New Roman" w:hAnsi="Times New Roman" w:eastAsia="宋体" w:cs="Times New Roman"/>
                      <w:color w:val="auto"/>
                      <w:highlight w:val="none"/>
                    </w:rPr>
                  </w:pPr>
                </w:p>
              </w:tc>
              <w:tc>
                <w:tcPr>
                  <w:tcW w:w="1192" w:type="dxa"/>
                  <w:vMerge w:val="continue"/>
                  <w:tcBorders>
                    <w:tl2br w:val="nil"/>
                    <w:tr2bl w:val="nil"/>
                  </w:tcBorders>
                  <w:vAlign w:val="center"/>
                </w:tcPr>
                <w:p w14:paraId="22E87F69">
                  <w:pPr>
                    <w:adjustRightInd w:val="0"/>
                    <w:snapToGrid w:val="0"/>
                    <w:jc w:val="center"/>
                    <w:rPr>
                      <w:rFonts w:hint="default" w:ascii="Times New Roman" w:hAnsi="Times New Roman" w:eastAsia="宋体" w:cs="Times New Roman"/>
                      <w:color w:val="auto"/>
                      <w:highlight w:val="none"/>
                    </w:rPr>
                  </w:pPr>
                </w:p>
              </w:tc>
              <w:tc>
                <w:tcPr>
                  <w:tcW w:w="778" w:type="dxa"/>
                  <w:vMerge w:val="continue"/>
                  <w:tcBorders>
                    <w:tl2br w:val="nil"/>
                    <w:tr2bl w:val="nil"/>
                  </w:tcBorders>
                  <w:vAlign w:val="center"/>
                </w:tcPr>
                <w:p w14:paraId="6A4DFCBE">
                  <w:pPr>
                    <w:adjustRightInd w:val="0"/>
                    <w:snapToGrid w:val="0"/>
                    <w:jc w:val="center"/>
                    <w:rPr>
                      <w:rFonts w:hint="default" w:ascii="Times New Roman" w:hAnsi="Times New Roman" w:eastAsia="宋体" w:cs="Times New Roman"/>
                      <w:color w:val="auto"/>
                      <w:highlight w:val="none"/>
                    </w:rPr>
                  </w:pPr>
                </w:p>
              </w:tc>
              <w:tc>
                <w:tcPr>
                  <w:tcW w:w="2381" w:type="dxa"/>
                  <w:gridSpan w:val="3"/>
                  <w:tcBorders>
                    <w:tl2br w:val="nil"/>
                    <w:tr2bl w:val="nil"/>
                  </w:tcBorders>
                  <w:vAlign w:val="center"/>
                </w:tcPr>
                <w:p w14:paraId="1604D680">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有组织</w:t>
                  </w:r>
                </w:p>
              </w:tc>
              <w:tc>
                <w:tcPr>
                  <w:tcW w:w="1294" w:type="dxa"/>
                  <w:gridSpan w:val="2"/>
                  <w:tcBorders>
                    <w:tl2br w:val="nil"/>
                    <w:tr2bl w:val="nil"/>
                  </w:tcBorders>
                  <w:vAlign w:val="center"/>
                </w:tcPr>
                <w:p w14:paraId="65EB0E25">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无组织</w:t>
                  </w:r>
                </w:p>
              </w:tc>
            </w:tr>
            <w:tr w14:paraId="5FEEEA9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831" w:type="dxa"/>
                  <w:vMerge w:val="continue"/>
                  <w:tcBorders>
                    <w:tl2br w:val="nil"/>
                    <w:tr2bl w:val="nil"/>
                  </w:tcBorders>
                  <w:vAlign w:val="center"/>
                </w:tcPr>
                <w:p w14:paraId="072BBE8F">
                  <w:pPr>
                    <w:adjustRightInd w:val="0"/>
                    <w:snapToGrid w:val="0"/>
                    <w:jc w:val="center"/>
                    <w:rPr>
                      <w:rFonts w:hint="default" w:ascii="Times New Roman" w:hAnsi="Times New Roman" w:eastAsia="宋体" w:cs="Times New Roman"/>
                      <w:b/>
                      <w:bCs w:val="0"/>
                      <w:color w:val="auto"/>
                      <w:sz w:val="21"/>
                      <w:szCs w:val="21"/>
                      <w:highlight w:val="none"/>
                    </w:rPr>
                  </w:pPr>
                </w:p>
              </w:tc>
              <w:tc>
                <w:tcPr>
                  <w:tcW w:w="765" w:type="dxa"/>
                  <w:tcBorders>
                    <w:tl2br w:val="nil"/>
                    <w:tr2bl w:val="nil"/>
                  </w:tcBorders>
                  <w:vAlign w:val="center"/>
                </w:tcPr>
                <w:p w14:paraId="78AA155E">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产生量</w:t>
                  </w:r>
                  <w:r>
                    <w:rPr>
                      <w:rFonts w:hint="eastAsia" w:ascii="Times New Roman" w:hAnsi="Times New Roman" w:eastAsia="宋体" w:cs="Times New Roman"/>
                      <w:b/>
                      <w:bCs w:val="0"/>
                      <w:color w:val="auto"/>
                      <w:sz w:val="21"/>
                      <w:szCs w:val="21"/>
                      <w:highlight w:val="none"/>
                      <w:lang w:val="en-US" w:eastAsia="zh-CN"/>
                    </w:rPr>
                    <w:t>kg/a</w:t>
                  </w:r>
                </w:p>
              </w:tc>
              <w:tc>
                <w:tcPr>
                  <w:tcW w:w="885" w:type="dxa"/>
                  <w:tcBorders>
                    <w:tl2br w:val="nil"/>
                    <w:tr2bl w:val="nil"/>
                  </w:tcBorders>
                  <w:vAlign w:val="center"/>
                </w:tcPr>
                <w:p w14:paraId="28E6B091">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w:t>
                  </w:r>
                  <w:r>
                    <w:rPr>
                      <w:rFonts w:hint="default" w:ascii="Times New Roman" w:hAnsi="Times New Roman" w:eastAsia="宋体" w:cs="Times New Roman"/>
                      <w:b/>
                      <w:bCs w:val="0"/>
                      <w:color w:val="auto"/>
                      <w:sz w:val="21"/>
                      <w:szCs w:val="21"/>
                      <w:highlight w:val="none"/>
                      <w:lang w:val="en-US" w:eastAsia="zh-CN"/>
                    </w:rPr>
                    <w:t>速率</w:t>
                  </w:r>
                  <w:r>
                    <w:rPr>
                      <w:rFonts w:hint="default" w:ascii="Times New Roman" w:hAnsi="Times New Roman" w:eastAsia="宋体" w:cs="Times New Roman"/>
                      <w:b w:val="0"/>
                      <w:bCs/>
                      <w:color w:val="auto"/>
                      <w:sz w:val="21"/>
                      <w:szCs w:val="21"/>
                      <w:highlight w:val="none"/>
                      <w:lang w:val="en-US" w:eastAsia="zh-CN"/>
                    </w:rPr>
                    <w:t>kg/h</w:t>
                  </w:r>
                </w:p>
              </w:tc>
              <w:tc>
                <w:tcPr>
                  <w:tcW w:w="1192" w:type="dxa"/>
                  <w:vMerge w:val="continue"/>
                  <w:tcBorders>
                    <w:tl2br w:val="nil"/>
                    <w:tr2bl w:val="nil"/>
                  </w:tcBorders>
                  <w:vAlign w:val="center"/>
                </w:tcPr>
                <w:p w14:paraId="55F6A47E">
                  <w:pPr>
                    <w:adjustRightInd w:val="0"/>
                    <w:snapToGrid w:val="0"/>
                    <w:jc w:val="center"/>
                    <w:rPr>
                      <w:rFonts w:hint="default" w:ascii="Times New Roman" w:hAnsi="Times New Roman" w:eastAsia="宋体" w:cs="Times New Roman"/>
                      <w:b/>
                      <w:bCs w:val="0"/>
                      <w:color w:val="auto"/>
                      <w:sz w:val="21"/>
                      <w:szCs w:val="21"/>
                      <w:highlight w:val="none"/>
                    </w:rPr>
                  </w:pPr>
                </w:p>
              </w:tc>
              <w:tc>
                <w:tcPr>
                  <w:tcW w:w="778" w:type="dxa"/>
                  <w:vMerge w:val="continue"/>
                  <w:tcBorders>
                    <w:tl2br w:val="nil"/>
                    <w:tr2bl w:val="nil"/>
                  </w:tcBorders>
                  <w:vAlign w:val="center"/>
                </w:tcPr>
                <w:p w14:paraId="0BC4CD6D">
                  <w:pPr>
                    <w:adjustRightInd w:val="0"/>
                    <w:snapToGrid w:val="0"/>
                    <w:jc w:val="center"/>
                    <w:rPr>
                      <w:rFonts w:hint="default" w:ascii="Times New Roman" w:hAnsi="Times New Roman" w:eastAsia="宋体" w:cs="Times New Roman"/>
                      <w:b/>
                      <w:bCs w:val="0"/>
                      <w:color w:val="auto"/>
                      <w:sz w:val="21"/>
                      <w:szCs w:val="21"/>
                      <w:highlight w:val="none"/>
                    </w:rPr>
                  </w:pPr>
                </w:p>
              </w:tc>
              <w:tc>
                <w:tcPr>
                  <w:tcW w:w="710" w:type="dxa"/>
                  <w:tcBorders>
                    <w:tl2br w:val="nil"/>
                    <w:tr2bl w:val="nil"/>
                  </w:tcBorders>
                  <w:vAlign w:val="center"/>
                </w:tcPr>
                <w:p w14:paraId="2F37B6B8">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val="en-US" w:eastAsia="zh-CN"/>
                    </w:rPr>
                    <w:t>排放</w:t>
                  </w:r>
                  <w:r>
                    <w:rPr>
                      <w:rFonts w:hint="default" w:ascii="Times New Roman" w:hAnsi="Times New Roman" w:eastAsia="宋体" w:cs="Times New Roman"/>
                      <w:b/>
                      <w:bCs w:val="0"/>
                      <w:color w:val="auto"/>
                      <w:sz w:val="21"/>
                      <w:szCs w:val="21"/>
                      <w:highlight w:val="none"/>
                    </w:rPr>
                    <w:t>量</w:t>
                  </w:r>
                  <w:r>
                    <w:rPr>
                      <w:rFonts w:hint="default" w:ascii="Times New Roman" w:hAnsi="Times New Roman" w:eastAsia="宋体" w:cs="Times New Roman"/>
                      <w:b w:val="0"/>
                      <w:bCs/>
                      <w:color w:val="auto"/>
                      <w:sz w:val="21"/>
                      <w:szCs w:val="21"/>
                      <w:highlight w:val="none"/>
                      <w:lang w:val="en-US" w:eastAsia="zh-CN"/>
                    </w:rPr>
                    <w:t>kg/a</w:t>
                  </w:r>
                </w:p>
              </w:tc>
              <w:tc>
                <w:tcPr>
                  <w:tcW w:w="813" w:type="dxa"/>
                  <w:tcBorders>
                    <w:tl2br w:val="nil"/>
                    <w:tr2bl w:val="nil"/>
                  </w:tcBorders>
                  <w:vAlign w:val="center"/>
                </w:tcPr>
                <w:p w14:paraId="7B23C865">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val="en-US" w:eastAsia="zh-CN"/>
                    </w:rPr>
                    <w:t>排放速率</w:t>
                  </w:r>
                  <w:r>
                    <w:rPr>
                      <w:rFonts w:hint="default" w:ascii="Times New Roman" w:hAnsi="Times New Roman" w:eastAsia="宋体" w:cs="Times New Roman"/>
                      <w:b w:val="0"/>
                      <w:bCs/>
                      <w:color w:val="auto"/>
                      <w:sz w:val="21"/>
                      <w:szCs w:val="21"/>
                      <w:highlight w:val="none"/>
                      <w:lang w:val="en-US" w:eastAsia="zh-CN"/>
                    </w:rPr>
                    <w:t>kg/h</w:t>
                  </w:r>
                </w:p>
              </w:tc>
              <w:tc>
                <w:tcPr>
                  <w:tcW w:w="858" w:type="dxa"/>
                  <w:tcBorders>
                    <w:tl2br w:val="nil"/>
                    <w:tr2bl w:val="nil"/>
                  </w:tcBorders>
                  <w:vAlign w:val="center"/>
                </w:tcPr>
                <w:p w14:paraId="25B26939">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排放浓度mg/m</w:t>
                  </w:r>
                  <w:r>
                    <w:rPr>
                      <w:rFonts w:hint="default" w:ascii="Times New Roman" w:hAnsi="Times New Roman" w:eastAsia="宋体" w:cs="Times New Roman"/>
                      <w:b/>
                      <w:bCs w:val="0"/>
                      <w:color w:val="auto"/>
                      <w:sz w:val="21"/>
                      <w:szCs w:val="21"/>
                      <w:highlight w:val="none"/>
                      <w:vertAlign w:val="superscript"/>
                      <w:lang w:val="en-US" w:eastAsia="zh-CN"/>
                    </w:rPr>
                    <w:t>3</w:t>
                  </w:r>
                </w:p>
              </w:tc>
              <w:tc>
                <w:tcPr>
                  <w:tcW w:w="621" w:type="dxa"/>
                  <w:tcBorders>
                    <w:tl2br w:val="nil"/>
                    <w:tr2bl w:val="nil"/>
                  </w:tcBorders>
                  <w:vAlign w:val="center"/>
                </w:tcPr>
                <w:p w14:paraId="467FB52E">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排放量</w:t>
                  </w:r>
                  <w:r>
                    <w:rPr>
                      <w:rFonts w:hint="default" w:ascii="Times New Roman" w:hAnsi="Times New Roman" w:eastAsia="宋体" w:cs="Times New Roman"/>
                      <w:b w:val="0"/>
                      <w:bCs/>
                      <w:color w:val="auto"/>
                      <w:sz w:val="21"/>
                      <w:szCs w:val="21"/>
                      <w:highlight w:val="none"/>
                      <w:lang w:val="en-US" w:eastAsia="zh-CN"/>
                    </w:rPr>
                    <w:t>kg/a</w:t>
                  </w:r>
                </w:p>
              </w:tc>
              <w:tc>
                <w:tcPr>
                  <w:tcW w:w="673" w:type="dxa"/>
                  <w:tcBorders>
                    <w:tl2br w:val="nil"/>
                    <w:tr2bl w:val="nil"/>
                  </w:tcBorders>
                  <w:vAlign w:val="center"/>
                </w:tcPr>
                <w:p w14:paraId="7C0B09E7">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排放速率</w:t>
                  </w:r>
                  <w:r>
                    <w:rPr>
                      <w:rFonts w:hint="default" w:ascii="Times New Roman" w:hAnsi="Times New Roman" w:eastAsia="宋体" w:cs="Times New Roman"/>
                      <w:b w:val="0"/>
                      <w:bCs/>
                      <w:color w:val="auto"/>
                      <w:sz w:val="21"/>
                      <w:szCs w:val="21"/>
                      <w:highlight w:val="none"/>
                      <w:lang w:val="en-US" w:eastAsia="zh-CN"/>
                    </w:rPr>
                    <w:t>kg/h</w:t>
                  </w:r>
                </w:p>
              </w:tc>
            </w:tr>
            <w:tr w14:paraId="36C2896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25" w:hRule="atLeast"/>
                <w:jc w:val="center"/>
              </w:trPr>
              <w:tc>
                <w:tcPr>
                  <w:tcW w:w="831" w:type="dxa"/>
                  <w:tcBorders>
                    <w:tl2br w:val="nil"/>
                    <w:tr2bl w:val="nil"/>
                  </w:tcBorders>
                  <w:vAlign w:val="center"/>
                </w:tcPr>
                <w:p w14:paraId="2F57BF63">
                  <w:pPr>
                    <w:jc w:val="center"/>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氨</w:t>
                  </w:r>
                </w:p>
              </w:tc>
              <w:tc>
                <w:tcPr>
                  <w:tcW w:w="765" w:type="dxa"/>
                  <w:tcBorders>
                    <w:tl2br w:val="nil"/>
                    <w:tr2bl w:val="nil"/>
                  </w:tcBorders>
                  <w:vAlign w:val="center"/>
                </w:tcPr>
                <w:p w14:paraId="45B8CB88">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159.404</w:t>
                  </w:r>
                </w:p>
              </w:tc>
              <w:tc>
                <w:tcPr>
                  <w:tcW w:w="885" w:type="dxa"/>
                  <w:tcBorders>
                    <w:tl2br w:val="nil"/>
                    <w:tr2bl w:val="nil"/>
                  </w:tcBorders>
                  <w:vAlign w:val="center"/>
                </w:tcPr>
                <w:p w14:paraId="27E0F5DE">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0.08186</w:t>
                  </w:r>
                </w:p>
              </w:tc>
              <w:tc>
                <w:tcPr>
                  <w:tcW w:w="1192" w:type="dxa"/>
                  <w:vMerge w:val="restart"/>
                  <w:tcBorders>
                    <w:tl2br w:val="nil"/>
                    <w:tr2bl w:val="nil"/>
                  </w:tcBorders>
                  <w:vAlign w:val="center"/>
                </w:tcPr>
                <w:p w14:paraId="3A58625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密闭收集+碱液喷淋+活性炭吸附装置+15m高排气筒（</w:t>
                  </w:r>
                  <w:r>
                    <w:rPr>
                      <w:rFonts w:hint="default" w:ascii="Times New Roman" w:hAnsi="Times New Roman" w:cs="Times New Roman"/>
                      <w:b w:val="0"/>
                      <w:bCs/>
                      <w:color w:val="auto"/>
                      <w:sz w:val="21"/>
                      <w:szCs w:val="21"/>
                      <w:highlight w:val="none"/>
                      <w:lang w:val="en-US" w:eastAsia="zh-CN"/>
                    </w:rPr>
                    <w:t>DA001</w:t>
                  </w:r>
                  <w:r>
                    <w:rPr>
                      <w:rFonts w:hint="default" w:ascii="Times New Roman" w:hAnsi="Times New Roman" w:eastAsia="宋体" w:cs="Times New Roman"/>
                      <w:b w:val="0"/>
                      <w:bCs/>
                      <w:color w:val="auto"/>
                      <w:sz w:val="21"/>
                      <w:szCs w:val="21"/>
                      <w:highlight w:val="none"/>
                      <w:lang w:val="en-US" w:eastAsia="zh-CN"/>
                    </w:rPr>
                    <w:t>）</w:t>
                  </w:r>
                </w:p>
              </w:tc>
              <w:tc>
                <w:tcPr>
                  <w:tcW w:w="778" w:type="dxa"/>
                  <w:vMerge w:val="restart"/>
                  <w:tcBorders>
                    <w:tl2br w:val="nil"/>
                    <w:tr2bl w:val="nil"/>
                  </w:tcBorders>
                  <w:vAlign w:val="center"/>
                </w:tcPr>
                <w:p w14:paraId="7E93B16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w:t>
                  </w:r>
                  <w:r>
                    <w:rPr>
                      <w:rFonts w:hint="eastAsia" w:ascii="Times New Roman" w:hAnsi="Times New Roman" w:eastAsia="宋体" w:cs="Times New Roman"/>
                      <w:b w:val="0"/>
                      <w:bCs/>
                      <w:color w:val="auto"/>
                      <w:sz w:val="21"/>
                      <w:szCs w:val="21"/>
                      <w:highlight w:val="none"/>
                      <w:lang w:val="en-US" w:eastAsia="zh-CN"/>
                    </w:rPr>
                    <w:t>1658</w:t>
                  </w:r>
                </w:p>
              </w:tc>
              <w:tc>
                <w:tcPr>
                  <w:tcW w:w="710" w:type="dxa"/>
                  <w:tcBorders>
                    <w:tl2br w:val="nil"/>
                    <w:tr2bl w:val="nil"/>
                  </w:tcBorders>
                  <w:vAlign w:val="center"/>
                </w:tcPr>
                <w:p w14:paraId="7D94A08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21.520 </w:t>
                  </w:r>
                </w:p>
              </w:tc>
              <w:tc>
                <w:tcPr>
                  <w:tcW w:w="813" w:type="dxa"/>
                  <w:tcBorders>
                    <w:tl2br w:val="nil"/>
                    <w:tr2bl w:val="nil"/>
                  </w:tcBorders>
                  <w:vAlign w:val="center"/>
                </w:tcPr>
                <w:p w14:paraId="3AA7B3CF">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0.011 </w:t>
                  </w:r>
                </w:p>
              </w:tc>
              <w:tc>
                <w:tcPr>
                  <w:tcW w:w="858" w:type="dxa"/>
                  <w:tcBorders>
                    <w:tl2br w:val="nil"/>
                    <w:tr2bl w:val="nil"/>
                  </w:tcBorders>
                  <w:vAlign w:val="center"/>
                </w:tcPr>
                <w:p w14:paraId="781C5DD1">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0.948 </w:t>
                  </w:r>
                </w:p>
              </w:tc>
              <w:tc>
                <w:tcPr>
                  <w:tcW w:w="621" w:type="dxa"/>
                  <w:tcBorders>
                    <w:tl2br w:val="nil"/>
                    <w:tr2bl w:val="nil"/>
                  </w:tcBorders>
                  <w:vAlign w:val="center"/>
                </w:tcPr>
                <w:p w14:paraId="76372A90">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15.940 </w:t>
                  </w:r>
                </w:p>
              </w:tc>
              <w:tc>
                <w:tcPr>
                  <w:tcW w:w="673" w:type="dxa"/>
                  <w:tcBorders>
                    <w:tl2br w:val="nil"/>
                    <w:tr2bl w:val="nil"/>
                  </w:tcBorders>
                  <w:vAlign w:val="center"/>
                </w:tcPr>
                <w:p w14:paraId="272B21C3">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0.008 </w:t>
                  </w:r>
                </w:p>
              </w:tc>
            </w:tr>
            <w:tr w14:paraId="218891D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71" w:hRule="atLeast"/>
                <w:jc w:val="center"/>
              </w:trPr>
              <w:tc>
                <w:tcPr>
                  <w:tcW w:w="831" w:type="dxa"/>
                  <w:tcBorders>
                    <w:tl2br w:val="nil"/>
                    <w:tr2bl w:val="nil"/>
                  </w:tcBorders>
                  <w:vAlign w:val="center"/>
                </w:tcPr>
                <w:p w14:paraId="059B1BB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硫化氢</w:t>
                  </w:r>
                </w:p>
              </w:tc>
              <w:tc>
                <w:tcPr>
                  <w:tcW w:w="765" w:type="dxa"/>
                  <w:tcBorders>
                    <w:tl2br w:val="nil"/>
                    <w:tr2bl w:val="nil"/>
                  </w:tcBorders>
                  <w:vAlign w:val="center"/>
                </w:tcPr>
                <w:p w14:paraId="662E45D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6.099</w:t>
                  </w:r>
                </w:p>
              </w:tc>
              <w:tc>
                <w:tcPr>
                  <w:tcW w:w="885" w:type="dxa"/>
                  <w:tcBorders>
                    <w:tl2br w:val="nil"/>
                    <w:tr2bl w:val="nil"/>
                  </w:tcBorders>
                  <w:vAlign w:val="center"/>
                </w:tcPr>
                <w:p w14:paraId="33BB4AC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0.0023</w:t>
                  </w:r>
                </w:p>
              </w:tc>
              <w:tc>
                <w:tcPr>
                  <w:tcW w:w="1192" w:type="dxa"/>
                  <w:vMerge w:val="continue"/>
                  <w:tcBorders>
                    <w:tl2br w:val="nil"/>
                    <w:tr2bl w:val="nil"/>
                  </w:tcBorders>
                  <w:vAlign w:val="center"/>
                </w:tcPr>
                <w:p w14:paraId="2AC47E27">
                  <w:pPr>
                    <w:jc w:val="center"/>
                    <w:rPr>
                      <w:rFonts w:hint="default" w:ascii="Times New Roman" w:hAnsi="Times New Roman" w:eastAsia="宋体" w:cs="Times New Roman"/>
                      <w:color w:val="auto"/>
                      <w:sz w:val="21"/>
                      <w:szCs w:val="21"/>
                      <w:highlight w:val="none"/>
                      <w:lang w:val="en-US" w:eastAsia="zh-CN"/>
                    </w:rPr>
                  </w:pPr>
                </w:p>
              </w:tc>
              <w:tc>
                <w:tcPr>
                  <w:tcW w:w="778" w:type="dxa"/>
                  <w:vMerge w:val="continue"/>
                  <w:tcBorders>
                    <w:tl2br w:val="nil"/>
                    <w:tr2bl w:val="nil"/>
                  </w:tcBorders>
                  <w:vAlign w:val="center"/>
                </w:tcPr>
                <w:p w14:paraId="4651031A">
                  <w:pPr>
                    <w:jc w:val="center"/>
                    <w:rPr>
                      <w:rFonts w:hint="default" w:ascii="Times New Roman" w:hAnsi="Times New Roman" w:eastAsia="宋体" w:cs="Times New Roman"/>
                      <w:color w:val="auto"/>
                      <w:sz w:val="21"/>
                      <w:szCs w:val="21"/>
                      <w:highlight w:val="none"/>
                      <w:lang w:val="en-US" w:eastAsia="zh-CN"/>
                    </w:rPr>
                  </w:pPr>
                </w:p>
              </w:tc>
              <w:tc>
                <w:tcPr>
                  <w:tcW w:w="710" w:type="dxa"/>
                  <w:tcBorders>
                    <w:tl2br w:val="nil"/>
                    <w:tr2bl w:val="nil"/>
                  </w:tcBorders>
                  <w:vAlign w:val="center"/>
                </w:tcPr>
                <w:p w14:paraId="3DD2C19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0.823 </w:t>
                  </w:r>
                </w:p>
              </w:tc>
              <w:tc>
                <w:tcPr>
                  <w:tcW w:w="813" w:type="dxa"/>
                  <w:tcBorders>
                    <w:tl2br w:val="nil"/>
                    <w:tr2bl w:val="nil"/>
                  </w:tcBorders>
                  <w:vAlign w:val="center"/>
                </w:tcPr>
                <w:p w14:paraId="025ADD1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0.0003 </w:t>
                  </w:r>
                </w:p>
              </w:tc>
              <w:tc>
                <w:tcPr>
                  <w:tcW w:w="858" w:type="dxa"/>
                  <w:tcBorders>
                    <w:tl2br w:val="nil"/>
                    <w:tr2bl w:val="nil"/>
                  </w:tcBorders>
                  <w:vAlign w:val="center"/>
                </w:tcPr>
                <w:p w14:paraId="2B2F209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0.027 </w:t>
                  </w:r>
                </w:p>
              </w:tc>
              <w:tc>
                <w:tcPr>
                  <w:tcW w:w="621" w:type="dxa"/>
                  <w:tcBorders>
                    <w:tl2br w:val="nil"/>
                    <w:tr2bl w:val="nil"/>
                  </w:tcBorders>
                  <w:vAlign w:val="center"/>
                </w:tcPr>
                <w:p w14:paraId="7D37F1F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0.610 </w:t>
                  </w:r>
                </w:p>
              </w:tc>
              <w:tc>
                <w:tcPr>
                  <w:tcW w:w="673" w:type="dxa"/>
                  <w:tcBorders>
                    <w:tl2br w:val="nil"/>
                    <w:tr2bl w:val="nil"/>
                  </w:tcBorders>
                  <w:vAlign w:val="center"/>
                </w:tcPr>
                <w:p w14:paraId="55AAA6D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0.0002 </w:t>
                  </w:r>
                </w:p>
              </w:tc>
            </w:tr>
            <w:tr w14:paraId="794783E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71" w:hRule="atLeast"/>
                <w:jc w:val="center"/>
              </w:trPr>
              <w:tc>
                <w:tcPr>
                  <w:tcW w:w="831" w:type="dxa"/>
                  <w:tcBorders>
                    <w:tl2br w:val="nil"/>
                    <w:tr2bl w:val="nil"/>
                  </w:tcBorders>
                  <w:vAlign w:val="center"/>
                </w:tcPr>
                <w:p w14:paraId="04663B2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臭气浓度</w:t>
                  </w:r>
                </w:p>
              </w:tc>
              <w:tc>
                <w:tcPr>
                  <w:tcW w:w="765" w:type="dxa"/>
                  <w:tcBorders>
                    <w:tl2br w:val="nil"/>
                    <w:tr2bl w:val="nil"/>
                  </w:tcBorders>
                  <w:vAlign w:val="center"/>
                </w:tcPr>
                <w:p w14:paraId="0610632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885" w:type="dxa"/>
                  <w:tcBorders>
                    <w:tl2br w:val="nil"/>
                    <w:tr2bl w:val="nil"/>
                  </w:tcBorders>
                  <w:vAlign w:val="center"/>
                </w:tcPr>
                <w:p w14:paraId="77C95DE4">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192" w:type="dxa"/>
                  <w:vMerge w:val="continue"/>
                  <w:tcBorders>
                    <w:tl2br w:val="nil"/>
                    <w:tr2bl w:val="nil"/>
                  </w:tcBorders>
                  <w:vAlign w:val="center"/>
                </w:tcPr>
                <w:p w14:paraId="3960F15B">
                  <w:pPr>
                    <w:jc w:val="center"/>
                    <w:rPr>
                      <w:rFonts w:hint="default" w:ascii="Times New Roman" w:hAnsi="Times New Roman" w:eastAsia="宋体" w:cs="Times New Roman"/>
                      <w:color w:val="auto"/>
                      <w:sz w:val="21"/>
                      <w:szCs w:val="21"/>
                      <w:highlight w:val="none"/>
                      <w:lang w:val="en-US" w:eastAsia="zh-CN"/>
                    </w:rPr>
                  </w:pPr>
                </w:p>
              </w:tc>
              <w:tc>
                <w:tcPr>
                  <w:tcW w:w="778" w:type="dxa"/>
                  <w:vMerge w:val="continue"/>
                  <w:tcBorders>
                    <w:tl2br w:val="nil"/>
                    <w:tr2bl w:val="nil"/>
                  </w:tcBorders>
                  <w:vAlign w:val="center"/>
                </w:tcPr>
                <w:p w14:paraId="54F9D396">
                  <w:pPr>
                    <w:jc w:val="center"/>
                    <w:rPr>
                      <w:rFonts w:hint="default" w:ascii="Times New Roman" w:hAnsi="Times New Roman" w:eastAsia="宋体" w:cs="Times New Roman"/>
                      <w:color w:val="auto"/>
                      <w:sz w:val="21"/>
                      <w:szCs w:val="21"/>
                      <w:highlight w:val="none"/>
                      <w:lang w:val="en-US" w:eastAsia="zh-CN"/>
                    </w:rPr>
                  </w:pPr>
                </w:p>
              </w:tc>
              <w:tc>
                <w:tcPr>
                  <w:tcW w:w="710" w:type="dxa"/>
                  <w:tcBorders>
                    <w:tl2br w:val="nil"/>
                    <w:tr2bl w:val="nil"/>
                  </w:tcBorders>
                  <w:vAlign w:val="center"/>
                </w:tcPr>
                <w:p w14:paraId="6942410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813" w:type="dxa"/>
                  <w:tcBorders>
                    <w:tl2br w:val="nil"/>
                    <w:tr2bl w:val="nil"/>
                  </w:tcBorders>
                  <w:vAlign w:val="center"/>
                </w:tcPr>
                <w:p w14:paraId="6A2F057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858" w:type="dxa"/>
                  <w:tcBorders>
                    <w:tl2br w:val="nil"/>
                    <w:tr2bl w:val="nil"/>
                  </w:tcBorders>
                  <w:vAlign w:val="center"/>
                </w:tcPr>
                <w:p w14:paraId="793D68D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21" w:type="dxa"/>
                  <w:tcBorders>
                    <w:tl2br w:val="nil"/>
                    <w:tr2bl w:val="nil"/>
                  </w:tcBorders>
                  <w:vAlign w:val="center"/>
                </w:tcPr>
                <w:p w14:paraId="23E7154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73" w:type="dxa"/>
                  <w:tcBorders>
                    <w:tl2br w:val="nil"/>
                    <w:tr2bl w:val="nil"/>
                  </w:tcBorders>
                  <w:vAlign w:val="center"/>
                </w:tcPr>
                <w:p w14:paraId="25BCABD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bl>
          <w:p w14:paraId="0CBF10BB">
            <w:pPr>
              <w:spacing w:line="360" w:lineRule="auto"/>
              <w:ind w:firstLine="480" w:firstLineChars="200"/>
              <w:rPr>
                <w:rFonts w:hint="default" w:ascii="Times New Roman" w:hAnsi="Times New Roman" w:eastAsia="宋体" w:cs="Times New Roman"/>
                <w:b w:val="0"/>
                <w:bCs/>
                <w:color w:val="auto"/>
                <w:highlight w:val="none"/>
                <w:lang w:val="en-US" w:eastAsia="zh-CN"/>
              </w:rPr>
            </w:pPr>
            <w:r>
              <w:rPr>
                <w:rFonts w:hint="default" w:ascii="Times New Roman" w:hAnsi="Times New Roman" w:eastAsia="宋体" w:cs="Times New Roman"/>
                <w:b w:val="0"/>
                <w:bCs/>
                <w:color w:val="auto"/>
                <w:highlight w:val="none"/>
                <w:lang w:val="en-US" w:eastAsia="zh-CN"/>
              </w:rPr>
              <w:t>由上表可知，本项目氨、硫化氢有组织排放速率均满足《恶臭污染物排放标准》（GB14554-93）中表2排放限值（氨4.9kg/h、硫化氢0.33kg/h）。</w:t>
            </w:r>
          </w:p>
          <w:p w14:paraId="15D9C281">
            <w:pPr>
              <w:spacing w:before="34" w:line="355" w:lineRule="auto"/>
              <w:ind w:left="107" w:right="41" w:firstLine="468"/>
              <w:rPr>
                <w:rFonts w:hint="default" w:ascii="Times New Roman" w:hAnsi="Times New Roman" w:eastAsia="宋体" w:cs="Times New Roman"/>
                <w:color w:val="auto"/>
                <w:highlight w:val="none"/>
                <w:shd w:val="clear" w:color="auto" w:fill="FFFFFF"/>
              </w:rPr>
            </w:pPr>
            <w:r>
              <w:rPr>
                <w:rFonts w:ascii="宋体" w:hAnsi="宋体" w:eastAsia="宋体" w:cs="宋体"/>
                <w:b/>
                <w:bCs/>
                <w:color w:val="auto"/>
                <w:spacing w:val="-4"/>
                <w:sz w:val="24"/>
                <w:szCs w:val="24"/>
                <w:highlight w:val="none"/>
              </w:rPr>
              <w:t>活性炭更换量及周期：</w:t>
            </w:r>
            <w:r>
              <w:rPr>
                <w:rFonts w:hint="default" w:ascii="Times New Roman" w:hAnsi="Times New Roman" w:eastAsia="宋体" w:cs="Times New Roman"/>
                <w:b w:val="0"/>
                <w:bCs w:val="0"/>
                <w:color w:val="auto"/>
                <w:spacing w:val="-4"/>
                <w:sz w:val="24"/>
                <w:szCs w:val="24"/>
                <w:highlight w:val="none"/>
              </w:rPr>
              <w:t>活性炭的除臭机理主要是靠活性炭分子与恶臭分子间的范德华力，利用活性炭的吸附作用使恶臭污染物通过吸附剂填充层被吸附而去除恶臭，常用于低浓度臭气和脱臭的后处理。</w:t>
            </w:r>
            <w:r>
              <w:rPr>
                <w:rFonts w:hint="eastAsia" w:ascii="Times New Roman" w:hAnsi="Times New Roman" w:eastAsia="宋体" w:cs="Times New Roman"/>
                <w:b w:val="0"/>
                <w:bCs w:val="0"/>
                <w:color w:val="auto"/>
                <w:spacing w:val="-4"/>
                <w:sz w:val="24"/>
                <w:szCs w:val="24"/>
                <w:highlight w:val="none"/>
                <w:lang w:val="en-US" w:eastAsia="zh-CN"/>
              </w:rPr>
              <w:t>活性炭</w:t>
            </w:r>
            <w:r>
              <w:rPr>
                <w:rFonts w:hint="default" w:ascii="Times New Roman" w:hAnsi="Times New Roman" w:eastAsia="宋体" w:cs="Times New Roman"/>
                <w:b w:val="0"/>
                <w:bCs w:val="0"/>
                <w:color w:val="auto"/>
                <w:spacing w:val="-4"/>
                <w:sz w:val="24"/>
                <w:szCs w:val="24"/>
                <w:highlight w:val="none"/>
              </w:rPr>
              <w:t>对于臭气去除效率在60%~70%左右</w:t>
            </w:r>
            <w:r>
              <w:rPr>
                <w:rFonts w:hint="eastAsia" w:ascii="Times New Roman" w:hAnsi="Times New Roman" w:eastAsia="宋体" w:cs="Times New Roman"/>
                <w:b w:val="0"/>
                <w:bCs w:val="0"/>
                <w:color w:val="auto"/>
                <w:spacing w:val="-4"/>
                <w:sz w:val="24"/>
                <w:szCs w:val="24"/>
                <w:highlight w:val="none"/>
                <w:lang w:eastAsia="zh-CN"/>
              </w:rPr>
              <w:t>，</w:t>
            </w:r>
            <w:r>
              <w:rPr>
                <w:rFonts w:hint="eastAsia" w:ascii="宋体" w:hAnsi="宋体" w:eastAsia="宋体" w:cs="宋体"/>
                <w:b w:val="0"/>
                <w:bCs w:val="0"/>
                <w:color w:val="auto"/>
                <w:spacing w:val="-4"/>
                <w:sz w:val="24"/>
                <w:szCs w:val="24"/>
                <w:highlight w:val="none"/>
                <w:lang w:val="en-US" w:eastAsia="zh-CN"/>
              </w:rPr>
              <w:t>本次</w:t>
            </w:r>
            <w:r>
              <w:rPr>
                <w:rFonts w:ascii="宋体" w:hAnsi="宋体" w:eastAsia="宋体" w:cs="宋体"/>
                <w:b w:val="0"/>
                <w:bCs w:val="0"/>
                <w:color w:val="auto"/>
                <w:spacing w:val="-4"/>
                <w:sz w:val="24"/>
                <w:szCs w:val="24"/>
                <w:highlight w:val="none"/>
              </w:rPr>
              <w:t>按</w:t>
            </w:r>
            <w:r>
              <w:rPr>
                <w:rFonts w:hint="eastAsia" w:ascii="宋体" w:hAnsi="宋体" w:eastAsia="宋体" w:cs="宋体"/>
                <w:b w:val="0"/>
                <w:bCs w:val="0"/>
                <w:color w:val="auto"/>
                <w:spacing w:val="-4"/>
                <w:sz w:val="24"/>
                <w:szCs w:val="24"/>
                <w:highlight w:val="none"/>
                <w:lang w:val="en-US" w:eastAsia="zh-CN"/>
              </w:rPr>
              <w:t>6</w:t>
            </w:r>
            <w:r>
              <w:rPr>
                <w:rFonts w:ascii="宋体" w:hAnsi="宋体" w:eastAsia="宋体" w:cs="宋体"/>
                <w:b w:val="0"/>
                <w:bCs w:val="0"/>
                <w:color w:val="auto"/>
                <w:spacing w:val="-4"/>
                <w:sz w:val="24"/>
                <w:szCs w:val="24"/>
                <w:highlight w:val="none"/>
              </w:rPr>
              <w:t>0%计</w:t>
            </w:r>
            <w:r>
              <w:rPr>
                <w:rFonts w:hint="eastAsia" w:ascii="宋体" w:hAnsi="宋体" w:eastAsia="宋体" w:cs="宋体"/>
                <w:b w:val="0"/>
                <w:bCs w:val="0"/>
                <w:color w:val="auto"/>
                <w:spacing w:val="-4"/>
                <w:sz w:val="24"/>
                <w:szCs w:val="24"/>
                <w:highlight w:val="none"/>
                <w:lang w:eastAsia="zh-CN"/>
              </w:rPr>
              <w:t>。</w:t>
            </w:r>
            <w:r>
              <w:rPr>
                <w:rFonts w:hint="default" w:ascii="Times New Roman" w:hAnsi="Times New Roman" w:eastAsia="宋体" w:cs="Times New Roman"/>
                <w:color w:val="auto"/>
                <w:highlight w:val="none"/>
                <w:shd w:val="clear" w:color="auto" w:fill="FFFFFF"/>
              </w:rPr>
              <w:t>同时为保证活性炭吸附效率，活性炭应定期更换。</w:t>
            </w:r>
          </w:p>
          <w:p w14:paraId="54B176D9">
            <w:pPr>
              <w:spacing w:before="34" w:line="355" w:lineRule="auto"/>
              <w:ind w:left="107" w:right="41" w:firstLine="468"/>
              <w:rPr>
                <w:rFonts w:ascii="宋体" w:hAnsi="宋体" w:eastAsia="宋体" w:cs="宋体"/>
                <w:b w:val="0"/>
                <w:bCs w:val="0"/>
                <w:color w:val="auto"/>
                <w:spacing w:val="-4"/>
                <w:sz w:val="24"/>
                <w:szCs w:val="24"/>
                <w:highlight w:val="none"/>
              </w:rPr>
            </w:pPr>
            <w:r>
              <w:rPr>
                <w:rFonts w:hint="eastAsia" w:ascii="Times New Roman" w:hAnsi="Times New Roman" w:eastAsia="宋体" w:cs="Times New Roman"/>
                <w:color w:val="auto"/>
                <w:highlight w:val="none"/>
                <w:shd w:val="clear" w:color="auto" w:fill="FFFFFF"/>
                <w:lang w:val="en-US" w:eastAsia="zh-CN"/>
              </w:rPr>
              <w:t>根据</w:t>
            </w:r>
            <w:r>
              <w:rPr>
                <w:rFonts w:hint="default" w:ascii="Times New Roman" w:hAnsi="Times New Roman" w:eastAsia="宋体" w:cs="Times New Roman"/>
                <w:color w:val="auto"/>
                <w:highlight w:val="none"/>
                <w:shd w:val="clear" w:color="auto" w:fill="FFFFFF"/>
              </w:rPr>
              <w:t>《简明通风设计手册》活性炭有效为Qe=0.2kg/kg</w:t>
            </w:r>
            <w:r>
              <w:rPr>
                <w:rFonts w:hint="eastAsia" w:cs="Times New Roman"/>
                <w:color w:val="auto"/>
                <w:highlight w:val="none"/>
                <w:shd w:val="clear" w:color="auto" w:fill="FFFFFF"/>
                <w:lang w:eastAsia="zh-CN"/>
              </w:rPr>
              <w:t>，</w:t>
            </w:r>
            <w:r>
              <w:rPr>
                <w:rFonts w:hint="eastAsia" w:cs="Times New Roman"/>
                <w:color w:val="auto"/>
                <w:highlight w:val="none"/>
                <w:shd w:val="clear" w:color="auto" w:fill="FFFFFF"/>
                <w:lang w:val="en-US" w:eastAsia="zh-CN"/>
              </w:rPr>
              <w:t>同时根据《吸附法工业有机废气治理工程技术规范》（HJ2026-2013）可按每克活性炭吸附污染物量为0.15~0.2克进行估算确定，本环评按0.2kg/kg进行估算</w:t>
            </w:r>
            <w:r>
              <w:rPr>
                <w:rFonts w:hint="eastAsia" w:ascii="Times New Roman" w:hAnsi="Times New Roman" w:eastAsia="宋体" w:cs="Times New Roman"/>
                <w:color w:val="auto"/>
                <w:highlight w:val="none"/>
                <w:shd w:val="clear" w:color="auto" w:fill="FFFFFF"/>
                <w:lang w:eastAsia="zh-CN"/>
              </w:rPr>
              <w:t>。据前文可知，废气处理装置</w:t>
            </w:r>
            <w:r>
              <w:rPr>
                <w:rFonts w:hint="eastAsia" w:ascii="Times New Roman" w:hAnsi="Times New Roman" w:eastAsia="宋体" w:cs="Times New Roman"/>
                <w:color w:val="auto"/>
                <w:highlight w:val="none"/>
                <w:shd w:val="clear" w:color="auto" w:fill="FFFFFF"/>
                <w:lang w:val="en-US" w:eastAsia="zh-CN"/>
              </w:rPr>
              <w:t>臭气（氨和硫化氢）</w:t>
            </w:r>
            <w:r>
              <w:rPr>
                <w:rFonts w:hint="eastAsia" w:ascii="Times New Roman" w:hAnsi="Times New Roman" w:eastAsia="宋体" w:cs="Times New Roman"/>
                <w:color w:val="auto"/>
                <w:highlight w:val="none"/>
                <w:shd w:val="clear" w:color="auto" w:fill="FFFFFF"/>
                <w:lang w:eastAsia="zh-CN"/>
              </w:rPr>
              <w:t>的处理量</w:t>
            </w:r>
            <w:r>
              <w:rPr>
                <w:rFonts w:hint="eastAsia" w:cs="Times New Roman"/>
                <w:color w:val="auto"/>
                <w:highlight w:val="none"/>
                <w:shd w:val="clear" w:color="auto" w:fill="FFFFFF"/>
                <w:lang w:val="en-US" w:eastAsia="zh-CN"/>
              </w:rPr>
              <w:t>89.37</w:t>
            </w:r>
            <w:r>
              <w:rPr>
                <w:rFonts w:hint="eastAsia" w:ascii="Times New Roman" w:hAnsi="Times New Roman" w:eastAsia="宋体" w:cs="Times New Roman"/>
                <w:color w:val="auto"/>
                <w:highlight w:val="none"/>
                <w:shd w:val="clear" w:color="auto" w:fill="FFFFFF"/>
                <w:lang w:eastAsia="zh-CN"/>
              </w:rPr>
              <w:t>kg，</w:t>
            </w:r>
            <w:r>
              <w:rPr>
                <w:rFonts w:hint="eastAsia" w:ascii="Times New Roman" w:hAnsi="Times New Roman" w:eastAsia="宋体" w:cs="Times New Roman"/>
                <w:color w:val="auto"/>
                <w:highlight w:val="none"/>
                <w:shd w:val="clear" w:color="auto" w:fill="FFFFFF"/>
                <w:lang w:val="en-US" w:eastAsia="zh-CN"/>
              </w:rPr>
              <w:t>沼气的处理量为1.015t/a，</w:t>
            </w:r>
            <w:r>
              <w:rPr>
                <w:rFonts w:hint="eastAsia" w:ascii="Times New Roman" w:hAnsi="Times New Roman" w:eastAsia="宋体" w:cs="Times New Roman"/>
                <w:color w:val="auto"/>
                <w:highlight w:val="none"/>
                <w:shd w:val="clear" w:color="auto" w:fill="FFFFFF"/>
                <w:lang w:eastAsia="zh-CN"/>
              </w:rPr>
              <w:t>则本项目活性炭年使用量为</w:t>
            </w:r>
            <w:r>
              <w:rPr>
                <w:rFonts w:hint="eastAsia" w:ascii="Times New Roman" w:hAnsi="Times New Roman" w:eastAsia="宋体" w:cs="Times New Roman"/>
                <w:color w:val="auto"/>
                <w:highlight w:val="none"/>
                <w:shd w:val="clear" w:color="auto" w:fill="FFFFFF"/>
                <w:lang w:val="en-US" w:eastAsia="zh-CN"/>
              </w:rPr>
              <w:t>110</w:t>
            </w:r>
            <w:r>
              <w:rPr>
                <w:rFonts w:hint="eastAsia" w:cs="Times New Roman"/>
                <w:color w:val="auto"/>
                <w:highlight w:val="none"/>
                <w:shd w:val="clear" w:color="auto" w:fill="FFFFFF"/>
                <w:lang w:val="en-US" w:eastAsia="zh-CN"/>
              </w:rPr>
              <w:t>4.37</w:t>
            </w:r>
            <w:r>
              <w:rPr>
                <w:rFonts w:hint="eastAsia" w:ascii="Times New Roman" w:hAnsi="Times New Roman" w:eastAsia="宋体" w:cs="Times New Roman"/>
                <w:color w:val="auto"/>
                <w:highlight w:val="none"/>
                <w:shd w:val="clear" w:color="auto" w:fill="FFFFFF"/>
                <w:lang w:eastAsia="zh-CN"/>
              </w:rPr>
              <w:t>/0.2=</w:t>
            </w:r>
            <w:r>
              <w:rPr>
                <w:rFonts w:hint="eastAsia" w:ascii="Times New Roman" w:hAnsi="Times New Roman" w:eastAsia="宋体" w:cs="Times New Roman"/>
                <w:color w:val="auto"/>
                <w:highlight w:val="none"/>
                <w:shd w:val="clear" w:color="auto" w:fill="FFFFFF"/>
                <w:lang w:val="en-US" w:eastAsia="zh-CN"/>
              </w:rPr>
              <w:t>55</w:t>
            </w:r>
            <w:r>
              <w:rPr>
                <w:rFonts w:hint="eastAsia" w:cs="Times New Roman"/>
                <w:color w:val="auto"/>
                <w:highlight w:val="none"/>
                <w:shd w:val="clear" w:color="auto" w:fill="FFFFFF"/>
                <w:lang w:val="en-US" w:eastAsia="zh-CN"/>
              </w:rPr>
              <w:t>21.85</w:t>
            </w:r>
            <w:r>
              <w:rPr>
                <w:rFonts w:hint="eastAsia" w:ascii="Times New Roman" w:hAnsi="Times New Roman" w:eastAsia="宋体" w:cs="Times New Roman"/>
                <w:color w:val="auto"/>
                <w:highlight w:val="none"/>
                <w:shd w:val="clear" w:color="auto" w:fill="FFFFFF"/>
                <w:lang w:eastAsia="zh-CN"/>
              </w:rPr>
              <w:t>kg=</w:t>
            </w:r>
            <w:r>
              <w:rPr>
                <w:rFonts w:hint="eastAsia" w:ascii="Times New Roman" w:hAnsi="Times New Roman" w:eastAsia="宋体" w:cs="Times New Roman"/>
                <w:color w:val="auto"/>
                <w:highlight w:val="none"/>
                <w:shd w:val="clear" w:color="auto" w:fill="FFFFFF"/>
                <w:lang w:val="en-US" w:eastAsia="zh-CN"/>
              </w:rPr>
              <w:t>5.</w:t>
            </w:r>
            <w:r>
              <w:rPr>
                <w:rFonts w:hint="eastAsia" w:cs="Times New Roman"/>
                <w:color w:val="auto"/>
                <w:highlight w:val="none"/>
                <w:shd w:val="clear" w:color="auto" w:fill="FFFFFF"/>
                <w:lang w:val="en-US" w:eastAsia="zh-CN"/>
              </w:rPr>
              <w:t>52</w:t>
            </w:r>
            <w:r>
              <w:rPr>
                <w:rFonts w:hint="eastAsia" w:ascii="Times New Roman" w:hAnsi="Times New Roman" w:eastAsia="宋体" w:cs="Times New Roman"/>
                <w:color w:val="auto"/>
                <w:highlight w:val="none"/>
                <w:shd w:val="clear" w:color="auto" w:fill="FFFFFF"/>
                <w:lang w:eastAsia="zh-CN"/>
              </w:rPr>
              <w:t>t。</w:t>
            </w:r>
            <w:r>
              <w:rPr>
                <w:rFonts w:hint="default" w:ascii="Times New Roman" w:hAnsi="Times New Roman" w:eastAsia="宋体" w:cs="Times New Roman"/>
                <w:color w:val="auto"/>
                <w:highlight w:val="none"/>
                <w:shd w:val="clear" w:color="auto" w:fill="FFFFFF"/>
              </w:rPr>
              <w:t>活性炭</w:t>
            </w:r>
            <w:r>
              <w:rPr>
                <w:rFonts w:ascii="宋体" w:hAnsi="宋体" w:eastAsia="宋体" w:cs="宋体"/>
                <w:b w:val="0"/>
                <w:bCs w:val="0"/>
                <w:color w:val="auto"/>
                <w:spacing w:val="-4"/>
                <w:sz w:val="24"/>
                <w:szCs w:val="24"/>
                <w:highlight w:val="none"/>
              </w:rPr>
              <w:t>则项目活性炭年用量及更换周期见下表所示。</w:t>
            </w:r>
          </w:p>
          <w:p w14:paraId="07032D2F">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活性炭吸附装置设计情况</w:t>
            </w:r>
          </w:p>
          <w:tbl>
            <w:tblPr>
              <w:tblStyle w:val="33"/>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365"/>
              <w:gridCol w:w="1367"/>
              <w:gridCol w:w="1367"/>
              <w:gridCol w:w="1367"/>
              <w:gridCol w:w="1368"/>
            </w:tblGrid>
            <w:tr w14:paraId="3DBD83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2" w:type="pct"/>
                  <w:tcBorders>
                    <w:tl2br w:val="nil"/>
                    <w:tr2bl w:val="nil"/>
                  </w:tcBorders>
                  <w:vAlign w:val="center"/>
                </w:tcPr>
                <w:p w14:paraId="7395621A">
                  <w:pPr>
                    <w:pStyle w:val="27"/>
                    <w:adjustRightInd w:val="0"/>
                    <w:snapToGrid w:val="0"/>
                    <w:spacing w:before="0" w:beforeAutospacing="0" w:after="0" w:afterAutospacing="0"/>
                    <w:jc w:val="center"/>
                    <w:rPr>
                      <w:rFonts w:hint="default" w:ascii="Times New Roman" w:hAnsi="Times New Roman" w:eastAsia="宋体" w:cs="Times New Roman"/>
                      <w:b/>
                      <w:bCs/>
                      <w:color w:val="auto"/>
                      <w:sz w:val="21"/>
                      <w:szCs w:val="21"/>
                      <w:highlight w:val="none"/>
                      <w:shd w:val="clear" w:color="auto" w:fill="FFFFFF"/>
                      <w:lang w:val="en-US" w:eastAsia="zh-CN"/>
                    </w:rPr>
                  </w:pPr>
                  <w:r>
                    <w:rPr>
                      <w:rFonts w:hint="eastAsia" w:ascii="Times New Roman" w:hAnsi="Times New Roman" w:eastAsia="宋体" w:cs="Times New Roman"/>
                      <w:b/>
                      <w:bCs/>
                      <w:color w:val="auto"/>
                      <w:sz w:val="21"/>
                      <w:szCs w:val="21"/>
                      <w:highlight w:val="none"/>
                      <w:shd w:val="clear" w:color="auto" w:fill="FFFFFF"/>
                      <w:lang w:val="en-US" w:eastAsia="zh-CN"/>
                    </w:rPr>
                    <w:t>废气吸附量（t/a）</w:t>
                  </w:r>
                </w:p>
              </w:tc>
              <w:tc>
                <w:tcPr>
                  <w:tcW w:w="832" w:type="pct"/>
                  <w:tcBorders>
                    <w:tl2br w:val="nil"/>
                    <w:tr2bl w:val="nil"/>
                  </w:tcBorders>
                  <w:vAlign w:val="center"/>
                </w:tcPr>
                <w:p w14:paraId="701D10A2">
                  <w:pPr>
                    <w:pStyle w:val="27"/>
                    <w:adjustRightInd w:val="0"/>
                    <w:snapToGrid w:val="0"/>
                    <w:spacing w:before="0" w:beforeAutospacing="0" w:after="0" w:afterAutospacing="0"/>
                    <w:jc w:val="center"/>
                    <w:rPr>
                      <w:rFonts w:hint="default" w:ascii="Times New Roman" w:hAnsi="Times New Roman" w:eastAsia="宋体" w:cs="Times New Roman"/>
                      <w:b/>
                      <w:bCs/>
                      <w:color w:val="auto"/>
                      <w:sz w:val="21"/>
                      <w:szCs w:val="21"/>
                      <w:highlight w:val="none"/>
                      <w:shd w:val="clear" w:color="auto" w:fill="FFFFFF"/>
                    </w:rPr>
                  </w:pPr>
                  <w:r>
                    <w:rPr>
                      <w:rFonts w:hint="eastAsia" w:ascii="Times New Roman" w:hAnsi="Times New Roman" w:eastAsia="宋体" w:cs="Times New Roman"/>
                      <w:b/>
                      <w:bCs/>
                      <w:color w:val="auto"/>
                      <w:sz w:val="21"/>
                      <w:szCs w:val="21"/>
                      <w:highlight w:val="none"/>
                      <w:shd w:val="clear" w:color="auto" w:fill="FFFFFF"/>
                      <w:lang w:val="en-US" w:eastAsia="zh-CN"/>
                    </w:rPr>
                    <w:t>活性炭理论用量（t/a）</w:t>
                  </w:r>
                </w:p>
              </w:tc>
              <w:tc>
                <w:tcPr>
                  <w:tcW w:w="833" w:type="pct"/>
                  <w:tcBorders>
                    <w:tl2br w:val="nil"/>
                    <w:tr2bl w:val="nil"/>
                  </w:tcBorders>
                  <w:vAlign w:val="center"/>
                </w:tcPr>
                <w:p w14:paraId="04383A8E">
                  <w:pPr>
                    <w:pStyle w:val="27"/>
                    <w:adjustRightInd w:val="0"/>
                    <w:snapToGrid w:val="0"/>
                    <w:spacing w:before="0" w:beforeAutospacing="0" w:after="0" w:afterAutospacing="0"/>
                    <w:jc w:val="center"/>
                    <w:rPr>
                      <w:rFonts w:hint="default" w:ascii="Times New Roman" w:hAnsi="Times New Roman" w:eastAsia="宋体" w:cs="Times New Roman"/>
                      <w:b/>
                      <w:bCs/>
                      <w:color w:val="auto"/>
                      <w:sz w:val="21"/>
                      <w:szCs w:val="21"/>
                      <w:highlight w:val="none"/>
                      <w:shd w:val="clear" w:color="auto" w:fill="FFFFFF"/>
                      <w:lang w:val="en-US" w:eastAsia="zh-CN"/>
                    </w:rPr>
                  </w:pPr>
                  <w:r>
                    <w:rPr>
                      <w:rFonts w:hint="eastAsia" w:ascii="Times New Roman" w:hAnsi="Times New Roman" w:eastAsia="宋体" w:cs="Times New Roman"/>
                      <w:b/>
                      <w:bCs/>
                      <w:color w:val="auto"/>
                      <w:sz w:val="21"/>
                      <w:szCs w:val="21"/>
                      <w:highlight w:val="none"/>
                      <w:shd w:val="clear" w:color="auto" w:fill="FFFFFF"/>
                      <w:lang w:val="en-US" w:eastAsia="zh-CN"/>
                    </w:rPr>
                    <w:t>单次填充量（t）</w:t>
                  </w:r>
                </w:p>
              </w:tc>
              <w:tc>
                <w:tcPr>
                  <w:tcW w:w="833" w:type="pct"/>
                  <w:tcBorders>
                    <w:tl2br w:val="nil"/>
                    <w:tr2bl w:val="nil"/>
                  </w:tcBorders>
                  <w:vAlign w:val="center"/>
                </w:tcPr>
                <w:p w14:paraId="50C44CC0">
                  <w:pPr>
                    <w:pStyle w:val="27"/>
                    <w:adjustRightInd w:val="0"/>
                    <w:snapToGrid w:val="0"/>
                    <w:spacing w:before="0" w:beforeAutospacing="0" w:after="0" w:afterAutospacing="0"/>
                    <w:jc w:val="center"/>
                    <w:rPr>
                      <w:rFonts w:hint="default" w:ascii="Times New Roman" w:hAnsi="Times New Roman" w:eastAsia="宋体" w:cs="Times New Roman"/>
                      <w:b/>
                      <w:bCs/>
                      <w:color w:val="auto"/>
                      <w:sz w:val="21"/>
                      <w:szCs w:val="21"/>
                      <w:highlight w:val="none"/>
                      <w:shd w:val="clear" w:color="auto" w:fill="FFFFFF"/>
                    </w:rPr>
                  </w:pPr>
                  <w:r>
                    <w:rPr>
                      <w:rFonts w:hint="default" w:ascii="Times New Roman" w:hAnsi="Times New Roman" w:eastAsia="宋体" w:cs="Times New Roman"/>
                      <w:b/>
                      <w:bCs/>
                      <w:color w:val="auto"/>
                      <w:sz w:val="21"/>
                      <w:szCs w:val="21"/>
                      <w:highlight w:val="none"/>
                      <w:shd w:val="clear" w:color="auto" w:fill="FFFFFF"/>
                    </w:rPr>
                    <w:t>活性炭类型</w:t>
                  </w:r>
                </w:p>
              </w:tc>
              <w:tc>
                <w:tcPr>
                  <w:tcW w:w="833" w:type="pct"/>
                  <w:tcBorders>
                    <w:tl2br w:val="nil"/>
                    <w:tr2bl w:val="nil"/>
                  </w:tcBorders>
                  <w:vAlign w:val="center"/>
                </w:tcPr>
                <w:p w14:paraId="4B52BCDD">
                  <w:pPr>
                    <w:pStyle w:val="27"/>
                    <w:adjustRightInd w:val="0"/>
                    <w:snapToGrid w:val="0"/>
                    <w:spacing w:before="0" w:beforeAutospacing="0" w:after="0" w:afterAutospacing="0"/>
                    <w:jc w:val="center"/>
                    <w:rPr>
                      <w:rFonts w:hint="default" w:ascii="Times New Roman" w:hAnsi="Times New Roman" w:eastAsia="宋体" w:cs="Times New Roman"/>
                      <w:b/>
                      <w:bCs/>
                      <w:color w:val="auto"/>
                      <w:sz w:val="21"/>
                      <w:szCs w:val="21"/>
                      <w:highlight w:val="none"/>
                      <w:shd w:val="clear" w:color="auto" w:fill="FFFFFF"/>
                      <w:lang w:val="en-US" w:eastAsia="zh-CN"/>
                    </w:rPr>
                  </w:pPr>
                  <w:r>
                    <w:rPr>
                      <w:rFonts w:hint="eastAsia" w:ascii="Times New Roman" w:hAnsi="Times New Roman" w:eastAsia="宋体" w:cs="Times New Roman"/>
                      <w:b/>
                      <w:bCs/>
                      <w:color w:val="auto"/>
                      <w:sz w:val="21"/>
                      <w:szCs w:val="21"/>
                      <w:highlight w:val="none"/>
                      <w:shd w:val="clear" w:color="auto" w:fill="FFFFFF"/>
                      <w:lang w:val="en-US" w:eastAsia="zh-CN"/>
                    </w:rPr>
                    <w:t>活性炭更换周期</w:t>
                  </w:r>
                </w:p>
              </w:tc>
              <w:tc>
                <w:tcPr>
                  <w:tcW w:w="833" w:type="pct"/>
                  <w:tcBorders>
                    <w:tl2br w:val="nil"/>
                    <w:tr2bl w:val="nil"/>
                  </w:tcBorders>
                  <w:vAlign w:val="center"/>
                </w:tcPr>
                <w:p w14:paraId="64C97307">
                  <w:pPr>
                    <w:pStyle w:val="27"/>
                    <w:adjustRightInd w:val="0"/>
                    <w:snapToGrid w:val="0"/>
                    <w:spacing w:before="0" w:beforeAutospacing="0" w:after="0" w:afterAutospacing="0"/>
                    <w:jc w:val="center"/>
                    <w:rPr>
                      <w:rFonts w:hint="default" w:ascii="Times New Roman" w:hAnsi="Times New Roman" w:eastAsia="宋体" w:cs="Times New Roman"/>
                      <w:b/>
                      <w:bCs/>
                      <w:color w:val="auto"/>
                      <w:sz w:val="21"/>
                      <w:szCs w:val="21"/>
                      <w:highlight w:val="none"/>
                      <w:shd w:val="clear" w:color="auto" w:fill="FFFFFF"/>
                      <w:lang w:eastAsia="zh-CN"/>
                    </w:rPr>
                  </w:pPr>
                  <w:r>
                    <w:rPr>
                      <w:rFonts w:hint="eastAsia" w:ascii="Times New Roman" w:hAnsi="Times New Roman" w:eastAsia="宋体" w:cs="Times New Roman"/>
                      <w:b/>
                      <w:bCs/>
                      <w:color w:val="auto"/>
                      <w:sz w:val="21"/>
                      <w:szCs w:val="21"/>
                      <w:highlight w:val="none"/>
                      <w:shd w:val="clear" w:color="auto" w:fill="FFFFFF"/>
                      <w:lang w:val="en-US" w:eastAsia="zh-CN"/>
                    </w:rPr>
                    <w:t>废活性炭产生量</w:t>
                  </w:r>
                  <w:r>
                    <w:rPr>
                      <w:rFonts w:hint="default" w:ascii="Times New Roman" w:hAnsi="Times New Roman" w:eastAsia="宋体" w:cs="Times New Roman"/>
                      <w:b/>
                      <w:bCs/>
                      <w:color w:val="auto"/>
                      <w:sz w:val="21"/>
                      <w:szCs w:val="21"/>
                      <w:highlight w:val="none"/>
                      <w:shd w:val="clear" w:color="auto" w:fill="FFFFFF"/>
                      <w:lang w:eastAsia="zh-CN"/>
                    </w:rPr>
                    <w:t>（</w:t>
                  </w:r>
                  <w:r>
                    <w:rPr>
                      <w:rFonts w:hint="default" w:ascii="Times New Roman" w:hAnsi="Times New Roman" w:eastAsia="宋体" w:cs="Times New Roman"/>
                      <w:b/>
                      <w:bCs/>
                      <w:color w:val="auto"/>
                      <w:sz w:val="21"/>
                      <w:szCs w:val="21"/>
                      <w:highlight w:val="none"/>
                      <w:shd w:val="clear" w:color="auto" w:fill="FFFFFF"/>
                      <w:lang w:val="en-US" w:eastAsia="zh-CN"/>
                    </w:rPr>
                    <w:t>t</w:t>
                  </w:r>
                  <w:r>
                    <w:rPr>
                      <w:rFonts w:hint="default" w:ascii="Times New Roman" w:hAnsi="Times New Roman" w:eastAsia="宋体" w:cs="Times New Roman"/>
                      <w:b/>
                      <w:bCs/>
                      <w:color w:val="auto"/>
                      <w:sz w:val="21"/>
                      <w:szCs w:val="21"/>
                      <w:highlight w:val="none"/>
                      <w:shd w:val="clear" w:color="auto" w:fill="FFFFFF"/>
                      <w:lang w:eastAsia="zh-CN"/>
                    </w:rPr>
                    <w:t>）</w:t>
                  </w:r>
                </w:p>
              </w:tc>
            </w:tr>
            <w:tr w14:paraId="4D183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2" w:type="pct"/>
                  <w:tcBorders>
                    <w:tl2br w:val="nil"/>
                    <w:tr2bl w:val="nil"/>
                  </w:tcBorders>
                  <w:vAlign w:val="center"/>
                </w:tcPr>
                <w:p w14:paraId="5E754071">
                  <w:pPr>
                    <w:pStyle w:val="27"/>
                    <w:adjustRightInd w:val="0"/>
                    <w:snapToGrid w:val="0"/>
                    <w:spacing w:before="0" w:beforeAutospacing="0" w:after="0" w:afterAutospacing="0"/>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ascii="Times New Roman" w:hAnsi="Times New Roman" w:eastAsia="宋体" w:cs="Times New Roman"/>
                      <w:color w:val="auto"/>
                      <w:sz w:val="21"/>
                      <w:szCs w:val="21"/>
                      <w:highlight w:val="none"/>
                      <w:shd w:val="clear" w:color="auto" w:fill="FFFFFF"/>
                      <w:lang w:val="en-US" w:eastAsia="zh-CN"/>
                    </w:rPr>
                    <w:t>1.1</w:t>
                  </w:r>
                  <w:r>
                    <w:rPr>
                      <w:rFonts w:hint="eastAsia" w:ascii="Times New Roman" w:hAnsi="Times New Roman" w:cs="Times New Roman"/>
                      <w:color w:val="auto"/>
                      <w:sz w:val="21"/>
                      <w:szCs w:val="21"/>
                      <w:highlight w:val="none"/>
                      <w:shd w:val="clear" w:color="auto" w:fill="FFFFFF"/>
                      <w:lang w:val="en-US" w:eastAsia="zh-CN"/>
                    </w:rPr>
                    <w:t>04</w:t>
                  </w:r>
                </w:p>
              </w:tc>
              <w:tc>
                <w:tcPr>
                  <w:tcW w:w="832" w:type="pct"/>
                  <w:tcBorders>
                    <w:tl2br w:val="nil"/>
                    <w:tr2bl w:val="nil"/>
                  </w:tcBorders>
                  <w:vAlign w:val="center"/>
                </w:tcPr>
                <w:p w14:paraId="017A1C9F">
                  <w:pPr>
                    <w:pStyle w:val="27"/>
                    <w:adjustRightInd w:val="0"/>
                    <w:snapToGrid w:val="0"/>
                    <w:spacing w:before="0" w:beforeAutospacing="0" w:after="0" w:afterAutospacing="0"/>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ascii="Times New Roman" w:hAnsi="Times New Roman" w:cs="Times New Roman"/>
                      <w:color w:val="auto"/>
                      <w:sz w:val="21"/>
                      <w:szCs w:val="21"/>
                      <w:highlight w:val="none"/>
                      <w:shd w:val="clear" w:color="auto" w:fill="FFFFFF"/>
                      <w:lang w:val="en-US" w:eastAsia="zh-CN"/>
                    </w:rPr>
                    <w:t>5.52</w:t>
                  </w:r>
                </w:p>
              </w:tc>
              <w:tc>
                <w:tcPr>
                  <w:tcW w:w="833" w:type="pct"/>
                  <w:tcBorders>
                    <w:tl2br w:val="nil"/>
                    <w:tr2bl w:val="nil"/>
                  </w:tcBorders>
                  <w:vAlign w:val="center"/>
                </w:tcPr>
                <w:p w14:paraId="435EC0EF">
                  <w:pPr>
                    <w:pStyle w:val="27"/>
                    <w:adjustRightInd w:val="0"/>
                    <w:snapToGrid w:val="0"/>
                    <w:spacing w:before="0" w:beforeAutospacing="0" w:after="0" w:afterAutospacing="0"/>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ascii="Times New Roman" w:hAnsi="Times New Roman" w:eastAsia="宋体" w:cs="Times New Roman"/>
                      <w:color w:val="auto"/>
                      <w:sz w:val="21"/>
                      <w:szCs w:val="21"/>
                      <w:highlight w:val="none"/>
                      <w:shd w:val="clear" w:color="auto" w:fill="FFFFFF"/>
                      <w:lang w:val="en-US" w:eastAsia="zh-CN"/>
                    </w:rPr>
                    <w:t>1.</w:t>
                  </w:r>
                  <w:r>
                    <w:rPr>
                      <w:rFonts w:hint="eastAsia" w:ascii="Times New Roman" w:hAnsi="Times New Roman" w:cs="Times New Roman"/>
                      <w:color w:val="auto"/>
                      <w:sz w:val="21"/>
                      <w:szCs w:val="21"/>
                      <w:highlight w:val="none"/>
                      <w:shd w:val="clear" w:color="auto" w:fill="FFFFFF"/>
                      <w:lang w:val="en-US" w:eastAsia="zh-CN"/>
                    </w:rPr>
                    <w:t>38</w:t>
                  </w:r>
                </w:p>
              </w:tc>
              <w:tc>
                <w:tcPr>
                  <w:tcW w:w="833" w:type="pct"/>
                  <w:tcBorders>
                    <w:tl2br w:val="nil"/>
                    <w:tr2bl w:val="nil"/>
                  </w:tcBorders>
                  <w:vAlign w:val="center"/>
                </w:tcPr>
                <w:p w14:paraId="32704368">
                  <w:pPr>
                    <w:pStyle w:val="27"/>
                    <w:adjustRightInd w:val="0"/>
                    <w:snapToGrid w:val="0"/>
                    <w:spacing w:before="0" w:beforeAutospacing="0" w:after="0" w:afterAutospacing="0"/>
                    <w:jc w:val="center"/>
                    <w:rPr>
                      <w:rFonts w:hint="default" w:ascii="Times New Roman" w:hAnsi="Times New Roman" w:eastAsia="宋体" w:cs="Times New Roman"/>
                      <w:color w:val="auto"/>
                      <w:sz w:val="21"/>
                      <w:szCs w:val="21"/>
                      <w:highlight w:val="none"/>
                      <w:shd w:val="clear" w:color="auto" w:fill="FFFFFF"/>
                      <w:lang w:val="en-US" w:eastAsia="zh-CN"/>
                    </w:rPr>
                  </w:pPr>
                  <w:r>
                    <w:rPr>
                      <w:rFonts w:hint="default" w:ascii="Times New Roman" w:hAnsi="Times New Roman" w:eastAsia="宋体" w:cs="Times New Roman"/>
                      <w:color w:val="auto"/>
                      <w:sz w:val="21"/>
                      <w:szCs w:val="21"/>
                      <w:highlight w:val="none"/>
                      <w:shd w:val="clear" w:color="auto" w:fill="FFFFFF"/>
                    </w:rPr>
                    <w:t>颗粒状</w:t>
                  </w:r>
                  <w:r>
                    <w:rPr>
                      <w:rFonts w:hint="eastAsia" w:ascii="Times New Roman" w:hAnsi="Times New Roman" w:eastAsia="宋体" w:cs="Times New Roman"/>
                      <w:color w:val="auto"/>
                      <w:sz w:val="21"/>
                      <w:szCs w:val="21"/>
                      <w:highlight w:val="none"/>
                      <w:shd w:val="clear" w:color="auto" w:fill="FFFFFF"/>
                      <w:lang w:val="en-US" w:eastAsia="zh-CN"/>
                    </w:rPr>
                    <w:t>/蜂窝状</w:t>
                  </w:r>
                </w:p>
              </w:tc>
              <w:tc>
                <w:tcPr>
                  <w:tcW w:w="833" w:type="pct"/>
                  <w:tcBorders>
                    <w:tl2br w:val="nil"/>
                    <w:tr2bl w:val="nil"/>
                  </w:tcBorders>
                  <w:vAlign w:val="center"/>
                </w:tcPr>
                <w:p w14:paraId="2C9D75C3">
                  <w:pPr>
                    <w:pStyle w:val="27"/>
                    <w:adjustRightInd w:val="0"/>
                    <w:snapToGrid w:val="0"/>
                    <w:spacing w:before="0" w:beforeAutospacing="0" w:after="0" w:afterAutospacing="0"/>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ascii="Times New Roman" w:hAnsi="Times New Roman" w:eastAsia="宋体" w:cs="Times New Roman"/>
                      <w:color w:val="auto"/>
                      <w:sz w:val="21"/>
                      <w:szCs w:val="21"/>
                      <w:highlight w:val="none"/>
                      <w:shd w:val="clear" w:color="auto" w:fill="FFFFFF"/>
                      <w:lang w:val="en-US" w:eastAsia="zh-CN"/>
                    </w:rPr>
                    <w:t>三个月更换一次</w:t>
                  </w:r>
                </w:p>
              </w:tc>
              <w:tc>
                <w:tcPr>
                  <w:tcW w:w="833" w:type="pct"/>
                  <w:tcBorders>
                    <w:tl2br w:val="nil"/>
                    <w:tr2bl w:val="nil"/>
                  </w:tcBorders>
                  <w:vAlign w:val="center"/>
                </w:tcPr>
                <w:p w14:paraId="39D6313B">
                  <w:pPr>
                    <w:pStyle w:val="27"/>
                    <w:adjustRightInd w:val="0"/>
                    <w:snapToGrid w:val="0"/>
                    <w:spacing w:before="0" w:beforeAutospacing="0" w:after="0" w:afterAutospacing="0"/>
                    <w:jc w:val="center"/>
                    <w:rPr>
                      <w:rFonts w:hint="default" w:ascii="Times New Roman" w:hAnsi="Times New Roman" w:eastAsia="宋体" w:cs="Times New Roman"/>
                      <w:color w:val="auto"/>
                      <w:sz w:val="21"/>
                      <w:szCs w:val="21"/>
                      <w:highlight w:val="none"/>
                      <w:shd w:val="clear" w:color="auto" w:fill="FFFFFF"/>
                      <w:lang w:val="en-US" w:eastAsia="zh-CN"/>
                    </w:rPr>
                  </w:pPr>
                  <w:r>
                    <w:rPr>
                      <w:rFonts w:hint="eastAsia" w:ascii="Times New Roman" w:hAnsi="Times New Roman" w:cs="Times New Roman"/>
                      <w:color w:val="auto"/>
                      <w:sz w:val="21"/>
                      <w:szCs w:val="21"/>
                      <w:highlight w:val="none"/>
                      <w:shd w:val="clear" w:color="auto" w:fill="FFFFFF"/>
                      <w:lang w:val="en-US" w:eastAsia="zh-CN"/>
                    </w:rPr>
                    <w:t>6.624</w:t>
                  </w:r>
                </w:p>
              </w:tc>
            </w:tr>
          </w:tbl>
          <w:p w14:paraId="3DE61013">
            <w:pPr>
              <w:spacing w:before="34" w:line="355" w:lineRule="auto"/>
              <w:ind w:left="107" w:right="41" w:firstLine="468"/>
              <w:rPr>
                <w:rFonts w:hint="default" w:ascii="Times New Roman" w:hAnsi="Times New Roman" w:eastAsia="宋体" w:cs="Times New Roman"/>
                <w:b w:val="0"/>
                <w:bCs w:val="0"/>
                <w:color w:val="auto"/>
                <w:spacing w:val="-4"/>
                <w:sz w:val="24"/>
                <w:szCs w:val="24"/>
                <w:highlight w:val="none"/>
              </w:rPr>
            </w:pPr>
            <w:r>
              <w:rPr>
                <w:rFonts w:hint="default" w:ascii="Times New Roman" w:hAnsi="Times New Roman" w:eastAsia="宋体" w:cs="Times New Roman"/>
                <w:b w:val="0"/>
                <w:bCs w:val="0"/>
                <w:color w:val="auto"/>
                <w:spacing w:val="-4"/>
                <w:sz w:val="24"/>
                <w:szCs w:val="24"/>
                <w:highlight w:val="none"/>
              </w:rPr>
              <w:t>根据上表计算得，本项目废活性炭产生量约为</w:t>
            </w:r>
            <w:r>
              <w:rPr>
                <w:rFonts w:hint="eastAsia" w:cs="Times New Roman"/>
                <w:b w:val="0"/>
                <w:bCs w:val="0"/>
                <w:color w:val="auto"/>
                <w:spacing w:val="-4"/>
                <w:sz w:val="24"/>
                <w:szCs w:val="24"/>
                <w:highlight w:val="none"/>
                <w:lang w:val="en-US" w:eastAsia="zh-CN"/>
              </w:rPr>
              <w:t>6.624</w:t>
            </w:r>
            <w:r>
              <w:rPr>
                <w:rFonts w:hint="default" w:ascii="Times New Roman" w:hAnsi="Times New Roman" w:eastAsia="宋体" w:cs="Times New Roman"/>
                <w:b w:val="0"/>
                <w:bCs w:val="0"/>
                <w:color w:val="auto"/>
                <w:spacing w:val="-4"/>
                <w:sz w:val="24"/>
                <w:szCs w:val="24"/>
                <w:highlight w:val="none"/>
              </w:rPr>
              <w:t>t/a。环评要求建设单位定期检查活性炭吸附装置，保证其正常稳定运行，发现问题及时维护，并严格按照环评要求的更换周期更换活性炭。</w:t>
            </w:r>
          </w:p>
          <w:p w14:paraId="7A6A5178">
            <w:pPr>
              <w:spacing w:before="34" w:line="355" w:lineRule="auto"/>
              <w:ind w:left="107" w:right="41" w:firstLine="468"/>
              <w:rPr>
                <w:rFonts w:hint="default" w:ascii="Times New Roman" w:hAnsi="Times New Roman" w:eastAsia="宋体" w:cs="Times New Roman"/>
                <w:b w:val="0"/>
                <w:bCs w:val="0"/>
                <w:color w:val="auto"/>
                <w:spacing w:val="-4"/>
                <w:sz w:val="24"/>
                <w:szCs w:val="24"/>
                <w:highlight w:val="none"/>
              </w:rPr>
            </w:pPr>
            <w:r>
              <w:rPr>
                <w:rFonts w:hint="default" w:ascii="Times New Roman" w:hAnsi="Times New Roman" w:eastAsia="宋体" w:cs="Times New Roman"/>
                <w:b w:val="0"/>
                <w:bCs w:val="0"/>
                <w:color w:val="auto"/>
                <w:spacing w:val="-4"/>
                <w:sz w:val="24"/>
                <w:szCs w:val="24"/>
                <w:highlight w:val="none"/>
              </w:rPr>
              <w:t>同时活性炭碘值是描述活性炭</w:t>
            </w:r>
            <w:r>
              <w:rPr>
                <w:rFonts w:hint="eastAsia" w:cs="Times New Roman"/>
                <w:b w:val="0"/>
                <w:bCs w:val="0"/>
                <w:color w:val="auto"/>
                <w:spacing w:val="-4"/>
                <w:sz w:val="24"/>
                <w:szCs w:val="24"/>
                <w:highlight w:val="none"/>
                <w:lang w:eastAsia="zh-CN"/>
              </w:rPr>
              <w:t>吸附</w:t>
            </w:r>
            <w:r>
              <w:rPr>
                <w:rFonts w:hint="default" w:ascii="Times New Roman" w:hAnsi="Times New Roman" w:eastAsia="宋体" w:cs="Times New Roman"/>
                <w:b w:val="0"/>
                <w:bCs w:val="0"/>
                <w:color w:val="auto"/>
                <w:spacing w:val="-4"/>
                <w:sz w:val="24"/>
                <w:szCs w:val="24"/>
                <w:highlight w:val="none"/>
              </w:rPr>
              <w:t>能力的方法，活性炭的碘值一般是 400-1300mg/g。根据</w:t>
            </w:r>
            <w:r>
              <w:rPr>
                <w:rFonts w:hint="default" w:ascii="Times New Roman" w:hAnsi="Times New Roman" w:eastAsia="宋体" w:cs="Times New Roman"/>
                <w:b w:val="0"/>
                <w:bCs w:val="0"/>
                <w:color w:val="auto"/>
                <w:spacing w:val="-4"/>
                <w:sz w:val="24"/>
                <w:szCs w:val="24"/>
                <w:highlight w:val="none"/>
                <w:lang w:val="en-US" w:eastAsia="zh-CN"/>
              </w:rPr>
              <w:t>《关于加快解决当前挥发性有机物治理突出问题的通知》（环大气〔2021〕65号）中的相关要求：“采用颗粒活性炭作为吸附剂时，其碘值不宜低于800mg/g；采用蜂窝活性炭作为吸附剂时，其碘值不宜低于650mg/g”。</w:t>
            </w:r>
            <w:r>
              <w:rPr>
                <w:rFonts w:hint="default" w:ascii="Times New Roman" w:hAnsi="Times New Roman" w:eastAsia="宋体" w:cs="Times New Roman"/>
                <w:b w:val="0"/>
                <w:bCs w:val="0"/>
                <w:color w:val="auto"/>
                <w:spacing w:val="-4"/>
                <w:sz w:val="24"/>
                <w:szCs w:val="24"/>
                <w:highlight w:val="none"/>
              </w:rPr>
              <w:t>本次环评要求企业采用的活性炭碘值</w:t>
            </w:r>
            <w:r>
              <w:rPr>
                <w:rFonts w:hint="eastAsia" w:ascii="Times New Roman" w:hAnsi="Times New Roman" w:eastAsia="宋体" w:cs="Times New Roman"/>
                <w:b w:val="0"/>
                <w:bCs w:val="0"/>
                <w:color w:val="auto"/>
                <w:spacing w:val="-4"/>
                <w:sz w:val="24"/>
                <w:szCs w:val="24"/>
                <w:highlight w:val="none"/>
                <w:lang w:val="en-US" w:eastAsia="zh-CN"/>
              </w:rPr>
              <w:t>应符合相关要求</w:t>
            </w:r>
            <w:r>
              <w:rPr>
                <w:rFonts w:hint="default" w:ascii="Times New Roman" w:hAnsi="Times New Roman" w:eastAsia="宋体" w:cs="Times New Roman"/>
                <w:b w:val="0"/>
                <w:bCs w:val="0"/>
                <w:color w:val="auto"/>
                <w:spacing w:val="-4"/>
                <w:sz w:val="24"/>
                <w:szCs w:val="24"/>
                <w:highlight w:val="none"/>
              </w:rPr>
              <w:t>，以保证活性炭的吸附能力。</w:t>
            </w:r>
          </w:p>
          <w:p w14:paraId="468F0A89">
            <w:pPr>
              <w:spacing w:before="34" w:line="355" w:lineRule="auto"/>
              <w:ind w:left="107" w:right="41" w:firstLine="468"/>
              <w:rPr>
                <w:rFonts w:hint="eastAsia" w:cs="Times New Roman"/>
                <w:b w:val="0"/>
                <w:bCs w:val="0"/>
                <w:color w:val="auto"/>
                <w:spacing w:val="-4"/>
                <w:sz w:val="24"/>
                <w:szCs w:val="24"/>
                <w:highlight w:val="none"/>
                <w:lang w:val="en-US" w:eastAsia="zh-CN"/>
              </w:rPr>
            </w:pPr>
            <w:r>
              <w:rPr>
                <w:rFonts w:hint="eastAsia" w:cs="Times New Roman"/>
                <w:b/>
                <w:bCs/>
                <w:color w:val="auto"/>
                <w:spacing w:val="-4"/>
                <w:sz w:val="24"/>
                <w:szCs w:val="24"/>
                <w:highlight w:val="none"/>
                <w:lang w:val="en-US" w:eastAsia="zh-CN"/>
              </w:rPr>
              <w:t>废气处理措施的可行性论证</w:t>
            </w:r>
            <w:r>
              <w:rPr>
                <w:rFonts w:hint="eastAsia" w:cs="Times New Roman"/>
                <w:b w:val="0"/>
                <w:bCs w:val="0"/>
                <w:color w:val="auto"/>
                <w:spacing w:val="-4"/>
                <w:sz w:val="24"/>
                <w:szCs w:val="24"/>
                <w:highlight w:val="none"/>
                <w:lang w:val="en-US" w:eastAsia="zh-CN"/>
              </w:rPr>
              <w:t>：本项目屠宰规模很小（仅生猪7300头/年），恶臭气体如采用生物除臭法，管理要求高、维护成本较高，类比其他较小规模的屠宰场项目（</w:t>
            </w:r>
            <w:r>
              <w:rPr>
                <w:rFonts w:hint="eastAsia" w:cs="Times New Roman"/>
                <w:b/>
                <w:bCs/>
                <w:color w:val="auto"/>
                <w:spacing w:val="-4"/>
                <w:sz w:val="24"/>
                <w:szCs w:val="24"/>
                <w:highlight w:val="none"/>
                <w:lang w:val="en-US" w:eastAsia="zh-CN"/>
              </w:rPr>
              <w:t>如壤塘县牛羊定点屠宰场建设项目，年屠宰牦牛9000头，恶臭气体采用碱液喷淋+活性炭吸附措施；湖北利川市牛羊定点屠宰厂，年屠宰牛7000头、羊20000头，恶臭气体采用碱液喷淋+活性炭吸附措施</w:t>
            </w:r>
            <w:r>
              <w:rPr>
                <w:rFonts w:hint="eastAsia" w:cs="Times New Roman"/>
                <w:b w:val="0"/>
                <w:bCs w:val="0"/>
                <w:color w:val="auto"/>
                <w:spacing w:val="-4"/>
                <w:sz w:val="24"/>
                <w:szCs w:val="24"/>
                <w:highlight w:val="none"/>
                <w:lang w:val="en-US" w:eastAsia="zh-CN"/>
              </w:rPr>
              <w:t>），本项目的恶臭处理拟定采用操作和维护较为容易的化学除臭+吸附除臭措施。碱液喷淋塔能够去除多种类型的恶臭气体，碱性物质对恶臭气体中的H</w:t>
            </w:r>
            <w:r>
              <w:rPr>
                <w:rFonts w:hint="eastAsia" w:cs="Times New Roman"/>
                <w:b w:val="0"/>
                <w:bCs w:val="0"/>
                <w:color w:val="auto"/>
                <w:spacing w:val="-4"/>
                <w:sz w:val="24"/>
                <w:szCs w:val="24"/>
                <w:highlight w:val="none"/>
                <w:vertAlign w:val="subscript"/>
                <w:lang w:val="en-US" w:eastAsia="zh-CN"/>
              </w:rPr>
              <w:t>2</w:t>
            </w:r>
            <w:r>
              <w:rPr>
                <w:rFonts w:hint="eastAsia" w:cs="Times New Roman"/>
                <w:b w:val="0"/>
                <w:bCs w:val="0"/>
                <w:color w:val="auto"/>
                <w:spacing w:val="-4"/>
                <w:sz w:val="24"/>
                <w:szCs w:val="24"/>
                <w:highlight w:val="none"/>
                <w:lang w:val="en-US" w:eastAsia="zh-CN"/>
              </w:rPr>
              <w:t>S具有良好的吸收去除效果，同时恶臭气体中的NH</w:t>
            </w:r>
            <w:r>
              <w:rPr>
                <w:rFonts w:hint="eastAsia" w:cs="Times New Roman"/>
                <w:b w:val="0"/>
                <w:bCs w:val="0"/>
                <w:color w:val="auto"/>
                <w:spacing w:val="-4"/>
                <w:sz w:val="24"/>
                <w:szCs w:val="24"/>
                <w:highlight w:val="none"/>
                <w:vertAlign w:val="subscript"/>
                <w:lang w:val="en-US" w:eastAsia="zh-CN"/>
              </w:rPr>
              <w:t>3</w:t>
            </w:r>
            <w:r>
              <w:rPr>
                <w:rFonts w:hint="eastAsia" w:cs="Times New Roman"/>
                <w:b w:val="0"/>
                <w:bCs w:val="0"/>
                <w:color w:val="auto"/>
                <w:spacing w:val="-4"/>
                <w:sz w:val="24"/>
                <w:szCs w:val="24"/>
                <w:highlight w:val="none"/>
                <w:lang w:val="en-US" w:eastAsia="zh-CN"/>
              </w:rPr>
              <w:t>溶于水溶液，通过调节喷淋液的浓度和pH值，确保去臭效率最大化。活性炭通过范德华力将异味分子吸附在活性炭的孔隙中，活性炭的表面还具有一定的化学性质，可以与含有极性基团的异味分子（如氨气、硫化氢等）发生化学吸附，从而进一步提高其去除异味的能力。</w:t>
            </w:r>
          </w:p>
          <w:p w14:paraId="4E5CA1D5">
            <w:pPr>
              <w:spacing w:before="34" w:line="355" w:lineRule="auto"/>
              <w:ind w:left="107" w:right="41" w:firstLine="468"/>
              <w:rPr>
                <w:rFonts w:hint="default" w:cs="Times New Roman"/>
                <w:b w:val="0"/>
                <w:bCs w:val="0"/>
                <w:color w:val="auto"/>
                <w:spacing w:val="-4"/>
                <w:sz w:val="24"/>
                <w:szCs w:val="24"/>
                <w:highlight w:val="none"/>
                <w:lang w:val="en-US" w:eastAsia="zh-CN"/>
              </w:rPr>
            </w:pPr>
            <w:r>
              <w:rPr>
                <w:rFonts w:hint="eastAsia" w:cs="Times New Roman"/>
                <w:b w:val="0"/>
                <w:bCs w:val="0"/>
                <w:color w:val="auto"/>
                <w:spacing w:val="-4"/>
                <w:sz w:val="24"/>
                <w:szCs w:val="24"/>
                <w:highlight w:val="none"/>
                <w:lang w:val="en-US" w:eastAsia="zh-CN"/>
              </w:rPr>
              <w:t>湖北利川市牛羊定点屠宰厂竣工环保验收（2024年8月），其恶臭气体采用与本项目相同的喷淋+活性炭吸附措施，最终排放的有组织废气（硫化氢检测浓度范围为未检出，排放速率为未检出；氨气监测浓度范围为0.61~1.01mg/m</w:t>
            </w:r>
            <w:r>
              <w:rPr>
                <w:rFonts w:hint="eastAsia" w:cs="Times New Roman"/>
                <w:b w:val="0"/>
                <w:bCs w:val="0"/>
                <w:color w:val="auto"/>
                <w:spacing w:val="-4"/>
                <w:sz w:val="24"/>
                <w:szCs w:val="24"/>
                <w:highlight w:val="none"/>
                <w:vertAlign w:val="superscript"/>
                <w:lang w:val="en-US" w:eastAsia="zh-CN"/>
              </w:rPr>
              <w:t>3</w:t>
            </w:r>
            <w:r>
              <w:rPr>
                <w:rFonts w:hint="eastAsia" w:cs="Times New Roman"/>
                <w:b w:val="0"/>
                <w:bCs w:val="0"/>
                <w:color w:val="auto"/>
                <w:spacing w:val="-4"/>
                <w:sz w:val="24"/>
                <w:szCs w:val="24"/>
                <w:highlight w:val="none"/>
                <w:lang w:val="en-US" w:eastAsia="zh-CN"/>
              </w:rPr>
              <w:t>、监测速率范围为4.46</w:t>
            </w:r>
            <w:r>
              <w:rPr>
                <w:rFonts w:hint="default" w:ascii="Arial" w:hAnsi="Arial" w:cs="Arial"/>
                <w:b w:val="0"/>
                <w:bCs w:val="0"/>
                <w:color w:val="auto"/>
                <w:spacing w:val="-4"/>
                <w:sz w:val="24"/>
                <w:szCs w:val="24"/>
                <w:highlight w:val="none"/>
                <w:lang w:val="en-US" w:eastAsia="zh-CN"/>
              </w:rPr>
              <w:t>×</w:t>
            </w:r>
            <w:r>
              <w:rPr>
                <w:rFonts w:hint="eastAsia" w:cs="Times New Roman"/>
                <w:b w:val="0"/>
                <w:bCs w:val="0"/>
                <w:color w:val="auto"/>
                <w:spacing w:val="-4"/>
                <w:sz w:val="24"/>
                <w:szCs w:val="24"/>
                <w:highlight w:val="none"/>
                <w:lang w:val="en-US" w:eastAsia="zh-CN"/>
              </w:rPr>
              <w:t>10</w:t>
            </w:r>
            <w:r>
              <w:rPr>
                <w:rFonts w:hint="eastAsia" w:cs="Times New Roman"/>
                <w:b w:val="0"/>
                <w:bCs w:val="0"/>
                <w:color w:val="auto"/>
                <w:spacing w:val="-4"/>
                <w:sz w:val="24"/>
                <w:szCs w:val="24"/>
                <w:highlight w:val="none"/>
                <w:vertAlign w:val="superscript"/>
                <w:lang w:val="en-US" w:eastAsia="zh-CN"/>
              </w:rPr>
              <w:t>-3</w:t>
            </w:r>
            <w:r>
              <w:rPr>
                <w:rFonts w:hint="eastAsia" w:cs="Times New Roman"/>
                <w:b w:val="0"/>
                <w:bCs w:val="0"/>
                <w:color w:val="auto"/>
                <w:spacing w:val="-4"/>
                <w:sz w:val="24"/>
                <w:szCs w:val="24"/>
                <w:highlight w:val="none"/>
                <w:lang w:val="en-US" w:eastAsia="zh-CN"/>
              </w:rPr>
              <w:t>~7.39</w:t>
            </w:r>
            <w:r>
              <w:rPr>
                <w:rFonts w:hint="default" w:ascii="Arial" w:hAnsi="Arial" w:cs="Arial"/>
                <w:b w:val="0"/>
                <w:bCs w:val="0"/>
                <w:color w:val="auto"/>
                <w:spacing w:val="-4"/>
                <w:sz w:val="24"/>
                <w:szCs w:val="24"/>
                <w:highlight w:val="none"/>
                <w:lang w:val="en-US" w:eastAsia="zh-CN"/>
              </w:rPr>
              <w:t>×</w:t>
            </w:r>
            <w:r>
              <w:rPr>
                <w:rFonts w:hint="eastAsia" w:cs="Times New Roman"/>
                <w:b w:val="0"/>
                <w:bCs w:val="0"/>
                <w:color w:val="auto"/>
                <w:spacing w:val="-4"/>
                <w:sz w:val="24"/>
                <w:szCs w:val="24"/>
                <w:highlight w:val="none"/>
                <w:lang w:val="en-US" w:eastAsia="zh-CN"/>
              </w:rPr>
              <w:t>10</w:t>
            </w:r>
            <w:r>
              <w:rPr>
                <w:rFonts w:hint="eastAsia" w:cs="Times New Roman"/>
                <w:b w:val="0"/>
                <w:bCs w:val="0"/>
                <w:color w:val="auto"/>
                <w:spacing w:val="-4"/>
                <w:sz w:val="24"/>
                <w:szCs w:val="24"/>
                <w:highlight w:val="none"/>
                <w:vertAlign w:val="superscript"/>
                <w:lang w:val="en-US" w:eastAsia="zh-CN"/>
              </w:rPr>
              <w:t>-3</w:t>
            </w:r>
            <w:r>
              <w:rPr>
                <w:rFonts w:hint="eastAsia" w:cs="Times New Roman"/>
                <w:b w:val="0"/>
                <w:bCs w:val="0"/>
                <w:color w:val="auto"/>
                <w:spacing w:val="-4"/>
                <w:sz w:val="24"/>
                <w:szCs w:val="24"/>
                <w:highlight w:val="none"/>
                <w:vertAlign w:val="baseline"/>
                <w:lang w:val="en-US" w:eastAsia="zh-CN"/>
              </w:rPr>
              <w:t>kg/h，低于排放标准；</w:t>
            </w:r>
            <w:r>
              <w:rPr>
                <w:rFonts w:hint="eastAsia" w:cs="Times New Roman"/>
                <w:b w:val="0"/>
                <w:bCs w:val="0"/>
                <w:color w:val="auto"/>
                <w:spacing w:val="-4"/>
                <w:sz w:val="24"/>
                <w:szCs w:val="24"/>
                <w:highlight w:val="none"/>
                <w:lang w:val="en-US" w:eastAsia="zh-CN"/>
              </w:rPr>
              <w:t>臭气浓度监测最大值为1122，低于排放标准）均满足《恶臭污染物排放标准》（GB14554-93）表2标准。以上实例说明，小型屠宰场恶臭气体采用碱液喷淋+活性炭吸附措施处理，可以确保达标排放，是可行的。</w:t>
            </w:r>
          </w:p>
          <w:p w14:paraId="61238CDF">
            <w:pPr>
              <w:spacing w:before="34" w:line="355" w:lineRule="auto"/>
              <w:ind w:left="107" w:right="41" w:firstLine="468"/>
              <w:rPr>
                <w:rFonts w:hint="default" w:ascii="Times New Roman" w:hAnsi="Times New Roman" w:eastAsia="宋体" w:cs="Times New Roman"/>
                <w:b/>
                <w:bCs/>
                <w:color w:val="auto"/>
                <w:spacing w:val="-4"/>
                <w:sz w:val="24"/>
                <w:szCs w:val="24"/>
                <w:highlight w:val="none"/>
                <w:lang w:val="en-US" w:eastAsia="zh-CN"/>
              </w:rPr>
            </w:pPr>
            <w:r>
              <w:rPr>
                <w:rFonts w:hint="eastAsia" w:cs="Times New Roman"/>
                <w:b/>
                <w:bCs/>
                <w:color w:val="auto"/>
                <w:spacing w:val="-4"/>
                <w:sz w:val="24"/>
                <w:szCs w:val="24"/>
                <w:highlight w:val="none"/>
                <w:lang w:val="en-US" w:eastAsia="zh-CN"/>
              </w:rPr>
              <w:t>2</w:t>
            </w:r>
            <w:r>
              <w:rPr>
                <w:rFonts w:hint="eastAsia" w:ascii="Times New Roman" w:hAnsi="Times New Roman" w:eastAsia="宋体" w:cs="Times New Roman"/>
                <w:b/>
                <w:bCs/>
                <w:color w:val="auto"/>
                <w:spacing w:val="-4"/>
                <w:sz w:val="24"/>
                <w:szCs w:val="24"/>
                <w:highlight w:val="none"/>
                <w:lang w:val="en-US" w:eastAsia="zh-CN"/>
              </w:rPr>
              <w:t>）沼气</w:t>
            </w:r>
          </w:p>
          <w:p w14:paraId="4ACD0F33">
            <w:pPr>
              <w:spacing w:before="34" w:line="355" w:lineRule="auto"/>
              <w:ind w:left="107" w:right="41" w:firstLine="468"/>
              <w:rPr>
                <w:rFonts w:hint="eastAsia" w:ascii="Times New Roman" w:hAnsi="Times New Roman" w:eastAsia="宋体" w:cs="Times New Roman"/>
                <w:b w:val="0"/>
                <w:bCs w:val="0"/>
                <w:color w:val="auto"/>
                <w:spacing w:val="-4"/>
                <w:sz w:val="24"/>
                <w:szCs w:val="24"/>
                <w:highlight w:val="none"/>
                <w:lang w:val="en-US" w:eastAsia="zh-CN"/>
              </w:rPr>
            </w:pPr>
            <w:r>
              <w:rPr>
                <w:rFonts w:hint="eastAsia" w:ascii="Times New Roman" w:hAnsi="Times New Roman" w:eastAsia="宋体" w:cs="Times New Roman"/>
                <w:b w:val="0"/>
                <w:bCs w:val="0"/>
                <w:color w:val="auto"/>
                <w:spacing w:val="-4"/>
                <w:sz w:val="24"/>
                <w:szCs w:val="24"/>
                <w:highlight w:val="none"/>
                <w:lang w:val="en-US" w:eastAsia="zh-CN"/>
              </w:rPr>
              <w:t>根据设计提供资料，项目厌氧池在运行过程中将会产生沼气，沼气经</w:t>
            </w:r>
            <w:r>
              <w:rPr>
                <w:rFonts w:hint="eastAsia" w:cs="Times New Roman"/>
                <w:b w:val="0"/>
                <w:bCs w:val="0"/>
                <w:color w:val="auto"/>
                <w:spacing w:val="-4"/>
                <w:sz w:val="24"/>
                <w:szCs w:val="24"/>
                <w:highlight w:val="none"/>
                <w:lang w:val="en-US" w:eastAsia="zh-CN"/>
              </w:rPr>
              <w:t>管道</w:t>
            </w:r>
            <w:r>
              <w:rPr>
                <w:rFonts w:hint="eastAsia" w:ascii="Times New Roman" w:hAnsi="Times New Roman" w:eastAsia="宋体" w:cs="Times New Roman"/>
                <w:b w:val="0"/>
                <w:bCs w:val="0"/>
                <w:color w:val="auto"/>
                <w:spacing w:val="-4"/>
                <w:sz w:val="24"/>
                <w:szCs w:val="24"/>
                <w:highlight w:val="none"/>
                <w:lang w:val="en-US" w:eastAsia="zh-CN"/>
              </w:rPr>
              <w:t>收集</w:t>
            </w:r>
            <w:r>
              <w:rPr>
                <w:rFonts w:hint="eastAsia" w:cs="Times New Roman"/>
                <w:b w:val="0"/>
                <w:bCs w:val="0"/>
                <w:color w:val="auto"/>
                <w:spacing w:val="-4"/>
                <w:sz w:val="24"/>
                <w:szCs w:val="24"/>
                <w:highlight w:val="none"/>
                <w:lang w:val="en-US" w:eastAsia="zh-CN"/>
              </w:rPr>
              <w:t>后进入废气处理设施处理</w:t>
            </w:r>
            <w:r>
              <w:rPr>
                <w:rFonts w:hint="eastAsia" w:ascii="Times New Roman" w:hAnsi="Times New Roman" w:eastAsia="宋体" w:cs="Times New Roman"/>
                <w:b w:val="0"/>
                <w:bCs w:val="0"/>
                <w:color w:val="auto"/>
                <w:spacing w:val="-4"/>
                <w:sz w:val="24"/>
                <w:szCs w:val="24"/>
                <w:highlight w:val="none"/>
                <w:lang w:val="en-US" w:eastAsia="zh-CN"/>
              </w:rPr>
              <w:t>。沼气是有机物质在一定的温度、湿度、酸度条件下，隔绝空气（厌氧环境），经微生物作用（发酵）而产生的可燃性气体，其主要成分为CH</w:t>
            </w:r>
            <w:r>
              <w:rPr>
                <w:rFonts w:hint="eastAsia" w:ascii="Times New Roman" w:hAnsi="Times New Roman" w:eastAsia="宋体" w:cs="Times New Roman"/>
                <w:b w:val="0"/>
                <w:bCs w:val="0"/>
                <w:color w:val="auto"/>
                <w:spacing w:val="-4"/>
                <w:sz w:val="24"/>
                <w:szCs w:val="24"/>
                <w:highlight w:val="none"/>
                <w:vertAlign w:val="subscript"/>
                <w:lang w:val="en-US" w:eastAsia="zh-CN"/>
              </w:rPr>
              <w:t>4</w:t>
            </w:r>
            <w:r>
              <w:rPr>
                <w:rFonts w:hint="eastAsia" w:ascii="Times New Roman" w:hAnsi="Times New Roman" w:eastAsia="宋体" w:cs="Times New Roman"/>
                <w:b w:val="0"/>
                <w:bCs w:val="0"/>
                <w:color w:val="auto"/>
                <w:spacing w:val="-4"/>
                <w:sz w:val="24"/>
                <w:szCs w:val="24"/>
                <w:highlight w:val="none"/>
                <w:lang w:val="en-US" w:eastAsia="zh-CN"/>
              </w:rPr>
              <w:t>，即甲烷占50%~80%，同时含20%~40%的CO</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，1%~5%的N</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，0.2%~3%的H</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S、O</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和H</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等。燃烧后生成CO</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、H</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O、SO</w:t>
            </w:r>
            <w:r>
              <w:rPr>
                <w:rFonts w:hint="eastAsia" w:ascii="Times New Roman" w:hAnsi="Times New Roman" w:eastAsia="宋体" w:cs="Times New Roman"/>
                <w:b w:val="0"/>
                <w:bCs w:val="0"/>
                <w:color w:val="auto"/>
                <w:spacing w:val="-4"/>
                <w:sz w:val="24"/>
                <w:szCs w:val="24"/>
                <w:highlight w:val="none"/>
                <w:vertAlign w:val="subscript"/>
                <w:lang w:val="en-US" w:eastAsia="zh-CN"/>
              </w:rPr>
              <w:t>2</w:t>
            </w:r>
            <w:r>
              <w:rPr>
                <w:rFonts w:hint="eastAsia" w:ascii="Times New Roman" w:hAnsi="Times New Roman" w:eastAsia="宋体" w:cs="Times New Roman"/>
                <w:b w:val="0"/>
                <w:bCs w:val="0"/>
                <w:color w:val="auto"/>
                <w:spacing w:val="-4"/>
                <w:sz w:val="24"/>
                <w:szCs w:val="24"/>
                <w:highlight w:val="none"/>
                <w:lang w:val="en-US" w:eastAsia="zh-CN"/>
              </w:rPr>
              <w:t>。沼气成分详见下表。</w:t>
            </w:r>
          </w:p>
          <w:p w14:paraId="55E7ACB0">
            <w:pPr>
              <w:pStyle w:val="15"/>
              <w:numPr>
                <w:ilvl w:val="0"/>
                <w:numId w:val="19"/>
              </w:numPr>
              <w:ind w:left="425" w:leftChars="0" w:right="113" w:rightChars="0" w:hanging="425"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沼气成分一览表</w:t>
            </w:r>
          </w:p>
          <w:tbl>
            <w:tblPr>
              <w:tblStyle w:val="32"/>
              <w:tblW w:w="4998" w:type="pct"/>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autofit"/>
              <w:tblCellMar>
                <w:top w:w="0" w:type="dxa"/>
                <w:left w:w="0" w:type="dxa"/>
                <w:bottom w:w="0" w:type="dxa"/>
                <w:right w:w="0" w:type="dxa"/>
              </w:tblCellMar>
            </w:tblPr>
            <w:tblGrid>
              <w:gridCol w:w="2103"/>
              <w:gridCol w:w="1204"/>
              <w:gridCol w:w="1204"/>
              <w:gridCol w:w="674"/>
              <w:gridCol w:w="674"/>
              <w:gridCol w:w="842"/>
              <w:gridCol w:w="1497"/>
            </w:tblGrid>
            <w:tr w14:paraId="61D8F504">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561" w:hRule="exact"/>
                <w:jc w:val="center"/>
              </w:trPr>
              <w:tc>
                <w:tcPr>
                  <w:tcW w:w="1282" w:type="pct"/>
                  <w:noWrap w:val="0"/>
                  <w:vAlign w:val="center"/>
                </w:tcPr>
                <w:p w14:paraId="6D48EB89">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5"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sz w:val="21"/>
                      <w:szCs w:val="21"/>
                      <w:highlight w:val="none"/>
                      <w:lang w:val="en-US" w:eastAsia="zh-CN" w:bidi="ar-SA"/>
                    </w:rPr>
                    <w:t>成分</w:t>
                  </w:r>
                </w:p>
              </w:tc>
              <w:tc>
                <w:tcPr>
                  <w:tcW w:w="734" w:type="pct"/>
                  <w:noWrap w:val="0"/>
                  <w:vAlign w:val="center"/>
                </w:tcPr>
                <w:p w14:paraId="1A3A7DF9">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CH</w:t>
                  </w:r>
                  <w:r>
                    <w:rPr>
                      <w:rFonts w:hint="default" w:ascii="Times New Roman" w:hAnsi="Times New Roman" w:eastAsia="宋体" w:cs="Times New Roman"/>
                      <w:b/>
                      <w:color w:val="auto"/>
                      <w:kern w:val="0"/>
                      <w:sz w:val="21"/>
                      <w:szCs w:val="21"/>
                      <w:highlight w:val="none"/>
                      <w:vertAlign w:val="subscript"/>
                      <w:lang w:val="en-US" w:eastAsia="zh-CN" w:bidi="ar-SA"/>
                    </w:rPr>
                    <w:t>4</w:t>
                  </w:r>
                </w:p>
              </w:tc>
              <w:tc>
                <w:tcPr>
                  <w:tcW w:w="734" w:type="pct"/>
                  <w:noWrap w:val="0"/>
                  <w:vAlign w:val="center"/>
                </w:tcPr>
                <w:p w14:paraId="3848A827">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CO</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411" w:type="pct"/>
                  <w:noWrap w:val="0"/>
                  <w:vAlign w:val="center"/>
                </w:tcPr>
                <w:p w14:paraId="6C3ABD40">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N</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411" w:type="pct"/>
                  <w:noWrap w:val="0"/>
                  <w:vAlign w:val="center"/>
                </w:tcPr>
                <w:p w14:paraId="766A0CD1">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1"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H</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513" w:type="pct"/>
                  <w:noWrap w:val="0"/>
                  <w:vAlign w:val="center"/>
                </w:tcPr>
                <w:p w14:paraId="68ED8BB8">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O</w:t>
                  </w:r>
                  <w:r>
                    <w:rPr>
                      <w:rFonts w:hint="default" w:ascii="Times New Roman" w:hAnsi="Times New Roman" w:eastAsia="宋体" w:cs="Times New Roman"/>
                      <w:b/>
                      <w:color w:val="auto"/>
                      <w:kern w:val="0"/>
                      <w:sz w:val="21"/>
                      <w:szCs w:val="21"/>
                      <w:highlight w:val="none"/>
                      <w:vertAlign w:val="subscript"/>
                      <w:lang w:val="en-US" w:eastAsia="zh-CN" w:bidi="ar-SA"/>
                    </w:rPr>
                    <w:t>2</w:t>
                  </w:r>
                </w:p>
              </w:tc>
              <w:tc>
                <w:tcPr>
                  <w:tcW w:w="912" w:type="pct"/>
                  <w:noWrap w:val="0"/>
                  <w:vAlign w:val="center"/>
                </w:tcPr>
                <w:p w14:paraId="6DFBE0E9">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6" w:firstLine="0" w:firstLineChars="0"/>
                    <w:jc w:val="center"/>
                    <w:rPr>
                      <w:rFonts w:hint="default" w:ascii="Times New Roman" w:hAnsi="Times New Roman" w:eastAsia="宋体" w:cs="Times New Roman"/>
                      <w:b/>
                      <w:color w:val="auto"/>
                      <w:kern w:val="0"/>
                      <w:sz w:val="21"/>
                      <w:szCs w:val="21"/>
                      <w:highlight w:val="none"/>
                      <w:lang w:val="en-US" w:eastAsia="zh-CN" w:bidi="ar-SA"/>
                    </w:rPr>
                  </w:pPr>
                  <w:r>
                    <w:rPr>
                      <w:rFonts w:hint="default" w:ascii="Times New Roman" w:hAnsi="Times New Roman" w:eastAsia="宋体" w:cs="Times New Roman"/>
                      <w:b/>
                      <w:color w:val="auto"/>
                      <w:kern w:val="0"/>
                      <w:position w:val="2"/>
                      <w:sz w:val="21"/>
                      <w:szCs w:val="21"/>
                      <w:highlight w:val="none"/>
                      <w:lang w:val="en-US" w:eastAsia="zh-CN" w:bidi="ar-SA"/>
                    </w:rPr>
                    <w:t>H</w:t>
                  </w:r>
                  <w:r>
                    <w:rPr>
                      <w:rFonts w:hint="default" w:ascii="Times New Roman" w:hAnsi="Times New Roman" w:eastAsia="宋体" w:cs="Times New Roman"/>
                      <w:b/>
                      <w:color w:val="auto"/>
                      <w:kern w:val="0"/>
                      <w:sz w:val="21"/>
                      <w:szCs w:val="21"/>
                      <w:highlight w:val="none"/>
                      <w:vertAlign w:val="subscript"/>
                      <w:lang w:val="en-US" w:eastAsia="zh-CN" w:bidi="ar-SA"/>
                    </w:rPr>
                    <w:t>2</w:t>
                  </w:r>
                  <w:r>
                    <w:rPr>
                      <w:rFonts w:hint="default" w:ascii="Times New Roman" w:hAnsi="Times New Roman" w:eastAsia="宋体" w:cs="Times New Roman"/>
                      <w:b/>
                      <w:color w:val="auto"/>
                      <w:kern w:val="0"/>
                      <w:position w:val="2"/>
                      <w:sz w:val="21"/>
                      <w:szCs w:val="21"/>
                      <w:highlight w:val="none"/>
                      <w:lang w:val="en-US" w:eastAsia="zh-CN" w:bidi="ar-SA"/>
                    </w:rPr>
                    <w:t>S</w:t>
                  </w:r>
                </w:p>
              </w:tc>
            </w:tr>
            <w:tr w14:paraId="113AB246">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561" w:hRule="exact"/>
                <w:jc w:val="center"/>
              </w:trPr>
              <w:tc>
                <w:tcPr>
                  <w:tcW w:w="1282" w:type="pct"/>
                  <w:noWrap w:val="0"/>
                  <w:vAlign w:val="center"/>
                </w:tcPr>
                <w:p w14:paraId="7323ACF6">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含量（体积分数）</w:t>
                  </w:r>
                </w:p>
              </w:tc>
              <w:tc>
                <w:tcPr>
                  <w:tcW w:w="734" w:type="pct"/>
                  <w:noWrap w:val="0"/>
                  <w:vAlign w:val="center"/>
                </w:tcPr>
                <w:p w14:paraId="523AA879">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50%~80%</w:t>
                  </w:r>
                </w:p>
              </w:tc>
              <w:tc>
                <w:tcPr>
                  <w:tcW w:w="734" w:type="pct"/>
                  <w:noWrap w:val="0"/>
                  <w:vAlign w:val="center"/>
                </w:tcPr>
                <w:p w14:paraId="56AFB568">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20%~40%</w:t>
                  </w:r>
                </w:p>
              </w:tc>
              <w:tc>
                <w:tcPr>
                  <w:tcW w:w="411" w:type="pct"/>
                  <w:noWrap w:val="0"/>
                  <w:vAlign w:val="center"/>
                </w:tcPr>
                <w:p w14:paraId="4A252518">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&lt;5%</w:t>
                  </w:r>
                </w:p>
              </w:tc>
              <w:tc>
                <w:tcPr>
                  <w:tcW w:w="411" w:type="pct"/>
                  <w:noWrap w:val="0"/>
                  <w:vAlign w:val="center"/>
                </w:tcPr>
                <w:p w14:paraId="4C23CF77">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&lt;1%</w:t>
                  </w:r>
                </w:p>
              </w:tc>
              <w:tc>
                <w:tcPr>
                  <w:tcW w:w="513" w:type="pct"/>
                  <w:noWrap w:val="0"/>
                  <w:vAlign w:val="center"/>
                </w:tcPr>
                <w:p w14:paraId="3C178D25">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&lt;0.4%</w:t>
                  </w:r>
                </w:p>
              </w:tc>
              <w:tc>
                <w:tcPr>
                  <w:tcW w:w="912" w:type="pct"/>
                  <w:noWrap w:val="0"/>
                  <w:vAlign w:val="center"/>
                </w:tcPr>
                <w:p w14:paraId="49028A1F">
                  <w:pPr>
                    <w:keepNext w:val="0"/>
                    <w:keepLines w:val="0"/>
                    <w:widowControl w:val="0"/>
                    <w:suppressLineNumbers w:val="0"/>
                    <w:kinsoku w:val="0"/>
                    <w:overflowPunct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0.05%~0.1%</w:t>
                  </w:r>
                </w:p>
              </w:tc>
            </w:tr>
          </w:tbl>
          <w:p w14:paraId="201BCF8D">
            <w:pPr>
              <w:widowControl/>
              <w:spacing w:line="360" w:lineRule="auto"/>
              <w:ind w:firstLine="480" w:firstLineChars="200"/>
              <w:jc w:val="left"/>
              <w:rPr>
                <w:rFonts w:hint="eastAsia" w:ascii="Times New Roman" w:hAnsi="Times New Roman" w:eastAsia="宋体" w:cs="Times New Roman"/>
                <w:bCs/>
                <w:color w:val="auto"/>
                <w:kern w:val="0"/>
                <w:highlight w:val="none"/>
                <w:u w:val="none"/>
              </w:rPr>
            </w:pPr>
            <w:r>
              <w:rPr>
                <w:rFonts w:hint="eastAsia" w:ascii="Times New Roman" w:hAnsi="Times New Roman" w:eastAsia="宋体" w:cs="Times New Roman"/>
                <w:bCs/>
                <w:color w:val="auto"/>
                <w:kern w:val="0"/>
                <w:highlight w:val="none"/>
                <w:lang w:val="en-US" w:eastAsia="zh-CN"/>
              </w:rPr>
              <w:t>参考</w:t>
            </w:r>
            <w:r>
              <w:rPr>
                <w:rFonts w:hint="default" w:ascii="Times New Roman" w:hAnsi="Times New Roman" w:eastAsia="宋体" w:cs="Times New Roman"/>
                <w:bCs/>
                <w:color w:val="auto"/>
                <w:kern w:val="0"/>
                <w:highlight w:val="none"/>
                <w:lang w:val="en-US" w:eastAsia="zh-CN"/>
              </w:rPr>
              <w:t>《规模化畜禽养殖场沼气工程设计规范》（NY/T1222-2006）可知，理论上每削减1kgCOD可产生0.35m</w:t>
            </w:r>
            <w:r>
              <w:rPr>
                <w:rFonts w:hint="default" w:ascii="Times New Roman" w:hAnsi="Times New Roman" w:eastAsia="宋体" w:cs="Times New Roman"/>
                <w:bCs/>
                <w:color w:val="auto"/>
                <w:kern w:val="0"/>
                <w:highlight w:val="none"/>
                <w:vertAlign w:val="superscript"/>
                <w:lang w:val="en-US" w:eastAsia="zh-CN"/>
              </w:rPr>
              <w:t>3</w:t>
            </w:r>
            <w:r>
              <w:rPr>
                <w:rFonts w:hint="default" w:ascii="Times New Roman" w:hAnsi="Times New Roman" w:eastAsia="宋体" w:cs="Times New Roman"/>
                <w:bCs/>
                <w:color w:val="auto"/>
                <w:kern w:val="0"/>
                <w:highlight w:val="none"/>
                <w:lang w:val="en-US" w:eastAsia="zh-CN"/>
              </w:rPr>
              <w:t>沼气，一般情况下，经厌氧发酵处理工序COD去除率为</w:t>
            </w:r>
            <w:r>
              <w:rPr>
                <w:rFonts w:hint="eastAsia" w:ascii="Times New Roman" w:hAnsi="Times New Roman" w:eastAsia="宋体" w:cs="Times New Roman"/>
                <w:bCs/>
                <w:color w:val="auto"/>
                <w:kern w:val="0"/>
                <w:highlight w:val="none"/>
                <w:lang w:val="en-US" w:eastAsia="zh-CN"/>
              </w:rPr>
              <w:t>40</w:t>
            </w:r>
            <w:r>
              <w:rPr>
                <w:rFonts w:hint="default" w:ascii="Times New Roman" w:hAnsi="Times New Roman" w:eastAsia="宋体" w:cs="Times New Roman"/>
                <w:bCs/>
                <w:color w:val="auto"/>
                <w:kern w:val="0"/>
                <w:highlight w:val="none"/>
                <w:lang w:val="en-US" w:eastAsia="zh-CN"/>
              </w:rPr>
              <w:t>%，根据废水章节分析可知，项目废水中COD含量为</w:t>
            </w:r>
            <w:r>
              <w:rPr>
                <w:rFonts w:hint="eastAsia" w:ascii="Times New Roman" w:hAnsi="Times New Roman" w:eastAsia="宋体" w:cs="Times New Roman"/>
                <w:bCs/>
                <w:color w:val="auto"/>
                <w:kern w:val="0"/>
                <w:highlight w:val="none"/>
                <w:lang w:val="en-US" w:eastAsia="zh-CN"/>
              </w:rPr>
              <w:t>8.605</w:t>
            </w:r>
            <w:r>
              <w:rPr>
                <w:rFonts w:hint="default" w:ascii="Times New Roman" w:hAnsi="Times New Roman" w:eastAsia="宋体" w:cs="Times New Roman"/>
                <w:bCs/>
                <w:color w:val="auto"/>
                <w:kern w:val="0"/>
                <w:highlight w:val="none"/>
                <w:lang w:val="en-US" w:eastAsia="zh-CN"/>
              </w:rPr>
              <w:t>t/a，则</w:t>
            </w:r>
            <w:r>
              <w:rPr>
                <w:rFonts w:hint="eastAsia" w:ascii="Times New Roman" w:hAnsi="Times New Roman" w:eastAsia="宋体" w:cs="Times New Roman"/>
                <w:bCs/>
                <w:color w:val="auto"/>
                <w:kern w:val="0"/>
                <w:highlight w:val="none"/>
                <w:lang w:val="en-US" w:eastAsia="zh-CN"/>
              </w:rPr>
              <w:t>厌氧池</w:t>
            </w:r>
            <w:r>
              <w:rPr>
                <w:rFonts w:hint="default" w:ascii="Times New Roman" w:hAnsi="Times New Roman" w:eastAsia="宋体" w:cs="Times New Roman"/>
                <w:bCs/>
                <w:color w:val="auto"/>
                <w:kern w:val="0"/>
                <w:highlight w:val="none"/>
                <w:lang w:val="en-US" w:eastAsia="zh-CN"/>
              </w:rPr>
              <w:t>去除的COD为</w:t>
            </w:r>
            <w:r>
              <w:rPr>
                <w:rFonts w:hint="eastAsia" w:ascii="Times New Roman" w:hAnsi="Times New Roman" w:eastAsia="宋体" w:cs="Times New Roman"/>
                <w:bCs/>
                <w:color w:val="auto"/>
                <w:kern w:val="0"/>
                <w:highlight w:val="none"/>
                <w:lang w:val="en-US" w:eastAsia="zh-CN"/>
              </w:rPr>
              <w:t>3.442</w:t>
            </w:r>
            <w:r>
              <w:rPr>
                <w:rFonts w:hint="default" w:ascii="Times New Roman" w:hAnsi="Times New Roman" w:eastAsia="宋体" w:cs="Times New Roman"/>
                <w:bCs/>
                <w:color w:val="auto"/>
                <w:kern w:val="0"/>
                <w:highlight w:val="none"/>
                <w:lang w:val="en-US" w:eastAsia="zh-CN"/>
              </w:rPr>
              <w:t>t/a，甲烷产生量为</w:t>
            </w:r>
            <w:r>
              <w:rPr>
                <w:rFonts w:hint="eastAsia" w:ascii="Times New Roman" w:hAnsi="Times New Roman" w:eastAsia="宋体" w:cs="Times New Roman"/>
                <w:bCs/>
                <w:color w:val="auto"/>
                <w:kern w:val="0"/>
                <w:highlight w:val="none"/>
                <w:lang w:val="en-US" w:eastAsia="zh-CN"/>
              </w:rPr>
              <w:t>3.3</w:t>
            </w:r>
            <w:r>
              <w:rPr>
                <w:rFonts w:hint="default" w:ascii="Times New Roman" w:hAnsi="Times New Roman" w:eastAsia="宋体" w:cs="Times New Roman"/>
                <w:bCs/>
                <w:color w:val="auto"/>
                <w:kern w:val="0"/>
                <w:highlight w:val="none"/>
                <w:lang w:val="en-US" w:eastAsia="zh-CN"/>
              </w:rPr>
              <w:t>m</w:t>
            </w:r>
            <w:r>
              <w:rPr>
                <w:rFonts w:hint="default" w:ascii="Times New Roman" w:hAnsi="Times New Roman" w:eastAsia="宋体" w:cs="Times New Roman"/>
                <w:bCs/>
                <w:color w:val="auto"/>
                <w:kern w:val="0"/>
                <w:highlight w:val="none"/>
                <w:vertAlign w:val="superscript"/>
                <w:lang w:val="en-US" w:eastAsia="zh-CN"/>
              </w:rPr>
              <w:t>3</w:t>
            </w:r>
            <w:r>
              <w:rPr>
                <w:rFonts w:hint="default" w:ascii="Times New Roman" w:hAnsi="Times New Roman" w:eastAsia="宋体" w:cs="Times New Roman"/>
                <w:bCs/>
                <w:color w:val="auto"/>
                <w:kern w:val="0"/>
                <w:highlight w:val="none"/>
                <w:lang w:val="en-US" w:eastAsia="zh-CN"/>
              </w:rPr>
              <w:t>/d（</w:t>
            </w:r>
            <w:r>
              <w:rPr>
                <w:rFonts w:hint="eastAsia" w:ascii="Times New Roman" w:hAnsi="Times New Roman" w:eastAsia="宋体" w:cs="Times New Roman"/>
                <w:bCs/>
                <w:color w:val="auto"/>
                <w:kern w:val="0"/>
                <w:highlight w:val="none"/>
                <w:lang w:val="en-US" w:eastAsia="zh-CN"/>
              </w:rPr>
              <w:t>1204.7</w:t>
            </w:r>
            <w:r>
              <w:rPr>
                <w:rFonts w:hint="default" w:ascii="Times New Roman" w:hAnsi="Times New Roman" w:eastAsia="宋体" w:cs="Times New Roman"/>
                <w:bCs/>
                <w:color w:val="auto"/>
                <w:kern w:val="0"/>
                <w:highlight w:val="none"/>
                <w:lang w:val="en-US" w:eastAsia="zh-CN"/>
              </w:rPr>
              <w:t>m</w:t>
            </w:r>
            <w:r>
              <w:rPr>
                <w:rFonts w:hint="default" w:ascii="Times New Roman" w:hAnsi="Times New Roman" w:eastAsia="宋体" w:cs="Times New Roman"/>
                <w:bCs/>
                <w:color w:val="auto"/>
                <w:kern w:val="0"/>
                <w:highlight w:val="none"/>
                <w:vertAlign w:val="superscript"/>
                <w:lang w:val="en-US" w:eastAsia="zh-CN"/>
              </w:rPr>
              <w:t>3</w:t>
            </w:r>
            <w:r>
              <w:rPr>
                <w:rFonts w:hint="default" w:ascii="Times New Roman" w:hAnsi="Times New Roman" w:eastAsia="宋体" w:cs="Times New Roman"/>
                <w:bCs/>
                <w:color w:val="auto"/>
                <w:kern w:val="0"/>
                <w:highlight w:val="none"/>
                <w:lang w:val="en-US" w:eastAsia="zh-CN"/>
              </w:rPr>
              <w:t>/a）。</w:t>
            </w:r>
            <w:r>
              <w:rPr>
                <w:rFonts w:hint="eastAsia" w:ascii="Times New Roman" w:hAnsi="Times New Roman" w:eastAsia="宋体" w:cs="Times New Roman"/>
                <w:bCs/>
                <w:color w:val="auto"/>
                <w:kern w:val="0"/>
                <w:highlight w:val="none"/>
                <w:u w:val="none"/>
              </w:rPr>
              <w:t>沼气2</w:t>
            </w:r>
            <w:r>
              <w:rPr>
                <w:rFonts w:hint="default" w:ascii="Times New Roman" w:hAnsi="Times New Roman" w:eastAsia="宋体" w:cs="Times New Roman"/>
                <w:bCs/>
                <w:color w:val="auto"/>
                <w:kern w:val="0"/>
                <w:highlight w:val="none"/>
                <w:u w:val="none"/>
              </w:rPr>
              <w:t>0℃</w:t>
            </w:r>
            <w:r>
              <w:rPr>
                <w:rFonts w:hint="eastAsia" w:ascii="Times New Roman" w:hAnsi="Times New Roman" w:eastAsia="宋体" w:cs="Times New Roman"/>
                <w:bCs/>
                <w:color w:val="auto"/>
                <w:kern w:val="0"/>
                <w:highlight w:val="none"/>
                <w:u w:val="none"/>
              </w:rPr>
              <w:t>时，密度1.205kg/m</w:t>
            </w:r>
            <w:r>
              <w:rPr>
                <w:rFonts w:hint="eastAsia" w:ascii="Times New Roman" w:hAnsi="Times New Roman" w:eastAsia="宋体" w:cs="Times New Roman"/>
                <w:bCs/>
                <w:color w:val="auto"/>
                <w:kern w:val="0"/>
                <w:highlight w:val="none"/>
                <w:u w:val="none"/>
                <w:vertAlign w:val="superscript"/>
              </w:rPr>
              <w:t>3</w:t>
            </w:r>
            <w:r>
              <w:rPr>
                <w:rFonts w:hint="eastAsia" w:ascii="Times New Roman" w:hAnsi="Times New Roman" w:eastAsia="宋体" w:cs="Times New Roman"/>
                <w:bCs/>
                <w:color w:val="auto"/>
                <w:kern w:val="0"/>
                <w:highlight w:val="none"/>
                <w:u w:val="none"/>
              </w:rPr>
              <w:t>，</w:t>
            </w:r>
            <w:r>
              <w:rPr>
                <w:rFonts w:hint="eastAsia" w:cs="Times New Roman"/>
                <w:bCs/>
                <w:color w:val="auto"/>
                <w:kern w:val="0"/>
                <w:highlight w:val="none"/>
                <w:u w:val="none"/>
                <w:lang w:val="en-US" w:eastAsia="zh-CN"/>
              </w:rPr>
              <w:t>产生量</w:t>
            </w:r>
            <w:r>
              <w:rPr>
                <w:rFonts w:hint="eastAsia" w:ascii="Times New Roman" w:hAnsi="Times New Roman" w:eastAsia="宋体" w:cs="Times New Roman"/>
                <w:bCs/>
                <w:color w:val="auto"/>
                <w:kern w:val="0"/>
                <w:highlight w:val="none"/>
                <w:u w:val="none"/>
              </w:rPr>
              <w:t>约合</w:t>
            </w:r>
            <w:r>
              <w:rPr>
                <w:rFonts w:hint="eastAsia" w:ascii="Times New Roman" w:hAnsi="Times New Roman" w:eastAsia="宋体" w:cs="Times New Roman"/>
                <w:bCs/>
                <w:color w:val="auto"/>
                <w:kern w:val="0"/>
                <w:highlight w:val="none"/>
                <w:u w:val="none"/>
                <w:lang w:val="en-US" w:eastAsia="zh-CN"/>
              </w:rPr>
              <w:t>1.45</w:t>
            </w:r>
            <w:r>
              <w:rPr>
                <w:rFonts w:hint="eastAsia" w:ascii="Times New Roman" w:hAnsi="Times New Roman" w:eastAsia="宋体" w:cs="Times New Roman"/>
                <w:bCs/>
                <w:color w:val="auto"/>
                <w:kern w:val="0"/>
                <w:highlight w:val="none"/>
                <w:u w:val="none"/>
              </w:rPr>
              <w:t>t/a。</w:t>
            </w:r>
          </w:p>
          <w:p w14:paraId="4AE6D97E">
            <w:pPr>
              <w:spacing w:before="36" w:line="347" w:lineRule="auto"/>
              <w:ind w:left="109" w:right="103" w:firstLine="483"/>
              <w:rPr>
                <w:rFonts w:ascii="宋体" w:hAnsi="宋体" w:eastAsia="宋体" w:cs="宋体"/>
                <w:color w:val="auto"/>
                <w:sz w:val="24"/>
                <w:szCs w:val="24"/>
                <w:highlight w:val="none"/>
              </w:rPr>
            </w:pPr>
            <w:r>
              <w:rPr>
                <w:rFonts w:ascii="宋体" w:hAnsi="宋体" w:eastAsia="宋体" w:cs="宋体"/>
                <w:b/>
                <w:bCs/>
                <w:color w:val="auto"/>
                <w:spacing w:val="-1"/>
                <w:sz w:val="24"/>
                <w:szCs w:val="24"/>
                <w:highlight w:val="none"/>
              </w:rPr>
              <w:t>治理措施：</w:t>
            </w:r>
            <w:r>
              <w:rPr>
                <w:rFonts w:hint="eastAsia" w:ascii="宋体" w:hAnsi="宋体" w:eastAsia="宋体" w:cs="宋体"/>
                <w:color w:val="auto"/>
                <w:spacing w:val="-1"/>
                <w:sz w:val="24"/>
                <w:szCs w:val="24"/>
                <w:highlight w:val="none"/>
                <w:lang w:val="en-US" w:eastAsia="zh-CN"/>
              </w:rPr>
              <w:t>由于本项目产生的沼气量较少</w:t>
            </w:r>
            <w:r>
              <w:rPr>
                <w:rFonts w:ascii="宋体" w:hAnsi="宋体" w:eastAsia="宋体" w:cs="宋体"/>
                <w:color w:val="auto"/>
                <w:spacing w:val="-1"/>
                <w:sz w:val="24"/>
                <w:szCs w:val="24"/>
                <w:highlight w:val="none"/>
              </w:rPr>
              <w:t>，</w:t>
            </w:r>
            <w:r>
              <w:rPr>
                <w:rFonts w:hint="eastAsia" w:ascii="宋体" w:hAnsi="宋体" w:eastAsia="宋体" w:cs="宋体"/>
                <w:color w:val="auto"/>
                <w:spacing w:val="-1"/>
                <w:sz w:val="24"/>
                <w:szCs w:val="24"/>
                <w:highlight w:val="none"/>
                <w:lang w:val="en-US" w:eastAsia="zh-CN"/>
              </w:rPr>
              <w:t>无法得到充分利用，故废气引至屠宰废气处理设施一并进行处理（活性炭处理效率按70%计）。</w:t>
            </w:r>
            <w:r>
              <w:rPr>
                <w:rFonts w:ascii="宋体" w:hAnsi="宋体" w:eastAsia="宋体" w:cs="宋体"/>
                <w:color w:val="auto"/>
                <w:spacing w:val="-3"/>
                <w:sz w:val="24"/>
                <w:szCs w:val="24"/>
                <w:highlight w:val="none"/>
              </w:rPr>
              <w:t>一根</w:t>
            </w:r>
            <w:r>
              <w:rPr>
                <w:rFonts w:ascii="Times New Roman" w:hAnsi="Times New Roman" w:eastAsia="Times New Roman" w:cs="Times New Roman"/>
                <w:color w:val="auto"/>
                <w:spacing w:val="-3"/>
                <w:sz w:val="24"/>
                <w:szCs w:val="24"/>
                <w:highlight w:val="none"/>
              </w:rPr>
              <w:t>15m</w:t>
            </w:r>
            <w:r>
              <w:rPr>
                <w:rFonts w:ascii="宋体" w:hAnsi="宋体" w:eastAsia="宋体" w:cs="宋体"/>
                <w:color w:val="auto"/>
                <w:spacing w:val="-3"/>
                <w:sz w:val="24"/>
                <w:szCs w:val="24"/>
                <w:highlight w:val="none"/>
              </w:rPr>
              <w:t>高排气筒</w:t>
            </w:r>
            <w:r>
              <w:rPr>
                <w:rFonts w:ascii="Times New Roman" w:hAnsi="Times New Roman" w:eastAsia="Times New Roman" w:cs="Times New Roman"/>
                <w:color w:val="auto"/>
                <w:spacing w:val="-3"/>
                <w:sz w:val="24"/>
                <w:szCs w:val="24"/>
                <w:highlight w:val="none"/>
              </w:rPr>
              <w:t>DA00</w:t>
            </w:r>
            <w:r>
              <w:rPr>
                <w:rFonts w:hint="eastAsia" w:ascii="Times New Roman" w:hAnsi="Times New Roman" w:eastAsia="宋体" w:cs="Times New Roman"/>
                <w:color w:val="auto"/>
                <w:spacing w:val="-3"/>
                <w:sz w:val="24"/>
                <w:szCs w:val="24"/>
                <w:highlight w:val="none"/>
                <w:lang w:val="en-US" w:eastAsia="zh-CN"/>
              </w:rPr>
              <w:t>1</w:t>
            </w:r>
            <w:r>
              <w:rPr>
                <w:rFonts w:ascii="宋体" w:hAnsi="宋体" w:eastAsia="宋体" w:cs="宋体"/>
                <w:color w:val="auto"/>
                <w:spacing w:val="-3"/>
                <w:sz w:val="24"/>
                <w:szCs w:val="24"/>
                <w:highlight w:val="none"/>
              </w:rPr>
              <w:t>达标排放。</w:t>
            </w:r>
          </w:p>
          <w:p w14:paraId="166496E0">
            <w:pPr>
              <w:spacing w:line="360" w:lineRule="auto"/>
              <w:ind w:firstLine="480" w:firstLineChars="200"/>
              <w:rPr>
                <w:rFonts w:hint="eastAsia" w:ascii="Times New Roman" w:hAnsi="Times New Roman" w:eastAsia="宋体" w:cs="Times New Roman"/>
                <w:b w:val="0"/>
                <w:bCs/>
                <w:color w:val="auto"/>
                <w:highlight w:val="none"/>
                <w:lang w:val="en-US" w:eastAsia="zh-CN"/>
              </w:rPr>
            </w:pPr>
            <w:r>
              <w:rPr>
                <w:rFonts w:hint="eastAsia" w:ascii="Times New Roman" w:hAnsi="Times New Roman" w:eastAsia="宋体" w:cs="Times New Roman"/>
                <w:b w:val="0"/>
                <w:bCs/>
                <w:color w:val="auto"/>
                <w:highlight w:val="none"/>
                <w:lang w:val="en-US" w:eastAsia="zh-CN"/>
              </w:rPr>
              <w:t>本项目沼气排放情况见下表：</w:t>
            </w:r>
          </w:p>
          <w:p w14:paraId="72FA2C95">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沼气</w:t>
            </w:r>
            <w:r>
              <w:rPr>
                <w:rFonts w:hint="default" w:ascii="Times New Roman" w:hAnsi="Times New Roman" w:eastAsia="宋体" w:cs="Times New Roman"/>
                <w:bCs/>
                <w:color w:val="auto"/>
                <w:sz w:val="21"/>
                <w:szCs w:val="21"/>
                <w:highlight w:val="none"/>
                <w:lang w:val="en-US" w:eastAsia="zh-CN"/>
              </w:rPr>
              <w:t>排放情况一览表</w:t>
            </w:r>
          </w:p>
          <w:tbl>
            <w:tblPr>
              <w:tblStyle w:val="103"/>
              <w:tblW w:w="4998"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997"/>
              <w:gridCol w:w="917"/>
              <w:gridCol w:w="1063"/>
              <w:gridCol w:w="1430"/>
              <w:gridCol w:w="933"/>
              <w:gridCol w:w="851"/>
              <w:gridCol w:w="974"/>
              <w:gridCol w:w="1033"/>
            </w:tblGrid>
            <w:tr w14:paraId="238CD23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7" w:hRule="atLeast"/>
                <w:jc w:val="center"/>
              </w:trPr>
              <w:tc>
                <w:tcPr>
                  <w:tcW w:w="608" w:type="pct"/>
                  <w:vMerge w:val="restart"/>
                  <w:tcBorders>
                    <w:tl2br w:val="nil"/>
                    <w:tr2bl w:val="nil"/>
                  </w:tcBorders>
                  <w:vAlign w:val="center"/>
                </w:tcPr>
                <w:p w14:paraId="02554DD5">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污染物</w:t>
                  </w:r>
                </w:p>
              </w:tc>
              <w:tc>
                <w:tcPr>
                  <w:tcW w:w="1207" w:type="pct"/>
                  <w:gridSpan w:val="2"/>
                  <w:vMerge w:val="restart"/>
                  <w:tcBorders>
                    <w:tl2br w:val="nil"/>
                    <w:tr2bl w:val="nil"/>
                  </w:tcBorders>
                  <w:vAlign w:val="center"/>
                </w:tcPr>
                <w:p w14:paraId="29127A72">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产生情况</w:t>
                  </w:r>
                </w:p>
              </w:tc>
              <w:tc>
                <w:tcPr>
                  <w:tcW w:w="872" w:type="pct"/>
                  <w:vMerge w:val="restart"/>
                  <w:tcBorders>
                    <w:tl2br w:val="nil"/>
                    <w:tr2bl w:val="nil"/>
                  </w:tcBorders>
                  <w:vAlign w:val="center"/>
                </w:tcPr>
                <w:p w14:paraId="1DA2AF7D">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治理措施</w:t>
                  </w:r>
                </w:p>
              </w:tc>
              <w:tc>
                <w:tcPr>
                  <w:tcW w:w="569" w:type="pct"/>
                  <w:vMerge w:val="restart"/>
                  <w:tcBorders>
                    <w:tl2br w:val="nil"/>
                    <w:tr2bl w:val="nil"/>
                  </w:tcBorders>
                  <w:vAlign w:val="center"/>
                </w:tcPr>
                <w:p w14:paraId="6AC2E70F">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eastAsia" w:ascii="Times New Roman" w:hAnsi="Times New Roman" w:eastAsia="宋体" w:cs="Times New Roman"/>
                      <w:b/>
                      <w:bCs w:val="0"/>
                      <w:color w:val="auto"/>
                      <w:sz w:val="21"/>
                      <w:szCs w:val="21"/>
                      <w:highlight w:val="none"/>
                      <w:lang w:val="en-US" w:eastAsia="zh-CN"/>
                    </w:rPr>
                    <w:t>风量</w:t>
                  </w:r>
                  <w:r>
                    <w:rPr>
                      <w:rFonts w:hint="default" w:ascii="Times New Roman" w:hAnsi="Times New Roman" w:eastAsia="宋体" w:cs="Times New Roman"/>
                      <w:b/>
                      <w:bCs w:val="0"/>
                      <w:color w:val="auto"/>
                      <w:sz w:val="21"/>
                      <w:szCs w:val="21"/>
                      <w:highlight w:val="none"/>
                      <w:lang w:val="en-US" w:eastAsia="zh-CN"/>
                    </w:rPr>
                    <w:t>m</w:t>
                  </w:r>
                  <w:r>
                    <w:rPr>
                      <w:rFonts w:hint="default" w:ascii="Times New Roman" w:hAnsi="Times New Roman" w:eastAsia="宋体" w:cs="Times New Roman"/>
                      <w:b/>
                      <w:bCs w:val="0"/>
                      <w:color w:val="auto"/>
                      <w:sz w:val="21"/>
                      <w:szCs w:val="21"/>
                      <w:highlight w:val="none"/>
                      <w:vertAlign w:val="superscript"/>
                      <w:lang w:val="en-US" w:eastAsia="zh-CN"/>
                    </w:rPr>
                    <w:t>3</w:t>
                  </w:r>
                  <w:r>
                    <w:rPr>
                      <w:rFonts w:hint="default" w:ascii="Times New Roman" w:hAnsi="Times New Roman" w:eastAsia="宋体" w:cs="Times New Roman"/>
                      <w:b/>
                      <w:bCs w:val="0"/>
                      <w:color w:val="auto"/>
                      <w:sz w:val="21"/>
                      <w:szCs w:val="21"/>
                      <w:highlight w:val="none"/>
                      <w:lang w:val="en-US" w:eastAsia="zh-CN"/>
                    </w:rPr>
                    <w:t>/h</w:t>
                  </w:r>
                </w:p>
              </w:tc>
              <w:tc>
                <w:tcPr>
                  <w:tcW w:w="1743" w:type="pct"/>
                  <w:gridSpan w:val="3"/>
                  <w:tcBorders>
                    <w:right w:val="single" w:color="000000" w:sz="8" w:space="0"/>
                    <w:tl2br w:val="nil"/>
                    <w:tr2bl w:val="nil"/>
                  </w:tcBorders>
                  <w:vAlign w:val="center"/>
                </w:tcPr>
                <w:p w14:paraId="35D5A8DE">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排放情况</w:t>
                  </w:r>
                </w:p>
              </w:tc>
            </w:tr>
            <w:tr w14:paraId="2069048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7" w:hRule="atLeast"/>
                <w:jc w:val="center"/>
              </w:trPr>
              <w:tc>
                <w:tcPr>
                  <w:tcW w:w="608" w:type="pct"/>
                  <w:vMerge w:val="continue"/>
                  <w:tcBorders>
                    <w:tl2br w:val="nil"/>
                    <w:tr2bl w:val="nil"/>
                  </w:tcBorders>
                  <w:vAlign w:val="center"/>
                </w:tcPr>
                <w:p w14:paraId="23C02226">
                  <w:pPr>
                    <w:adjustRightInd w:val="0"/>
                    <w:snapToGrid w:val="0"/>
                    <w:jc w:val="center"/>
                    <w:rPr>
                      <w:rFonts w:hint="default" w:ascii="Times New Roman" w:hAnsi="Times New Roman" w:eastAsia="宋体" w:cs="Times New Roman"/>
                      <w:color w:val="auto"/>
                      <w:highlight w:val="none"/>
                    </w:rPr>
                  </w:pPr>
                </w:p>
              </w:tc>
              <w:tc>
                <w:tcPr>
                  <w:tcW w:w="1207" w:type="pct"/>
                  <w:gridSpan w:val="2"/>
                  <w:vMerge w:val="continue"/>
                  <w:tcBorders>
                    <w:tl2br w:val="nil"/>
                    <w:tr2bl w:val="nil"/>
                  </w:tcBorders>
                  <w:vAlign w:val="center"/>
                </w:tcPr>
                <w:p w14:paraId="398DD1DC">
                  <w:pPr>
                    <w:adjustRightInd w:val="0"/>
                    <w:snapToGrid w:val="0"/>
                    <w:jc w:val="center"/>
                    <w:rPr>
                      <w:rFonts w:hint="default" w:ascii="Times New Roman" w:hAnsi="Times New Roman" w:eastAsia="宋体" w:cs="Times New Roman"/>
                      <w:color w:val="auto"/>
                      <w:highlight w:val="none"/>
                    </w:rPr>
                  </w:pPr>
                </w:p>
              </w:tc>
              <w:tc>
                <w:tcPr>
                  <w:tcW w:w="872" w:type="pct"/>
                  <w:vMerge w:val="continue"/>
                  <w:tcBorders>
                    <w:tl2br w:val="nil"/>
                    <w:tr2bl w:val="nil"/>
                  </w:tcBorders>
                  <w:vAlign w:val="center"/>
                </w:tcPr>
                <w:p w14:paraId="7B58EE81">
                  <w:pPr>
                    <w:adjustRightInd w:val="0"/>
                    <w:snapToGrid w:val="0"/>
                    <w:jc w:val="center"/>
                    <w:rPr>
                      <w:rFonts w:hint="default" w:ascii="Times New Roman" w:hAnsi="Times New Roman" w:eastAsia="宋体" w:cs="Times New Roman"/>
                      <w:color w:val="auto"/>
                      <w:highlight w:val="none"/>
                    </w:rPr>
                  </w:pPr>
                </w:p>
              </w:tc>
              <w:tc>
                <w:tcPr>
                  <w:tcW w:w="569" w:type="pct"/>
                  <w:vMerge w:val="continue"/>
                  <w:tcBorders>
                    <w:tl2br w:val="nil"/>
                    <w:tr2bl w:val="nil"/>
                  </w:tcBorders>
                  <w:vAlign w:val="center"/>
                </w:tcPr>
                <w:p w14:paraId="57B69C36">
                  <w:pPr>
                    <w:adjustRightInd w:val="0"/>
                    <w:snapToGrid w:val="0"/>
                    <w:jc w:val="center"/>
                    <w:rPr>
                      <w:rFonts w:hint="default" w:ascii="Times New Roman" w:hAnsi="Times New Roman" w:eastAsia="宋体" w:cs="Times New Roman"/>
                      <w:color w:val="auto"/>
                      <w:highlight w:val="none"/>
                    </w:rPr>
                  </w:pPr>
                </w:p>
              </w:tc>
              <w:tc>
                <w:tcPr>
                  <w:tcW w:w="1743" w:type="pct"/>
                  <w:gridSpan w:val="3"/>
                  <w:tcBorders>
                    <w:right w:val="single" w:color="000000" w:sz="8" w:space="0"/>
                    <w:tl2br w:val="nil"/>
                    <w:tr2bl w:val="nil"/>
                  </w:tcBorders>
                  <w:vAlign w:val="center"/>
                </w:tcPr>
                <w:p w14:paraId="79D8E0C3">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有组织</w:t>
                  </w:r>
                </w:p>
              </w:tc>
            </w:tr>
            <w:tr w14:paraId="737B023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608" w:type="pct"/>
                  <w:vMerge w:val="continue"/>
                  <w:tcBorders>
                    <w:tl2br w:val="nil"/>
                    <w:tr2bl w:val="nil"/>
                  </w:tcBorders>
                  <w:vAlign w:val="center"/>
                </w:tcPr>
                <w:p w14:paraId="11463174">
                  <w:pPr>
                    <w:adjustRightInd w:val="0"/>
                    <w:snapToGrid w:val="0"/>
                    <w:jc w:val="center"/>
                    <w:rPr>
                      <w:rFonts w:hint="default" w:ascii="Times New Roman" w:hAnsi="Times New Roman" w:eastAsia="宋体" w:cs="Times New Roman"/>
                      <w:b/>
                      <w:bCs w:val="0"/>
                      <w:color w:val="auto"/>
                      <w:sz w:val="21"/>
                      <w:szCs w:val="21"/>
                      <w:highlight w:val="none"/>
                    </w:rPr>
                  </w:pPr>
                </w:p>
              </w:tc>
              <w:tc>
                <w:tcPr>
                  <w:tcW w:w="559" w:type="pct"/>
                  <w:tcBorders>
                    <w:tl2br w:val="nil"/>
                    <w:tr2bl w:val="nil"/>
                  </w:tcBorders>
                  <w:vAlign w:val="center"/>
                </w:tcPr>
                <w:p w14:paraId="2D6481CA">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产生量</w:t>
                  </w:r>
                  <w:r>
                    <w:rPr>
                      <w:rFonts w:hint="eastAsia" w:ascii="Times New Roman" w:hAnsi="Times New Roman" w:eastAsia="宋体" w:cs="Times New Roman"/>
                      <w:b/>
                      <w:bCs w:val="0"/>
                      <w:color w:val="auto"/>
                      <w:sz w:val="21"/>
                      <w:szCs w:val="21"/>
                      <w:highlight w:val="none"/>
                      <w:lang w:val="en-US" w:eastAsia="zh-CN"/>
                    </w:rPr>
                    <w:t>t/a</w:t>
                  </w:r>
                </w:p>
              </w:tc>
              <w:tc>
                <w:tcPr>
                  <w:tcW w:w="648" w:type="pct"/>
                  <w:tcBorders>
                    <w:tl2br w:val="nil"/>
                    <w:tr2bl w:val="nil"/>
                  </w:tcBorders>
                  <w:vAlign w:val="center"/>
                </w:tcPr>
                <w:p w14:paraId="07480512">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产生</w:t>
                  </w:r>
                  <w:r>
                    <w:rPr>
                      <w:rFonts w:hint="default" w:ascii="Times New Roman" w:hAnsi="Times New Roman" w:eastAsia="宋体" w:cs="Times New Roman"/>
                      <w:b/>
                      <w:bCs w:val="0"/>
                      <w:color w:val="auto"/>
                      <w:sz w:val="21"/>
                      <w:szCs w:val="21"/>
                      <w:highlight w:val="none"/>
                      <w:lang w:val="en-US" w:eastAsia="zh-CN"/>
                    </w:rPr>
                    <w:t>速率</w:t>
                  </w:r>
                  <w:r>
                    <w:rPr>
                      <w:rFonts w:hint="default" w:ascii="Times New Roman" w:hAnsi="Times New Roman" w:eastAsia="宋体" w:cs="Times New Roman"/>
                      <w:b w:val="0"/>
                      <w:bCs/>
                      <w:color w:val="auto"/>
                      <w:sz w:val="21"/>
                      <w:szCs w:val="21"/>
                      <w:highlight w:val="none"/>
                      <w:lang w:val="en-US" w:eastAsia="zh-CN"/>
                    </w:rPr>
                    <w:t>kg/h</w:t>
                  </w:r>
                </w:p>
              </w:tc>
              <w:tc>
                <w:tcPr>
                  <w:tcW w:w="872" w:type="pct"/>
                  <w:vMerge w:val="continue"/>
                  <w:tcBorders>
                    <w:tl2br w:val="nil"/>
                    <w:tr2bl w:val="nil"/>
                  </w:tcBorders>
                  <w:vAlign w:val="center"/>
                </w:tcPr>
                <w:p w14:paraId="7F4DACAB">
                  <w:pPr>
                    <w:adjustRightInd w:val="0"/>
                    <w:snapToGrid w:val="0"/>
                    <w:jc w:val="center"/>
                    <w:rPr>
                      <w:rFonts w:hint="default" w:ascii="Times New Roman" w:hAnsi="Times New Roman" w:eastAsia="宋体" w:cs="Times New Roman"/>
                      <w:b/>
                      <w:bCs w:val="0"/>
                      <w:color w:val="auto"/>
                      <w:sz w:val="21"/>
                      <w:szCs w:val="21"/>
                      <w:highlight w:val="none"/>
                    </w:rPr>
                  </w:pPr>
                </w:p>
              </w:tc>
              <w:tc>
                <w:tcPr>
                  <w:tcW w:w="569" w:type="pct"/>
                  <w:vMerge w:val="continue"/>
                  <w:tcBorders>
                    <w:tl2br w:val="nil"/>
                    <w:tr2bl w:val="nil"/>
                  </w:tcBorders>
                  <w:vAlign w:val="center"/>
                </w:tcPr>
                <w:p w14:paraId="2F2C109F">
                  <w:pPr>
                    <w:adjustRightInd w:val="0"/>
                    <w:snapToGrid w:val="0"/>
                    <w:jc w:val="center"/>
                    <w:rPr>
                      <w:rFonts w:hint="default" w:ascii="Times New Roman" w:hAnsi="Times New Roman" w:eastAsia="宋体" w:cs="Times New Roman"/>
                      <w:b/>
                      <w:bCs w:val="0"/>
                      <w:color w:val="auto"/>
                      <w:sz w:val="21"/>
                      <w:szCs w:val="21"/>
                      <w:highlight w:val="none"/>
                    </w:rPr>
                  </w:pPr>
                </w:p>
              </w:tc>
              <w:tc>
                <w:tcPr>
                  <w:tcW w:w="519" w:type="pct"/>
                  <w:tcBorders>
                    <w:tl2br w:val="nil"/>
                    <w:tr2bl w:val="nil"/>
                  </w:tcBorders>
                  <w:vAlign w:val="center"/>
                </w:tcPr>
                <w:p w14:paraId="60521856">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val="en-US" w:eastAsia="zh-CN"/>
                    </w:rPr>
                    <w:t>排放</w:t>
                  </w:r>
                  <w:r>
                    <w:rPr>
                      <w:rFonts w:hint="default" w:ascii="Times New Roman" w:hAnsi="Times New Roman" w:eastAsia="宋体" w:cs="Times New Roman"/>
                      <w:b/>
                      <w:bCs w:val="0"/>
                      <w:color w:val="auto"/>
                      <w:sz w:val="21"/>
                      <w:szCs w:val="21"/>
                      <w:highlight w:val="none"/>
                    </w:rPr>
                    <w:t>量</w:t>
                  </w:r>
                  <w:r>
                    <w:rPr>
                      <w:rFonts w:hint="eastAsia" w:ascii="Times New Roman" w:hAnsi="Times New Roman" w:eastAsia="宋体" w:cs="Times New Roman"/>
                      <w:b w:val="0"/>
                      <w:bCs/>
                      <w:color w:val="auto"/>
                      <w:sz w:val="21"/>
                      <w:szCs w:val="21"/>
                      <w:highlight w:val="none"/>
                      <w:lang w:val="en-US" w:eastAsia="zh-CN"/>
                    </w:rPr>
                    <w:t>t</w:t>
                  </w:r>
                  <w:r>
                    <w:rPr>
                      <w:rFonts w:hint="default" w:ascii="Times New Roman" w:hAnsi="Times New Roman" w:eastAsia="宋体" w:cs="Times New Roman"/>
                      <w:b w:val="0"/>
                      <w:bCs/>
                      <w:color w:val="auto"/>
                      <w:sz w:val="21"/>
                      <w:szCs w:val="21"/>
                      <w:highlight w:val="none"/>
                      <w:lang w:val="en-US" w:eastAsia="zh-CN"/>
                    </w:rPr>
                    <w:t>/a</w:t>
                  </w:r>
                </w:p>
              </w:tc>
              <w:tc>
                <w:tcPr>
                  <w:tcW w:w="594" w:type="pct"/>
                  <w:tcBorders>
                    <w:tl2br w:val="nil"/>
                    <w:tr2bl w:val="nil"/>
                  </w:tcBorders>
                  <w:vAlign w:val="center"/>
                </w:tcPr>
                <w:p w14:paraId="658DACA1">
                  <w:pPr>
                    <w:adjustRightInd w:val="0"/>
                    <w:snapToGrid w:val="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lang w:val="en-US" w:eastAsia="zh-CN"/>
                    </w:rPr>
                    <w:t>排放速率</w:t>
                  </w:r>
                  <w:r>
                    <w:rPr>
                      <w:rFonts w:hint="default" w:ascii="Times New Roman" w:hAnsi="Times New Roman" w:eastAsia="宋体" w:cs="Times New Roman"/>
                      <w:b w:val="0"/>
                      <w:bCs/>
                      <w:color w:val="auto"/>
                      <w:sz w:val="21"/>
                      <w:szCs w:val="21"/>
                      <w:highlight w:val="none"/>
                      <w:lang w:val="en-US" w:eastAsia="zh-CN"/>
                    </w:rPr>
                    <w:t>kg/h</w:t>
                  </w:r>
                </w:p>
              </w:tc>
              <w:tc>
                <w:tcPr>
                  <w:tcW w:w="630" w:type="pct"/>
                  <w:tcBorders>
                    <w:tl2br w:val="nil"/>
                    <w:tr2bl w:val="nil"/>
                  </w:tcBorders>
                  <w:vAlign w:val="center"/>
                </w:tcPr>
                <w:p w14:paraId="71A95651">
                  <w:pPr>
                    <w:adjustRightInd w:val="0"/>
                    <w:snapToGrid w:val="0"/>
                    <w:jc w:val="center"/>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排放浓度mg/m</w:t>
                  </w:r>
                  <w:r>
                    <w:rPr>
                      <w:rFonts w:hint="default" w:ascii="Times New Roman" w:hAnsi="Times New Roman" w:eastAsia="宋体" w:cs="Times New Roman"/>
                      <w:b/>
                      <w:bCs w:val="0"/>
                      <w:color w:val="auto"/>
                      <w:sz w:val="21"/>
                      <w:szCs w:val="21"/>
                      <w:highlight w:val="none"/>
                      <w:vertAlign w:val="superscript"/>
                      <w:lang w:val="en-US" w:eastAsia="zh-CN"/>
                    </w:rPr>
                    <w:t>3</w:t>
                  </w:r>
                </w:p>
              </w:tc>
            </w:tr>
            <w:tr w14:paraId="7CD93D4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25" w:hRule="atLeast"/>
                <w:jc w:val="center"/>
              </w:trPr>
              <w:tc>
                <w:tcPr>
                  <w:tcW w:w="608" w:type="pct"/>
                  <w:tcBorders>
                    <w:tl2br w:val="nil"/>
                    <w:tr2bl w:val="nil"/>
                  </w:tcBorders>
                  <w:vAlign w:val="center"/>
                </w:tcPr>
                <w:p w14:paraId="7C2BA0D0">
                  <w:pPr>
                    <w:jc w:val="center"/>
                    <w:rPr>
                      <w:rFonts w:hint="default" w:ascii="Times New Roman" w:hAnsi="Times New Roman" w:eastAsia="宋体" w:cs="Times New Roman"/>
                      <w:b w:val="0"/>
                      <w:bCs/>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沼气</w:t>
                  </w:r>
                </w:p>
              </w:tc>
              <w:tc>
                <w:tcPr>
                  <w:tcW w:w="559" w:type="pct"/>
                  <w:tcBorders>
                    <w:tl2br w:val="nil"/>
                    <w:tr2bl w:val="nil"/>
                  </w:tcBorders>
                  <w:vAlign w:val="center"/>
                </w:tcPr>
                <w:p w14:paraId="5ED56200">
                  <w:pPr>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1.45</w:t>
                  </w:r>
                </w:p>
              </w:tc>
              <w:tc>
                <w:tcPr>
                  <w:tcW w:w="648" w:type="pct"/>
                  <w:tcBorders>
                    <w:tl2br w:val="nil"/>
                    <w:tr2bl w:val="nil"/>
                  </w:tcBorders>
                  <w:vAlign w:val="center"/>
                </w:tcPr>
                <w:p w14:paraId="735C7213">
                  <w:pPr>
                    <w:jc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0.17</w:t>
                  </w:r>
                </w:p>
              </w:tc>
              <w:tc>
                <w:tcPr>
                  <w:tcW w:w="872" w:type="pct"/>
                  <w:tcBorders>
                    <w:tl2br w:val="nil"/>
                    <w:tr2bl w:val="nil"/>
                  </w:tcBorders>
                  <w:vAlign w:val="center"/>
                </w:tcPr>
                <w:p w14:paraId="145F4AA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密闭收集+碱液喷淋+活性炭吸附装置+15m高排气筒（</w:t>
                  </w:r>
                  <w:r>
                    <w:rPr>
                      <w:rFonts w:hint="default" w:ascii="Times New Roman" w:hAnsi="Times New Roman" w:cs="Times New Roman"/>
                      <w:b w:val="0"/>
                      <w:bCs/>
                      <w:color w:val="auto"/>
                      <w:sz w:val="21"/>
                      <w:szCs w:val="21"/>
                      <w:highlight w:val="none"/>
                      <w:lang w:val="en-US" w:eastAsia="zh-CN"/>
                    </w:rPr>
                    <w:t>DA001</w:t>
                  </w:r>
                  <w:r>
                    <w:rPr>
                      <w:rFonts w:hint="default" w:ascii="Times New Roman" w:hAnsi="Times New Roman" w:eastAsia="宋体" w:cs="Times New Roman"/>
                      <w:b w:val="0"/>
                      <w:bCs/>
                      <w:color w:val="auto"/>
                      <w:sz w:val="21"/>
                      <w:szCs w:val="21"/>
                      <w:highlight w:val="none"/>
                      <w:lang w:val="en-US" w:eastAsia="zh-CN"/>
                    </w:rPr>
                    <w:t>）</w:t>
                  </w:r>
                </w:p>
              </w:tc>
              <w:tc>
                <w:tcPr>
                  <w:tcW w:w="569" w:type="pct"/>
                  <w:tcBorders>
                    <w:tl2br w:val="nil"/>
                    <w:tr2bl w:val="nil"/>
                  </w:tcBorders>
                  <w:vAlign w:val="center"/>
                </w:tcPr>
                <w:p w14:paraId="32D86C7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12000</w:t>
                  </w:r>
                </w:p>
              </w:tc>
              <w:tc>
                <w:tcPr>
                  <w:tcW w:w="519" w:type="pct"/>
                  <w:tcBorders>
                    <w:tl2br w:val="nil"/>
                    <w:tr2bl w:val="nil"/>
                  </w:tcBorders>
                  <w:vAlign w:val="center"/>
                </w:tcPr>
                <w:p w14:paraId="1C93584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0.435</w:t>
                  </w:r>
                </w:p>
              </w:tc>
              <w:tc>
                <w:tcPr>
                  <w:tcW w:w="594" w:type="pct"/>
                  <w:tcBorders>
                    <w:tl2br w:val="nil"/>
                    <w:tr2bl w:val="nil"/>
                  </w:tcBorders>
                  <w:vAlign w:val="center"/>
                </w:tcPr>
                <w:p w14:paraId="76CDBF06">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0.05</w:t>
                  </w:r>
                </w:p>
              </w:tc>
              <w:tc>
                <w:tcPr>
                  <w:tcW w:w="630" w:type="pct"/>
                  <w:tcBorders>
                    <w:tl2br w:val="nil"/>
                    <w:tr2bl w:val="nil"/>
                  </w:tcBorders>
                  <w:vAlign w:val="center"/>
                </w:tcPr>
                <w:p w14:paraId="17EC2F51">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4.26</w:t>
                  </w:r>
                </w:p>
              </w:tc>
            </w:tr>
          </w:tbl>
          <w:p w14:paraId="44779136">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p>
          <w:p w14:paraId="183B8EA0">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p>
          <w:p w14:paraId="4ED1095C">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p>
          <w:p w14:paraId="157E6D67">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p>
          <w:p w14:paraId="4F229D2C">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005AF1F0">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6ED0E848">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6C064AD3">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45834ED9">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08DF047A">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798C8EC0">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6BFBD92D">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0E675EDF">
            <w:pPr>
              <w:adjustRightInd w:val="0"/>
              <w:snapToGrid w:val="0"/>
              <w:spacing w:line="360" w:lineRule="auto"/>
              <w:ind w:firstLine="480" w:firstLineChars="200"/>
              <w:rPr>
                <w:rFonts w:hint="default" w:ascii="Times New Roman" w:hAnsi="Times New Roman" w:eastAsia="宋体" w:cs="Times New Roman"/>
                <w:bCs/>
                <w:color w:val="auto"/>
                <w:highlight w:val="none"/>
              </w:rPr>
            </w:pPr>
          </w:p>
          <w:p w14:paraId="5CD4B71F">
            <w:pPr>
              <w:adjustRightInd w:val="0"/>
              <w:snapToGrid w:val="0"/>
              <w:spacing w:line="360" w:lineRule="auto"/>
              <w:rPr>
                <w:rFonts w:hint="default" w:ascii="Times New Roman" w:hAnsi="Times New Roman" w:eastAsia="宋体" w:cs="Times New Roman"/>
                <w:bCs/>
                <w:color w:val="auto"/>
                <w:highlight w:val="none"/>
              </w:rPr>
            </w:pPr>
          </w:p>
          <w:p w14:paraId="2F23245C">
            <w:pPr>
              <w:adjustRightInd w:val="0"/>
              <w:snapToGrid w:val="0"/>
              <w:spacing w:line="360" w:lineRule="auto"/>
              <w:ind w:firstLine="480" w:firstLineChars="200"/>
              <w:rPr>
                <w:rFonts w:hint="default" w:ascii="Times New Roman" w:hAnsi="Times New Roman" w:eastAsia="宋体" w:cs="Times New Roman"/>
                <w:bCs/>
                <w:color w:val="auto"/>
                <w:highlight w:val="none"/>
              </w:rPr>
            </w:pPr>
          </w:p>
        </w:tc>
      </w:tr>
    </w:tbl>
    <w:p w14:paraId="5E895C42">
      <w:pPr>
        <w:pStyle w:val="27"/>
        <w:ind w:firstLine="600"/>
        <w:jc w:val="center"/>
        <w:outlineLvl w:val="0"/>
        <w:rPr>
          <w:rFonts w:hint="default" w:ascii="Times New Roman" w:hAnsi="Times New Roman" w:eastAsia="宋体" w:cs="Times New Roman"/>
          <w:snapToGrid w:val="0"/>
          <w:color w:val="auto"/>
          <w:sz w:val="30"/>
          <w:szCs w:val="30"/>
          <w:highlight w:val="none"/>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14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3656"/>
      </w:tblGrid>
      <w:tr w14:paraId="7005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2" w:type="dxa"/>
          </w:tcPr>
          <w:p w14:paraId="62FF8E4E">
            <w:pPr>
              <w:rPr>
                <w:rFonts w:hint="default" w:ascii="Times New Roman" w:hAnsi="Times New Roman" w:eastAsia="宋体" w:cs="Times New Roman"/>
                <w:color w:val="auto"/>
                <w:highlight w:val="none"/>
                <w:vertAlign w:val="baseline"/>
                <w:lang w:val="en-US" w:eastAsia="zh-CN"/>
              </w:rPr>
            </w:pPr>
          </w:p>
        </w:tc>
        <w:tc>
          <w:tcPr>
            <w:tcW w:w="13656" w:type="dxa"/>
          </w:tcPr>
          <w:p w14:paraId="3392A714">
            <w:pP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本项目废气产生排放情况及排放口情况下表。</w:t>
            </w:r>
          </w:p>
          <w:p w14:paraId="5BD43994">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w:t>
            </w:r>
            <w:r>
              <w:rPr>
                <w:rFonts w:hint="default" w:ascii="Times New Roman" w:hAnsi="Times New Roman" w:eastAsia="宋体" w:cs="Times New Roman"/>
                <w:bCs/>
                <w:color w:val="auto"/>
                <w:sz w:val="21"/>
                <w:szCs w:val="21"/>
                <w:highlight w:val="none"/>
                <w:lang w:val="en-US" w:eastAsia="zh-CN"/>
              </w:rPr>
              <w:t>废气排放情况一览表</w:t>
            </w:r>
          </w:p>
          <w:p w14:paraId="0CEF2407">
            <w:pPr>
              <w:spacing w:line="108" w:lineRule="auto"/>
              <w:rPr>
                <w:rFonts w:ascii="Arial"/>
                <w:color w:val="auto"/>
                <w:sz w:val="2"/>
                <w:highlight w:val="none"/>
              </w:rPr>
            </w:pPr>
          </w:p>
          <w:tbl>
            <w:tblPr>
              <w:tblStyle w:val="103"/>
              <w:tblW w:w="498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5"/>
              <w:gridCol w:w="817"/>
              <w:gridCol w:w="834"/>
              <w:gridCol w:w="1123"/>
              <w:gridCol w:w="1117"/>
              <w:gridCol w:w="1113"/>
              <w:gridCol w:w="697"/>
              <w:gridCol w:w="837"/>
              <w:gridCol w:w="748"/>
              <w:gridCol w:w="858"/>
              <w:gridCol w:w="874"/>
              <w:gridCol w:w="1092"/>
              <w:gridCol w:w="1127"/>
              <w:gridCol w:w="942"/>
            </w:tblGrid>
            <w:tr w14:paraId="71BAEB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456" w:type="pct"/>
                  <w:vMerge w:val="restart"/>
                  <w:tcBorders>
                    <w:top w:val="single" w:color="000000" w:sz="10" w:space="0"/>
                    <w:left w:val="nil"/>
                    <w:bottom w:val="nil"/>
                  </w:tcBorders>
                  <w:vAlign w:val="center"/>
                </w:tcPr>
                <w:p w14:paraId="38186583">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产污环节</w:t>
                  </w:r>
                </w:p>
              </w:tc>
              <w:tc>
                <w:tcPr>
                  <w:tcW w:w="304" w:type="pct"/>
                  <w:vMerge w:val="restart"/>
                  <w:tcBorders>
                    <w:top w:val="single" w:color="000000" w:sz="10" w:space="0"/>
                    <w:bottom w:val="nil"/>
                  </w:tcBorders>
                  <w:vAlign w:val="center"/>
                </w:tcPr>
                <w:p w14:paraId="631A8E40">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730" w:type="pct"/>
                  <w:gridSpan w:val="2"/>
                  <w:tcBorders>
                    <w:top w:val="single" w:color="000000" w:sz="10" w:space="0"/>
                    <w:right w:val="single" w:color="000000" w:sz="8" w:space="0"/>
                  </w:tcBorders>
                  <w:vAlign w:val="center"/>
                </w:tcPr>
                <w:p w14:paraId="11D02DBB">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污染物产生情况</w:t>
                  </w:r>
                </w:p>
              </w:tc>
              <w:tc>
                <w:tcPr>
                  <w:tcW w:w="1683" w:type="pct"/>
                  <w:gridSpan w:val="5"/>
                  <w:tcBorders>
                    <w:top w:val="single" w:color="000000" w:sz="10" w:space="0"/>
                  </w:tcBorders>
                  <w:vAlign w:val="center"/>
                </w:tcPr>
                <w:p w14:paraId="5C2E407F">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治理措施</w:t>
                  </w:r>
                </w:p>
              </w:tc>
              <w:tc>
                <w:tcPr>
                  <w:tcW w:w="320" w:type="pct"/>
                  <w:vMerge w:val="restart"/>
                  <w:tcBorders>
                    <w:top w:val="single" w:color="000000" w:sz="10" w:space="0"/>
                    <w:bottom w:val="nil"/>
                  </w:tcBorders>
                  <w:vAlign w:val="center"/>
                </w:tcPr>
                <w:p w14:paraId="2C01DA26">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风量m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/h</w:t>
                  </w:r>
                </w:p>
              </w:tc>
              <w:tc>
                <w:tcPr>
                  <w:tcW w:w="1505" w:type="pct"/>
                  <w:gridSpan w:val="4"/>
                  <w:tcBorders>
                    <w:top w:val="single" w:color="000000" w:sz="10" w:space="0"/>
                    <w:right w:val="nil"/>
                  </w:tcBorders>
                  <w:vAlign w:val="center"/>
                </w:tcPr>
                <w:p w14:paraId="31806E32">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污染物排放情况</w:t>
                  </w:r>
                </w:p>
              </w:tc>
            </w:tr>
            <w:tr w14:paraId="1C656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56" w:type="pct"/>
                  <w:vMerge w:val="continue"/>
                  <w:tcBorders>
                    <w:top w:val="nil"/>
                    <w:left w:val="nil"/>
                  </w:tcBorders>
                  <w:vAlign w:val="center"/>
                </w:tcPr>
                <w:p w14:paraId="47262589">
                  <w:pPr>
                    <w:jc w:val="center"/>
                    <w:rPr>
                      <w:rFonts w:hint="default" w:ascii="Times New Roman" w:hAnsi="Times New Roman" w:eastAsia="宋体" w:cs="Times New Roman"/>
                      <w:color w:val="auto"/>
                      <w:sz w:val="21"/>
                      <w:szCs w:val="21"/>
                      <w:highlight w:val="none"/>
                    </w:rPr>
                  </w:pPr>
                </w:p>
              </w:tc>
              <w:tc>
                <w:tcPr>
                  <w:tcW w:w="304" w:type="pct"/>
                  <w:vMerge w:val="continue"/>
                  <w:tcBorders>
                    <w:top w:val="nil"/>
                  </w:tcBorders>
                  <w:vAlign w:val="center"/>
                </w:tcPr>
                <w:p w14:paraId="05C9E781">
                  <w:pPr>
                    <w:jc w:val="center"/>
                    <w:rPr>
                      <w:rFonts w:hint="default" w:ascii="Times New Roman" w:hAnsi="Times New Roman" w:eastAsia="宋体" w:cs="Times New Roman"/>
                      <w:color w:val="auto"/>
                      <w:sz w:val="21"/>
                      <w:szCs w:val="21"/>
                      <w:highlight w:val="none"/>
                    </w:rPr>
                  </w:pPr>
                </w:p>
              </w:tc>
              <w:tc>
                <w:tcPr>
                  <w:tcW w:w="311" w:type="pct"/>
                  <w:vAlign w:val="center"/>
                </w:tcPr>
                <w:p w14:paraId="1D1F2355">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418" w:type="pct"/>
                  <w:tcBorders>
                    <w:right w:val="single" w:color="000000" w:sz="8" w:space="0"/>
                  </w:tcBorders>
                  <w:vAlign w:val="center"/>
                </w:tcPr>
                <w:p w14:paraId="398F2DA9">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产生速率kg/h</w:t>
                  </w:r>
                </w:p>
              </w:tc>
              <w:tc>
                <w:tcPr>
                  <w:tcW w:w="416" w:type="pct"/>
                  <w:vAlign w:val="center"/>
                </w:tcPr>
                <w:p w14:paraId="77DD866A">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工艺</w:t>
                  </w:r>
                </w:p>
              </w:tc>
              <w:tc>
                <w:tcPr>
                  <w:tcW w:w="415" w:type="pct"/>
                  <w:vAlign w:val="center"/>
                </w:tcPr>
                <w:p w14:paraId="30F96847">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处理能力</w:t>
                  </w:r>
                </w:p>
              </w:tc>
              <w:tc>
                <w:tcPr>
                  <w:tcW w:w="259" w:type="pct"/>
                  <w:vAlign w:val="center"/>
                </w:tcPr>
                <w:p w14:paraId="44BE06B7">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收集效率</w:t>
                  </w:r>
                </w:p>
              </w:tc>
              <w:tc>
                <w:tcPr>
                  <w:tcW w:w="312" w:type="pct"/>
                  <w:vAlign w:val="center"/>
                </w:tcPr>
                <w:p w14:paraId="2417396D">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去除率</w:t>
                  </w:r>
                </w:p>
              </w:tc>
              <w:tc>
                <w:tcPr>
                  <w:tcW w:w="279" w:type="pct"/>
                  <w:vAlign w:val="center"/>
                </w:tcPr>
                <w:p w14:paraId="484A57A4">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是否可行</w:t>
                  </w:r>
                </w:p>
              </w:tc>
              <w:tc>
                <w:tcPr>
                  <w:tcW w:w="320" w:type="pct"/>
                  <w:vMerge w:val="continue"/>
                  <w:tcBorders>
                    <w:top w:val="nil"/>
                  </w:tcBorders>
                  <w:vAlign w:val="center"/>
                </w:tcPr>
                <w:p w14:paraId="0C9DB6BD">
                  <w:pPr>
                    <w:jc w:val="center"/>
                    <w:rPr>
                      <w:rFonts w:hint="default" w:ascii="Times New Roman" w:hAnsi="Times New Roman" w:eastAsia="宋体" w:cs="Times New Roman"/>
                      <w:color w:val="auto"/>
                      <w:sz w:val="21"/>
                      <w:szCs w:val="21"/>
                      <w:highlight w:val="none"/>
                    </w:rPr>
                  </w:pPr>
                </w:p>
              </w:tc>
              <w:tc>
                <w:tcPr>
                  <w:tcW w:w="326" w:type="pct"/>
                  <w:vAlign w:val="center"/>
                </w:tcPr>
                <w:p w14:paraId="4EDCD45F">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排放形式</w:t>
                  </w:r>
                </w:p>
              </w:tc>
              <w:tc>
                <w:tcPr>
                  <w:tcW w:w="407" w:type="pct"/>
                  <w:vAlign w:val="center"/>
                </w:tcPr>
                <w:p w14:paraId="69BEE2EC">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排放浓度mg/m3</w:t>
                  </w:r>
                </w:p>
              </w:tc>
              <w:tc>
                <w:tcPr>
                  <w:tcW w:w="420" w:type="pct"/>
                  <w:vAlign w:val="center"/>
                </w:tcPr>
                <w:p w14:paraId="0AA3BA9F">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排放速率kg/h</w:t>
                  </w:r>
                </w:p>
              </w:tc>
              <w:tc>
                <w:tcPr>
                  <w:tcW w:w="351" w:type="pct"/>
                  <w:tcBorders>
                    <w:right w:val="nil"/>
                  </w:tcBorders>
                  <w:vAlign w:val="center"/>
                </w:tcPr>
                <w:p w14:paraId="048E31B0">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排放量t/a</w:t>
                  </w:r>
                </w:p>
              </w:tc>
            </w:tr>
            <w:tr w14:paraId="225965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456" w:type="pct"/>
                  <w:vMerge w:val="restart"/>
                  <w:tcBorders>
                    <w:left w:val="nil"/>
                    <w:bottom w:val="nil"/>
                  </w:tcBorders>
                  <w:vAlign w:val="center"/>
                </w:tcPr>
                <w:p w14:paraId="37E7A87A">
                  <w:pPr>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待宰区、屠宰区、污水处理站</w:t>
                  </w:r>
                  <w:r>
                    <w:rPr>
                      <w:rFonts w:hint="eastAsia" w:ascii="Times New Roman" w:hAnsi="Times New Roman" w:eastAsia="宋体" w:cs="Times New Roman"/>
                      <w:color w:val="auto"/>
                      <w:sz w:val="21"/>
                      <w:szCs w:val="21"/>
                      <w:highlight w:val="none"/>
                      <w:lang w:eastAsia="zh-CN"/>
                    </w:rPr>
                    <w:t>、猪粪、猪毛及肠内容物暂存间</w:t>
                  </w:r>
                </w:p>
              </w:tc>
              <w:tc>
                <w:tcPr>
                  <w:tcW w:w="304" w:type="pct"/>
                  <w:vAlign w:val="center"/>
                </w:tcPr>
                <w:p w14:paraId="04929368">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834" w:type="dxa"/>
                  <w:vAlign w:val="center"/>
                </w:tcPr>
                <w:p w14:paraId="6B99D9E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0.1594 </w:t>
                  </w:r>
                </w:p>
              </w:tc>
              <w:tc>
                <w:tcPr>
                  <w:tcW w:w="1123" w:type="dxa"/>
                  <w:vAlign w:val="center"/>
                </w:tcPr>
                <w:p w14:paraId="355085B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0.0819 </w:t>
                  </w:r>
                </w:p>
              </w:tc>
              <w:tc>
                <w:tcPr>
                  <w:tcW w:w="416" w:type="pct"/>
                  <w:vMerge w:val="restart"/>
                  <w:tcBorders>
                    <w:bottom w:val="nil"/>
                  </w:tcBorders>
                  <w:vAlign w:val="center"/>
                </w:tcPr>
                <w:p w14:paraId="08F30F3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密闭收集+碱液喷淋+活性炭吸附装置+15m高排气筒（DA001）</w:t>
                  </w:r>
                </w:p>
              </w:tc>
              <w:tc>
                <w:tcPr>
                  <w:tcW w:w="415" w:type="pct"/>
                  <w:vMerge w:val="restart"/>
                  <w:tcBorders>
                    <w:bottom w:val="nil"/>
                  </w:tcBorders>
                  <w:vAlign w:val="center"/>
                </w:tcPr>
                <w:p w14:paraId="2C39CEDB">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排风量</w:t>
                  </w:r>
                  <w:r>
                    <w:rPr>
                      <w:rFonts w:hint="eastAsia" w:ascii="Times New Roman" w:hAnsi="Times New Roman" w:eastAsia="宋体" w:cs="Times New Roman"/>
                      <w:color w:val="auto"/>
                      <w:sz w:val="21"/>
                      <w:szCs w:val="21"/>
                      <w:highlight w:val="none"/>
                      <w:lang w:val="en-US" w:eastAsia="zh-CN"/>
                    </w:rPr>
                    <w:t>11658</w:t>
                  </w:r>
                  <w:r>
                    <w:rPr>
                      <w:rFonts w:hint="default" w:ascii="Times New Roman" w:hAnsi="Times New Roman" w:eastAsia="宋体" w:cs="Times New Roman"/>
                      <w:color w:val="auto"/>
                      <w:sz w:val="21"/>
                      <w:szCs w:val="21"/>
                      <w:highlight w:val="none"/>
                    </w:rPr>
                    <w:t>m3/h</w:t>
                  </w:r>
                </w:p>
              </w:tc>
              <w:tc>
                <w:tcPr>
                  <w:tcW w:w="259" w:type="pct"/>
                  <w:vAlign w:val="center"/>
                </w:tcPr>
                <w:p w14:paraId="029F4C1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w:t>
                  </w:r>
                </w:p>
              </w:tc>
              <w:tc>
                <w:tcPr>
                  <w:tcW w:w="312" w:type="pct"/>
                  <w:vAlign w:val="center"/>
                </w:tcPr>
                <w:p w14:paraId="644AA772">
                  <w:pPr>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85</w:t>
                  </w:r>
                  <w:r>
                    <w:rPr>
                      <w:rFonts w:hint="default" w:ascii="Times New Roman" w:hAnsi="Times New Roman" w:eastAsia="宋体" w:cs="Times New Roman"/>
                      <w:color w:val="auto"/>
                      <w:sz w:val="21"/>
                      <w:szCs w:val="21"/>
                      <w:highlight w:val="none"/>
                    </w:rPr>
                    <w:t>%</w:t>
                  </w:r>
                </w:p>
              </w:tc>
              <w:tc>
                <w:tcPr>
                  <w:tcW w:w="279" w:type="pct"/>
                  <w:vAlign w:val="center"/>
                </w:tcPr>
                <w:p w14:paraId="72B30A6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320" w:type="pct"/>
                  <w:vMerge w:val="restart"/>
                  <w:tcBorders>
                    <w:bottom w:val="nil"/>
                  </w:tcBorders>
                  <w:vAlign w:val="center"/>
                </w:tcPr>
                <w:p w14:paraId="57B7873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11658</w:t>
                  </w:r>
                </w:p>
              </w:tc>
              <w:tc>
                <w:tcPr>
                  <w:tcW w:w="326" w:type="pct"/>
                  <w:vAlign w:val="center"/>
                </w:tcPr>
                <w:p w14:paraId="2339A059">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有组织</w:t>
                  </w:r>
                </w:p>
              </w:tc>
              <w:tc>
                <w:tcPr>
                  <w:tcW w:w="1092" w:type="dxa"/>
                  <w:vAlign w:val="center"/>
                </w:tcPr>
                <w:p w14:paraId="4DD531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0.9479 </w:t>
                  </w:r>
                </w:p>
              </w:tc>
              <w:tc>
                <w:tcPr>
                  <w:tcW w:w="1127" w:type="dxa"/>
                  <w:vAlign w:val="center"/>
                </w:tcPr>
                <w:p w14:paraId="059926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0.0111 </w:t>
                  </w:r>
                </w:p>
              </w:tc>
              <w:tc>
                <w:tcPr>
                  <w:tcW w:w="942" w:type="dxa"/>
                  <w:tcBorders>
                    <w:right w:val="nil"/>
                  </w:tcBorders>
                  <w:vAlign w:val="center"/>
                </w:tcPr>
                <w:p w14:paraId="15FCBB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0.0215 </w:t>
                  </w:r>
                </w:p>
              </w:tc>
            </w:tr>
            <w:tr w14:paraId="56D447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456" w:type="pct"/>
                  <w:vMerge w:val="continue"/>
                  <w:tcBorders>
                    <w:top w:val="nil"/>
                    <w:left w:val="nil"/>
                    <w:bottom w:val="nil"/>
                  </w:tcBorders>
                  <w:vAlign w:val="center"/>
                </w:tcPr>
                <w:p w14:paraId="7DCFA9ED">
                  <w:pPr>
                    <w:jc w:val="center"/>
                    <w:rPr>
                      <w:rFonts w:hint="default" w:ascii="Times New Roman" w:hAnsi="Times New Roman" w:eastAsia="宋体" w:cs="Times New Roman"/>
                      <w:color w:val="auto"/>
                      <w:sz w:val="21"/>
                      <w:szCs w:val="21"/>
                      <w:highlight w:val="none"/>
                    </w:rPr>
                  </w:pPr>
                </w:p>
              </w:tc>
              <w:tc>
                <w:tcPr>
                  <w:tcW w:w="304" w:type="pct"/>
                  <w:vAlign w:val="center"/>
                </w:tcPr>
                <w:p w14:paraId="541B5B0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S</w:t>
                  </w:r>
                </w:p>
              </w:tc>
              <w:tc>
                <w:tcPr>
                  <w:tcW w:w="834" w:type="dxa"/>
                  <w:vAlign w:val="center"/>
                </w:tcPr>
                <w:p w14:paraId="524F432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0.0061 </w:t>
                  </w:r>
                </w:p>
              </w:tc>
              <w:tc>
                <w:tcPr>
                  <w:tcW w:w="1123" w:type="dxa"/>
                  <w:vAlign w:val="center"/>
                </w:tcPr>
                <w:p w14:paraId="47277B3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0.0023 </w:t>
                  </w:r>
                </w:p>
              </w:tc>
              <w:tc>
                <w:tcPr>
                  <w:tcW w:w="416" w:type="pct"/>
                  <w:vMerge w:val="continue"/>
                  <w:tcBorders>
                    <w:top w:val="nil"/>
                    <w:bottom w:val="nil"/>
                  </w:tcBorders>
                  <w:vAlign w:val="center"/>
                </w:tcPr>
                <w:p w14:paraId="2A76E2B5">
                  <w:pPr>
                    <w:jc w:val="center"/>
                    <w:rPr>
                      <w:rFonts w:hint="default" w:ascii="Times New Roman" w:hAnsi="Times New Roman" w:eastAsia="宋体" w:cs="Times New Roman"/>
                      <w:color w:val="auto"/>
                      <w:sz w:val="21"/>
                      <w:szCs w:val="21"/>
                      <w:highlight w:val="none"/>
                    </w:rPr>
                  </w:pPr>
                </w:p>
              </w:tc>
              <w:tc>
                <w:tcPr>
                  <w:tcW w:w="415" w:type="pct"/>
                  <w:vMerge w:val="continue"/>
                  <w:tcBorders>
                    <w:top w:val="nil"/>
                    <w:bottom w:val="nil"/>
                  </w:tcBorders>
                  <w:vAlign w:val="center"/>
                </w:tcPr>
                <w:p w14:paraId="55A85496">
                  <w:pPr>
                    <w:jc w:val="center"/>
                    <w:rPr>
                      <w:rFonts w:hint="default" w:ascii="Times New Roman" w:hAnsi="Times New Roman" w:eastAsia="宋体" w:cs="Times New Roman"/>
                      <w:color w:val="auto"/>
                      <w:sz w:val="21"/>
                      <w:szCs w:val="21"/>
                      <w:highlight w:val="none"/>
                    </w:rPr>
                  </w:pPr>
                </w:p>
              </w:tc>
              <w:tc>
                <w:tcPr>
                  <w:tcW w:w="697" w:type="dxa"/>
                  <w:vAlign w:val="center"/>
                </w:tcPr>
                <w:p w14:paraId="01A8EF43">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w:t>
                  </w:r>
                </w:p>
              </w:tc>
              <w:tc>
                <w:tcPr>
                  <w:tcW w:w="837" w:type="dxa"/>
                  <w:vAlign w:val="center"/>
                </w:tcPr>
                <w:p w14:paraId="3A5FD43B">
                  <w:pPr>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85</w:t>
                  </w:r>
                  <w:r>
                    <w:rPr>
                      <w:rFonts w:hint="default" w:ascii="Times New Roman" w:hAnsi="Times New Roman" w:eastAsia="宋体" w:cs="Times New Roman"/>
                      <w:color w:val="auto"/>
                      <w:sz w:val="21"/>
                      <w:szCs w:val="21"/>
                      <w:highlight w:val="none"/>
                    </w:rPr>
                    <w:t>%</w:t>
                  </w:r>
                </w:p>
              </w:tc>
              <w:tc>
                <w:tcPr>
                  <w:tcW w:w="279" w:type="pct"/>
                  <w:vAlign w:val="center"/>
                </w:tcPr>
                <w:p w14:paraId="6F82BA9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320" w:type="pct"/>
                  <w:vMerge w:val="continue"/>
                  <w:tcBorders>
                    <w:top w:val="nil"/>
                    <w:bottom w:val="nil"/>
                  </w:tcBorders>
                  <w:vAlign w:val="center"/>
                </w:tcPr>
                <w:p w14:paraId="2EFF011C">
                  <w:pPr>
                    <w:jc w:val="center"/>
                    <w:rPr>
                      <w:rFonts w:hint="default" w:ascii="Times New Roman" w:hAnsi="Times New Roman" w:eastAsia="宋体" w:cs="Times New Roman"/>
                      <w:color w:val="auto"/>
                      <w:sz w:val="21"/>
                      <w:szCs w:val="21"/>
                      <w:highlight w:val="none"/>
                    </w:rPr>
                  </w:pPr>
                </w:p>
              </w:tc>
              <w:tc>
                <w:tcPr>
                  <w:tcW w:w="326" w:type="pct"/>
                  <w:vAlign w:val="center"/>
                </w:tcPr>
                <w:p w14:paraId="5B5EA4B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有组织</w:t>
                  </w:r>
                </w:p>
              </w:tc>
              <w:tc>
                <w:tcPr>
                  <w:tcW w:w="1092" w:type="dxa"/>
                  <w:vAlign w:val="center"/>
                </w:tcPr>
                <w:p w14:paraId="3C832F1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 xml:space="preserve">0.0266 </w:t>
                  </w:r>
                </w:p>
              </w:tc>
              <w:tc>
                <w:tcPr>
                  <w:tcW w:w="1127" w:type="dxa"/>
                  <w:vAlign w:val="center"/>
                </w:tcPr>
                <w:p w14:paraId="07930D2F">
                  <w:pPr>
                    <w:keepNext w:val="0"/>
                    <w:keepLines w:val="0"/>
                    <w:widowControl/>
                    <w:suppressLineNumbers w:val="0"/>
                    <w:jc w:val="center"/>
                    <w:textAlignment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0.0003 </w:t>
                  </w:r>
                </w:p>
              </w:tc>
              <w:tc>
                <w:tcPr>
                  <w:tcW w:w="942" w:type="dxa"/>
                  <w:tcBorders>
                    <w:right w:val="nil"/>
                  </w:tcBorders>
                  <w:vAlign w:val="center"/>
                </w:tcPr>
                <w:p w14:paraId="3CF7E26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0.0008 </w:t>
                  </w:r>
                </w:p>
              </w:tc>
            </w:tr>
            <w:tr w14:paraId="6CDCF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456" w:type="pct"/>
                  <w:vMerge w:val="continue"/>
                  <w:tcBorders>
                    <w:top w:val="nil"/>
                    <w:left w:val="nil"/>
                    <w:bottom w:val="single" w:color="000000" w:sz="8" w:space="0"/>
                  </w:tcBorders>
                  <w:vAlign w:val="center"/>
                </w:tcPr>
                <w:p w14:paraId="26E23C3D">
                  <w:pPr>
                    <w:jc w:val="center"/>
                    <w:rPr>
                      <w:rFonts w:hint="default" w:ascii="Times New Roman" w:hAnsi="Times New Roman" w:eastAsia="宋体" w:cs="Times New Roman"/>
                      <w:color w:val="auto"/>
                      <w:sz w:val="21"/>
                      <w:szCs w:val="21"/>
                      <w:highlight w:val="none"/>
                    </w:rPr>
                  </w:pPr>
                </w:p>
              </w:tc>
              <w:tc>
                <w:tcPr>
                  <w:tcW w:w="304" w:type="pct"/>
                  <w:tcBorders>
                    <w:bottom w:val="single" w:color="000000" w:sz="8" w:space="0"/>
                  </w:tcBorders>
                  <w:shd w:val="clear" w:color="auto" w:fill="auto"/>
                  <w:vAlign w:val="center"/>
                </w:tcPr>
                <w:p w14:paraId="7F131CA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臭气浓度</w:t>
                  </w:r>
                </w:p>
              </w:tc>
              <w:tc>
                <w:tcPr>
                  <w:tcW w:w="311" w:type="pct"/>
                  <w:shd w:val="clear" w:color="auto" w:fill="auto"/>
                  <w:vAlign w:val="center"/>
                </w:tcPr>
                <w:p w14:paraId="67E588AB">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18" w:type="pct"/>
                  <w:shd w:val="clear" w:color="auto" w:fill="auto"/>
                  <w:vAlign w:val="center"/>
                </w:tcPr>
                <w:p w14:paraId="402A979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16" w:type="pct"/>
                  <w:vMerge w:val="continue"/>
                  <w:tcBorders>
                    <w:top w:val="nil"/>
                  </w:tcBorders>
                  <w:vAlign w:val="center"/>
                </w:tcPr>
                <w:p w14:paraId="30B7067B">
                  <w:pPr>
                    <w:jc w:val="center"/>
                    <w:rPr>
                      <w:rFonts w:hint="default" w:ascii="Times New Roman" w:hAnsi="Times New Roman" w:eastAsia="宋体" w:cs="Times New Roman"/>
                      <w:color w:val="auto"/>
                      <w:sz w:val="21"/>
                      <w:szCs w:val="21"/>
                      <w:highlight w:val="none"/>
                    </w:rPr>
                  </w:pPr>
                </w:p>
              </w:tc>
              <w:tc>
                <w:tcPr>
                  <w:tcW w:w="415" w:type="pct"/>
                  <w:vMerge w:val="continue"/>
                  <w:tcBorders>
                    <w:top w:val="nil"/>
                  </w:tcBorders>
                  <w:vAlign w:val="center"/>
                </w:tcPr>
                <w:p w14:paraId="02433E0F">
                  <w:pPr>
                    <w:jc w:val="center"/>
                    <w:rPr>
                      <w:rFonts w:hint="default" w:ascii="Times New Roman" w:hAnsi="Times New Roman" w:eastAsia="宋体" w:cs="Times New Roman"/>
                      <w:color w:val="auto"/>
                      <w:sz w:val="21"/>
                      <w:szCs w:val="21"/>
                      <w:highlight w:val="none"/>
                    </w:rPr>
                  </w:pPr>
                </w:p>
              </w:tc>
              <w:tc>
                <w:tcPr>
                  <w:tcW w:w="259" w:type="pct"/>
                  <w:shd w:val="clear" w:color="auto" w:fill="auto"/>
                  <w:vAlign w:val="center"/>
                </w:tcPr>
                <w:p w14:paraId="0007A27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312" w:type="pct"/>
                  <w:shd w:val="clear" w:color="auto" w:fill="auto"/>
                  <w:vAlign w:val="center"/>
                </w:tcPr>
                <w:p w14:paraId="35D7160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279" w:type="pct"/>
                  <w:shd w:val="clear" w:color="auto" w:fill="auto"/>
                  <w:vAlign w:val="center"/>
                </w:tcPr>
                <w:p w14:paraId="5E5DDA1F">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是</w:t>
                  </w:r>
                </w:p>
              </w:tc>
              <w:tc>
                <w:tcPr>
                  <w:tcW w:w="320" w:type="pct"/>
                  <w:vMerge w:val="continue"/>
                  <w:tcBorders>
                    <w:top w:val="nil"/>
                  </w:tcBorders>
                  <w:vAlign w:val="center"/>
                </w:tcPr>
                <w:p w14:paraId="37FBF9AA">
                  <w:pPr>
                    <w:jc w:val="center"/>
                    <w:rPr>
                      <w:rFonts w:hint="default" w:ascii="Times New Roman" w:hAnsi="Times New Roman" w:eastAsia="宋体" w:cs="Times New Roman"/>
                      <w:color w:val="auto"/>
                      <w:sz w:val="21"/>
                      <w:szCs w:val="21"/>
                      <w:highlight w:val="none"/>
                    </w:rPr>
                  </w:pPr>
                </w:p>
              </w:tc>
              <w:tc>
                <w:tcPr>
                  <w:tcW w:w="326" w:type="pct"/>
                  <w:shd w:val="clear" w:color="auto" w:fill="auto"/>
                  <w:vAlign w:val="center"/>
                </w:tcPr>
                <w:p w14:paraId="43FB6B2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07" w:type="pct"/>
                  <w:shd w:val="clear" w:color="auto" w:fill="auto"/>
                  <w:vAlign w:val="center"/>
                </w:tcPr>
                <w:p w14:paraId="71E01F8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0" w:type="pct"/>
                  <w:shd w:val="clear" w:color="auto" w:fill="auto"/>
                  <w:vAlign w:val="center"/>
                </w:tcPr>
                <w:p w14:paraId="36DC3EF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351" w:type="pct"/>
                  <w:tcBorders>
                    <w:right w:val="nil"/>
                  </w:tcBorders>
                  <w:shd w:val="clear" w:color="auto" w:fill="auto"/>
                  <w:vAlign w:val="center"/>
                </w:tcPr>
                <w:p w14:paraId="4CF369E7">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r>
            <w:tr w14:paraId="323DEA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456" w:type="pct"/>
                  <w:tcBorders>
                    <w:top w:val="single" w:color="000000" w:sz="8" w:space="0"/>
                    <w:left w:val="nil"/>
                  </w:tcBorders>
                  <w:vAlign w:val="center"/>
                </w:tcPr>
                <w:p w14:paraId="0BA88AB8">
                  <w:pPr>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污水处理站厌氧池</w:t>
                  </w:r>
                </w:p>
              </w:tc>
              <w:tc>
                <w:tcPr>
                  <w:tcW w:w="304" w:type="pct"/>
                  <w:tcBorders>
                    <w:top w:val="single" w:color="000000" w:sz="8" w:space="0"/>
                  </w:tcBorders>
                  <w:vAlign w:val="center"/>
                </w:tcPr>
                <w:p w14:paraId="1F893D7D">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沼气</w:t>
                  </w:r>
                </w:p>
              </w:tc>
              <w:tc>
                <w:tcPr>
                  <w:tcW w:w="311" w:type="pct"/>
                  <w:vAlign w:val="center"/>
                </w:tcPr>
                <w:p w14:paraId="4FFE1C54">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1.45</w:t>
                  </w:r>
                </w:p>
              </w:tc>
              <w:tc>
                <w:tcPr>
                  <w:tcW w:w="418" w:type="pct"/>
                  <w:vAlign w:val="center"/>
                </w:tcPr>
                <w:p w14:paraId="17A821EA">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0.17</w:t>
                  </w:r>
                </w:p>
              </w:tc>
              <w:tc>
                <w:tcPr>
                  <w:tcW w:w="416" w:type="pct"/>
                  <w:vMerge w:val="continue"/>
                  <w:tcBorders>
                    <w:top w:val="nil"/>
                  </w:tcBorders>
                  <w:vAlign w:val="center"/>
                </w:tcPr>
                <w:p w14:paraId="2145B2E7">
                  <w:pPr>
                    <w:jc w:val="center"/>
                    <w:rPr>
                      <w:rFonts w:hint="default" w:ascii="Times New Roman" w:hAnsi="Times New Roman" w:eastAsia="宋体" w:cs="Times New Roman"/>
                      <w:color w:val="auto"/>
                      <w:sz w:val="21"/>
                      <w:szCs w:val="21"/>
                      <w:highlight w:val="none"/>
                    </w:rPr>
                  </w:pPr>
                </w:p>
              </w:tc>
              <w:tc>
                <w:tcPr>
                  <w:tcW w:w="415" w:type="pct"/>
                  <w:vMerge w:val="continue"/>
                  <w:tcBorders>
                    <w:top w:val="nil"/>
                  </w:tcBorders>
                  <w:vAlign w:val="center"/>
                </w:tcPr>
                <w:p w14:paraId="7C316A7A">
                  <w:pPr>
                    <w:jc w:val="center"/>
                    <w:rPr>
                      <w:rFonts w:hint="default" w:ascii="Times New Roman" w:hAnsi="Times New Roman" w:eastAsia="宋体" w:cs="Times New Roman"/>
                      <w:color w:val="auto"/>
                      <w:sz w:val="21"/>
                      <w:szCs w:val="21"/>
                      <w:highlight w:val="none"/>
                    </w:rPr>
                  </w:pPr>
                </w:p>
              </w:tc>
              <w:tc>
                <w:tcPr>
                  <w:tcW w:w="259" w:type="pct"/>
                  <w:vAlign w:val="center"/>
                </w:tcPr>
                <w:p w14:paraId="4DF6F595">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w:t>
                  </w:r>
                </w:p>
              </w:tc>
              <w:tc>
                <w:tcPr>
                  <w:tcW w:w="312" w:type="pct"/>
                  <w:vAlign w:val="center"/>
                </w:tcPr>
                <w:p w14:paraId="00D10AE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70%</w:t>
                  </w:r>
                </w:p>
              </w:tc>
              <w:tc>
                <w:tcPr>
                  <w:tcW w:w="279" w:type="pct"/>
                  <w:vAlign w:val="center"/>
                </w:tcPr>
                <w:p w14:paraId="12CB9823">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是</w:t>
                  </w:r>
                </w:p>
              </w:tc>
              <w:tc>
                <w:tcPr>
                  <w:tcW w:w="320" w:type="pct"/>
                  <w:vMerge w:val="continue"/>
                  <w:tcBorders>
                    <w:top w:val="nil"/>
                  </w:tcBorders>
                  <w:vAlign w:val="center"/>
                </w:tcPr>
                <w:p w14:paraId="3221B326">
                  <w:pPr>
                    <w:jc w:val="center"/>
                    <w:rPr>
                      <w:rFonts w:hint="default" w:ascii="Times New Roman" w:hAnsi="Times New Roman" w:eastAsia="宋体" w:cs="Times New Roman"/>
                      <w:color w:val="auto"/>
                      <w:sz w:val="21"/>
                      <w:szCs w:val="21"/>
                      <w:highlight w:val="none"/>
                    </w:rPr>
                  </w:pPr>
                </w:p>
              </w:tc>
              <w:tc>
                <w:tcPr>
                  <w:tcW w:w="326" w:type="pct"/>
                  <w:vAlign w:val="center"/>
                </w:tcPr>
                <w:p w14:paraId="7D9D7A23">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有组织</w:t>
                  </w:r>
                </w:p>
              </w:tc>
              <w:tc>
                <w:tcPr>
                  <w:tcW w:w="407" w:type="pct"/>
                  <w:vAlign w:val="center"/>
                </w:tcPr>
                <w:p w14:paraId="0E81FA81">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4.26</w:t>
                  </w:r>
                </w:p>
              </w:tc>
              <w:tc>
                <w:tcPr>
                  <w:tcW w:w="420" w:type="pct"/>
                  <w:vAlign w:val="center"/>
                </w:tcPr>
                <w:p w14:paraId="0C6A5399">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0.05</w:t>
                  </w:r>
                </w:p>
              </w:tc>
              <w:tc>
                <w:tcPr>
                  <w:tcW w:w="351" w:type="pct"/>
                  <w:tcBorders>
                    <w:right w:val="nil"/>
                  </w:tcBorders>
                  <w:vAlign w:val="center"/>
                </w:tcPr>
                <w:p w14:paraId="2D9C5AA7">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0.435</w:t>
                  </w:r>
                </w:p>
              </w:tc>
            </w:tr>
          </w:tbl>
          <w:p w14:paraId="281856E5">
            <w:pPr>
              <w:pStyle w:val="15"/>
              <w:numPr>
                <w:ilvl w:val="0"/>
                <w:numId w:val="0"/>
              </w:numPr>
              <w:ind w:leftChars="0" w:right="113" w:rightChars="0"/>
              <w:jc w:val="both"/>
              <w:rPr>
                <w:rFonts w:hint="eastAsia" w:ascii="Times New Roman" w:hAnsi="Times New Roman" w:eastAsia="宋体" w:cs="Times New Roman"/>
                <w:bCs/>
                <w:color w:val="auto"/>
                <w:sz w:val="21"/>
                <w:szCs w:val="21"/>
                <w:highlight w:val="none"/>
                <w:lang w:val="en-US" w:eastAsia="zh-CN"/>
              </w:rPr>
            </w:pPr>
          </w:p>
          <w:p w14:paraId="076802B3">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本项目运营期废气无组织排放情况表</w:t>
            </w:r>
          </w:p>
          <w:p w14:paraId="19266107">
            <w:pPr>
              <w:spacing w:line="120" w:lineRule="auto"/>
              <w:rPr>
                <w:rFonts w:ascii="Arial"/>
                <w:color w:val="auto"/>
                <w:sz w:val="2"/>
                <w:highlight w:val="none"/>
              </w:rPr>
            </w:pPr>
          </w:p>
          <w:tbl>
            <w:tblPr>
              <w:tblStyle w:val="103"/>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45"/>
              <w:gridCol w:w="1317"/>
              <w:gridCol w:w="1319"/>
              <w:gridCol w:w="1319"/>
              <w:gridCol w:w="1228"/>
              <w:gridCol w:w="1550"/>
              <w:gridCol w:w="1588"/>
              <w:gridCol w:w="1513"/>
              <w:gridCol w:w="1551"/>
            </w:tblGrid>
            <w:tr w14:paraId="3CC10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jc w:val="center"/>
              </w:trPr>
              <w:tc>
                <w:tcPr>
                  <w:tcW w:w="761" w:type="pct"/>
                  <w:vMerge w:val="restart"/>
                  <w:tcBorders>
                    <w:top w:val="single" w:color="000000" w:sz="10" w:space="0"/>
                    <w:left w:val="nil"/>
                    <w:bottom w:val="nil"/>
                  </w:tcBorders>
                  <w:vAlign w:val="center"/>
                </w:tcPr>
                <w:p w14:paraId="1FD53775">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矩形面源</w:t>
                  </w:r>
                </w:p>
              </w:tc>
              <w:tc>
                <w:tcPr>
                  <w:tcW w:w="490" w:type="pct"/>
                  <w:tcBorders>
                    <w:top w:val="single" w:color="000000" w:sz="10" w:space="0"/>
                  </w:tcBorders>
                  <w:vAlign w:val="center"/>
                </w:tcPr>
                <w:p w14:paraId="0CE7C0D3">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面源长度</w:t>
                  </w:r>
                </w:p>
              </w:tc>
              <w:tc>
                <w:tcPr>
                  <w:tcW w:w="491" w:type="pct"/>
                  <w:tcBorders>
                    <w:top w:val="single" w:color="000000" w:sz="10" w:space="0"/>
                  </w:tcBorders>
                  <w:vAlign w:val="center"/>
                </w:tcPr>
                <w:p w14:paraId="68BE5EE4">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面源宽度</w:t>
                  </w:r>
                </w:p>
              </w:tc>
              <w:tc>
                <w:tcPr>
                  <w:tcW w:w="491" w:type="pct"/>
                  <w:tcBorders>
                    <w:top w:val="single" w:color="000000" w:sz="10" w:space="0"/>
                  </w:tcBorders>
                  <w:vAlign w:val="center"/>
                </w:tcPr>
                <w:p w14:paraId="68A65756">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面源起始高度</w:t>
                  </w:r>
                </w:p>
              </w:tc>
              <w:tc>
                <w:tcPr>
                  <w:tcW w:w="457" w:type="pct"/>
                  <w:vMerge w:val="restart"/>
                  <w:tcBorders>
                    <w:top w:val="single" w:color="000000" w:sz="10" w:space="0"/>
                    <w:bottom w:val="nil"/>
                  </w:tcBorders>
                  <w:vAlign w:val="center"/>
                </w:tcPr>
                <w:p w14:paraId="0E4AAC1C">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168" w:type="pct"/>
                  <w:gridSpan w:val="2"/>
                  <w:tcBorders>
                    <w:top w:val="single" w:color="000000" w:sz="10" w:space="0"/>
                  </w:tcBorders>
                  <w:vAlign w:val="center"/>
                </w:tcPr>
                <w:p w14:paraId="643C012F">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NH</w:t>
                  </w:r>
                  <w:r>
                    <w:rPr>
                      <w:rFonts w:hint="default" w:ascii="Times New Roman" w:hAnsi="Times New Roman" w:eastAsia="宋体" w:cs="Times New Roman"/>
                      <w:b/>
                      <w:bCs/>
                      <w:color w:val="auto"/>
                      <w:sz w:val="21"/>
                      <w:szCs w:val="21"/>
                      <w:highlight w:val="none"/>
                      <w:vertAlign w:val="subscript"/>
                    </w:rPr>
                    <w:t>3</w:t>
                  </w:r>
                </w:p>
              </w:tc>
              <w:tc>
                <w:tcPr>
                  <w:tcW w:w="1140" w:type="pct"/>
                  <w:gridSpan w:val="2"/>
                  <w:tcBorders>
                    <w:top w:val="single" w:color="000000" w:sz="10" w:space="0"/>
                    <w:right w:val="nil"/>
                  </w:tcBorders>
                  <w:vAlign w:val="center"/>
                </w:tcPr>
                <w:p w14:paraId="00B17679">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H</w:t>
                  </w:r>
                  <w:r>
                    <w:rPr>
                      <w:rFonts w:hint="default" w:ascii="Times New Roman" w:hAnsi="Times New Roman" w:eastAsia="宋体" w:cs="Times New Roman"/>
                      <w:b/>
                      <w:bCs/>
                      <w:color w:val="auto"/>
                      <w:sz w:val="21"/>
                      <w:szCs w:val="21"/>
                      <w:highlight w:val="none"/>
                      <w:vertAlign w:val="subscript"/>
                    </w:rPr>
                    <w:t>2</w:t>
                  </w:r>
                  <w:r>
                    <w:rPr>
                      <w:rFonts w:hint="default" w:ascii="Times New Roman" w:hAnsi="Times New Roman" w:eastAsia="宋体" w:cs="Times New Roman"/>
                      <w:b/>
                      <w:bCs/>
                      <w:color w:val="auto"/>
                      <w:sz w:val="21"/>
                      <w:szCs w:val="21"/>
                      <w:highlight w:val="none"/>
                    </w:rPr>
                    <w:t>S</w:t>
                  </w:r>
                </w:p>
              </w:tc>
            </w:tr>
            <w:tr w14:paraId="50C28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jc w:val="center"/>
              </w:trPr>
              <w:tc>
                <w:tcPr>
                  <w:tcW w:w="761" w:type="pct"/>
                  <w:vMerge w:val="continue"/>
                  <w:tcBorders>
                    <w:top w:val="nil"/>
                    <w:left w:val="nil"/>
                  </w:tcBorders>
                  <w:vAlign w:val="center"/>
                </w:tcPr>
                <w:p w14:paraId="3C452E9B">
                  <w:pPr>
                    <w:jc w:val="center"/>
                    <w:rPr>
                      <w:rFonts w:hint="default" w:ascii="Times New Roman" w:hAnsi="Times New Roman" w:eastAsia="宋体" w:cs="Times New Roman"/>
                      <w:b/>
                      <w:bCs/>
                      <w:color w:val="auto"/>
                      <w:sz w:val="21"/>
                      <w:szCs w:val="21"/>
                      <w:highlight w:val="none"/>
                    </w:rPr>
                  </w:pPr>
                </w:p>
              </w:tc>
              <w:tc>
                <w:tcPr>
                  <w:tcW w:w="490" w:type="pct"/>
                  <w:vAlign w:val="center"/>
                </w:tcPr>
                <w:p w14:paraId="7CA27CA4">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491" w:type="pct"/>
                  <w:vAlign w:val="center"/>
                </w:tcPr>
                <w:p w14:paraId="473551D8">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491" w:type="pct"/>
                  <w:vAlign w:val="center"/>
                </w:tcPr>
                <w:p w14:paraId="63441255">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457" w:type="pct"/>
                  <w:vMerge w:val="continue"/>
                  <w:tcBorders>
                    <w:top w:val="nil"/>
                  </w:tcBorders>
                  <w:vAlign w:val="center"/>
                </w:tcPr>
                <w:p w14:paraId="13FB0ED0">
                  <w:pPr>
                    <w:jc w:val="center"/>
                    <w:rPr>
                      <w:rFonts w:hint="default" w:ascii="Times New Roman" w:hAnsi="Times New Roman" w:eastAsia="宋体" w:cs="Times New Roman"/>
                      <w:b/>
                      <w:bCs/>
                      <w:color w:val="auto"/>
                      <w:sz w:val="21"/>
                      <w:szCs w:val="21"/>
                      <w:highlight w:val="none"/>
                    </w:rPr>
                  </w:pPr>
                </w:p>
              </w:tc>
              <w:tc>
                <w:tcPr>
                  <w:tcW w:w="577" w:type="pct"/>
                  <w:vAlign w:val="center"/>
                </w:tcPr>
                <w:p w14:paraId="76FD0BF7">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排放速率kg/h</w:t>
                  </w:r>
                </w:p>
              </w:tc>
              <w:tc>
                <w:tcPr>
                  <w:tcW w:w="591" w:type="pct"/>
                  <w:vAlign w:val="center"/>
                </w:tcPr>
                <w:p w14:paraId="421687BE">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总量</w:t>
                  </w:r>
                  <w:r>
                    <w:rPr>
                      <w:rFonts w:hint="eastAsia" w:ascii="Times New Roman" w:hAnsi="Times New Roman" w:eastAsia="宋体" w:cs="Times New Roman"/>
                      <w:b/>
                      <w:bCs/>
                      <w:color w:val="auto"/>
                      <w:sz w:val="21"/>
                      <w:szCs w:val="21"/>
                      <w:highlight w:val="none"/>
                      <w:lang w:val="en-US" w:eastAsia="zh-CN"/>
                    </w:rPr>
                    <w:t>kg/a</w:t>
                  </w:r>
                </w:p>
              </w:tc>
              <w:tc>
                <w:tcPr>
                  <w:tcW w:w="563" w:type="pct"/>
                  <w:vAlign w:val="center"/>
                </w:tcPr>
                <w:p w14:paraId="03B140AD">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排放速率kg/h</w:t>
                  </w:r>
                </w:p>
              </w:tc>
              <w:tc>
                <w:tcPr>
                  <w:tcW w:w="577" w:type="pct"/>
                  <w:tcBorders>
                    <w:right w:val="nil"/>
                  </w:tcBorders>
                  <w:vAlign w:val="center"/>
                </w:tcPr>
                <w:p w14:paraId="2DD9714F">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总量</w:t>
                  </w:r>
                  <w:r>
                    <w:rPr>
                      <w:rFonts w:hint="eastAsia" w:ascii="Times New Roman" w:hAnsi="Times New Roman" w:eastAsia="宋体" w:cs="Times New Roman"/>
                      <w:b/>
                      <w:bCs/>
                      <w:color w:val="auto"/>
                      <w:sz w:val="21"/>
                      <w:szCs w:val="21"/>
                      <w:highlight w:val="none"/>
                      <w:lang w:val="en-US" w:eastAsia="zh-CN"/>
                    </w:rPr>
                    <w:t>kg/a</w:t>
                  </w:r>
                </w:p>
              </w:tc>
            </w:tr>
            <w:tr w14:paraId="3DBAEC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761" w:type="pct"/>
                  <w:tcBorders>
                    <w:left w:val="nil"/>
                  </w:tcBorders>
                  <w:vAlign w:val="center"/>
                </w:tcPr>
                <w:p w14:paraId="18F2130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待宰区</w:t>
                  </w:r>
                </w:p>
              </w:tc>
              <w:tc>
                <w:tcPr>
                  <w:tcW w:w="490" w:type="pct"/>
                  <w:vAlign w:val="center"/>
                </w:tcPr>
                <w:p w14:paraId="3C742C52">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7.56</w:t>
                  </w:r>
                </w:p>
              </w:tc>
              <w:tc>
                <w:tcPr>
                  <w:tcW w:w="491" w:type="pct"/>
                  <w:vAlign w:val="center"/>
                </w:tcPr>
                <w:p w14:paraId="4AE6510C">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491" w:type="pct"/>
                  <w:vAlign w:val="center"/>
                </w:tcPr>
                <w:p w14:paraId="6E6C948C">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6.3</w:t>
                  </w:r>
                </w:p>
              </w:tc>
              <w:tc>
                <w:tcPr>
                  <w:tcW w:w="457" w:type="pct"/>
                  <w:vMerge w:val="restart"/>
                  <w:tcBorders>
                    <w:bottom w:val="nil"/>
                  </w:tcBorders>
                  <w:vAlign w:val="center"/>
                </w:tcPr>
                <w:p w14:paraId="6E508E2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NH3、H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S</w:t>
                  </w:r>
                </w:p>
              </w:tc>
              <w:tc>
                <w:tcPr>
                  <w:tcW w:w="1550" w:type="dxa"/>
                  <w:vAlign w:val="center"/>
                </w:tcPr>
                <w:p w14:paraId="21C1163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u w:val="none"/>
                      <w:lang w:val="en-US" w:eastAsia="zh-CN" w:bidi="ar"/>
                    </w:rPr>
                    <w:t>0.00108</w:t>
                  </w:r>
                </w:p>
              </w:tc>
              <w:tc>
                <w:tcPr>
                  <w:tcW w:w="1588" w:type="dxa"/>
                  <w:vAlign w:val="center"/>
                </w:tcPr>
                <w:p w14:paraId="6CA83EF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u w:val="none"/>
                      <w:lang w:val="en-US" w:eastAsia="zh-CN" w:bidi="ar"/>
                    </w:rPr>
                    <w:t>4.7304</w:t>
                  </w:r>
                </w:p>
              </w:tc>
              <w:tc>
                <w:tcPr>
                  <w:tcW w:w="1513" w:type="dxa"/>
                  <w:vAlign w:val="center"/>
                </w:tcPr>
                <w:p w14:paraId="2F4058C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0.00008</w:t>
                  </w:r>
                </w:p>
              </w:tc>
              <w:tc>
                <w:tcPr>
                  <w:tcW w:w="1551" w:type="dxa"/>
                  <w:tcBorders>
                    <w:right w:val="nil"/>
                  </w:tcBorders>
                  <w:vAlign w:val="center"/>
                </w:tcPr>
                <w:p w14:paraId="40C2E9B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0.3504</w:t>
                  </w:r>
                </w:p>
              </w:tc>
            </w:tr>
            <w:tr w14:paraId="27B3AC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761" w:type="pct"/>
                  <w:tcBorders>
                    <w:left w:val="nil"/>
                  </w:tcBorders>
                  <w:vAlign w:val="center"/>
                </w:tcPr>
                <w:p w14:paraId="097C66B5">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屠宰区</w:t>
                  </w:r>
                </w:p>
              </w:tc>
              <w:tc>
                <w:tcPr>
                  <w:tcW w:w="490" w:type="pct"/>
                  <w:vAlign w:val="center"/>
                </w:tcPr>
                <w:p w14:paraId="58E55E0D">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37.6</w:t>
                  </w:r>
                </w:p>
              </w:tc>
              <w:tc>
                <w:tcPr>
                  <w:tcW w:w="491" w:type="pct"/>
                  <w:vAlign w:val="center"/>
                </w:tcPr>
                <w:p w14:paraId="16B19B1B">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6.9</w:t>
                  </w:r>
                </w:p>
              </w:tc>
              <w:tc>
                <w:tcPr>
                  <w:tcW w:w="491" w:type="pct"/>
                  <w:vAlign w:val="center"/>
                </w:tcPr>
                <w:p w14:paraId="11029588">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6.3</w:t>
                  </w:r>
                </w:p>
              </w:tc>
              <w:tc>
                <w:tcPr>
                  <w:tcW w:w="457" w:type="pct"/>
                  <w:vMerge w:val="continue"/>
                  <w:tcBorders>
                    <w:top w:val="nil"/>
                    <w:bottom w:val="nil"/>
                  </w:tcBorders>
                  <w:vAlign w:val="center"/>
                </w:tcPr>
                <w:p w14:paraId="0188A174">
                  <w:pPr>
                    <w:jc w:val="center"/>
                    <w:rPr>
                      <w:rFonts w:hint="default" w:ascii="Times New Roman" w:hAnsi="Times New Roman" w:eastAsia="宋体" w:cs="Times New Roman"/>
                      <w:color w:val="auto"/>
                      <w:sz w:val="21"/>
                      <w:szCs w:val="21"/>
                      <w:highlight w:val="none"/>
                    </w:rPr>
                  </w:pPr>
                </w:p>
              </w:tc>
              <w:tc>
                <w:tcPr>
                  <w:tcW w:w="1550" w:type="dxa"/>
                  <w:vAlign w:val="center"/>
                </w:tcPr>
                <w:p w14:paraId="53BB362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0.007</w:t>
                  </w:r>
                </w:p>
              </w:tc>
              <w:tc>
                <w:tcPr>
                  <w:tcW w:w="1588" w:type="dxa"/>
                  <w:vAlign w:val="center"/>
                </w:tcPr>
                <w:p w14:paraId="7FC5689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10.22</w:t>
                  </w:r>
                </w:p>
              </w:tc>
              <w:tc>
                <w:tcPr>
                  <w:tcW w:w="1513" w:type="dxa"/>
                  <w:vAlign w:val="center"/>
                </w:tcPr>
                <w:p w14:paraId="3117725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0.00015</w:t>
                  </w:r>
                </w:p>
              </w:tc>
              <w:tc>
                <w:tcPr>
                  <w:tcW w:w="1551" w:type="dxa"/>
                  <w:tcBorders>
                    <w:right w:val="nil"/>
                  </w:tcBorders>
                  <w:vAlign w:val="center"/>
                </w:tcPr>
                <w:p w14:paraId="722EA73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0.219</w:t>
                  </w:r>
                </w:p>
              </w:tc>
            </w:tr>
            <w:tr w14:paraId="033FB5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761" w:type="pct"/>
                  <w:tcBorders>
                    <w:left w:val="nil"/>
                  </w:tcBorders>
                  <w:vAlign w:val="center"/>
                </w:tcPr>
                <w:p w14:paraId="634C0DD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污水处理站</w:t>
                  </w:r>
                </w:p>
              </w:tc>
              <w:tc>
                <w:tcPr>
                  <w:tcW w:w="490" w:type="pct"/>
                  <w:vAlign w:val="center"/>
                </w:tcPr>
                <w:p w14:paraId="49A8683C">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491" w:type="pct"/>
                  <w:vAlign w:val="center"/>
                </w:tcPr>
                <w:p w14:paraId="5FE2A516">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491" w:type="pct"/>
                  <w:vAlign w:val="center"/>
                </w:tcPr>
                <w:p w14:paraId="59E5B23B">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457" w:type="pct"/>
                  <w:vMerge w:val="continue"/>
                  <w:tcBorders>
                    <w:top w:val="nil"/>
                    <w:bottom w:val="nil"/>
                  </w:tcBorders>
                  <w:vAlign w:val="center"/>
                </w:tcPr>
                <w:p w14:paraId="14A3225A">
                  <w:pPr>
                    <w:jc w:val="center"/>
                    <w:rPr>
                      <w:rFonts w:hint="default" w:ascii="Times New Roman" w:hAnsi="Times New Roman" w:eastAsia="宋体" w:cs="Times New Roman"/>
                      <w:color w:val="auto"/>
                      <w:sz w:val="21"/>
                      <w:szCs w:val="21"/>
                      <w:highlight w:val="none"/>
                    </w:rPr>
                  </w:pPr>
                </w:p>
              </w:tc>
              <w:tc>
                <w:tcPr>
                  <w:tcW w:w="1550" w:type="dxa"/>
                  <w:vAlign w:val="center"/>
                </w:tcPr>
                <w:p w14:paraId="477064C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0.000106735</w:t>
                  </w:r>
                </w:p>
              </w:tc>
              <w:tc>
                <w:tcPr>
                  <w:tcW w:w="1588" w:type="dxa"/>
                  <w:vAlign w:val="center"/>
                </w:tcPr>
                <w:p w14:paraId="578D37E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0.935</w:t>
                  </w:r>
                </w:p>
              </w:tc>
              <w:tc>
                <w:tcPr>
                  <w:tcW w:w="1513" w:type="dxa"/>
                  <w:vAlign w:val="center"/>
                </w:tcPr>
                <w:p w14:paraId="4D818EF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4.10959E-06</w:t>
                  </w:r>
                </w:p>
              </w:tc>
              <w:tc>
                <w:tcPr>
                  <w:tcW w:w="1551" w:type="dxa"/>
                  <w:tcBorders>
                    <w:right w:val="nil"/>
                  </w:tcBorders>
                  <w:vAlign w:val="center"/>
                </w:tcPr>
                <w:p w14:paraId="1ABE70D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0.036</w:t>
                  </w:r>
                </w:p>
              </w:tc>
            </w:tr>
            <w:tr w14:paraId="3096A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jc w:val="center"/>
              </w:trPr>
              <w:tc>
                <w:tcPr>
                  <w:tcW w:w="761" w:type="pct"/>
                  <w:tcBorders>
                    <w:left w:val="nil"/>
                    <w:bottom w:val="single" w:color="000000" w:sz="10" w:space="0"/>
                  </w:tcBorders>
                  <w:vAlign w:val="center"/>
                </w:tcPr>
                <w:p w14:paraId="38ACE30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猪粪、猪毛及肠内容物暂存间</w:t>
                  </w:r>
                </w:p>
              </w:tc>
              <w:tc>
                <w:tcPr>
                  <w:tcW w:w="490" w:type="pct"/>
                  <w:tcBorders>
                    <w:bottom w:val="single" w:color="000000" w:sz="10" w:space="0"/>
                  </w:tcBorders>
                  <w:vAlign w:val="center"/>
                </w:tcPr>
                <w:p w14:paraId="1C686636">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491" w:type="pct"/>
                  <w:tcBorders>
                    <w:bottom w:val="single" w:color="000000" w:sz="10" w:space="0"/>
                  </w:tcBorders>
                  <w:vAlign w:val="center"/>
                </w:tcPr>
                <w:p w14:paraId="2EFD2465">
                  <w:pPr>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491" w:type="pct"/>
                  <w:tcBorders>
                    <w:bottom w:val="single" w:color="000000" w:sz="10" w:space="0"/>
                  </w:tcBorders>
                  <w:vAlign w:val="center"/>
                </w:tcPr>
                <w:p w14:paraId="3E7FCF63">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w:t>
                  </w:r>
                </w:p>
              </w:tc>
              <w:tc>
                <w:tcPr>
                  <w:tcW w:w="457" w:type="pct"/>
                  <w:vMerge w:val="continue"/>
                  <w:tcBorders>
                    <w:top w:val="nil"/>
                    <w:bottom w:val="single" w:color="000000" w:sz="10" w:space="0"/>
                  </w:tcBorders>
                  <w:vAlign w:val="center"/>
                </w:tcPr>
                <w:p w14:paraId="26DB3C7C">
                  <w:pPr>
                    <w:jc w:val="center"/>
                    <w:rPr>
                      <w:rFonts w:hint="default" w:ascii="Times New Roman" w:hAnsi="Times New Roman" w:eastAsia="宋体" w:cs="Times New Roman"/>
                      <w:color w:val="auto"/>
                      <w:sz w:val="21"/>
                      <w:szCs w:val="21"/>
                      <w:highlight w:val="none"/>
                    </w:rPr>
                  </w:pPr>
                </w:p>
              </w:tc>
              <w:tc>
                <w:tcPr>
                  <w:tcW w:w="1550" w:type="dxa"/>
                  <w:tcBorders>
                    <w:bottom w:val="single" w:color="000000" w:sz="10" w:space="0"/>
                  </w:tcBorders>
                  <w:vAlign w:val="center"/>
                </w:tcPr>
                <w:p w14:paraId="2CC016F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6.27854E-06</w:t>
                  </w:r>
                </w:p>
              </w:tc>
              <w:tc>
                <w:tcPr>
                  <w:tcW w:w="1588" w:type="dxa"/>
                  <w:tcBorders>
                    <w:bottom w:val="single" w:color="000000" w:sz="10" w:space="0"/>
                  </w:tcBorders>
                  <w:vAlign w:val="center"/>
                </w:tcPr>
                <w:p w14:paraId="6364906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0.055</w:t>
                  </w:r>
                </w:p>
              </w:tc>
              <w:tc>
                <w:tcPr>
                  <w:tcW w:w="1513" w:type="dxa"/>
                  <w:tcBorders>
                    <w:bottom w:val="single" w:color="000000" w:sz="10" w:space="0"/>
                  </w:tcBorders>
                  <w:vAlign w:val="center"/>
                </w:tcPr>
                <w:p w14:paraId="02506C7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5.13699E-07</w:t>
                  </w:r>
                </w:p>
              </w:tc>
              <w:tc>
                <w:tcPr>
                  <w:tcW w:w="1551" w:type="dxa"/>
                  <w:tcBorders>
                    <w:bottom w:val="single" w:color="000000" w:sz="10" w:space="0"/>
                    <w:right w:val="nil"/>
                  </w:tcBorders>
                  <w:vAlign w:val="center"/>
                </w:tcPr>
                <w:p w14:paraId="6BA99C3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0.0045</w:t>
                  </w:r>
                </w:p>
              </w:tc>
            </w:tr>
          </w:tbl>
          <w:p w14:paraId="5EDCD187">
            <w:pPr>
              <w:keepNext w:val="0"/>
              <w:keepLines w:val="0"/>
              <w:pageBreakBefore w:val="0"/>
              <w:widowControl w:val="0"/>
              <w:kinsoku/>
              <w:wordWrap/>
              <w:overflowPunct/>
              <w:topLinePunct w:val="0"/>
              <w:bidi w:val="0"/>
              <w:spacing w:line="360" w:lineRule="auto"/>
              <w:ind w:firstLine="482" w:firstLineChars="200"/>
              <w:jc w:val="both"/>
              <w:textAlignment w:val="auto"/>
              <w:rPr>
                <w:b/>
                <w:bCs/>
                <w:color w:val="auto"/>
                <w:sz w:val="24"/>
                <w:highlight w:val="none"/>
              </w:rPr>
            </w:pPr>
            <w:r>
              <w:rPr>
                <w:rFonts w:hint="eastAsia"/>
                <w:b/>
                <w:bCs/>
                <w:color w:val="auto"/>
                <w:sz w:val="24"/>
                <w:highlight w:val="none"/>
                <w:lang w:val="en-US" w:eastAsia="zh-CN"/>
              </w:rPr>
              <w:t>2）</w:t>
            </w:r>
            <w:r>
              <w:rPr>
                <w:rFonts w:hint="eastAsia"/>
                <w:b/>
                <w:bCs/>
                <w:color w:val="auto"/>
                <w:sz w:val="24"/>
                <w:highlight w:val="none"/>
              </w:rPr>
              <w:t>非正常工况</w:t>
            </w:r>
          </w:p>
          <w:p w14:paraId="1FED3357">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color w:val="auto"/>
                <w:sz w:val="24"/>
                <w:highlight w:val="none"/>
              </w:rPr>
            </w:pPr>
            <w:r>
              <w:rPr>
                <w:rFonts w:hint="eastAsia"/>
                <w:color w:val="auto"/>
                <w:sz w:val="24"/>
                <w:highlight w:val="none"/>
              </w:rPr>
              <w:t>根据《环境影响评价技术导则 大气环境》（HJ2.2-2018），非正常排放包括点火开炉、设备检修、污染物排放控制措施达不到应有效率、工艺设备运行异常等。</w:t>
            </w:r>
          </w:p>
          <w:p w14:paraId="5C51FB44">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color w:val="auto"/>
                <w:kern w:val="0"/>
                <w:sz w:val="24"/>
                <w:highlight w:val="none"/>
              </w:rPr>
            </w:pPr>
            <w:r>
              <w:rPr>
                <w:rFonts w:hint="eastAsia"/>
                <w:color w:val="auto"/>
                <w:sz w:val="24"/>
                <w:highlight w:val="none"/>
              </w:rPr>
              <w:t>本项目为</w:t>
            </w:r>
            <w:r>
              <w:rPr>
                <w:rFonts w:hint="eastAsia"/>
                <w:color w:val="auto"/>
                <w:sz w:val="24"/>
                <w:highlight w:val="none"/>
                <w:lang w:val="en-US" w:eastAsia="zh-CN"/>
              </w:rPr>
              <w:t>屠宰项目</w:t>
            </w:r>
            <w:r>
              <w:rPr>
                <w:rFonts w:hint="eastAsia"/>
                <w:color w:val="auto"/>
                <w:sz w:val="24"/>
                <w:highlight w:val="none"/>
              </w:rPr>
              <w:t>，废气主要为</w:t>
            </w:r>
            <w:r>
              <w:rPr>
                <w:rFonts w:hint="eastAsia"/>
                <w:color w:val="auto"/>
                <w:sz w:val="24"/>
                <w:highlight w:val="none"/>
                <w:lang w:val="en-US" w:eastAsia="zh-CN"/>
              </w:rPr>
              <w:t>恶臭、沼气</w:t>
            </w:r>
            <w:r>
              <w:rPr>
                <w:rFonts w:hint="eastAsia"/>
                <w:color w:val="auto"/>
                <w:sz w:val="24"/>
                <w:highlight w:val="none"/>
              </w:rPr>
              <w:t>，在</w:t>
            </w:r>
            <w:r>
              <w:rPr>
                <w:rFonts w:hint="eastAsia"/>
                <w:color w:val="auto"/>
                <w:sz w:val="24"/>
                <w:highlight w:val="none"/>
                <w:lang w:val="en-US" w:eastAsia="zh-CN"/>
              </w:rPr>
              <w:t>屠宰</w:t>
            </w:r>
            <w:r>
              <w:rPr>
                <w:rFonts w:hint="eastAsia"/>
                <w:color w:val="auto"/>
                <w:sz w:val="24"/>
                <w:highlight w:val="none"/>
              </w:rPr>
              <w:t>前，首先运行所有的废气处理装置，然后再进行</w:t>
            </w:r>
            <w:r>
              <w:rPr>
                <w:rFonts w:hint="eastAsia"/>
                <w:color w:val="auto"/>
                <w:sz w:val="24"/>
                <w:highlight w:val="none"/>
                <w:lang w:val="en-US" w:eastAsia="zh-CN"/>
              </w:rPr>
              <w:t>屠宰</w:t>
            </w:r>
            <w:r>
              <w:rPr>
                <w:rFonts w:hint="eastAsia"/>
                <w:color w:val="auto"/>
                <w:sz w:val="24"/>
                <w:highlight w:val="none"/>
              </w:rPr>
              <w:t>，使运行过程中所产生的废气都能得到处理。停工时，所有的废气处理装置继续运转，待废气没有排出之后才逐台关闭。项目在开、停车时排出污染物均得到有效处理，经排气筒排出的污染物浓度比正常运行时更小，不会超出正常运行时的排污浓度。因此</w:t>
            </w:r>
            <w:r>
              <w:rPr>
                <w:rFonts w:hint="eastAsia"/>
                <w:color w:val="auto"/>
                <w:kern w:val="0"/>
                <w:sz w:val="24"/>
                <w:highlight w:val="none"/>
              </w:rPr>
              <w:t>项目非正常排放情况主要为</w:t>
            </w:r>
            <w:r>
              <w:rPr>
                <w:rFonts w:hint="eastAsia"/>
                <w:color w:val="auto"/>
                <w:sz w:val="24"/>
                <w:highlight w:val="none"/>
              </w:rPr>
              <w:t>废气处理设施故障，</w:t>
            </w:r>
            <w:r>
              <w:rPr>
                <w:rFonts w:hint="eastAsia"/>
                <w:color w:val="auto"/>
                <w:kern w:val="0"/>
                <w:sz w:val="24"/>
                <w:highlight w:val="none"/>
              </w:rPr>
              <w:t>其预测源强如下表所示：</w:t>
            </w:r>
          </w:p>
          <w:p w14:paraId="053D7936">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污染源非正常排放量核算一览表</w:t>
            </w:r>
          </w:p>
          <w:tbl>
            <w:tblPr>
              <w:tblStyle w:val="3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723"/>
              <w:gridCol w:w="1638"/>
              <w:gridCol w:w="2397"/>
              <w:gridCol w:w="2212"/>
              <w:gridCol w:w="1679"/>
              <w:gridCol w:w="1535"/>
              <w:gridCol w:w="1486"/>
            </w:tblGrid>
            <w:tr w14:paraId="4A68A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vAlign w:val="center"/>
                </w:tcPr>
                <w:p w14:paraId="2679FDFB">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序号</w:t>
                  </w:r>
                </w:p>
              </w:tc>
              <w:tc>
                <w:tcPr>
                  <w:tcW w:w="640" w:type="pct"/>
                  <w:vAlign w:val="center"/>
                </w:tcPr>
                <w:p w14:paraId="22C9A487">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污染源</w:t>
                  </w:r>
                </w:p>
              </w:tc>
              <w:tc>
                <w:tcPr>
                  <w:tcW w:w="609" w:type="pct"/>
                  <w:vAlign w:val="center"/>
                </w:tcPr>
                <w:p w14:paraId="7E5657D5">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污染物种类</w:t>
                  </w:r>
                </w:p>
              </w:tc>
              <w:tc>
                <w:tcPr>
                  <w:tcW w:w="891" w:type="pct"/>
                  <w:vAlign w:val="center"/>
                </w:tcPr>
                <w:p w14:paraId="7103FB44">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非正常排放原因</w:t>
                  </w:r>
                </w:p>
              </w:tc>
              <w:tc>
                <w:tcPr>
                  <w:tcW w:w="822" w:type="pct"/>
                  <w:vAlign w:val="center"/>
                </w:tcPr>
                <w:p w14:paraId="1C6425F7">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非正常排放速率/（kg/h）</w:t>
                  </w:r>
                </w:p>
              </w:tc>
              <w:tc>
                <w:tcPr>
                  <w:tcW w:w="624" w:type="pct"/>
                  <w:vAlign w:val="center"/>
                </w:tcPr>
                <w:p w14:paraId="3DAAB1AD">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单次持续时间/h</w:t>
                  </w:r>
                </w:p>
              </w:tc>
              <w:tc>
                <w:tcPr>
                  <w:tcW w:w="571" w:type="pct"/>
                  <w:vAlign w:val="center"/>
                </w:tcPr>
                <w:p w14:paraId="68F74AB2">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年发生频次/次</w:t>
                  </w:r>
                </w:p>
              </w:tc>
              <w:tc>
                <w:tcPr>
                  <w:tcW w:w="552" w:type="pct"/>
                  <w:vAlign w:val="center"/>
                </w:tcPr>
                <w:p w14:paraId="3050A9F6">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应对措施</w:t>
                  </w:r>
                </w:p>
              </w:tc>
            </w:tr>
            <w:tr w14:paraId="0A64D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vMerge w:val="restart"/>
                  <w:vAlign w:val="center"/>
                </w:tcPr>
                <w:p w14:paraId="0FCB02A7">
                  <w:pPr>
                    <w:pStyle w:val="89"/>
                    <w:keepNext w:val="0"/>
                    <w:keepLines w:val="0"/>
                    <w:pageBreakBefore w:val="0"/>
                    <w:widowControl w:val="0"/>
                    <w:kinsoku/>
                    <w:wordWrap/>
                    <w:overflowPunct/>
                    <w:topLinePunct w:val="0"/>
                    <w:autoSpaceDE/>
                    <w:autoSpaceDN/>
                    <w:bidi w:val="0"/>
                    <w:snapToGrid/>
                    <w:spacing w:line="240" w:lineRule="exact"/>
                    <w:jc w:val="center"/>
                    <w:rPr>
                      <w:rFonts w:hint="eastAsia" w:ascii="Times New Roman" w:hAnsi="Times New Roman" w:eastAsia="宋体"/>
                      <w:b w:val="0"/>
                      <w:bCs/>
                      <w:color w:val="auto"/>
                      <w:sz w:val="21"/>
                      <w:szCs w:val="21"/>
                      <w:highlight w:val="none"/>
                      <w:lang w:val="en-US" w:eastAsia="zh-CN"/>
                    </w:rPr>
                  </w:pPr>
                  <w:r>
                    <w:rPr>
                      <w:rFonts w:hint="eastAsia" w:ascii="Times New Roman"/>
                      <w:b w:val="0"/>
                      <w:bCs/>
                      <w:color w:val="auto"/>
                      <w:sz w:val="21"/>
                      <w:szCs w:val="21"/>
                      <w:highlight w:val="none"/>
                      <w:lang w:val="en-US" w:eastAsia="zh-CN"/>
                    </w:rPr>
                    <w:t>1</w:t>
                  </w:r>
                </w:p>
              </w:tc>
              <w:tc>
                <w:tcPr>
                  <w:tcW w:w="640" w:type="pct"/>
                  <w:vMerge w:val="restart"/>
                  <w:vAlign w:val="center"/>
                </w:tcPr>
                <w:p w14:paraId="63D46321">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eastAsia="宋体"/>
                      <w:b w:val="0"/>
                      <w:bCs/>
                      <w:color w:val="auto"/>
                      <w:sz w:val="21"/>
                      <w:szCs w:val="21"/>
                      <w:highlight w:val="none"/>
                      <w:lang w:val="en-US" w:eastAsia="zh-CN"/>
                    </w:rPr>
                  </w:pPr>
                  <w:r>
                    <w:rPr>
                      <w:rFonts w:hint="eastAsia" w:ascii="Times New Roman" w:hAnsi="Times New Roman"/>
                      <w:b w:val="0"/>
                      <w:bCs/>
                      <w:color w:val="auto"/>
                      <w:sz w:val="21"/>
                      <w:szCs w:val="21"/>
                      <w:highlight w:val="none"/>
                      <w:lang w:val="en-US" w:eastAsia="zh-CN"/>
                    </w:rPr>
                    <w:t>DA00</w:t>
                  </w:r>
                  <w:r>
                    <w:rPr>
                      <w:rFonts w:hint="eastAsia" w:ascii="Times New Roman"/>
                      <w:b w:val="0"/>
                      <w:bCs/>
                      <w:color w:val="auto"/>
                      <w:sz w:val="21"/>
                      <w:szCs w:val="21"/>
                      <w:highlight w:val="none"/>
                      <w:lang w:val="en-US" w:eastAsia="zh-CN"/>
                    </w:rPr>
                    <w:t>1</w:t>
                  </w:r>
                </w:p>
              </w:tc>
              <w:tc>
                <w:tcPr>
                  <w:tcW w:w="609" w:type="pct"/>
                  <w:shd w:val="clear" w:color="auto" w:fill="auto"/>
                  <w:vAlign w:val="center"/>
                </w:tcPr>
                <w:p w14:paraId="097095D5">
                  <w:pPr>
                    <w:pStyle w:val="41"/>
                    <w:keepNext w:val="0"/>
                    <w:keepLines w:val="0"/>
                    <w:pageBreakBefore w:val="0"/>
                    <w:widowControl w:val="0"/>
                    <w:kinsoku/>
                    <w:wordWrap/>
                    <w:overflowPunct/>
                    <w:topLinePunct w:val="0"/>
                    <w:autoSpaceDE w:val="0"/>
                    <w:autoSpaceDN w:val="0"/>
                    <w:bidi w:val="0"/>
                    <w:adjustRightInd w:val="0"/>
                    <w:snapToGrid/>
                    <w:spacing w:line="240" w:lineRule="exact"/>
                    <w:jc w:val="center"/>
                    <w:textAlignment w:val="auto"/>
                    <w:rPr>
                      <w:rFonts w:ascii="宋体" w:hAnsi="宋体"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sz w:val="21"/>
                      <w:szCs w:val="21"/>
                      <w:highlight w:val="none"/>
                      <w:lang w:val="en-US" w:eastAsia="zh-CN"/>
                    </w:rPr>
                    <w:t>氨</w:t>
                  </w:r>
                </w:p>
              </w:tc>
              <w:tc>
                <w:tcPr>
                  <w:tcW w:w="891" w:type="pct"/>
                  <w:vMerge w:val="restart"/>
                  <w:vAlign w:val="center"/>
                </w:tcPr>
                <w:p w14:paraId="49B0498D">
                  <w:pPr>
                    <w:keepNext w:val="0"/>
                    <w:keepLines w:val="0"/>
                    <w:pageBreakBefore w:val="0"/>
                    <w:widowControl w:val="0"/>
                    <w:kinsoku/>
                    <w:wordWrap/>
                    <w:overflowPunct/>
                    <w:topLinePunct w:val="0"/>
                    <w:autoSpaceDE/>
                    <w:autoSpaceDN/>
                    <w:bidi w:val="0"/>
                    <w:snapToGrid/>
                    <w:spacing w:line="240" w:lineRule="exact"/>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废气处理装置</w:t>
                  </w:r>
                  <w:r>
                    <w:rPr>
                      <w:rFonts w:hint="eastAsia"/>
                      <w:color w:val="auto"/>
                      <w:sz w:val="21"/>
                      <w:szCs w:val="21"/>
                      <w:highlight w:val="none"/>
                    </w:rPr>
                    <w:t>故障，处理效率降为</w:t>
                  </w:r>
                  <w:r>
                    <w:rPr>
                      <w:rFonts w:hint="eastAsia"/>
                      <w:color w:val="auto"/>
                      <w:sz w:val="21"/>
                      <w:szCs w:val="21"/>
                      <w:highlight w:val="none"/>
                      <w:lang w:val="en-US" w:eastAsia="zh-CN"/>
                    </w:rPr>
                    <w:t>50%</w:t>
                  </w:r>
                </w:p>
              </w:tc>
              <w:tc>
                <w:tcPr>
                  <w:tcW w:w="2212" w:type="dxa"/>
                  <w:vAlign w:val="center"/>
                </w:tcPr>
                <w:p w14:paraId="6F01D7EB">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0.037</w:t>
                  </w:r>
                </w:p>
              </w:tc>
              <w:tc>
                <w:tcPr>
                  <w:tcW w:w="624" w:type="pct"/>
                  <w:vAlign w:val="center"/>
                </w:tcPr>
                <w:p w14:paraId="5D984CED">
                  <w:pPr>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val="0"/>
                      <w:bCs/>
                      <w:color w:val="auto"/>
                      <w:sz w:val="21"/>
                      <w:szCs w:val="21"/>
                      <w:highlight w:val="none"/>
                    </w:rPr>
                  </w:pPr>
                  <w:r>
                    <w:rPr>
                      <w:rFonts w:ascii="Times New Roman" w:hAnsi="Times New Roman"/>
                      <w:b w:val="0"/>
                      <w:bCs/>
                      <w:color w:val="auto"/>
                      <w:sz w:val="21"/>
                      <w:szCs w:val="21"/>
                      <w:highlight w:val="none"/>
                    </w:rPr>
                    <w:t>0.5h</w:t>
                  </w:r>
                </w:p>
              </w:tc>
              <w:tc>
                <w:tcPr>
                  <w:tcW w:w="571" w:type="pct"/>
                  <w:vAlign w:val="center"/>
                </w:tcPr>
                <w:p w14:paraId="472F3BB1">
                  <w:pPr>
                    <w:keepNext w:val="0"/>
                    <w:keepLines w:val="0"/>
                    <w:pageBreakBefore w:val="0"/>
                    <w:widowControl w:val="0"/>
                    <w:kinsoku/>
                    <w:wordWrap/>
                    <w:overflowPunct/>
                    <w:topLinePunct w:val="0"/>
                    <w:autoSpaceDE/>
                    <w:autoSpaceDN/>
                    <w:bidi w:val="0"/>
                    <w:snapToGrid/>
                    <w:spacing w:line="240" w:lineRule="exact"/>
                    <w:jc w:val="center"/>
                    <w:rPr>
                      <w:b/>
                      <w:bCs/>
                      <w:color w:val="auto"/>
                      <w:sz w:val="21"/>
                      <w:szCs w:val="21"/>
                      <w:highlight w:val="none"/>
                    </w:rPr>
                  </w:pPr>
                  <w:r>
                    <w:rPr>
                      <w:rFonts w:hint="eastAsia"/>
                      <w:color w:val="auto"/>
                      <w:sz w:val="21"/>
                      <w:szCs w:val="21"/>
                      <w:highlight w:val="none"/>
                    </w:rPr>
                    <w:t>1次/年</w:t>
                  </w:r>
                </w:p>
              </w:tc>
              <w:tc>
                <w:tcPr>
                  <w:tcW w:w="552" w:type="pct"/>
                  <w:vMerge w:val="restart"/>
                  <w:vAlign w:val="center"/>
                </w:tcPr>
                <w:p w14:paraId="5F4A1018">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eastAsia="宋体" w:cs="Times New Roman"/>
                      <w:b w:val="0"/>
                      <w:bCs/>
                      <w:color w:val="auto"/>
                      <w:kern w:val="2"/>
                      <w:sz w:val="21"/>
                      <w:szCs w:val="21"/>
                      <w:highlight w:val="none"/>
                      <w:lang w:val="en-US" w:eastAsia="zh-CN" w:bidi="ar-SA"/>
                    </w:rPr>
                  </w:pPr>
                  <w:r>
                    <w:rPr>
                      <w:rFonts w:ascii="Times New Roman" w:hAnsi="Times New Roman"/>
                      <w:b w:val="0"/>
                      <w:bCs/>
                      <w:color w:val="auto"/>
                      <w:sz w:val="21"/>
                      <w:szCs w:val="21"/>
                      <w:highlight w:val="none"/>
                    </w:rPr>
                    <w:t>立即维修环保设备</w:t>
                  </w:r>
                </w:p>
              </w:tc>
            </w:tr>
            <w:tr w14:paraId="1E997D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vMerge w:val="continue"/>
                  <w:vAlign w:val="center"/>
                </w:tcPr>
                <w:p w14:paraId="0D7F667F">
                  <w:pPr>
                    <w:pStyle w:val="89"/>
                    <w:keepNext w:val="0"/>
                    <w:keepLines w:val="0"/>
                    <w:pageBreakBefore w:val="0"/>
                    <w:widowControl w:val="0"/>
                    <w:kinsoku/>
                    <w:wordWrap/>
                    <w:overflowPunct/>
                    <w:topLinePunct w:val="0"/>
                    <w:autoSpaceDE/>
                    <w:autoSpaceDN/>
                    <w:bidi w:val="0"/>
                    <w:snapToGrid/>
                    <w:spacing w:line="240" w:lineRule="exact"/>
                    <w:jc w:val="center"/>
                    <w:rPr>
                      <w:rFonts w:hint="eastAsia" w:ascii="Times New Roman"/>
                      <w:b w:val="0"/>
                      <w:bCs/>
                      <w:color w:val="auto"/>
                      <w:sz w:val="21"/>
                      <w:szCs w:val="21"/>
                      <w:highlight w:val="none"/>
                      <w:lang w:val="en-US" w:eastAsia="zh-CN"/>
                    </w:rPr>
                  </w:pPr>
                </w:p>
              </w:tc>
              <w:tc>
                <w:tcPr>
                  <w:tcW w:w="640" w:type="pct"/>
                  <w:vMerge w:val="continue"/>
                  <w:vAlign w:val="center"/>
                </w:tcPr>
                <w:p w14:paraId="5EAF1F74">
                  <w:pPr>
                    <w:pStyle w:val="89"/>
                    <w:keepNext w:val="0"/>
                    <w:keepLines w:val="0"/>
                    <w:pageBreakBefore w:val="0"/>
                    <w:widowControl w:val="0"/>
                    <w:kinsoku/>
                    <w:wordWrap/>
                    <w:overflowPunct/>
                    <w:topLinePunct w:val="0"/>
                    <w:autoSpaceDE/>
                    <w:autoSpaceDN/>
                    <w:bidi w:val="0"/>
                    <w:snapToGrid/>
                    <w:spacing w:line="240" w:lineRule="exact"/>
                    <w:jc w:val="center"/>
                    <w:rPr>
                      <w:rFonts w:hint="eastAsia" w:ascii="Times New Roman"/>
                      <w:b w:val="0"/>
                      <w:bCs/>
                      <w:color w:val="auto"/>
                      <w:sz w:val="21"/>
                      <w:szCs w:val="21"/>
                      <w:highlight w:val="none"/>
                      <w:lang w:val="en-US" w:eastAsia="zh-CN"/>
                    </w:rPr>
                  </w:pPr>
                </w:p>
              </w:tc>
              <w:tc>
                <w:tcPr>
                  <w:tcW w:w="609" w:type="pct"/>
                  <w:shd w:val="clear" w:color="auto" w:fill="auto"/>
                  <w:vAlign w:val="center"/>
                </w:tcPr>
                <w:p w14:paraId="6431757B">
                  <w:pPr>
                    <w:pStyle w:val="41"/>
                    <w:keepNext w:val="0"/>
                    <w:keepLines w:val="0"/>
                    <w:pageBreakBefore w:val="0"/>
                    <w:widowControl w:val="0"/>
                    <w:kinsoku/>
                    <w:wordWrap/>
                    <w:overflowPunct/>
                    <w:topLinePunct w:val="0"/>
                    <w:autoSpaceDE w:val="0"/>
                    <w:autoSpaceDN w:val="0"/>
                    <w:bidi w:val="0"/>
                    <w:adjustRightInd w:val="0"/>
                    <w:snapToGrid/>
                    <w:spacing w:line="240" w:lineRule="exact"/>
                    <w:jc w:val="center"/>
                    <w:textAlignment w:val="auto"/>
                    <w:rPr>
                      <w:rFonts w:ascii="宋体" w:hAnsi="宋体" w:eastAsia="宋体" w:cs="Times New Roman"/>
                      <w:color w:val="auto"/>
                      <w:kern w:val="0"/>
                      <w:sz w:val="24"/>
                      <w:szCs w:val="21"/>
                      <w:highlight w:val="none"/>
                      <w:lang w:val="en-US" w:eastAsia="zh-CN" w:bidi="ar"/>
                    </w:rPr>
                  </w:pPr>
                  <w:r>
                    <w:rPr>
                      <w:rFonts w:hint="eastAsia" w:ascii="Times New Roman" w:hAnsi="Times New Roman" w:eastAsia="宋体" w:cs="Times New Roman"/>
                      <w:color w:val="auto"/>
                      <w:sz w:val="21"/>
                      <w:szCs w:val="21"/>
                      <w:highlight w:val="none"/>
                      <w:lang w:val="en-US" w:eastAsia="zh-CN"/>
                    </w:rPr>
                    <w:t>硫化氢</w:t>
                  </w:r>
                </w:p>
              </w:tc>
              <w:tc>
                <w:tcPr>
                  <w:tcW w:w="891" w:type="pct"/>
                  <w:vMerge w:val="continue"/>
                  <w:vAlign w:val="center"/>
                </w:tcPr>
                <w:p w14:paraId="3F5E090F">
                  <w:pPr>
                    <w:keepNext w:val="0"/>
                    <w:keepLines w:val="0"/>
                    <w:pageBreakBefore w:val="0"/>
                    <w:widowControl w:val="0"/>
                    <w:kinsoku/>
                    <w:wordWrap/>
                    <w:overflowPunct/>
                    <w:topLinePunct w:val="0"/>
                    <w:autoSpaceDE/>
                    <w:autoSpaceDN/>
                    <w:bidi w:val="0"/>
                    <w:snapToGrid/>
                    <w:spacing w:line="240" w:lineRule="exact"/>
                    <w:jc w:val="center"/>
                    <w:rPr>
                      <w:color w:val="auto"/>
                      <w:sz w:val="21"/>
                      <w:szCs w:val="21"/>
                      <w:highlight w:val="none"/>
                    </w:rPr>
                  </w:pPr>
                </w:p>
              </w:tc>
              <w:tc>
                <w:tcPr>
                  <w:tcW w:w="2212" w:type="dxa"/>
                  <w:vAlign w:val="center"/>
                </w:tcPr>
                <w:p w14:paraId="3A92752E">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624" w:type="pct"/>
                  <w:vAlign w:val="center"/>
                </w:tcPr>
                <w:p w14:paraId="0533915F">
                  <w:pPr>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val="0"/>
                      <w:bCs/>
                      <w:color w:val="auto"/>
                      <w:sz w:val="21"/>
                      <w:szCs w:val="21"/>
                      <w:highlight w:val="none"/>
                    </w:rPr>
                  </w:pPr>
                  <w:r>
                    <w:rPr>
                      <w:rFonts w:ascii="Times New Roman" w:hAnsi="Times New Roman"/>
                      <w:b w:val="0"/>
                      <w:bCs/>
                      <w:color w:val="auto"/>
                      <w:sz w:val="21"/>
                      <w:szCs w:val="21"/>
                      <w:highlight w:val="none"/>
                    </w:rPr>
                    <w:t>0.5h</w:t>
                  </w:r>
                </w:p>
              </w:tc>
              <w:tc>
                <w:tcPr>
                  <w:tcW w:w="571" w:type="pct"/>
                  <w:vAlign w:val="center"/>
                </w:tcPr>
                <w:p w14:paraId="4E63C881">
                  <w:pPr>
                    <w:keepNext w:val="0"/>
                    <w:keepLines w:val="0"/>
                    <w:pageBreakBefore w:val="0"/>
                    <w:widowControl w:val="0"/>
                    <w:kinsoku/>
                    <w:wordWrap/>
                    <w:overflowPunct/>
                    <w:topLinePunct w:val="0"/>
                    <w:autoSpaceDE/>
                    <w:autoSpaceDN/>
                    <w:bidi w:val="0"/>
                    <w:snapToGrid/>
                    <w:spacing w:line="240" w:lineRule="exact"/>
                    <w:jc w:val="center"/>
                    <w:rPr>
                      <w:b/>
                      <w:bCs/>
                      <w:color w:val="auto"/>
                      <w:sz w:val="21"/>
                      <w:szCs w:val="21"/>
                      <w:highlight w:val="none"/>
                    </w:rPr>
                  </w:pPr>
                  <w:r>
                    <w:rPr>
                      <w:rFonts w:hint="eastAsia"/>
                      <w:color w:val="auto"/>
                      <w:sz w:val="21"/>
                      <w:szCs w:val="21"/>
                      <w:highlight w:val="none"/>
                    </w:rPr>
                    <w:t>1次/年</w:t>
                  </w:r>
                </w:p>
              </w:tc>
              <w:tc>
                <w:tcPr>
                  <w:tcW w:w="552" w:type="pct"/>
                  <w:vMerge w:val="continue"/>
                  <w:vAlign w:val="center"/>
                </w:tcPr>
                <w:p w14:paraId="11B793AC">
                  <w:pPr>
                    <w:pStyle w:val="89"/>
                    <w:keepNext w:val="0"/>
                    <w:keepLines w:val="0"/>
                    <w:pageBreakBefore w:val="0"/>
                    <w:widowControl w:val="0"/>
                    <w:kinsoku/>
                    <w:wordWrap/>
                    <w:overflowPunct/>
                    <w:topLinePunct w:val="0"/>
                    <w:autoSpaceDE/>
                    <w:autoSpaceDN/>
                    <w:bidi w:val="0"/>
                    <w:snapToGrid/>
                    <w:spacing w:line="240" w:lineRule="exact"/>
                    <w:jc w:val="center"/>
                    <w:rPr>
                      <w:rFonts w:hint="default" w:ascii="Times New Roman" w:hAnsi="Times New Roman"/>
                      <w:b w:val="0"/>
                      <w:bCs/>
                      <w:color w:val="auto"/>
                      <w:sz w:val="21"/>
                      <w:szCs w:val="21"/>
                      <w:highlight w:val="none"/>
                    </w:rPr>
                  </w:pPr>
                </w:p>
              </w:tc>
            </w:tr>
          </w:tbl>
          <w:p w14:paraId="5C604F2F">
            <w:pPr>
              <w:pStyle w:val="15"/>
              <w:keepNext w:val="0"/>
              <w:keepLines w:val="0"/>
              <w:pageBreakBefore w:val="0"/>
              <w:widowControl w:val="0"/>
              <w:kinsoku/>
              <w:wordWrap/>
              <w:overflowPunct/>
              <w:topLinePunct w:val="0"/>
              <w:autoSpaceDE/>
              <w:autoSpaceDN/>
              <w:bidi w:val="0"/>
              <w:adjustRightInd w:val="0"/>
              <w:snapToGrid w:val="0"/>
              <w:spacing w:before="0" w:line="460" w:lineRule="exact"/>
              <w:ind w:left="0" w:right="0" w:firstLine="482" w:firstLineChars="200"/>
              <w:jc w:val="left"/>
              <w:textAlignment w:val="baseline"/>
              <w:rPr>
                <w:rFonts w:hint="default" w:ascii="Times New Roman" w:hAnsi="Times New Roman" w:eastAsia="宋体" w:cs="Times New Roman"/>
                <w:color w:val="auto"/>
                <w:sz w:val="24"/>
                <w:highlight w:val="none"/>
              </w:rPr>
            </w:pPr>
            <w:r>
              <w:rPr>
                <w:rFonts w:hint="default" w:ascii="Times New Roman" w:hAnsi="Times New Roman" w:eastAsia="宋体" w:cs="Times New Roman"/>
                <w:snapToGrid w:val="0"/>
                <w:color w:val="auto"/>
                <w:sz w:val="24"/>
                <w:highlight w:val="none"/>
              </w:rPr>
              <w:t>非正常工况污染物排放量</w:t>
            </w:r>
            <w:r>
              <w:rPr>
                <w:rFonts w:hint="eastAsia" w:eastAsia="宋体" w:cs="Times New Roman"/>
                <w:snapToGrid w:val="0"/>
                <w:color w:val="auto"/>
                <w:sz w:val="24"/>
                <w:highlight w:val="none"/>
                <w:lang w:val="en-US" w:eastAsia="zh-CN"/>
              </w:rPr>
              <w:t>不大</w:t>
            </w:r>
            <w:r>
              <w:rPr>
                <w:rFonts w:hint="default" w:ascii="Times New Roman" w:hAnsi="Times New Roman" w:eastAsia="宋体" w:cs="Times New Roman"/>
                <w:snapToGrid w:val="0"/>
                <w:color w:val="auto"/>
                <w:sz w:val="24"/>
                <w:highlight w:val="none"/>
              </w:rPr>
              <w:t>，对周围</w:t>
            </w:r>
            <w:r>
              <w:rPr>
                <w:rFonts w:hint="default" w:ascii="Times New Roman" w:hAnsi="Times New Roman" w:eastAsia="宋体" w:cs="Times New Roman"/>
                <w:snapToGrid w:val="0"/>
                <w:color w:val="auto"/>
                <w:sz w:val="24"/>
                <w:highlight w:val="none"/>
                <w:lang w:val="en-US" w:eastAsia="zh-CN"/>
              </w:rPr>
              <w:t>环境</w:t>
            </w:r>
            <w:r>
              <w:rPr>
                <w:rFonts w:hint="default" w:ascii="Times New Roman" w:hAnsi="Times New Roman" w:eastAsia="宋体" w:cs="Times New Roman"/>
                <w:snapToGrid w:val="0"/>
                <w:color w:val="auto"/>
                <w:sz w:val="24"/>
                <w:highlight w:val="none"/>
              </w:rPr>
              <w:t>影响</w:t>
            </w:r>
            <w:r>
              <w:rPr>
                <w:rFonts w:hint="eastAsia" w:eastAsia="宋体" w:cs="Times New Roman"/>
                <w:snapToGrid w:val="0"/>
                <w:color w:val="auto"/>
                <w:sz w:val="24"/>
                <w:highlight w:val="none"/>
                <w:lang w:val="en-US" w:eastAsia="zh-CN"/>
              </w:rPr>
              <w:t>较小</w:t>
            </w:r>
            <w:r>
              <w:rPr>
                <w:rFonts w:hint="default" w:ascii="Times New Roman" w:hAnsi="Times New Roman" w:eastAsia="宋体" w:cs="Times New Roman"/>
                <w:snapToGrid w:val="0"/>
                <w:color w:val="auto"/>
                <w:sz w:val="24"/>
                <w:highlight w:val="none"/>
              </w:rPr>
              <w:t>。评价要求</w:t>
            </w:r>
            <w:r>
              <w:rPr>
                <w:rFonts w:hint="default" w:ascii="Times New Roman" w:hAnsi="Times New Roman" w:eastAsia="宋体" w:cs="Times New Roman"/>
                <w:color w:val="auto"/>
                <w:sz w:val="24"/>
                <w:highlight w:val="none"/>
              </w:rPr>
              <w:t>建设单位应加强对废气处理设备的日常维护、保养，出现故障立即维修或更换，确保废气得到有效收集，同时也减少废气聚集带来的安全隐患；废气处理设计过程中注重加强气流的组织和引导，确保废气有效收集，减少短流、绕流及死角现象出现；加强</w:t>
            </w:r>
            <w:r>
              <w:rPr>
                <w:rFonts w:hint="eastAsia" w:ascii="Times New Roman" w:hAnsi="Times New Roman" w:eastAsia="宋体" w:cs="Times New Roman"/>
                <w:color w:val="auto"/>
                <w:sz w:val="24"/>
                <w:highlight w:val="none"/>
                <w:lang w:val="en-US" w:eastAsia="zh-CN"/>
              </w:rPr>
              <w:t>废气处理设施的</w:t>
            </w:r>
            <w:r>
              <w:rPr>
                <w:rFonts w:hint="default" w:ascii="Times New Roman" w:hAnsi="Times New Roman" w:eastAsia="宋体" w:cs="Times New Roman"/>
                <w:color w:val="auto"/>
                <w:sz w:val="24"/>
                <w:highlight w:val="none"/>
              </w:rPr>
              <w:t>日常维护和检修，出现破损、螺栓、密封条等损坏，立即解决，减少无组织排放；及时监控污染物治理效果，发现故障或效率降低立即停产检修，直至排除故障，建立环保设施运行台账。</w:t>
            </w:r>
          </w:p>
          <w:p w14:paraId="68106E0F">
            <w:pPr>
              <w:pStyle w:val="20"/>
              <w:keepNext w:val="0"/>
              <w:keepLines w:val="0"/>
              <w:pageBreakBefore w:val="0"/>
              <w:widowControl w:val="0"/>
              <w:kinsoku/>
              <w:wordWrap/>
              <w:overflowPunct/>
              <w:topLinePunct w:val="0"/>
              <w:autoSpaceDE/>
              <w:autoSpaceDN/>
              <w:bidi w:val="0"/>
              <w:spacing w:after="0" w:line="460" w:lineRule="exact"/>
              <w:ind w:left="0" w:leftChars="0" w:firstLine="48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（二）废气</w:t>
            </w:r>
            <w:r>
              <w:rPr>
                <w:rFonts w:hint="default" w:ascii="Times New Roman" w:hAnsi="Times New Roman" w:eastAsia="宋体" w:cs="Times New Roman"/>
                <w:b/>
                <w:bCs/>
                <w:color w:val="auto"/>
                <w:highlight w:val="none"/>
                <w:lang w:val="en-US" w:eastAsia="zh-CN"/>
              </w:rPr>
              <w:t>污染物排放信息</w:t>
            </w:r>
          </w:p>
          <w:p w14:paraId="3BD85C39">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rPr>
                <w:bCs/>
                <w:color w:val="auto"/>
                <w:sz w:val="24"/>
                <w:szCs w:val="24"/>
                <w:highlight w:val="none"/>
              </w:rPr>
            </w:pPr>
            <w:r>
              <w:rPr>
                <w:bCs/>
                <w:color w:val="auto"/>
                <w:sz w:val="24"/>
                <w:szCs w:val="24"/>
                <w:highlight w:val="none"/>
              </w:rPr>
              <w:t>本项目废气排放口信息如下表所示：</w:t>
            </w:r>
          </w:p>
          <w:p w14:paraId="30282195">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 xml:space="preserve"> 废气排放口基本情况表</w:t>
            </w:r>
          </w:p>
          <w:tbl>
            <w:tblPr>
              <w:tblStyle w:val="32"/>
              <w:tblW w:w="134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15"/>
              <w:gridCol w:w="1686"/>
              <w:gridCol w:w="1795"/>
              <w:gridCol w:w="2343"/>
              <w:gridCol w:w="1619"/>
              <w:gridCol w:w="1360"/>
              <w:gridCol w:w="1455"/>
            </w:tblGrid>
            <w:tr w14:paraId="43CFE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68" w:type="dxa"/>
                  <w:vMerge w:val="restart"/>
                  <w:noWrap w:val="0"/>
                  <w:vAlign w:val="center"/>
                </w:tcPr>
                <w:p w14:paraId="0FFBB074">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3501" w:type="dxa"/>
                  <w:gridSpan w:val="2"/>
                  <w:noWrap w:val="0"/>
                  <w:vAlign w:val="center"/>
                </w:tcPr>
                <w:p w14:paraId="280C4353">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排气筒底部地理位置</w:t>
                  </w:r>
                </w:p>
              </w:tc>
              <w:tc>
                <w:tcPr>
                  <w:tcW w:w="1795" w:type="dxa"/>
                  <w:vMerge w:val="restart"/>
                  <w:noWrap w:val="0"/>
                  <w:vAlign w:val="center"/>
                </w:tcPr>
                <w:p w14:paraId="1274B472">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eastAsia="zh-CN"/>
                    </w:rPr>
                    <w:t>类型</w:t>
                  </w:r>
                </w:p>
              </w:tc>
              <w:tc>
                <w:tcPr>
                  <w:tcW w:w="2343" w:type="dxa"/>
                  <w:vMerge w:val="restart"/>
                  <w:noWrap w:val="0"/>
                  <w:vAlign w:val="center"/>
                </w:tcPr>
                <w:p w14:paraId="28D516DD">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1619" w:type="dxa"/>
                  <w:vMerge w:val="restart"/>
                  <w:noWrap w:val="0"/>
                  <w:vAlign w:val="center"/>
                </w:tcPr>
                <w:p w14:paraId="7988A63A">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排气筒高度（m）</w:t>
                  </w:r>
                </w:p>
              </w:tc>
              <w:tc>
                <w:tcPr>
                  <w:tcW w:w="1360" w:type="dxa"/>
                  <w:vMerge w:val="restart"/>
                  <w:noWrap w:val="0"/>
                  <w:vAlign w:val="center"/>
                </w:tcPr>
                <w:p w14:paraId="199116DD">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排气筒内径（m）</w:t>
                  </w:r>
                </w:p>
              </w:tc>
              <w:tc>
                <w:tcPr>
                  <w:tcW w:w="1455" w:type="dxa"/>
                  <w:vMerge w:val="restart"/>
                  <w:noWrap w:val="0"/>
                  <w:vAlign w:val="center"/>
                </w:tcPr>
                <w:p w14:paraId="62686535">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烟气温度℃</w:t>
                  </w:r>
                </w:p>
              </w:tc>
            </w:tr>
            <w:tr w14:paraId="2768A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68" w:type="dxa"/>
                  <w:vMerge w:val="continue"/>
                  <w:noWrap w:val="0"/>
                  <w:vAlign w:val="center"/>
                </w:tcPr>
                <w:p w14:paraId="1245FD6D">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p>
              </w:tc>
              <w:tc>
                <w:tcPr>
                  <w:tcW w:w="1815" w:type="dxa"/>
                  <w:noWrap w:val="0"/>
                  <w:vAlign w:val="center"/>
                </w:tcPr>
                <w:p w14:paraId="300B6FAE">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经度</w:t>
                  </w:r>
                </w:p>
              </w:tc>
              <w:tc>
                <w:tcPr>
                  <w:tcW w:w="1686" w:type="dxa"/>
                  <w:noWrap w:val="0"/>
                  <w:vAlign w:val="center"/>
                </w:tcPr>
                <w:p w14:paraId="3E619561">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纬度</w:t>
                  </w:r>
                </w:p>
              </w:tc>
              <w:tc>
                <w:tcPr>
                  <w:tcW w:w="1795" w:type="dxa"/>
                  <w:vMerge w:val="continue"/>
                  <w:noWrap w:val="0"/>
                  <w:vAlign w:val="center"/>
                </w:tcPr>
                <w:p w14:paraId="6AB1D187">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p>
              </w:tc>
              <w:tc>
                <w:tcPr>
                  <w:tcW w:w="2343" w:type="dxa"/>
                  <w:vMerge w:val="continue"/>
                  <w:noWrap w:val="0"/>
                  <w:vAlign w:val="center"/>
                </w:tcPr>
                <w:p w14:paraId="6BEBB0FB">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p>
              </w:tc>
              <w:tc>
                <w:tcPr>
                  <w:tcW w:w="1619" w:type="dxa"/>
                  <w:vMerge w:val="continue"/>
                  <w:noWrap w:val="0"/>
                  <w:vAlign w:val="center"/>
                </w:tcPr>
                <w:p w14:paraId="7639505A">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p>
              </w:tc>
              <w:tc>
                <w:tcPr>
                  <w:tcW w:w="1360" w:type="dxa"/>
                  <w:vMerge w:val="continue"/>
                  <w:noWrap w:val="0"/>
                  <w:vAlign w:val="center"/>
                </w:tcPr>
                <w:p w14:paraId="51083D10">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p>
              </w:tc>
              <w:tc>
                <w:tcPr>
                  <w:tcW w:w="1455" w:type="dxa"/>
                  <w:vMerge w:val="continue"/>
                  <w:noWrap w:val="0"/>
                  <w:vAlign w:val="center"/>
                </w:tcPr>
                <w:p w14:paraId="5AB8CF32">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bCs/>
                      <w:color w:val="auto"/>
                      <w:sz w:val="21"/>
                      <w:szCs w:val="21"/>
                      <w:highlight w:val="none"/>
                    </w:rPr>
                  </w:pPr>
                </w:p>
              </w:tc>
            </w:tr>
            <w:tr w14:paraId="261239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68" w:type="dxa"/>
                  <w:noWrap w:val="0"/>
                  <w:vAlign w:val="center"/>
                </w:tcPr>
                <w:p w14:paraId="78C65285">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DA001</w:t>
                  </w:r>
                </w:p>
              </w:tc>
              <w:tc>
                <w:tcPr>
                  <w:tcW w:w="1815" w:type="dxa"/>
                  <w:noWrap w:val="0"/>
                  <w:vAlign w:val="center"/>
                </w:tcPr>
                <w:p w14:paraId="54B3CF31">
                  <w:pPr>
                    <w:pStyle w:val="27"/>
                    <w:keepNext w:val="0"/>
                    <w:keepLines w:val="0"/>
                    <w:pageBreakBefore w:val="0"/>
                    <w:kinsoku/>
                    <w:wordWrap/>
                    <w:overflowPunct/>
                    <w:topLinePunct w:val="0"/>
                    <w:autoSpaceDE/>
                    <w:autoSpaceDN/>
                    <w:bidi w:val="0"/>
                    <w:adjustRightInd/>
                    <w:spacing w:before="0" w:beforeAutospacing="0" w:after="0" w:afterAutospacing="0" w:line="240" w:lineRule="exact"/>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102.13069797</w:t>
                  </w:r>
                </w:p>
              </w:tc>
              <w:tc>
                <w:tcPr>
                  <w:tcW w:w="1686" w:type="dxa"/>
                  <w:noWrap w:val="0"/>
                  <w:vAlign w:val="center"/>
                </w:tcPr>
                <w:p w14:paraId="23DC802F">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29.64476946</w:t>
                  </w:r>
                </w:p>
              </w:tc>
              <w:tc>
                <w:tcPr>
                  <w:tcW w:w="1795" w:type="dxa"/>
                  <w:noWrap w:val="0"/>
                  <w:vAlign w:val="center"/>
                </w:tcPr>
                <w:p w14:paraId="65C796F0">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eastAsia" w:ascii="Times New Roman" w:hAnsi="Times New Roman" w:eastAsia="宋体" w:cs="Times New Roman"/>
                      <w:b w:val="0"/>
                      <w:bCs/>
                      <w:color w:val="auto"/>
                      <w:sz w:val="21"/>
                      <w:szCs w:val="21"/>
                      <w:highlight w:val="none"/>
                      <w:lang w:eastAsia="zh-CN"/>
                    </w:rPr>
                  </w:pPr>
                  <w:r>
                    <w:rPr>
                      <w:rFonts w:hint="eastAsia" w:ascii="Times New Roman" w:hAnsi="Times New Roman" w:eastAsia="宋体" w:cs="Times New Roman"/>
                      <w:b w:val="0"/>
                      <w:bCs/>
                      <w:color w:val="auto"/>
                      <w:sz w:val="21"/>
                      <w:szCs w:val="21"/>
                      <w:highlight w:val="none"/>
                      <w:lang w:eastAsia="zh-CN"/>
                    </w:rPr>
                    <w:t>一般排放口</w:t>
                  </w:r>
                </w:p>
              </w:tc>
              <w:tc>
                <w:tcPr>
                  <w:tcW w:w="2343" w:type="dxa"/>
                  <w:noWrap w:val="0"/>
                  <w:vAlign w:val="center"/>
                </w:tcPr>
                <w:p w14:paraId="41603146">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color w:val="auto"/>
                      <w:sz w:val="21"/>
                      <w:szCs w:val="21"/>
                      <w:highlight w:val="none"/>
                    </w:rPr>
                    <w:t>NH3、H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S</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臭气浓度</w:t>
                  </w:r>
                  <w:r>
                    <w:rPr>
                      <w:rFonts w:hint="eastAsia" w:cs="Times New Roman"/>
                      <w:color w:val="auto"/>
                      <w:sz w:val="21"/>
                      <w:szCs w:val="21"/>
                      <w:highlight w:val="none"/>
                      <w:lang w:val="en-US" w:eastAsia="zh-CN"/>
                    </w:rPr>
                    <w:t>、少量甲烷</w:t>
                  </w:r>
                </w:p>
              </w:tc>
              <w:tc>
                <w:tcPr>
                  <w:tcW w:w="1619" w:type="dxa"/>
                  <w:noWrap w:val="0"/>
                  <w:vAlign w:val="center"/>
                </w:tcPr>
                <w:p w14:paraId="5106A783">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15</w:t>
                  </w:r>
                </w:p>
              </w:tc>
              <w:tc>
                <w:tcPr>
                  <w:tcW w:w="1360" w:type="dxa"/>
                  <w:noWrap w:val="0"/>
                  <w:vAlign w:val="center"/>
                </w:tcPr>
                <w:p w14:paraId="40530EB8">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0.5</w:t>
                  </w:r>
                </w:p>
              </w:tc>
              <w:tc>
                <w:tcPr>
                  <w:tcW w:w="1455" w:type="dxa"/>
                  <w:noWrap w:val="0"/>
                  <w:vAlign w:val="center"/>
                </w:tcPr>
                <w:p w14:paraId="6659E37F">
                  <w:pPr>
                    <w:pStyle w:val="13"/>
                    <w:keepNext w:val="0"/>
                    <w:keepLines w:val="0"/>
                    <w:pageBreakBefore w:val="0"/>
                    <w:kinsoku/>
                    <w:wordWrap/>
                    <w:overflowPunct/>
                    <w:topLinePunct w:val="0"/>
                    <w:autoSpaceDE/>
                    <w:autoSpaceDN/>
                    <w:bidi w:val="0"/>
                    <w:adjustRightInd/>
                    <w:spacing w:after="0" w:line="240" w:lineRule="exact"/>
                    <w:jc w:val="center"/>
                    <w:textAlignment w:val="auto"/>
                    <w:rPr>
                      <w:rFonts w:hint="default" w:ascii="Times New Roman" w:hAnsi="Times New Roman" w:eastAsia="宋体"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rPr>
                    <w:t>25</w:t>
                  </w:r>
                </w:p>
              </w:tc>
            </w:tr>
          </w:tbl>
          <w:p w14:paraId="1F201758">
            <w:pPr>
              <w:adjustRightInd w:val="0"/>
              <w:snapToGrid w:val="0"/>
              <w:spacing w:line="360" w:lineRule="auto"/>
              <w:ind w:firstLine="482" w:firstLineChars="200"/>
              <w:jc w:val="left"/>
              <w:rPr>
                <w:rFonts w:hint="default" w:ascii="Times New Roman" w:hAnsi="Times New Roman" w:eastAsia="宋体" w:cs="Times New Roman"/>
                <w:b/>
                <w:bCs/>
                <w:color w:val="auto"/>
                <w:highlight w:val="none"/>
              </w:rPr>
            </w:pPr>
            <w:r>
              <w:rPr>
                <w:rFonts w:hint="eastAsia" w:cs="Times New Roman"/>
                <w:b/>
                <w:bCs/>
                <w:color w:val="auto"/>
                <w:highlight w:val="none"/>
                <w:lang w:eastAsia="zh-CN"/>
              </w:rPr>
              <w:t>（</w:t>
            </w:r>
            <w:r>
              <w:rPr>
                <w:rFonts w:hint="eastAsia" w:cs="Times New Roman"/>
                <w:b/>
                <w:bCs/>
                <w:color w:val="auto"/>
                <w:highlight w:val="none"/>
                <w:lang w:val="en-US" w:eastAsia="zh-CN"/>
              </w:rPr>
              <w:t>三</w:t>
            </w:r>
            <w:r>
              <w:rPr>
                <w:rFonts w:hint="eastAsia" w:cs="Times New Roman"/>
                <w:b/>
                <w:bCs/>
                <w:color w:val="auto"/>
                <w:highlight w:val="none"/>
                <w:lang w:eastAsia="zh-CN"/>
              </w:rPr>
              <w:t>）</w:t>
            </w:r>
            <w:r>
              <w:rPr>
                <w:rFonts w:hint="default" w:ascii="Times New Roman" w:hAnsi="Times New Roman" w:eastAsia="宋体" w:cs="Times New Roman"/>
                <w:b/>
                <w:bCs/>
                <w:color w:val="auto"/>
                <w:highlight w:val="none"/>
              </w:rPr>
              <w:t>监测计划</w:t>
            </w:r>
          </w:p>
          <w:p w14:paraId="377BD5D5">
            <w:pPr>
              <w:tabs>
                <w:tab w:val="left" w:pos="-177"/>
              </w:tabs>
              <w:spacing w:line="360" w:lineRule="auto"/>
              <w:ind w:firstLine="476" w:firstLineChars="200"/>
              <w:rPr>
                <w:rFonts w:hint="default" w:ascii="Times New Roman" w:hAnsi="Times New Roman" w:eastAsia="宋体" w:cs="Times New Roman"/>
                <w:color w:val="auto"/>
                <w:highlight w:val="none"/>
                <w:vertAlign w:val="baseline"/>
                <w:lang w:val="en-US" w:eastAsia="zh-CN"/>
              </w:rPr>
            </w:pPr>
            <w:r>
              <w:rPr>
                <w:rFonts w:ascii="宋体" w:hAnsi="宋体" w:eastAsia="宋体" w:cs="宋体"/>
                <w:color w:val="auto"/>
                <w:spacing w:val="-1"/>
                <w:sz w:val="24"/>
                <w:szCs w:val="24"/>
                <w:highlight w:val="none"/>
              </w:rPr>
              <w:t>根据《固定污染源排污许可分类管理名录（</w:t>
            </w:r>
            <w:r>
              <w:rPr>
                <w:rFonts w:ascii="Times New Roman" w:hAnsi="Times New Roman" w:eastAsia="Times New Roman" w:cs="Times New Roman"/>
                <w:color w:val="auto"/>
                <w:spacing w:val="-1"/>
                <w:sz w:val="24"/>
                <w:szCs w:val="24"/>
                <w:highlight w:val="none"/>
              </w:rPr>
              <w:t xml:space="preserve">2019 </w:t>
            </w:r>
            <w:r>
              <w:rPr>
                <w:rFonts w:ascii="宋体" w:hAnsi="宋体" w:eastAsia="宋体" w:cs="宋体"/>
                <w:color w:val="auto"/>
                <w:spacing w:val="-2"/>
                <w:sz w:val="24"/>
                <w:szCs w:val="24"/>
                <w:highlight w:val="none"/>
              </w:rPr>
              <w:t>年版）》可知，本项目</w:t>
            </w:r>
            <w:r>
              <w:rPr>
                <w:rFonts w:ascii="宋体" w:hAnsi="宋体" w:eastAsia="宋体" w:cs="宋体"/>
                <w:color w:val="auto"/>
                <w:sz w:val="24"/>
                <w:szCs w:val="24"/>
                <w:highlight w:val="none"/>
              </w:rPr>
              <w:t xml:space="preserve"> </w:t>
            </w:r>
            <w:r>
              <w:rPr>
                <w:rFonts w:ascii="宋体" w:hAnsi="宋体" w:eastAsia="宋体" w:cs="宋体"/>
                <w:color w:val="auto"/>
                <w:spacing w:val="2"/>
                <w:sz w:val="24"/>
                <w:szCs w:val="24"/>
                <w:highlight w:val="none"/>
              </w:rPr>
              <w:t>属于</w:t>
            </w:r>
            <w:r>
              <w:rPr>
                <w:rFonts w:hint="eastAsia" w:ascii="宋体" w:hAnsi="宋体" w:eastAsia="宋体" w:cs="宋体"/>
                <w:color w:val="auto"/>
                <w:spacing w:val="2"/>
                <w:sz w:val="24"/>
                <w:szCs w:val="24"/>
                <w:highlight w:val="none"/>
                <w:lang w:val="en-US" w:eastAsia="zh-CN"/>
              </w:rPr>
              <w:t>登记</w:t>
            </w:r>
            <w:r>
              <w:rPr>
                <w:rFonts w:ascii="宋体" w:hAnsi="宋体" w:eastAsia="宋体" w:cs="宋体"/>
                <w:color w:val="auto"/>
                <w:spacing w:val="2"/>
                <w:sz w:val="24"/>
                <w:szCs w:val="24"/>
                <w:highlight w:val="none"/>
              </w:rPr>
              <w:t>管理。</w:t>
            </w:r>
            <w:r>
              <w:rPr>
                <w:rFonts w:ascii="宋体" w:hAnsi="宋体" w:eastAsia="宋体" w:cs="宋体"/>
                <w:color w:val="auto"/>
                <w:sz w:val="24"/>
                <w:szCs w:val="24"/>
                <w:highlight w:val="none"/>
              </w:rPr>
              <w:t>本项目废</w:t>
            </w:r>
            <w:r>
              <w:rPr>
                <w:rFonts w:hint="eastAsia" w:ascii="宋体" w:hAnsi="宋体" w:cs="宋体"/>
                <w:color w:val="auto"/>
                <w:sz w:val="24"/>
                <w:szCs w:val="24"/>
                <w:highlight w:val="none"/>
                <w:lang w:val="en-US" w:eastAsia="zh-CN"/>
              </w:rPr>
              <w:t>气</w:t>
            </w:r>
            <w:r>
              <w:rPr>
                <w:rFonts w:ascii="宋体" w:hAnsi="宋体" w:eastAsia="宋体" w:cs="宋体"/>
                <w:color w:val="auto"/>
                <w:sz w:val="24"/>
                <w:szCs w:val="24"/>
                <w:highlight w:val="none"/>
              </w:rPr>
              <w:t>自行监测内容及监测</w:t>
            </w:r>
            <w:r>
              <w:rPr>
                <w:rFonts w:ascii="宋体" w:hAnsi="宋体" w:eastAsia="宋体" w:cs="宋体"/>
                <w:color w:val="auto"/>
                <w:spacing w:val="-3"/>
                <w:sz w:val="24"/>
                <w:szCs w:val="24"/>
                <w:highlight w:val="none"/>
              </w:rPr>
              <w:t>频率如下。</w:t>
            </w:r>
            <w:r>
              <w:rPr>
                <w:rFonts w:hint="eastAsia"/>
                <w:color w:val="auto"/>
                <w:sz w:val="24"/>
                <w:highlight w:val="none"/>
              </w:rPr>
              <w:t>本环评提出如下监测要求：</w:t>
            </w:r>
          </w:p>
        </w:tc>
      </w:tr>
    </w:tbl>
    <w:p w14:paraId="30EBD5CB">
      <w:pPr>
        <w:rPr>
          <w:rFonts w:hint="default" w:ascii="Times New Roman" w:hAnsi="Times New Roman" w:eastAsia="宋体" w:cs="Times New Roman"/>
          <w:color w:val="auto"/>
          <w:highlight w:val="none"/>
          <w:lang w:val="en-US" w:eastAsia="zh-CN"/>
        </w:rPr>
        <w:sectPr>
          <w:pgSz w:w="16840" w:h="11907" w:orient="landscape"/>
          <w:pgMar w:top="1531" w:right="1701" w:bottom="1531" w:left="1559"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9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8877"/>
      </w:tblGrid>
      <w:tr w14:paraId="33F86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0" w:type="dxa"/>
          </w:tcPr>
          <w:p w14:paraId="2A971F0F">
            <w:pPr>
              <w:rPr>
                <w:rFonts w:hint="default" w:ascii="Times New Roman" w:hAnsi="Times New Roman" w:eastAsia="宋体" w:cs="Times New Roman"/>
                <w:color w:val="auto"/>
                <w:highlight w:val="none"/>
                <w:vertAlign w:val="baseline"/>
                <w:lang w:val="en-US" w:eastAsia="zh-CN"/>
              </w:rPr>
            </w:pPr>
          </w:p>
        </w:tc>
        <w:tc>
          <w:tcPr>
            <w:tcW w:w="8877" w:type="dxa"/>
          </w:tcPr>
          <w:p w14:paraId="4842EE59">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废气监测计划一览表</w:t>
            </w:r>
          </w:p>
          <w:tbl>
            <w:tblPr>
              <w:tblStyle w:val="3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4"/>
              <w:gridCol w:w="594"/>
              <w:gridCol w:w="1016"/>
              <w:gridCol w:w="852"/>
              <w:gridCol w:w="1119"/>
              <w:gridCol w:w="2199"/>
              <w:gridCol w:w="1204"/>
              <w:gridCol w:w="1185"/>
            </w:tblGrid>
            <w:tr w14:paraId="7277A6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79" w:type="pct"/>
                  <w:noWrap w:val="0"/>
                  <w:vAlign w:val="center"/>
                </w:tcPr>
                <w:p w14:paraId="4B17DD73">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类型</w:t>
                  </w:r>
                </w:p>
              </w:tc>
              <w:tc>
                <w:tcPr>
                  <w:tcW w:w="343" w:type="pct"/>
                  <w:noWrap w:val="0"/>
                  <w:vAlign w:val="center"/>
                </w:tcPr>
                <w:p w14:paraId="025A84D1">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排放</w:t>
                  </w:r>
                </w:p>
                <w:p w14:paraId="6837BDF5">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方式</w:t>
                  </w:r>
                </w:p>
              </w:tc>
              <w:tc>
                <w:tcPr>
                  <w:tcW w:w="587" w:type="pct"/>
                  <w:noWrap w:val="0"/>
                  <w:vAlign w:val="center"/>
                </w:tcPr>
                <w:p w14:paraId="254F2B6E">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监测点位</w:t>
                  </w:r>
                </w:p>
              </w:tc>
              <w:tc>
                <w:tcPr>
                  <w:tcW w:w="492" w:type="pct"/>
                  <w:noWrap w:val="0"/>
                  <w:vAlign w:val="center"/>
                </w:tcPr>
                <w:p w14:paraId="2078021A">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监测指标</w:t>
                  </w:r>
                </w:p>
              </w:tc>
              <w:tc>
                <w:tcPr>
                  <w:tcW w:w="646" w:type="pct"/>
                  <w:noWrap w:val="0"/>
                  <w:vAlign w:val="center"/>
                </w:tcPr>
                <w:p w14:paraId="61EE6DEF">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监测频次</w:t>
                  </w:r>
                </w:p>
              </w:tc>
              <w:tc>
                <w:tcPr>
                  <w:tcW w:w="1270" w:type="pct"/>
                  <w:noWrap w:val="0"/>
                  <w:vAlign w:val="center"/>
                </w:tcPr>
                <w:p w14:paraId="353FBBB7">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执行排放标准</w:t>
                  </w:r>
                </w:p>
              </w:tc>
              <w:tc>
                <w:tcPr>
                  <w:tcW w:w="695" w:type="pct"/>
                  <w:noWrap w:val="0"/>
                  <w:vAlign w:val="center"/>
                </w:tcPr>
                <w:p w14:paraId="6F53B246">
                  <w:pPr>
                    <w:adjustRightInd w:val="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排放限值</w:t>
                  </w:r>
                </w:p>
              </w:tc>
              <w:tc>
                <w:tcPr>
                  <w:tcW w:w="684" w:type="pct"/>
                  <w:noWrap w:val="0"/>
                  <w:vAlign w:val="center"/>
                </w:tcPr>
                <w:p w14:paraId="122585E4">
                  <w:pPr>
                    <w:pStyle w:val="14"/>
                    <w:adjustRightInd w:val="0"/>
                    <w:snapToGrid w:val="0"/>
                    <w:spacing w:after="0"/>
                    <w:ind w:left="0" w:leftChars="0"/>
                    <w:jc w:val="center"/>
                    <w:rPr>
                      <w:rFonts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bCs/>
                      <w:color w:val="auto"/>
                      <w:kern w:val="2"/>
                      <w:sz w:val="18"/>
                      <w:szCs w:val="18"/>
                      <w:highlight w:val="none"/>
                    </w:rPr>
                    <w:t>监测要求</w:t>
                  </w:r>
                </w:p>
              </w:tc>
            </w:tr>
            <w:tr w14:paraId="23EA7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Merge w:val="restart"/>
                  <w:noWrap w:val="0"/>
                  <w:vAlign w:val="center"/>
                </w:tcPr>
                <w:p w14:paraId="1F64B18F">
                  <w:pPr>
                    <w:adjustRightInd w:val="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废气</w:t>
                  </w:r>
                </w:p>
              </w:tc>
              <w:tc>
                <w:tcPr>
                  <w:tcW w:w="343" w:type="pct"/>
                  <w:vMerge w:val="restart"/>
                  <w:noWrap w:val="0"/>
                  <w:vAlign w:val="center"/>
                </w:tcPr>
                <w:p w14:paraId="01D40DDF">
                  <w:pPr>
                    <w:adjustRightInd w:val="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有组织</w:t>
                  </w:r>
                </w:p>
              </w:tc>
              <w:tc>
                <w:tcPr>
                  <w:tcW w:w="587" w:type="pct"/>
                  <w:vMerge w:val="restart"/>
                  <w:noWrap w:val="0"/>
                  <w:vAlign w:val="center"/>
                </w:tcPr>
                <w:p w14:paraId="35512533">
                  <w:pPr>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DA00</w:t>
                  </w:r>
                  <w:r>
                    <w:rPr>
                      <w:rFonts w:hint="default" w:ascii="Times New Roman" w:hAnsi="Times New Roman" w:cs="Times New Roman"/>
                      <w:color w:val="auto"/>
                      <w:sz w:val="18"/>
                      <w:szCs w:val="18"/>
                      <w:highlight w:val="none"/>
                      <w:lang w:val="en-US" w:eastAsia="zh-CN"/>
                    </w:rPr>
                    <w:t>1</w:t>
                  </w:r>
                  <w:r>
                    <w:rPr>
                      <w:rFonts w:hint="default" w:ascii="Times New Roman" w:hAnsi="Times New Roman" w:cs="Times New Roman"/>
                      <w:color w:val="auto"/>
                      <w:sz w:val="18"/>
                      <w:szCs w:val="18"/>
                      <w:highlight w:val="none"/>
                    </w:rPr>
                    <w:t>废气排气筒出口</w:t>
                  </w:r>
                </w:p>
              </w:tc>
              <w:tc>
                <w:tcPr>
                  <w:tcW w:w="492" w:type="pct"/>
                  <w:noWrap w:val="0"/>
                  <w:vAlign w:val="center"/>
                </w:tcPr>
                <w:p w14:paraId="01B27708">
                  <w:pPr>
                    <w:pStyle w:val="4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氨</w:t>
                  </w:r>
                </w:p>
              </w:tc>
              <w:tc>
                <w:tcPr>
                  <w:tcW w:w="646" w:type="pct"/>
                  <w:noWrap w:val="0"/>
                  <w:vAlign w:val="center"/>
                </w:tcPr>
                <w:p w14:paraId="7E51069D">
                  <w:pPr>
                    <w:jc w:val="center"/>
                    <w:rPr>
                      <w:rFonts w:hint="default" w:ascii="Times New Roman" w:hAnsi="Times New Roman" w:eastAsia="宋体" w:cs="Times New Roman"/>
                      <w:color w:val="auto"/>
                      <w:kern w:val="2"/>
                      <w:sz w:val="18"/>
                      <w:szCs w:val="18"/>
                      <w:highlight w:val="none"/>
                      <w:lang w:val="en-US" w:eastAsia="zh-CN" w:bidi="ar-SA"/>
                    </w:rPr>
                  </w:pPr>
                  <w:bookmarkStart w:id="14" w:name="OLE_LINK118"/>
                  <w:r>
                    <w:rPr>
                      <w:rFonts w:hint="default" w:ascii="Times New Roman" w:hAnsi="Times New Roman" w:cs="Times New Roman"/>
                      <w:color w:val="auto"/>
                      <w:sz w:val="18"/>
                      <w:szCs w:val="18"/>
                      <w:highlight w:val="none"/>
                    </w:rPr>
                    <w:t>1次/年</w:t>
                  </w:r>
                  <w:bookmarkEnd w:id="14"/>
                </w:p>
              </w:tc>
              <w:tc>
                <w:tcPr>
                  <w:tcW w:w="1270" w:type="pct"/>
                  <w:vMerge w:val="restart"/>
                  <w:noWrap w:val="0"/>
                  <w:vAlign w:val="center"/>
                </w:tcPr>
                <w:p w14:paraId="3E722451">
                  <w:pPr>
                    <w:adjustRightInd w:val="0"/>
                    <w:jc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《恶臭污染物排放标准》（GB14554-93）表1</w:t>
                  </w:r>
                </w:p>
              </w:tc>
              <w:tc>
                <w:tcPr>
                  <w:tcW w:w="695" w:type="pct"/>
                  <w:noWrap w:val="0"/>
                  <w:vAlign w:val="center"/>
                </w:tcPr>
                <w:p w14:paraId="44A38FDE">
                  <w:pPr>
                    <w:adjustRightInd w:val="0"/>
                    <w:jc w:val="center"/>
                    <w:rPr>
                      <w:rFonts w:hint="default" w:ascii="Times New Roman" w:hAnsi="Times New Roman" w:eastAsia="宋体" w:cs="Times New Roman"/>
                      <w:color w:val="auto"/>
                      <w:kern w:val="2"/>
                      <w:sz w:val="18"/>
                      <w:szCs w:val="18"/>
                      <w:highlight w:val="none"/>
                      <w:lang w:val="en-US" w:eastAsia="zh-CN" w:bidi="ar-SA"/>
                    </w:rPr>
                  </w:pPr>
                  <w:bookmarkStart w:id="15" w:name="OLE_LINK119"/>
                  <w:r>
                    <w:rPr>
                      <w:rFonts w:hint="eastAsia" w:cs="Times New Roman"/>
                      <w:color w:val="auto"/>
                      <w:sz w:val="18"/>
                      <w:szCs w:val="18"/>
                      <w:highlight w:val="none"/>
                      <w:lang w:val="en-US" w:eastAsia="zh-CN"/>
                    </w:rPr>
                    <w:t>4.9</w:t>
                  </w:r>
                  <w:bookmarkEnd w:id="15"/>
                  <w:r>
                    <w:rPr>
                      <w:rFonts w:hint="eastAsia" w:cs="Times New Roman"/>
                      <w:bCs/>
                      <w:color w:val="auto"/>
                      <w:sz w:val="18"/>
                      <w:szCs w:val="18"/>
                      <w:highlight w:val="none"/>
                      <w:lang w:val="en-US" w:eastAsia="zh-CN"/>
                    </w:rPr>
                    <w:t>kg/h</w:t>
                  </w:r>
                </w:p>
              </w:tc>
              <w:tc>
                <w:tcPr>
                  <w:tcW w:w="684" w:type="pct"/>
                  <w:vMerge w:val="restart"/>
                  <w:noWrap w:val="0"/>
                  <w:vAlign w:val="center"/>
                </w:tcPr>
                <w:p w14:paraId="50FE8CEB">
                  <w:pPr>
                    <w:pStyle w:val="14"/>
                    <w:adjustRightInd w:val="0"/>
                    <w:snapToGrid w:val="0"/>
                    <w:spacing w:after="0"/>
                    <w:ind w:left="0" w:leftChars="0"/>
                    <w:jc w:val="center"/>
                    <w:rPr>
                      <w:rFonts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kern w:val="2"/>
                      <w:sz w:val="18"/>
                      <w:szCs w:val="18"/>
                      <w:highlight w:val="none"/>
                    </w:rPr>
                    <w:t>具体监测要求依据行业排污许可技术规范及监测指南确定</w:t>
                  </w:r>
                </w:p>
              </w:tc>
            </w:tr>
            <w:tr w14:paraId="3B54B9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Merge w:val="continue"/>
                  <w:noWrap w:val="0"/>
                  <w:vAlign w:val="center"/>
                </w:tcPr>
                <w:p w14:paraId="4F821BE3">
                  <w:pPr>
                    <w:adjustRightInd w:val="0"/>
                    <w:jc w:val="center"/>
                    <w:rPr>
                      <w:rFonts w:hint="default" w:ascii="Times New Roman" w:hAnsi="Times New Roman" w:cs="Times New Roman"/>
                      <w:color w:val="auto"/>
                      <w:sz w:val="18"/>
                      <w:szCs w:val="18"/>
                      <w:highlight w:val="none"/>
                    </w:rPr>
                  </w:pPr>
                </w:p>
              </w:tc>
              <w:tc>
                <w:tcPr>
                  <w:tcW w:w="343" w:type="pct"/>
                  <w:vMerge w:val="continue"/>
                  <w:noWrap w:val="0"/>
                  <w:vAlign w:val="center"/>
                </w:tcPr>
                <w:p w14:paraId="7CB609D5">
                  <w:pPr>
                    <w:adjustRightInd w:val="0"/>
                    <w:jc w:val="center"/>
                    <w:rPr>
                      <w:rFonts w:hint="default" w:ascii="Times New Roman" w:hAnsi="Times New Roman" w:cs="Times New Roman"/>
                      <w:color w:val="auto"/>
                      <w:sz w:val="18"/>
                      <w:szCs w:val="18"/>
                      <w:highlight w:val="none"/>
                    </w:rPr>
                  </w:pPr>
                </w:p>
              </w:tc>
              <w:tc>
                <w:tcPr>
                  <w:tcW w:w="587" w:type="pct"/>
                  <w:vMerge w:val="continue"/>
                  <w:noWrap w:val="0"/>
                  <w:vAlign w:val="center"/>
                </w:tcPr>
                <w:p w14:paraId="69B3A48D">
                  <w:pPr>
                    <w:jc w:val="center"/>
                    <w:rPr>
                      <w:rFonts w:hint="default" w:ascii="Times New Roman" w:hAnsi="Times New Roman" w:cs="Times New Roman"/>
                      <w:color w:val="auto"/>
                      <w:sz w:val="18"/>
                      <w:szCs w:val="18"/>
                      <w:highlight w:val="none"/>
                    </w:rPr>
                  </w:pPr>
                </w:p>
              </w:tc>
              <w:tc>
                <w:tcPr>
                  <w:tcW w:w="492" w:type="pct"/>
                  <w:shd w:val="clear" w:color="auto" w:fill="auto"/>
                  <w:noWrap w:val="0"/>
                  <w:vAlign w:val="center"/>
                </w:tcPr>
                <w:p w14:paraId="5C519606">
                  <w:pPr>
                    <w:pStyle w:val="4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pacing w:val="0"/>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硫化氢</w:t>
                  </w:r>
                </w:p>
              </w:tc>
              <w:tc>
                <w:tcPr>
                  <w:tcW w:w="646" w:type="pct"/>
                  <w:noWrap w:val="0"/>
                  <w:vAlign w:val="center"/>
                </w:tcPr>
                <w:p w14:paraId="70F77622">
                  <w:pPr>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1次/年</w:t>
                  </w:r>
                </w:p>
              </w:tc>
              <w:tc>
                <w:tcPr>
                  <w:tcW w:w="1270" w:type="pct"/>
                  <w:vMerge w:val="continue"/>
                  <w:noWrap w:val="0"/>
                  <w:vAlign w:val="center"/>
                </w:tcPr>
                <w:p w14:paraId="406C8A6A">
                  <w:pPr>
                    <w:adjustRightInd w:val="0"/>
                    <w:jc w:val="center"/>
                    <w:rPr>
                      <w:rFonts w:hint="default" w:ascii="Times New Roman" w:hAnsi="Times New Roman" w:cs="Times New Roman"/>
                      <w:color w:val="auto"/>
                      <w:sz w:val="18"/>
                      <w:szCs w:val="18"/>
                      <w:highlight w:val="none"/>
                      <w:lang w:val="en-US" w:eastAsia="zh-CN"/>
                    </w:rPr>
                  </w:pPr>
                </w:p>
              </w:tc>
              <w:tc>
                <w:tcPr>
                  <w:tcW w:w="695" w:type="pct"/>
                  <w:noWrap w:val="0"/>
                  <w:vAlign w:val="center"/>
                </w:tcPr>
                <w:p w14:paraId="5AF607F6">
                  <w:pPr>
                    <w:pStyle w:val="41"/>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0.33</w:t>
                  </w:r>
                  <w:r>
                    <w:rPr>
                      <w:rFonts w:hint="eastAsia" w:cs="Times New Roman"/>
                      <w:bCs/>
                      <w:color w:val="auto"/>
                      <w:sz w:val="18"/>
                      <w:szCs w:val="18"/>
                      <w:highlight w:val="none"/>
                      <w:lang w:val="en-US" w:eastAsia="zh-CN"/>
                    </w:rPr>
                    <w:t>kg/h</w:t>
                  </w:r>
                </w:p>
              </w:tc>
              <w:tc>
                <w:tcPr>
                  <w:tcW w:w="684" w:type="pct"/>
                  <w:vMerge w:val="continue"/>
                  <w:noWrap w:val="0"/>
                  <w:vAlign w:val="center"/>
                </w:tcPr>
                <w:p w14:paraId="6570A6E2">
                  <w:pPr>
                    <w:pStyle w:val="14"/>
                    <w:adjustRightInd w:val="0"/>
                    <w:snapToGrid w:val="0"/>
                    <w:spacing w:after="0"/>
                    <w:ind w:left="0" w:leftChars="0"/>
                    <w:jc w:val="center"/>
                    <w:rPr>
                      <w:rFonts w:hint="default" w:ascii="Times New Roman" w:hAnsi="Times New Roman" w:cs="Times New Roman"/>
                      <w:color w:val="auto"/>
                      <w:kern w:val="2"/>
                      <w:sz w:val="21"/>
                      <w:szCs w:val="21"/>
                      <w:highlight w:val="none"/>
                    </w:rPr>
                  </w:pPr>
                </w:p>
              </w:tc>
            </w:tr>
            <w:tr w14:paraId="06DFF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Merge w:val="continue"/>
                  <w:noWrap w:val="0"/>
                  <w:vAlign w:val="center"/>
                </w:tcPr>
                <w:p w14:paraId="60D1D260">
                  <w:pPr>
                    <w:adjustRightInd w:val="0"/>
                    <w:jc w:val="center"/>
                    <w:rPr>
                      <w:rFonts w:hint="default" w:ascii="Times New Roman" w:hAnsi="Times New Roman" w:cs="Times New Roman"/>
                      <w:color w:val="auto"/>
                      <w:sz w:val="18"/>
                      <w:szCs w:val="18"/>
                      <w:highlight w:val="none"/>
                    </w:rPr>
                  </w:pPr>
                </w:p>
              </w:tc>
              <w:tc>
                <w:tcPr>
                  <w:tcW w:w="343" w:type="pct"/>
                  <w:vMerge w:val="continue"/>
                  <w:noWrap w:val="0"/>
                  <w:vAlign w:val="center"/>
                </w:tcPr>
                <w:p w14:paraId="28B0B346">
                  <w:pPr>
                    <w:adjustRightInd w:val="0"/>
                    <w:jc w:val="center"/>
                    <w:rPr>
                      <w:rFonts w:hint="default" w:ascii="Times New Roman" w:hAnsi="Times New Roman" w:cs="Times New Roman"/>
                      <w:color w:val="auto"/>
                      <w:sz w:val="18"/>
                      <w:szCs w:val="18"/>
                      <w:highlight w:val="none"/>
                    </w:rPr>
                  </w:pPr>
                </w:p>
              </w:tc>
              <w:tc>
                <w:tcPr>
                  <w:tcW w:w="587" w:type="pct"/>
                  <w:vMerge w:val="continue"/>
                  <w:noWrap w:val="0"/>
                  <w:vAlign w:val="center"/>
                </w:tcPr>
                <w:p w14:paraId="4EE6DE00">
                  <w:pPr>
                    <w:jc w:val="center"/>
                    <w:rPr>
                      <w:rFonts w:hint="default" w:ascii="Times New Roman" w:hAnsi="Times New Roman" w:cs="Times New Roman"/>
                      <w:color w:val="auto"/>
                      <w:sz w:val="18"/>
                      <w:szCs w:val="18"/>
                      <w:highlight w:val="none"/>
                    </w:rPr>
                  </w:pPr>
                </w:p>
              </w:tc>
              <w:tc>
                <w:tcPr>
                  <w:tcW w:w="492" w:type="pct"/>
                  <w:shd w:val="clear" w:color="auto" w:fill="auto"/>
                  <w:noWrap w:val="0"/>
                  <w:vAlign w:val="center"/>
                </w:tcPr>
                <w:p w14:paraId="537A3D08">
                  <w:pPr>
                    <w:pStyle w:val="4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臭气浓度</w:t>
                  </w:r>
                </w:p>
              </w:tc>
              <w:tc>
                <w:tcPr>
                  <w:tcW w:w="646" w:type="pct"/>
                  <w:noWrap w:val="0"/>
                  <w:vAlign w:val="center"/>
                </w:tcPr>
                <w:p w14:paraId="4DBCEB89">
                  <w:pPr>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1次/年</w:t>
                  </w:r>
                </w:p>
              </w:tc>
              <w:tc>
                <w:tcPr>
                  <w:tcW w:w="1270" w:type="pct"/>
                  <w:vMerge w:val="continue"/>
                  <w:noWrap w:val="0"/>
                  <w:vAlign w:val="center"/>
                </w:tcPr>
                <w:p w14:paraId="53CE3011">
                  <w:pPr>
                    <w:adjustRightInd w:val="0"/>
                    <w:jc w:val="center"/>
                    <w:rPr>
                      <w:rFonts w:hint="default" w:ascii="Times New Roman" w:hAnsi="Times New Roman" w:cs="Times New Roman"/>
                      <w:color w:val="auto"/>
                      <w:sz w:val="18"/>
                      <w:szCs w:val="18"/>
                      <w:highlight w:val="none"/>
                      <w:lang w:val="en-US" w:eastAsia="zh-CN"/>
                    </w:rPr>
                  </w:pPr>
                </w:p>
              </w:tc>
              <w:tc>
                <w:tcPr>
                  <w:tcW w:w="695" w:type="pct"/>
                  <w:noWrap w:val="0"/>
                  <w:vAlign w:val="center"/>
                </w:tcPr>
                <w:p w14:paraId="610C6F99">
                  <w:pPr>
                    <w:pStyle w:val="41"/>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2000（无量纲）</w:t>
                  </w:r>
                </w:p>
              </w:tc>
              <w:tc>
                <w:tcPr>
                  <w:tcW w:w="684" w:type="pct"/>
                  <w:vMerge w:val="continue"/>
                  <w:noWrap w:val="0"/>
                  <w:vAlign w:val="center"/>
                </w:tcPr>
                <w:p w14:paraId="67F8AA9B">
                  <w:pPr>
                    <w:pStyle w:val="14"/>
                    <w:adjustRightInd w:val="0"/>
                    <w:snapToGrid w:val="0"/>
                    <w:spacing w:after="0"/>
                    <w:ind w:left="0" w:leftChars="0"/>
                    <w:jc w:val="center"/>
                    <w:rPr>
                      <w:rFonts w:hint="default" w:ascii="Times New Roman" w:hAnsi="Times New Roman" w:cs="Times New Roman"/>
                      <w:color w:val="auto"/>
                      <w:kern w:val="2"/>
                      <w:sz w:val="21"/>
                      <w:szCs w:val="21"/>
                      <w:highlight w:val="none"/>
                    </w:rPr>
                  </w:pPr>
                </w:p>
              </w:tc>
            </w:tr>
            <w:tr w14:paraId="3F6958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Merge w:val="continue"/>
                  <w:noWrap w:val="0"/>
                  <w:vAlign w:val="center"/>
                </w:tcPr>
                <w:p w14:paraId="77E8754A">
                  <w:pPr>
                    <w:adjustRightInd w:val="0"/>
                    <w:jc w:val="center"/>
                    <w:rPr>
                      <w:rFonts w:hint="default" w:ascii="Times New Roman" w:hAnsi="Times New Roman" w:cs="Times New Roman"/>
                      <w:color w:val="auto"/>
                      <w:sz w:val="18"/>
                      <w:szCs w:val="18"/>
                      <w:highlight w:val="none"/>
                    </w:rPr>
                  </w:pPr>
                </w:p>
              </w:tc>
              <w:tc>
                <w:tcPr>
                  <w:tcW w:w="343" w:type="pct"/>
                  <w:vMerge w:val="restart"/>
                  <w:noWrap w:val="0"/>
                  <w:vAlign w:val="center"/>
                </w:tcPr>
                <w:p w14:paraId="07B2AAB3">
                  <w:pPr>
                    <w:adjustRightInd w:val="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无组织</w:t>
                  </w:r>
                </w:p>
              </w:tc>
              <w:tc>
                <w:tcPr>
                  <w:tcW w:w="587" w:type="pct"/>
                  <w:vMerge w:val="restart"/>
                  <w:noWrap w:val="0"/>
                  <w:vAlign w:val="center"/>
                </w:tcPr>
                <w:p w14:paraId="133CA638">
                  <w:pPr>
                    <w:jc w:val="center"/>
                    <w:rPr>
                      <w:rFonts w:hint="default" w:ascii="Times New Roman" w:hAnsi="Times New Roman" w:cs="Times New Roman"/>
                      <w:color w:val="auto"/>
                      <w:sz w:val="18"/>
                      <w:szCs w:val="18"/>
                      <w:highlight w:val="none"/>
                      <w:lang w:val="en-US"/>
                    </w:rPr>
                  </w:pPr>
                  <w:r>
                    <w:rPr>
                      <w:rFonts w:hint="eastAsia" w:cs="Times New Roman"/>
                      <w:color w:val="auto"/>
                      <w:sz w:val="18"/>
                      <w:szCs w:val="18"/>
                      <w:highlight w:val="none"/>
                      <w:lang w:val="en-US" w:eastAsia="zh-CN"/>
                    </w:rPr>
                    <w:t>厂界</w:t>
                  </w:r>
                </w:p>
              </w:tc>
              <w:tc>
                <w:tcPr>
                  <w:tcW w:w="492" w:type="pct"/>
                  <w:noWrap w:val="0"/>
                  <w:vAlign w:val="center"/>
                </w:tcPr>
                <w:p w14:paraId="5622A0AF">
                  <w:pPr>
                    <w:pStyle w:val="4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氨</w:t>
                  </w:r>
                </w:p>
              </w:tc>
              <w:tc>
                <w:tcPr>
                  <w:tcW w:w="646" w:type="pct"/>
                  <w:noWrap w:val="0"/>
                  <w:vAlign w:val="center"/>
                </w:tcPr>
                <w:p w14:paraId="04102A7E">
                  <w:pPr>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1次/年</w:t>
                  </w:r>
                </w:p>
              </w:tc>
              <w:tc>
                <w:tcPr>
                  <w:tcW w:w="1270" w:type="pct"/>
                  <w:vMerge w:val="restart"/>
                  <w:noWrap w:val="0"/>
                  <w:vAlign w:val="center"/>
                </w:tcPr>
                <w:p w14:paraId="0D06E647">
                  <w:pPr>
                    <w:adjustRightInd w:val="0"/>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《恶臭污染物排放标准》（GB14554-93）表2</w:t>
                  </w:r>
                </w:p>
              </w:tc>
              <w:tc>
                <w:tcPr>
                  <w:tcW w:w="695" w:type="pct"/>
                  <w:noWrap w:val="0"/>
                  <w:vAlign w:val="center"/>
                </w:tcPr>
                <w:p w14:paraId="07C19B54">
                  <w:pPr>
                    <w:adjustRightInd w:val="0"/>
                    <w:jc w:val="center"/>
                    <w:rPr>
                      <w:rFonts w:hint="default" w:ascii="Times New Roman" w:hAnsi="Times New Roman" w:cs="Times New Roman"/>
                      <w:color w:val="auto"/>
                      <w:sz w:val="18"/>
                      <w:szCs w:val="18"/>
                      <w:highlight w:val="none"/>
                    </w:rPr>
                  </w:pPr>
                  <w:r>
                    <w:rPr>
                      <w:rFonts w:hint="eastAsia" w:cs="Times New Roman"/>
                      <w:color w:val="auto"/>
                      <w:sz w:val="18"/>
                      <w:szCs w:val="18"/>
                      <w:highlight w:val="none"/>
                      <w:lang w:val="en-US" w:eastAsia="zh-CN"/>
                    </w:rPr>
                    <w:t>1</w:t>
                  </w:r>
                  <w:r>
                    <w:rPr>
                      <w:rFonts w:hint="default" w:ascii="Times New Roman" w:hAnsi="Times New Roman" w:cs="Times New Roman"/>
                      <w:color w:val="auto"/>
                      <w:sz w:val="18"/>
                      <w:szCs w:val="18"/>
                      <w:highlight w:val="none"/>
                    </w:rPr>
                    <w:t>.</w:t>
                  </w:r>
                  <w:r>
                    <w:rPr>
                      <w:rFonts w:hint="eastAsia" w:cs="Times New Roman"/>
                      <w:color w:val="auto"/>
                      <w:sz w:val="18"/>
                      <w:szCs w:val="18"/>
                      <w:highlight w:val="none"/>
                      <w:lang w:val="en-US" w:eastAsia="zh-CN"/>
                    </w:rPr>
                    <w:t>5</w:t>
                  </w:r>
                  <w:r>
                    <w:rPr>
                      <w:rFonts w:hint="default" w:ascii="Times New Roman" w:hAnsi="Times New Roman" w:cs="Times New Roman"/>
                      <w:bCs/>
                      <w:color w:val="auto"/>
                      <w:sz w:val="18"/>
                      <w:szCs w:val="18"/>
                      <w:highlight w:val="none"/>
                    </w:rPr>
                    <w:t>mg/m</w:t>
                  </w:r>
                  <w:r>
                    <w:rPr>
                      <w:rFonts w:hint="default" w:ascii="Times New Roman" w:hAnsi="Times New Roman" w:cs="Times New Roman"/>
                      <w:bCs/>
                      <w:color w:val="auto"/>
                      <w:sz w:val="18"/>
                      <w:szCs w:val="18"/>
                      <w:highlight w:val="none"/>
                      <w:vertAlign w:val="superscript"/>
                    </w:rPr>
                    <w:t>3</w:t>
                  </w:r>
                </w:p>
              </w:tc>
              <w:tc>
                <w:tcPr>
                  <w:tcW w:w="684" w:type="pct"/>
                  <w:vMerge w:val="continue"/>
                  <w:noWrap w:val="0"/>
                  <w:vAlign w:val="center"/>
                </w:tcPr>
                <w:p w14:paraId="6FF8FD5D">
                  <w:pPr>
                    <w:adjustRightInd w:val="0"/>
                    <w:jc w:val="center"/>
                    <w:rPr>
                      <w:rFonts w:ascii="Times New Roman" w:hAnsi="Times New Roman" w:cs="Times New Roman"/>
                      <w:color w:val="auto"/>
                      <w:sz w:val="21"/>
                      <w:szCs w:val="21"/>
                      <w:highlight w:val="none"/>
                    </w:rPr>
                  </w:pPr>
                </w:p>
              </w:tc>
            </w:tr>
            <w:tr w14:paraId="2FE7C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Merge w:val="continue"/>
                  <w:noWrap w:val="0"/>
                  <w:vAlign w:val="center"/>
                </w:tcPr>
                <w:p w14:paraId="35C3A477">
                  <w:pPr>
                    <w:adjustRightInd w:val="0"/>
                    <w:jc w:val="center"/>
                    <w:rPr>
                      <w:rFonts w:hint="default" w:ascii="Times New Roman" w:hAnsi="Times New Roman" w:cs="Times New Roman"/>
                      <w:color w:val="auto"/>
                      <w:sz w:val="18"/>
                      <w:szCs w:val="18"/>
                      <w:highlight w:val="none"/>
                    </w:rPr>
                  </w:pPr>
                  <w:bookmarkStart w:id="16" w:name="OLE_LINK313" w:colFirst="3" w:colLast="6"/>
                </w:p>
              </w:tc>
              <w:tc>
                <w:tcPr>
                  <w:tcW w:w="343" w:type="pct"/>
                  <w:vMerge w:val="continue"/>
                  <w:noWrap w:val="0"/>
                  <w:vAlign w:val="center"/>
                </w:tcPr>
                <w:p w14:paraId="5F1E4D8F">
                  <w:pPr>
                    <w:adjustRightInd w:val="0"/>
                    <w:jc w:val="center"/>
                    <w:rPr>
                      <w:rFonts w:hint="default" w:ascii="Times New Roman" w:hAnsi="Times New Roman" w:cs="Times New Roman"/>
                      <w:color w:val="auto"/>
                      <w:sz w:val="18"/>
                      <w:szCs w:val="18"/>
                      <w:highlight w:val="none"/>
                    </w:rPr>
                  </w:pPr>
                </w:p>
              </w:tc>
              <w:tc>
                <w:tcPr>
                  <w:tcW w:w="587" w:type="pct"/>
                  <w:vMerge w:val="continue"/>
                  <w:noWrap w:val="0"/>
                  <w:vAlign w:val="center"/>
                </w:tcPr>
                <w:p w14:paraId="771856F9">
                  <w:pPr>
                    <w:jc w:val="center"/>
                    <w:rPr>
                      <w:rFonts w:hint="default" w:ascii="Times New Roman" w:hAnsi="Times New Roman" w:cs="Times New Roman"/>
                      <w:color w:val="auto"/>
                      <w:sz w:val="18"/>
                      <w:szCs w:val="18"/>
                      <w:highlight w:val="none"/>
                    </w:rPr>
                  </w:pPr>
                </w:p>
              </w:tc>
              <w:tc>
                <w:tcPr>
                  <w:tcW w:w="492" w:type="pct"/>
                  <w:shd w:val="clear" w:color="auto" w:fill="auto"/>
                  <w:noWrap w:val="0"/>
                  <w:vAlign w:val="center"/>
                </w:tcPr>
                <w:p w14:paraId="30F31953">
                  <w:pPr>
                    <w:pStyle w:val="4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pacing w:val="0"/>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硫化氢</w:t>
                  </w:r>
                </w:p>
              </w:tc>
              <w:tc>
                <w:tcPr>
                  <w:tcW w:w="646" w:type="pct"/>
                  <w:noWrap w:val="0"/>
                  <w:vAlign w:val="center"/>
                </w:tcPr>
                <w:p w14:paraId="236BF55E">
                  <w:pPr>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1次/年</w:t>
                  </w:r>
                </w:p>
              </w:tc>
              <w:tc>
                <w:tcPr>
                  <w:tcW w:w="1270" w:type="pct"/>
                  <w:vMerge w:val="continue"/>
                  <w:noWrap w:val="0"/>
                  <w:vAlign w:val="center"/>
                </w:tcPr>
                <w:p w14:paraId="698E537B">
                  <w:pPr>
                    <w:adjustRightInd w:val="0"/>
                    <w:jc w:val="center"/>
                    <w:rPr>
                      <w:rFonts w:hint="default" w:ascii="Times New Roman" w:hAnsi="Times New Roman" w:cs="Times New Roman"/>
                      <w:color w:val="auto"/>
                      <w:sz w:val="18"/>
                      <w:szCs w:val="18"/>
                      <w:highlight w:val="none"/>
                      <w:lang w:val="en-US" w:eastAsia="zh-CN"/>
                    </w:rPr>
                  </w:pPr>
                </w:p>
              </w:tc>
              <w:tc>
                <w:tcPr>
                  <w:tcW w:w="695" w:type="pct"/>
                  <w:noWrap w:val="0"/>
                  <w:vAlign w:val="center"/>
                </w:tcPr>
                <w:p w14:paraId="7B359CF4">
                  <w:pPr>
                    <w:adjustRightInd w:val="0"/>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w:t>
                  </w:r>
                  <w:r>
                    <w:rPr>
                      <w:rFonts w:hint="eastAsia" w:cs="Times New Roman"/>
                      <w:color w:val="auto"/>
                      <w:sz w:val="18"/>
                      <w:szCs w:val="18"/>
                      <w:highlight w:val="none"/>
                      <w:lang w:val="en-US" w:eastAsia="zh-CN"/>
                    </w:rPr>
                    <w:t>06</w:t>
                  </w:r>
                  <w:r>
                    <w:rPr>
                      <w:rFonts w:hint="default" w:ascii="Times New Roman" w:hAnsi="Times New Roman" w:cs="Times New Roman"/>
                      <w:bCs/>
                      <w:color w:val="auto"/>
                      <w:sz w:val="18"/>
                      <w:szCs w:val="18"/>
                      <w:highlight w:val="none"/>
                    </w:rPr>
                    <w:t>mg/m</w:t>
                  </w:r>
                  <w:r>
                    <w:rPr>
                      <w:rFonts w:hint="default" w:ascii="Times New Roman" w:hAnsi="Times New Roman" w:cs="Times New Roman"/>
                      <w:bCs/>
                      <w:color w:val="auto"/>
                      <w:sz w:val="18"/>
                      <w:szCs w:val="18"/>
                      <w:highlight w:val="none"/>
                      <w:vertAlign w:val="superscript"/>
                    </w:rPr>
                    <w:t>3</w:t>
                  </w:r>
                </w:p>
              </w:tc>
              <w:tc>
                <w:tcPr>
                  <w:tcW w:w="684" w:type="pct"/>
                  <w:vMerge w:val="continue"/>
                  <w:noWrap w:val="0"/>
                  <w:vAlign w:val="center"/>
                </w:tcPr>
                <w:p w14:paraId="6797C4CF">
                  <w:pPr>
                    <w:adjustRightInd w:val="0"/>
                    <w:jc w:val="center"/>
                    <w:rPr>
                      <w:rFonts w:ascii="Times New Roman" w:hAnsi="Times New Roman" w:cs="Times New Roman"/>
                      <w:color w:val="auto"/>
                      <w:sz w:val="21"/>
                      <w:szCs w:val="21"/>
                      <w:highlight w:val="none"/>
                    </w:rPr>
                  </w:pPr>
                </w:p>
              </w:tc>
            </w:tr>
            <w:tr w14:paraId="7E2C2F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 w:type="pct"/>
                  <w:vMerge w:val="continue"/>
                  <w:noWrap w:val="0"/>
                  <w:vAlign w:val="center"/>
                </w:tcPr>
                <w:p w14:paraId="367C66BA">
                  <w:pPr>
                    <w:adjustRightInd w:val="0"/>
                    <w:jc w:val="center"/>
                    <w:rPr>
                      <w:rFonts w:hint="default" w:ascii="Times New Roman" w:hAnsi="Times New Roman" w:cs="Times New Roman"/>
                      <w:color w:val="auto"/>
                      <w:sz w:val="18"/>
                      <w:szCs w:val="18"/>
                      <w:highlight w:val="none"/>
                    </w:rPr>
                  </w:pPr>
                </w:p>
              </w:tc>
              <w:tc>
                <w:tcPr>
                  <w:tcW w:w="343" w:type="pct"/>
                  <w:vMerge w:val="continue"/>
                  <w:noWrap w:val="0"/>
                  <w:vAlign w:val="center"/>
                </w:tcPr>
                <w:p w14:paraId="746023E8">
                  <w:pPr>
                    <w:adjustRightInd w:val="0"/>
                    <w:jc w:val="center"/>
                    <w:rPr>
                      <w:rFonts w:hint="default" w:ascii="Times New Roman" w:hAnsi="Times New Roman" w:cs="Times New Roman"/>
                      <w:color w:val="auto"/>
                      <w:sz w:val="18"/>
                      <w:szCs w:val="18"/>
                      <w:highlight w:val="none"/>
                    </w:rPr>
                  </w:pPr>
                </w:p>
              </w:tc>
              <w:tc>
                <w:tcPr>
                  <w:tcW w:w="587" w:type="pct"/>
                  <w:vMerge w:val="continue"/>
                  <w:noWrap w:val="0"/>
                  <w:vAlign w:val="center"/>
                </w:tcPr>
                <w:p w14:paraId="3A8509C7">
                  <w:pPr>
                    <w:jc w:val="center"/>
                    <w:rPr>
                      <w:rFonts w:hint="default" w:ascii="Times New Roman" w:hAnsi="Times New Roman" w:cs="Times New Roman"/>
                      <w:color w:val="auto"/>
                      <w:sz w:val="18"/>
                      <w:szCs w:val="18"/>
                      <w:highlight w:val="none"/>
                    </w:rPr>
                  </w:pPr>
                </w:p>
              </w:tc>
              <w:tc>
                <w:tcPr>
                  <w:tcW w:w="492" w:type="pct"/>
                  <w:shd w:val="clear" w:color="auto" w:fill="auto"/>
                  <w:noWrap w:val="0"/>
                  <w:vAlign w:val="center"/>
                </w:tcPr>
                <w:p w14:paraId="1178FE9F">
                  <w:pPr>
                    <w:pStyle w:val="41"/>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臭气浓度</w:t>
                  </w:r>
                </w:p>
              </w:tc>
              <w:tc>
                <w:tcPr>
                  <w:tcW w:w="646" w:type="pct"/>
                  <w:tcBorders>
                    <w:bottom w:val="single" w:color="000000" w:sz="8" w:space="0"/>
                  </w:tcBorders>
                  <w:noWrap w:val="0"/>
                  <w:vAlign w:val="center"/>
                </w:tcPr>
                <w:p w14:paraId="0050D302">
                  <w:pPr>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1次/年</w:t>
                  </w:r>
                </w:p>
              </w:tc>
              <w:tc>
                <w:tcPr>
                  <w:tcW w:w="1270" w:type="pct"/>
                  <w:vMerge w:val="continue"/>
                  <w:tcBorders>
                    <w:bottom w:val="single" w:color="000000" w:sz="8" w:space="0"/>
                  </w:tcBorders>
                  <w:noWrap w:val="0"/>
                  <w:vAlign w:val="center"/>
                </w:tcPr>
                <w:p w14:paraId="4FF87D4A">
                  <w:pPr>
                    <w:adjustRightInd w:val="0"/>
                    <w:jc w:val="center"/>
                    <w:rPr>
                      <w:rFonts w:hint="default" w:ascii="Times New Roman" w:hAnsi="Times New Roman" w:cs="Times New Roman"/>
                      <w:color w:val="auto"/>
                      <w:sz w:val="18"/>
                      <w:szCs w:val="18"/>
                      <w:highlight w:val="none"/>
                      <w:lang w:val="en-US" w:eastAsia="zh-CN"/>
                    </w:rPr>
                  </w:pPr>
                </w:p>
              </w:tc>
              <w:tc>
                <w:tcPr>
                  <w:tcW w:w="695" w:type="pct"/>
                  <w:noWrap w:val="0"/>
                  <w:vAlign w:val="center"/>
                </w:tcPr>
                <w:p w14:paraId="5776EF02">
                  <w:pPr>
                    <w:adjustRightInd w:val="0"/>
                    <w:jc w:val="center"/>
                    <w:rPr>
                      <w:rFonts w:hint="default" w:ascii="Times New Roman" w:hAnsi="Times New Roman" w:cs="Times New Roman"/>
                      <w:color w:val="auto"/>
                      <w:sz w:val="18"/>
                      <w:szCs w:val="18"/>
                      <w:highlight w:val="none"/>
                      <w:lang w:val="en-US" w:eastAsia="zh-CN"/>
                    </w:rPr>
                  </w:pPr>
                  <w:r>
                    <w:rPr>
                      <w:rFonts w:hint="eastAsia" w:cs="Times New Roman"/>
                      <w:color w:val="auto"/>
                      <w:sz w:val="18"/>
                      <w:szCs w:val="18"/>
                      <w:highlight w:val="none"/>
                      <w:lang w:val="en-US" w:eastAsia="zh-CN"/>
                    </w:rPr>
                    <w:t>20（无量纲）</w:t>
                  </w:r>
                </w:p>
              </w:tc>
              <w:tc>
                <w:tcPr>
                  <w:tcW w:w="684" w:type="pct"/>
                  <w:vMerge w:val="continue"/>
                  <w:noWrap w:val="0"/>
                  <w:vAlign w:val="center"/>
                </w:tcPr>
                <w:p w14:paraId="680162F8">
                  <w:pPr>
                    <w:adjustRightInd w:val="0"/>
                    <w:jc w:val="center"/>
                    <w:rPr>
                      <w:rFonts w:ascii="Times New Roman" w:hAnsi="Times New Roman" w:cs="Times New Roman"/>
                      <w:color w:val="auto"/>
                      <w:sz w:val="21"/>
                      <w:szCs w:val="21"/>
                      <w:highlight w:val="none"/>
                    </w:rPr>
                  </w:pPr>
                </w:p>
              </w:tc>
            </w:tr>
            <w:bookmarkEnd w:id="16"/>
          </w:tbl>
          <w:p w14:paraId="54176E7F">
            <w:pPr>
              <w:adjustRightInd w:val="0"/>
              <w:snapToGrid w:val="0"/>
              <w:spacing w:line="360" w:lineRule="auto"/>
              <w:ind w:firstLine="482" w:firstLineChars="200"/>
              <w:jc w:val="left"/>
              <w:rPr>
                <w:rFonts w:hint="eastAsia" w:ascii="Times New Roman" w:hAnsi="Times New Roman" w:eastAsia="宋体" w:cs="Times New Roman"/>
                <w:b/>
                <w:bCs/>
                <w:color w:val="auto"/>
                <w:highlight w:val="none"/>
                <w:lang w:eastAsia="zh-CN"/>
              </w:rPr>
            </w:pPr>
            <w:r>
              <w:rPr>
                <w:rFonts w:hint="eastAsia" w:ascii="Times New Roman" w:hAnsi="Times New Roman" w:eastAsia="宋体" w:cs="Times New Roman"/>
                <w:b/>
                <w:bCs/>
                <w:color w:val="auto"/>
                <w:highlight w:val="none"/>
                <w:lang w:eastAsia="zh-CN"/>
              </w:rPr>
              <w:t>（</w:t>
            </w:r>
            <w:r>
              <w:rPr>
                <w:rFonts w:hint="eastAsia" w:ascii="Times New Roman" w:hAnsi="Times New Roman" w:eastAsia="宋体" w:cs="Times New Roman"/>
                <w:b/>
                <w:bCs/>
                <w:color w:val="auto"/>
                <w:highlight w:val="none"/>
                <w:lang w:val="en-US" w:eastAsia="zh-CN"/>
              </w:rPr>
              <w:t>四</w:t>
            </w:r>
            <w:r>
              <w:rPr>
                <w:rFonts w:hint="eastAsia" w:ascii="Times New Roman" w:hAnsi="Times New Roman" w:eastAsia="宋体" w:cs="Times New Roman"/>
                <w:b/>
                <w:bCs/>
                <w:color w:val="auto"/>
                <w:highlight w:val="none"/>
                <w:lang w:eastAsia="zh-CN"/>
              </w:rPr>
              <w:t>）卫生防护距离</w:t>
            </w:r>
          </w:p>
          <w:p w14:paraId="6AE71CF2">
            <w:pPr>
              <w:tabs>
                <w:tab w:val="left" w:pos="-177"/>
              </w:tabs>
              <w:spacing w:line="360" w:lineRule="auto"/>
              <w:ind w:firstLine="476" w:firstLineChars="200"/>
              <w:rPr>
                <w:rFonts w:hint="default" w:ascii="Times New Roman" w:hAnsi="Times New Roman" w:eastAsia="宋体" w:cs="Times New Roman"/>
                <w:color w:val="auto"/>
                <w:spacing w:val="-1"/>
                <w:sz w:val="24"/>
                <w:szCs w:val="24"/>
                <w:highlight w:val="none"/>
                <w:lang w:val="en-US" w:eastAsia="zh-CN"/>
              </w:rPr>
            </w:pPr>
            <w:r>
              <w:rPr>
                <w:rFonts w:hint="default" w:ascii="Times New Roman" w:hAnsi="Times New Roman" w:cs="Times New Roman"/>
                <w:color w:val="auto"/>
                <w:spacing w:val="-1"/>
                <w:sz w:val="24"/>
                <w:szCs w:val="24"/>
                <w:highlight w:val="none"/>
                <w:lang w:val="en-US" w:eastAsia="zh-CN"/>
              </w:rPr>
              <w:t>根据《农副食品加工业卫生防护距离 第1部分：屠宰及肉类加工业》（GB18078.1-2021）</w:t>
            </w:r>
            <w:r>
              <w:rPr>
                <w:rFonts w:hint="eastAsia" w:ascii="Times New Roman" w:hAnsi="Times New Roman" w:cs="Times New Roman"/>
                <w:color w:val="auto"/>
                <w:spacing w:val="-1"/>
                <w:sz w:val="24"/>
                <w:szCs w:val="24"/>
                <w:highlight w:val="none"/>
                <w:lang w:val="en-US" w:eastAsia="zh-CN"/>
              </w:rPr>
              <w:t>，该标准适用于地处平原地区的屠宰及肉类加工生产企业的新建、改建、扩建工程。本项目排气筒高度为15m、海拔高度为1570m，项目东北侧500m范围内的山体最高海拔为1890m、高于排气筒海拔高度，因此，项目处于复杂地形，应按照</w:t>
            </w:r>
            <w:r>
              <w:rPr>
                <w:rFonts w:hint="default" w:ascii="宋体" w:hAnsi="宋体" w:eastAsia="宋体" w:cs="宋体"/>
                <w:color w:val="auto"/>
                <w:spacing w:val="-1"/>
                <w:sz w:val="24"/>
                <w:szCs w:val="24"/>
                <w:highlight w:val="none"/>
              </w:rPr>
              <w:t>《大气有害物质无组织排放卫生防护距离推导技术导则》（GB/T39499-2020）</w:t>
            </w:r>
            <w:r>
              <w:rPr>
                <w:rFonts w:hint="eastAsia" w:ascii="宋体" w:hAnsi="宋体" w:cs="宋体"/>
                <w:color w:val="auto"/>
                <w:spacing w:val="-1"/>
                <w:sz w:val="24"/>
                <w:szCs w:val="24"/>
                <w:highlight w:val="none"/>
                <w:lang w:val="en-US" w:eastAsia="zh-CN"/>
              </w:rPr>
              <w:t>计算其卫生防护距离，而不适用于</w:t>
            </w:r>
            <w:r>
              <w:rPr>
                <w:rFonts w:hint="default" w:ascii="Times New Roman" w:hAnsi="Times New Roman" w:cs="Times New Roman"/>
                <w:color w:val="auto"/>
                <w:spacing w:val="-1"/>
                <w:sz w:val="24"/>
                <w:szCs w:val="24"/>
                <w:highlight w:val="none"/>
                <w:lang w:val="en-US" w:eastAsia="zh-CN"/>
              </w:rPr>
              <w:t>GB18078.1-2021</w:t>
            </w:r>
            <w:r>
              <w:rPr>
                <w:rFonts w:hint="eastAsia" w:cs="Times New Roman"/>
                <w:color w:val="auto"/>
                <w:spacing w:val="-1"/>
                <w:sz w:val="24"/>
                <w:szCs w:val="24"/>
                <w:highlight w:val="none"/>
                <w:lang w:val="en-US" w:eastAsia="zh-CN"/>
              </w:rPr>
              <w:t>中规定的卫生防护距离。</w:t>
            </w:r>
          </w:p>
          <w:p w14:paraId="1FB7E19C">
            <w:pPr>
              <w:tabs>
                <w:tab w:val="left" w:pos="-177"/>
              </w:tabs>
              <w:spacing w:line="360" w:lineRule="auto"/>
              <w:ind w:firstLine="480" w:firstLineChars="200"/>
              <w:jc w:val="center"/>
              <w:rPr>
                <w:rFonts w:hint="default" w:ascii="Times New Roman" w:hAnsi="Times New Roman" w:cs="Times New Roman"/>
                <w:color w:val="auto"/>
                <w:spacing w:val="-1"/>
                <w:sz w:val="24"/>
                <w:szCs w:val="24"/>
                <w:highlight w:val="none"/>
                <w:lang w:val="en-US" w:eastAsia="zh-CN"/>
              </w:rPr>
            </w:pPr>
            <w:r>
              <w:rPr>
                <w:color w:val="auto"/>
                <w:sz w:val="24"/>
                <w:highlight w:val="none"/>
              </w:rPr>
              <mc:AlternateContent>
                <mc:Choice Requires="wps">
                  <w:drawing>
                    <wp:anchor distT="0" distB="0" distL="114300" distR="114300" simplePos="0" relativeHeight="251663360" behindDoc="0" locked="0" layoutInCell="1" allowOverlap="1">
                      <wp:simplePos x="0" y="0"/>
                      <wp:positionH relativeFrom="column">
                        <wp:posOffset>2414270</wp:posOffset>
                      </wp:positionH>
                      <wp:positionV relativeFrom="paragraph">
                        <wp:posOffset>45720</wp:posOffset>
                      </wp:positionV>
                      <wp:extent cx="1097915" cy="302895"/>
                      <wp:effectExtent l="6350" t="6350" r="514985" b="14605"/>
                      <wp:wrapNone/>
                      <wp:docPr id="7" name="矩形标注 7"/>
                      <wp:cNvGraphicFramePr/>
                      <a:graphic xmlns:a="http://schemas.openxmlformats.org/drawingml/2006/main">
                        <a:graphicData uri="http://schemas.microsoft.com/office/word/2010/wordprocessingShape">
                          <wps:wsp>
                            <wps:cNvSpPr/>
                            <wps:spPr>
                              <a:xfrm>
                                <a:off x="0" y="0"/>
                                <a:ext cx="1097915" cy="302895"/>
                              </a:xfrm>
                              <a:prstGeom prst="wedgeRectCallout">
                                <a:avLst>
                                  <a:gd name="adj1" fmla="val 95429"/>
                                  <a:gd name="adj2" fmla="val -9958"/>
                                </a:avLst>
                              </a:prstGeom>
                              <a:noFill/>
                              <a:ln w="12700" cmpd="sng">
                                <a:solidFill>
                                  <a:srgbClr val="FF0000"/>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7E0F3462">
                                  <w:pPr>
                                    <w:jc w:val="center"/>
                                    <w:rPr>
                                      <w:rFonts w:hint="default" w:eastAsia="宋体"/>
                                      <w:color w:val="FF0000"/>
                                      <w:lang w:val="en-US" w:eastAsia="zh-CN"/>
                                    </w:rPr>
                                  </w:pPr>
                                  <w:r>
                                    <w:rPr>
                                      <w:rFonts w:hint="eastAsia"/>
                                      <w:color w:val="FF0000"/>
                                      <w:lang w:val="en-US" w:eastAsia="zh-CN"/>
                                    </w:rPr>
                                    <w:t>海拔1890m米</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90.1pt;margin-top:3.6pt;height:23.85pt;width:86.45pt;z-index:251663360;v-text-anchor:middle;mso-width-relative:page;mso-height-relative:page;" filled="f" stroked="t" coordsize="21600,21600" o:gfxdata="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Oy9C97XAAAACAEAAA8AAAAAAAAAAQAgAAAAIgAAAGRycy9kb3ducmV2LnhtbFBLAQIUABQA&#10;AAAIAIdO4kByfhoynAIAACIFAAAOAAAAAAAAAAEAIAAAACYBAABkcnMvZTJvRG9jLnhtbFBLBQYA&#10;AAAABgAGAFkBAAA0BgAAAAA=&#10;" adj="31413,8649">
                      <v:fill on="f" focussize="0,0"/>
                      <v:stroke weight="1pt" color="#FF0000 [2404]" joinstyle="round"/>
                      <v:imagedata o:title=""/>
                      <o:lock v:ext="edit" aspectratio="f"/>
                      <v:textbox>
                        <w:txbxContent>
                          <w:p w14:paraId="7E0F3462">
                            <w:pPr>
                              <w:jc w:val="center"/>
                              <w:rPr>
                                <w:rFonts w:hint="default" w:eastAsia="宋体"/>
                                <w:color w:val="FF0000"/>
                                <w:lang w:val="en-US" w:eastAsia="zh-CN"/>
                              </w:rPr>
                            </w:pPr>
                            <w:r>
                              <w:rPr>
                                <w:rFonts w:hint="eastAsia"/>
                                <w:color w:val="FF0000"/>
                                <w:lang w:val="en-US" w:eastAsia="zh-CN"/>
                              </w:rPr>
                              <w:t>海拔1890m米</w:t>
                            </w:r>
                          </w:p>
                        </w:txbxContent>
                      </v:textbox>
                    </v:shape>
                  </w:pict>
                </mc:Fallback>
              </mc:AlternateContent>
            </w:r>
            <w:r>
              <w:rPr>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3220720</wp:posOffset>
                      </wp:positionH>
                      <wp:positionV relativeFrom="paragraph">
                        <wp:posOffset>793750</wp:posOffset>
                      </wp:positionV>
                      <wp:extent cx="701675" cy="302895"/>
                      <wp:effectExtent l="250190" t="6350" r="19685" b="33655"/>
                      <wp:wrapNone/>
                      <wp:docPr id="6" name="矩形标注 6"/>
                      <wp:cNvGraphicFramePr/>
                      <a:graphic xmlns:a="http://schemas.openxmlformats.org/drawingml/2006/main">
                        <a:graphicData uri="http://schemas.microsoft.com/office/word/2010/wordprocessingShape">
                          <wps:wsp>
                            <wps:cNvSpPr/>
                            <wps:spPr>
                              <a:xfrm>
                                <a:off x="4711065" y="7439025"/>
                                <a:ext cx="701675" cy="302895"/>
                              </a:xfrm>
                              <a:prstGeom prst="wedgeRectCallout">
                                <a:avLst>
                                  <a:gd name="adj1" fmla="val -84735"/>
                                  <a:gd name="adj2" fmla="val 58504"/>
                                </a:avLst>
                              </a:prstGeom>
                              <a:noFill/>
                              <a:ln w="12700" cmpd="sng">
                                <a:solidFill>
                                  <a:srgbClr val="FF0000"/>
                                </a:solidFill>
                                <a:prstDash val="solid"/>
                              </a:ln>
                            </wps:spPr>
                            <wps:style>
                              <a:lnRef idx="2">
                                <a:schemeClr val="accent1">
                                  <a:lumMod val="75000"/>
                                </a:schemeClr>
                              </a:lnRef>
                              <a:fillRef idx="1">
                                <a:schemeClr val="accent1"/>
                              </a:fillRef>
                              <a:effectRef idx="0">
                                <a:srgbClr val="FFFFFF"/>
                              </a:effectRef>
                              <a:fontRef idx="minor">
                                <a:schemeClr val="lt1"/>
                              </a:fontRef>
                            </wps:style>
                            <wps:txbx>
                              <w:txbxContent>
                                <w:p w14:paraId="081EB7ED">
                                  <w:pPr>
                                    <w:jc w:val="center"/>
                                    <w:rPr>
                                      <w:rFonts w:hint="eastAsia" w:eastAsia="宋体"/>
                                      <w:color w:val="FF0000"/>
                                      <w:lang w:val="en-US" w:eastAsia="zh-CN"/>
                                    </w:rPr>
                                  </w:pPr>
                                  <w:r>
                                    <w:rPr>
                                      <w:rFonts w:hint="eastAsia"/>
                                      <w:color w:val="FF0000"/>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53.6pt;margin-top:62.5pt;height:23.85pt;width:55.25pt;z-index:251661312;v-text-anchor:middle;mso-width-relative:page;mso-height-relative:page;" filled="f" stroked="t" coordsize="21600,21600" o:gfxdata="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e2Odj2gAAAAsBAAAPAAAAAAAAAAEAIAAAACIAAABkcnMvZG93&#10;bnJldi54bWxQSwECFAAUAAAACACHTuJAnRERpKkCAAAuBQAADgAAAAAAAAABACAAAAApAQAAZHJz&#10;L2Uyb0RvYy54bWxQSwUGAAAAAAYABgBZAQAARAYAAAAA&#10;" adj="-7503,23437">
                      <v:fill on="f" focussize="0,0"/>
                      <v:stroke weight="1pt" color="#FF0000 [2404]" joinstyle="round"/>
                      <v:imagedata o:title=""/>
                      <o:lock v:ext="edit" aspectratio="f"/>
                      <v:textbox>
                        <w:txbxContent>
                          <w:p w14:paraId="081EB7ED">
                            <w:pPr>
                              <w:jc w:val="center"/>
                              <w:rPr>
                                <w:rFonts w:hint="eastAsia" w:eastAsia="宋体"/>
                                <w:color w:val="FF0000"/>
                                <w:lang w:val="en-US" w:eastAsia="zh-CN"/>
                              </w:rPr>
                            </w:pPr>
                            <w:r>
                              <w:rPr>
                                <w:rFonts w:hint="eastAsia"/>
                                <w:color w:val="FF0000"/>
                                <w:lang w:val="en-US" w:eastAsia="zh-CN"/>
                              </w:rPr>
                              <w:t>本项目</w:t>
                            </w:r>
                          </w:p>
                        </w:txbxContent>
                      </v:textbox>
                    </v:shape>
                  </w:pict>
                </mc:Fallback>
              </mc:AlternateContent>
            </w:r>
            <w:r>
              <w:rPr>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3849370</wp:posOffset>
                      </wp:positionH>
                      <wp:positionV relativeFrom="paragraph">
                        <wp:posOffset>106680</wp:posOffset>
                      </wp:positionV>
                      <wp:extent cx="155575" cy="173355"/>
                      <wp:effectExtent l="12700" t="12700" r="22225" b="23495"/>
                      <wp:wrapNone/>
                      <wp:docPr id="3" name="五角星 3"/>
                      <wp:cNvGraphicFramePr/>
                      <a:graphic xmlns:a="http://schemas.openxmlformats.org/drawingml/2006/main">
                        <a:graphicData uri="http://schemas.microsoft.com/office/word/2010/wordprocessingShape">
                          <wps:wsp>
                            <wps:cNvSpPr/>
                            <wps:spPr>
                              <a:xfrm>
                                <a:off x="0" y="0"/>
                                <a:ext cx="155575" cy="173355"/>
                              </a:xfrm>
                              <a:prstGeom prst="star5">
                                <a:avLst/>
                              </a:prstGeom>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03.1pt;margin-top:8.4pt;height:13.65pt;width:12.25pt;z-index:251660288;v-text-anchor:middle;mso-width-relative:page;mso-height-relative:page;" fillcolor="#4F81BD [3204]" filled="t" stroked="t" coordsize="155575,173355" o:gfxdata="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G4I06baAAAACQEAAA8AAAAAAAAAAQAgAAAAIgAAAGRycy9kb3du&#10;cmV2LnhtbFBLAQIUABQAAAAIAIdO4kA6D2wXbwIAAOAEAAAOAAAAAAAAAAEAIAAAACkBAABkcnMv&#10;ZTJvRG9jLnhtbFBLBQYAAAAABgAGAFkBAAAKBgAAAAA=&#10;" path="m0,66215l59424,66216,77787,0,96150,66216,155574,66215,107499,107138,125862,173354,77787,132430,29712,173354,48075,107138xe">
                      <v:path o:connectlocs="77787,0;0,66215;29712,173354;125862,173354;155574,66215" o:connectangles="247,164,82,82,0"/>
                      <v:fill on="t" focussize="0,0"/>
                      <v:stroke weight="2pt" color="#FF0000 [2404]" joinstyle="round"/>
                      <v:imagedata o:title=""/>
                      <o:lock v:ext="edit" aspectratio="f"/>
                    </v:shape>
                  </w:pict>
                </mc:Fallback>
              </mc:AlternateContent>
            </w: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2874645</wp:posOffset>
                      </wp:positionH>
                      <wp:positionV relativeFrom="paragraph">
                        <wp:posOffset>967105</wp:posOffset>
                      </wp:positionV>
                      <wp:extent cx="155575" cy="173355"/>
                      <wp:effectExtent l="12700" t="12700" r="22225" b="23495"/>
                      <wp:wrapNone/>
                      <wp:docPr id="2" name="五角星 2"/>
                      <wp:cNvGraphicFramePr/>
                      <a:graphic xmlns:a="http://schemas.openxmlformats.org/drawingml/2006/main">
                        <a:graphicData uri="http://schemas.microsoft.com/office/word/2010/wordprocessingShape">
                          <wps:wsp>
                            <wps:cNvSpPr/>
                            <wps:spPr>
                              <a:xfrm>
                                <a:off x="4417060" y="7638415"/>
                                <a:ext cx="155575" cy="173355"/>
                              </a:xfrm>
                              <a:prstGeom prst="star5">
                                <a:avLst/>
                              </a:prstGeom>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6.35pt;margin-top:76.15pt;height:13.65pt;width:12.25pt;z-index:251659264;v-text-anchor:middle;mso-width-relative:page;mso-height-relative:page;" fillcolor="#4F81BD [3204]" filled="t" stroked="t" coordsize="155575,173355" o:gfxdata="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WmCRx2wAAAAsBAAAPAAAAAAAAAAEA&#10;IAAAACIAAABkcnMvZG93bnJldi54bWxQSwECFAAUAAAACACHTuJAbJZg7n4CAADsBAAADgAAAAAA&#10;AAABACAAAAAqAQAAZHJzL2Uyb0RvYy54bWxQSwUGAAAAAAYABgBZAQAAGgYAAAAA&#10;" path="m0,66215l59424,66216,77787,0,96150,66216,155574,66215,107499,107138,125862,173354,77787,132430,29712,173354,48075,107138xe">
                      <v:path o:connectlocs="77787,0;0,66215;29712,173354;125862,173354;155574,66215" o:connectangles="247,164,82,82,0"/>
                      <v:fill on="t" focussize="0,0"/>
                      <v:stroke weight="2pt" color="#FF0000 [2404]" joinstyle="round"/>
                      <v:imagedata o:title=""/>
                      <o:lock v:ext="edit" aspectratio="f"/>
                    </v:shape>
                  </w:pict>
                </mc:Fallback>
              </mc:AlternateContent>
            </w:r>
            <w:r>
              <w:rPr>
                <w:rFonts w:hint="default" w:ascii="Times New Roman" w:hAnsi="Times New Roman" w:cs="Times New Roman"/>
                <w:color w:val="auto"/>
                <w:spacing w:val="-1"/>
                <w:sz w:val="24"/>
                <w:szCs w:val="24"/>
                <w:highlight w:val="none"/>
                <w:lang w:val="en-US" w:eastAsia="zh-CN"/>
              </w:rPr>
              <w:drawing>
                <wp:inline distT="0" distB="0" distL="114300" distR="114300">
                  <wp:extent cx="3124200" cy="2543810"/>
                  <wp:effectExtent l="0" t="0" r="0" b="8890"/>
                  <wp:docPr id="1" name="图片 1" descr="1734583896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4583896838"/>
                          <pic:cNvPicPr>
                            <a:picLocks noChangeAspect="1"/>
                          </pic:cNvPicPr>
                        </pic:nvPicPr>
                        <pic:blipFill>
                          <a:blip r:embed="rId34"/>
                          <a:stretch>
                            <a:fillRect/>
                          </a:stretch>
                        </pic:blipFill>
                        <pic:spPr>
                          <a:xfrm>
                            <a:off x="0" y="0"/>
                            <a:ext cx="3124200" cy="2543810"/>
                          </a:xfrm>
                          <a:prstGeom prst="rect">
                            <a:avLst/>
                          </a:prstGeom>
                        </pic:spPr>
                      </pic:pic>
                    </a:graphicData>
                  </a:graphic>
                </wp:inline>
              </w:drawing>
            </w:r>
          </w:p>
          <w:p w14:paraId="00D2FAC8">
            <w:pPr>
              <w:tabs>
                <w:tab w:val="left" w:pos="-177"/>
              </w:tabs>
              <w:spacing w:line="360" w:lineRule="auto"/>
              <w:ind w:firstLine="476" w:firstLineChars="200"/>
              <w:jc w:val="center"/>
              <w:rPr>
                <w:rFonts w:hint="eastAsia" w:ascii="黑体" w:hAnsi="黑体" w:eastAsia="黑体" w:cs="黑体"/>
                <w:color w:val="auto"/>
                <w:spacing w:val="-1"/>
                <w:sz w:val="24"/>
                <w:szCs w:val="24"/>
                <w:highlight w:val="none"/>
                <w:lang w:val="en-US" w:eastAsia="zh-CN"/>
              </w:rPr>
            </w:pPr>
            <w:r>
              <w:rPr>
                <w:rFonts w:hint="eastAsia" w:ascii="黑体" w:hAnsi="黑体" w:eastAsia="黑体" w:cs="黑体"/>
                <w:color w:val="auto"/>
                <w:spacing w:val="-1"/>
                <w:sz w:val="24"/>
                <w:szCs w:val="24"/>
                <w:highlight w:val="none"/>
                <w:lang w:val="en-US" w:eastAsia="zh-CN"/>
              </w:rPr>
              <w:t>图4-1     项目周边地形情况</w:t>
            </w:r>
          </w:p>
          <w:p w14:paraId="4EA9BF22">
            <w:pPr>
              <w:tabs>
                <w:tab w:val="left" w:pos="-177"/>
              </w:tabs>
              <w:spacing w:line="360" w:lineRule="auto"/>
              <w:ind w:firstLine="476" w:firstLineChars="200"/>
              <w:rPr>
                <w:rFonts w:hint="default" w:ascii="宋体" w:hAnsi="宋体" w:eastAsia="宋体" w:cs="宋体"/>
                <w:color w:val="auto"/>
                <w:spacing w:val="-1"/>
                <w:sz w:val="24"/>
                <w:szCs w:val="24"/>
                <w:highlight w:val="none"/>
              </w:rPr>
            </w:pPr>
            <w:r>
              <w:rPr>
                <w:rFonts w:hint="default" w:ascii="宋体" w:hAnsi="宋体" w:eastAsia="宋体" w:cs="宋体"/>
                <w:color w:val="auto"/>
                <w:spacing w:val="-1"/>
                <w:sz w:val="24"/>
                <w:szCs w:val="24"/>
                <w:highlight w:val="none"/>
              </w:rPr>
              <w:t>根据《大气有害物质无组织排放卫生防护距离推导技术导则》（GB/T39499-2020），不通过排气筒或通过15m高度以下排气筒的有害气体排放为无组织排放。</w:t>
            </w:r>
          </w:p>
          <w:p w14:paraId="0D92974C">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sz w:val="24"/>
                <w:szCs w:val="24"/>
                <w:highlight w:val="none"/>
              </w:rPr>
              <w:t>（</w:t>
            </w:r>
            <w:r>
              <w:rPr>
                <w:rFonts w:hint="default" w:ascii="Times New Roman" w:hAnsi="Times New Roman" w:eastAsia="宋体" w:cs="Times New Roman"/>
                <w:color w:val="auto"/>
                <w:highlight w:val="none"/>
              </w:rPr>
              <w:t>1</w:t>
            </w:r>
            <w:r>
              <w:rPr>
                <w:rFonts w:hint="eastAsia" w:ascii="Times New Roman" w:hAnsi="Times New Roman" w:eastAsia="宋体" w:cs="Times New Roman"/>
                <w:color w:val="auto"/>
                <w:highlight w:val="none"/>
              </w:rPr>
              <w:t>）计算模式</w:t>
            </w:r>
          </w:p>
          <w:p w14:paraId="3ECED3A9">
            <w:pPr>
              <w:adjustRightInd w:val="0"/>
              <w:snapToGrid w:val="0"/>
              <w:spacing w:line="360" w:lineRule="auto"/>
              <w:ind w:firstLine="480" w:firstLineChars="20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eastAsia="zh-CN"/>
              </w:rPr>
              <w:t>计算</w:t>
            </w:r>
            <w:r>
              <w:rPr>
                <w:rFonts w:hint="eastAsia" w:ascii="Times New Roman" w:hAnsi="Times New Roman" w:eastAsia="宋体" w:cs="Times New Roman"/>
                <w:color w:val="auto"/>
                <w:highlight w:val="none"/>
              </w:rPr>
              <w:t>公式如下：</w:t>
            </w:r>
          </w:p>
          <w:p w14:paraId="270BF77C">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rPr>
              <w:t>计算公式为：</w:t>
            </w:r>
            <w:r>
              <w:rPr>
                <w:rFonts w:hint="eastAsia" w:ascii="Times New Roman" w:hAnsi="Times New Roman" w:eastAsia="宋体" w:cs="Times New Roman"/>
                <w:color w:val="auto"/>
                <w:highlight w:val="none"/>
              </w:rPr>
              <w:object>
                <v:shape id="_x0000_i1032" o:spt="75" type="#_x0000_t75" style="height:33.6pt;width:144pt;" o:ole="t" fillcolor="#ACA899" filled="f" o:preferrelative="t" stroked="f" coordsize="21600,21600">
                  <v:path/>
                  <v:fill on="f" focussize="0,0"/>
                  <v:stroke on="f" joinstyle="miter"/>
                  <v:imagedata r:id="rId36" o:title=""/>
                  <o:lock v:ext="edit" aspectratio="t"/>
                  <w10:wrap type="none"/>
                  <w10:anchorlock/>
                </v:shape>
                <o:OLEObject Type="Embed" ProgID="Equation.3" ShapeID="_x0000_i1032" DrawAspect="Content" ObjectID="_1468075731" r:id="rId35">
                  <o:LockedField>false</o:LockedField>
                </o:OLEObject>
              </w:object>
            </w:r>
          </w:p>
          <w:p w14:paraId="670373EA">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rPr>
              <w:t>式中：</w:t>
            </w:r>
            <w:r>
              <w:rPr>
                <w:rFonts w:hint="default" w:ascii="Times New Roman" w:hAnsi="Times New Roman" w:eastAsia="宋体" w:cs="Times New Roman"/>
                <w:color w:val="auto"/>
                <w:highlight w:val="none"/>
              </w:rPr>
              <w:t>Cm——</w:t>
            </w:r>
            <w:r>
              <w:rPr>
                <w:rFonts w:hint="eastAsia" w:ascii="Times New Roman" w:hAnsi="Times New Roman" w:eastAsia="宋体" w:cs="Times New Roman"/>
                <w:color w:val="auto"/>
                <w:highlight w:val="none"/>
              </w:rPr>
              <w:t>标准浓度限值，</w:t>
            </w:r>
            <w:r>
              <w:rPr>
                <w:rFonts w:hint="default" w:ascii="Times New Roman" w:hAnsi="Times New Roman" w:eastAsia="宋体" w:cs="Times New Roman"/>
                <w:color w:val="auto"/>
                <w:highlight w:val="none"/>
              </w:rPr>
              <w:t>mg/m3</w:t>
            </w:r>
            <w:r>
              <w:rPr>
                <w:rFonts w:hint="eastAsia" w:ascii="Times New Roman" w:hAnsi="Times New Roman" w:eastAsia="宋体" w:cs="Times New Roman"/>
                <w:color w:val="auto"/>
                <w:highlight w:val="none"/>
              </w:rPr>
              <w:t>；</w:t>
            </w:r>
          </w:p>
          <w:p w14:paraId="4A6042B0">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L——</w:t>
            </w:r>
            <w:r>
              <w:rPr>
                <w:rFonts w:hint="eastAsia" w:ascii="Times New Roman" w:hAnsi="Times New Roman" w:eastAsia="宋体" w:cs="Times New Roman"/>
                <w:color w:val="auto"/>
                <w:highlight w:val="none"/>
              </w:rPr>
              <w:t>工业企业所需卫生防护距离，</w:t>
            </w:r>
            <w:r>
              <w:rPr>
                <w:rFonts w:hint="default" w:ascii="Times New Roman" w:hAnsi="Times New Roman" w:eastAsia="宋体" w:cs="Times New Roman"/>
                <w:color w:val="auto"/>
                <w:highlight w:val="none"/>
              </w:rPr>
              <w:t>m</w:t>
            </w:r>
            <w:r>
              <w:rPr>
                <w:rFonts w:hint="eastAsia" w:ascii="Times New Roman" w:hAnsi="Times New Roman" w:eastAsia="宋体" w:cs="Times New Roman"/>
                <w:color w:val="auto"/>
                <w:highlight w:val="none"/>
              </w:rPr>
              <w:t>；</w:t>
            </w:r>
          </w:p>
          <w:p w14:paraId="21CF9DA7">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R——</w:t>
            </w:r>
            <w:r>
              <w:rPr>
                <w:rFonts w:hint="eastAsia" w:ascii="Times New Roman" w:hAnsi="Times New Roman" w:eastAsia="宋体" w:cs="Times New Roman"/>
                <w:color w:val="auto"/>
                <w:highlight w:val="none"/>
              </w:rPr>
              <w:t>有害气体无组织排放源所在生产单元的等效半径，</w:t>
            </w:r>
            <w:r>
              <w:rPr>
                <w:rFonts w:hint="default" w:ascii="Times New Roman" w:hAnsi="Times New Roman" w:eastAsia="宋体" w:cs="Times New Roman"/>
                <w:color w:val="auto"/>
                <w:highlight w:val="none"/>
              </w:rPr>
              <w:t>m</w:t>
            </w:r>
            <w:r>
              <w:rPr>
                <w:rFonts w:hint="eastAsia" w:ascii="Times New Roman" w:hAnsi="Times New Roman" w:eastAsia="宋体" w:cs="Times New Roman"/>
                <w:color w:val="auto"/>
                <w:highlight w:val="none"/>
              </w:rPr>
              <w:t>。根据该生产单元占地面积</w:t>
            </w:r>
            <w:r>
              <w:rPr>
                <w:rFonts w:hint="default" w:ascii="Times New Roman" w:hAnsi="Times New Roman" w:eastAsia="宋体" w:cs="Times New Roman"/>
                <w:color w:val="auto"/>
                <w:highlight w:val="none"/>
              </w:rPr>
              <w:t>S</w:t>
            </w:r>
            <w:r>
              <w:rPr>
                <w:rFonts w:hint="eastAsia" w:ascii="Times New Roman" w:hAnsi="Times New Roman" w:eastAsia="宋体" w:cs="Times New Roman"/>
                <w:color w:val="auto"/>
                <w:highlight w:val="none"/>
              </w:rPr>
              <w:t>（</w:t>
            </w:r>
            <w:r>
              <w:rPr>
                <w:rFonts w:hint="default" w:ascii="Times New Roman" w:hAnsi="Times New Roman" w:eastAsia="宋体" w:cs="Times New Roman"/>
                <w:color w:val="auto"/>
                <w:highlight w:val="none"/>
              </w:rPr>
              <w:t>m2</w:t>
            </w:r>
            <w:r>
              <w:rPr>
                <w:rFonts w:hint="eastAsia" w:ascii="Times New Roman" w:hAnsi="Times New Roman" w:eastAsia="宋体" w:cs="Times New Roman"/>
                <w:color w:val="auto"/>
                <w:highlight w:val="none"/>
              </w:rPr>
              <w:t>）计算，</w:t>
            </w:r>
            <w:r>
              <w:rPr>
                <w:rFonts w:hint="default" w:ascii="Times New Roman" w:hAnsi="Times New Roman" w:eastAsia="宋体" w:cs="Times New Roman"/>
                <w:color w:val="auto"/>
                <w:highlight w:val="none"/>
              </w:rPr>
              <w:t>r=</w:t>
            </w:r>
            <w:r>
              <w:rPr>
                <w:rFonts w:hint="eastAsia" w:ascii="Times New Roman" w:hAnsi="Times New Roman" w:eastAsia="宋体" w:cs="Times New Roman"/>
                <w:color w:val="auto"/>
                <w:highlight w:val="none"/>
              </w:rPr>
              <w:t>（</w:t>
            </w:r>
            <w:r>
              <w:rPr>
                <w:rFonts w:hint="default" w:ascii="Times New Roman" w:hAnsi="Times New Roman" w:eastAsia="宋体" w:cs="Times New Roman"/>
                <w:color w:val="auto"/>
                <w:highlight w:val="none"/>
              </w:rPr>
              <w:t>S/π</w:t>
            </w:r>
            <w:r>
              <w:rPr>
                <w:rFonts w:hint="eastAsia" w:ascii="Times New Roman" w:hAnsi="Times New Roman" w:eastAsia="宋体" w:cs="Times New Roman"/>
                <w:color w:val="auto"/>
                <w:highlight w:val="none"/>
              </w:rPr>
              <w:t>）</w:t>
            </w:r>
            <w:r>
              <w:rPr>
                <w:rFonts w:hint="default" w:ascii="Times New Roman" w:hAnsi="Times New Roman" w:eastAsia="宋体" w:cs="Times New Roman"/>
                <w:color w:val="auto"/>
                <w:highlight w:val="none"/>
              </w:rPr>
              <w:t>0.5</w:t>
            </w:r>
            <w:r>
              <w:rPr>
                <w:rFonts w:hint="eastAsia" w:ascii="Times New Roman" w:hAnsi="Times New Roman" w:eastAsia="宋体" w:cs="Times New Roman"/>
                <w:color w:val="auto"/>
                <w:highlight w:val="none"/>
              </w:rPr>
              <w:t>；</w:t>
            </w:r>
          </w:p>
          <w:p w14:paraId="1BEF3285">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Qc——</w:t>
            </w:r>
            <w:r>
              <w:rPr>
                <w:rFonts w:hint="eastAsia" w:ascii="Times New Roman" w:hAnsi="Times New Roman" w:eastAsia="宋体" w:cs="Times New Roman"/>
                <w:color w:val="auto"/>
                <w:highlight w:val="none"/>
              </w:rPr>
              <w:t>工业企业有害气体无组织排放量可以达到的控制水平，</w:t>
            </w:r>
            <w:r>
              <w:rPr>
                <w:rFonts w:hint="default" w:ascii="Times New Roman" w:hAnsi="Times New Roman" w:eastAsia="宋体" w:cs="Times New Roman"/>
                <w:color w:val="auto"/>
                <w:highlight w:val="none"/>
              </w:rPr>
              <w:t>kg/h</w:t>
            </w:r>
            <w:r>
              <w:rPr>
                <w:rFonts w:hint="eastAsia" w:ascii="Times New Roman" w:hAnsi="Times New Roman" w:eastAsia="宋体" w:cs="Times New Roman"/>
                <w:color w:val="auto"/>
                <w:highlight w:val="none"/>
              </w:rPr>
              <w:t>。</w:t>
            </w:r>
          </w:p>
          <w:p w14:paraId="0EB1EE5A">
            <w:pPr>
              <w:numPr>
                <w:ilvl w:val="0"/>
                <w:numId w:val="20"/>
              </w:numPr>
              <w:adjustRightInd w:val="0"/>
              <w:snapToGrid w:val="0"/>
              <w:spacing w:line="360" w:lineRule="auto"/>
              <w:ind w:firstLine="480" w:firstLineChars="200"/>
              <w:rPr>
                <w:rFonts w:hint="eastAsia" w:ascii="Times New Roman" w:hAnsi="Times New Roman" w:eastAsia="宋体" w:cs="Times New Roman"/>
                <w:color w:val="auto"/>
                <w:highlight w:val="none"/>
              </w:rPr>
            </w:pPr>
            <w:r>
              <w:rPr>
                <w:rFonts w:hint="default" w:ascii="Times New Roman" w:hAnsi="Times New Roman" w:eastAsia="宋体" w:cs="Times New Roman"/>
                <w:color w:val="auto"/>
                <w:highlight w:val="none"/>
              </w:rPr>
              <w:t>C</w:t>
            </w:r>
            <w:r>
              <w:rPr>
                <w:rFonts w:hint="eastAsia" w:ascii="Times New Roman" w:hAnsi="Times New Roman" w:eastAsia="宋体" w:cs="Times New Roman"/>
                <w:color w:val="auto"/>
                <w:highlight w:val="none"/>
              </w:rPr>
              <w:t>、</w:t>
            </w:r>
            <w:r>
              <w:rPr>
                <w:rFonts w:hint="default" w:ascii="Times New Roman" w:hAnsi="Times New Roman" w:eastAsia="宋体" w:cs="Times New Roman"/>
                <w:color w:val="auto"/>
                <w:highlight w:val="none"/>
              </w:rPr>
              <w:t>D—</w:t>
            </w:r>
            <w:r>
              <w:rPr>
                <w:rFonts w:hint="eastAsia" w:ascii="Times New Roman" w:hAnsi="Times New Roman" w:eastAsia="宋体" w:cs="Times New Roman"/>
                <w:color w:val="auto"/>
                <w:highlight w:val="none"/>
              </w:rPr>
              <w:t>卫生防护距离计算系数，根据工业企业所在地区近五年平均风速及工业企业大气污染源构成类别从《制定地方大气污染排放标准的技术方法》（</w:t>
            </w:r>
            <w:r>
              <w:rPr>
                <w:rFonts w:hint="default" w:ascii="Times New Roman" w:hAnsi="Times New Roman" w:eastAsia="宋体" w:cs="Times New Roman"/>
                <w:color w:val="auto"/>
                <w:highlight w:val="none"/>
              </w:rPr>
              <w:t>GB/T3840-91</w:t>
            </w:r>
            <w:r>
              <w:rPr>
                <w:rFonts w:hint="eastAsia" w:ascii="Times New Roman" w:hAnsi="Times New Roman" w:eastAsia="宋体" w:cs="Times New Roman"/>
                <w:color w:val="auto"/>
                <w:highlight w:val="none"/>
              </w:rPr>
              <w:t>）查取，详见下表。</w:t>
            </w:r>
          </w:p>
          <w:p w14:paraId="51D6230D">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卫生防护距离计算系数</w:t>
            </w:r>
          </w:p>
          <w:tbl>
            <w:tblPr>
              <w:tblStyle w:val="32"/>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83"/>
              <w:gridCol w:w="1508"/>
              <w:gridCol w:w="725"/>
              <w:gridCol w:w="725"/>
              <w:gridCol w:w="584"/>
              <w:gridCol w:w="871"/>
              <w:gridCol w:w="907"/>
              <w:gridCol w:w="731"/>
              <w:gridCol w:w="653"/>
              <w:gridCol w:w="582"/>
              <w:gridCol w:w="589"/>
            </w:tblGrid>
            <w:tr w14:paraId="262843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restart"/>
                  <w:noWrap w:val="0"/>
                  <w:vAlign w:val="center"/>
                </w:tcPr>
                <w:p w14:paraId="44A4BBE3">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2"/>
                    <w:jc w:val="center"/>
                    <w:textAlignment w:val="auto"/>
                    <w:rPr>
                      <w:rFonts w:hint="default"/>
                      <w:color w:val="auto"/>
                      <w:sz w:val="18"/>
                      <w:szCs w:val="18"/>
                      <w:highlight w:val="none"/>
                    </w:rPr>
                  </w:pPr>
                  <w:r>
                    <w:rPr>
                      <w:rFonts w:hint="default"/>
                      <w:color w:val="auto"/>
                      <w:sz w:val="18"/>
                      <w:szCs w:val="18"/>
                      <w:highlight w:val="none"/>
                    </w:rPr>
                    <w:t>计算系数</w:t>
                  </w:r>
                </w:p>
              </w:tc>
              <w:tc>
                <w:tcPr>
                  <w:tcW w:w="871" w:type="pct"/>
                  <w:vMerge w:val="restart"/>
                  <w:noWrap w:val="0"/>
                  <w:vAlign w:val="center"/>
                </w:tcPr>
                <w:p w14:paraId="20C0740E">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工业企业所在地区近五年平均风速m/s</w:t>
                  </w:r>
                </w:p>
              </w:tc>
              <w:tc>
                <w:tcPr>
                  <w:tcW w:w="3675" w:type="pct"/>
                  <w:gridSpan w:val="9"/>
                  <w:noWrap w:val="0"/>
                  <w:vAlign w:val="center"/>
                </w:tcPr>
                <w:p w14:paraId="66FA9DB5">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0"/>
                    <w:jc w:val="center"/>
                    <w:textAlignment w:val="auto"/>
                    <w:rPr>
                      <w:rFonts w:hint="default"/>
                      <w:color w:val="auto"/>
                      <w:sz w:val="18"/>
                      <w:szCs w:val="18"/>
                      <w:highlight w:val="none"/>
                    </w:rPr>
                  </w:pPr>
                  <w:r>
                    <w:rPr>
                      <w:rFonts w:hint="default"/>
                      <w:color w:val="auto"/>
                      <w:sz w:val="18"/>
                      <w:szCs w:val="18"/>
                      <w:highlight w:val="none"/>
                    </w:rPr>
                    <w:t>卫生防护距离 L，m</w:t>
                  </w:r>
                </w:p>
              </w:tc>
            </w:tr>
            <w:tr w14:paraId="3E616C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6C2B32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vMerge w:val="continue"/>
                  <w:noWrap w:val="0"/>
                  <w:vAlign w:val="center"/>
                </w:tcPr>
                <w:p w14:paraId="7363181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p>
              </w:tc>
              <w:tc>
                <w:tcPr>
                  <w:tcW w:w="1175" w:type="pct"/>
                  <w:gridSpan w:val="3"/>
                  <w:noWrap w:val="0"/>
                  <w:vAlign w:val="center"/>
                </w:tcPr>
                <w:p w14:paraId="41ED870F">
                  <w:pPr>
                    <w:pStyle w:val="81"/>
                    <w:keepNext w:val="0"/>
                    <w:keepLines w:val="0"/>
                    <w:pageBreakBefore w:val="0"/>
                    <w:widowControl w:val="0"/>
                    <w:suppressLineNumbers w:val="0"/>
                    <w:tabs>
                      <w:tab w:val="left" w:pos="1200"/>
                    </w:tabs>
                    <w:kinsoku/>
                    <w:wordWrap/>
                    <w:overflowPunct/>
                    <w:topLinePunct w:val="0"/>
                    <w:autoSpaceDE/>
                    <w:autoSpaceDN/>
                    <w:bidi w:val="0"/>
                    <w:adjustRightInd/>
                    <w:snapToGrid/>
                    <w:spacing w:before="0" w:beforeAutospacing="0" w:after="0" w:afterAutospacing="0" w:line="240" w:lineRule="exact"/>
                    <w:ind w:left="0" w:right="-15"/>
                    <w:jc w:val="center"/>
                    <w:textAlignment w:val="auto"/>
                    <w:rPr>
                      <w:rFonts w:hint="default"/>
                      <w:color w:val="auto"/>
                      <w:sz w:val="18"/>
                      <w:szCs w:val="18"/>
                      <w:highlight w:val="none"/>
                    </w:rPr>
                  </w:pPr>
                  <w:r>
                    <w:rPr>
                      <w:rFonts w:hint="default"/>
                      <w:color w:val="auto"/>
                      <w:sz w:val="18"/>
                      <w:szCs w:val="18"/>
                      <w:highlight w:val="none"/>
                    </w:rPr>
                    <w:t>L&lt;200</w:t>
                  </w:r>
                </w:p>
              </w:tc>
              <w:tc>
                <w:tcPr>
                  <w:tcW w:w="1449" w:type="pct"/>
                  <w:gridSpan w:val="3"/>
                  <w:noWrap w:val="0"/>
                  <w:vAlign w:val="center"/>
                </w:tcPr>
                <w:p w14:paraId="6A4EBA39">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 w:val="18"/>
                      <w:szCs w:val="18"/>
                      <w:highlight w:val="none"/>
                    </w:rPr>
                  </w:pPr>
                  <w:r>
                    <w:rPr>
                      <w:rFonts w:hint="default"/>
                      <w:color w:val="auto"/>
                      <w:sz w:val="18"/>
                      <w:szCs w:val="18"/>
                      <w:highlight w:val="none"/>
                    </w:rPr>
                    <w:t>200&lt;L&lt;2000</w:t>
                  </w:r>
                </w:p>
              </w:tc>
              <w:tc>
                <w:tcPr>
                  <w:tcW w:w="1050" w:type="pct"/>
                  <w:gridSpan w:val="3"/>
                  <w:noWrap w:val="0"/>
                  <w:vAlign w:val="center"/>
                </w:tcPr>
                <w:p w14:paraId="5B2F2BCB">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 w:val="18"/>
                      <w:szCs w:val="18"/>
                      <w:highlight w:val="none"/>
                    </w:rPr>
                  </w:pPr>
                  <w:r>
                    <w:rPr>
                      <w:rFonts w:hint="default"/>
                      <w:color w:val="auto"/>
                      <w:sz w:val="18"/>
                      <w:szCs w:val="18"/>
                      <w:highlight w:val="none"/>
                    </w:rPr>
                    <w:t>L&gt;2000</w:t>
                  </w:r>
                </w:p>
              </w:tc>
            </w:tr>
            <w:tr w14:paraId="78B6529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4F2550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vMerge w:val="continue"/>
                  <w:noWrap w:val="0"/>
                  <w:vAlign w:val="center"/>
                </w:tcPr>
                <w:p w14:paraId="662FFF78">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p>
              </w:tc>
              <w:tc>
                <w:tcPr>
                  <w:tcW w:w="3675" w:type="pct"/>
                  <w:gridSpan w:val="9"/>
                  <w:noWrap w:val="0"/>
                  <w:vAlign w:val="center"/>
                </w:tcPr>
                <w:p w14:paraId="52694E3E">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 w:val="18"/>
                      <w:szCs w:val="18"/>
                      <w:highlight w:val="none"/>
                    </w:rPr>
                  </w:pPr>
                  <w:r>
                    <w:rPr>
                      <w:rFonts w:hint="default"/>
                      <w:color w:val="auto"/>
                      <w:sz w:val="18"/>
                      <w:szCs w:val="18"/>
                      <w:highlight w:val="none"/>
                    </w:rPr>
                    <w:t>工业企业大气污染源构成类别</w:t>
                  </w:r>
                </w:p>
              </w:tc>
            </w:tr>
            <w:tr w14:paraId="02DB36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658211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vMerge w:val="continue"/>
                  <w:noWrap w:val="0"/>
                  <w:vAlign w:val="center"/>
                </w:tcPr>
                <w:p w14:paraId="0E3F81B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p>
              </w:tc>
              <w:tc>
                <w:tcPr>
                  <w:tcW w:w="419" w:type="pct"/>
                  <w:noWrap w:val="0"/>
                  <w:vAlign w:val="center"/>
                </w:tcPr>
                <w:p w14:paraId="03582179">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8" w:right="-14" w:rightChars="-6"/>
                    <w:jc w:val="center"/>
                    <w:textAlignment w:val="auto"/>
                    <w:rPr>
                      <w:rFonts w:hint="default"/>
                      <w:color w:val="auto"/>
                      <w:sz w:val="18"/>
                      <w:szCs w:val="18"/>
                      <w:highlight w:val="none"/>
                    </w:rPr>
                  </w:pPr>
                  <w:r>
                    <w:rPr>
                      <w:rFonts w:hint="default"/>
                      <w:color w:val="auto"/>
                      <w:kern w:val="2"/>
                      <w:sz w:val="18"/>
                      <w:szCs w:val="18"/>
                      <w:highlight w:val="none"/>
                    </w:rPr>
                    <w:t>Ⅰ</w:t>
                  </w:r>
                </w:p>
              </w:tc>
              <w:tc>
                <w:tcPr>
                  <w:tcW w:w="419" w:type="pct"/>
                  <w:noWrap w:val="0"/>
                  <w:vAlign w:val="center"/>
                </w:tcPr>
                <w:p w14:paraId="58BAF70F">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kern w:val="2"/>
                      <w:sz w:val="18"/>
                      <w:szCs w:val="18"/>
                      <w:highlight w:val="none"/>
                    </w:rPr>
                    <w:t>Ⅱ</w:t>
                  </w:r>
                </w:p>
              </w:tc>
              <w:tc>
                <w:tcPr>
                  <w:tcW w:w="336" w:type="pct"/>
                  <w:noWrap w:val="0"/>
                  <w:vAlign w:val="center"/>
                </w:tcPr>
                <w:p w14:paraId="6F644043">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Ⅲ</w:t>
                  </w:r>
                </w:p>
              </w:tc>
              <w:tc>
                <w:tcPr>
                  <w:tcW w:w="503" w:type="pct"/>
                  <w:noWrap w:val="0"/>
                  <w:vAlign w:val="center"/>
                </w:tcPr>
                <w:p w14:paraId="5A71E831">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Ⅰ</w:t>
                  </w:r>
                </w:p>
              </w:tc>
              <w:tc>
                <w:tcPr>
                  <w:tcW w:w="524" w:type="pct"/>
                  <w:noWrap w:val="0"/>
                  <w:vAlign w:val="center"/>
                </w:tcPr>
                <w:p w14:paraId="2543363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Ⅱ</w:t>
                  </w:r>
                </w:p>
              </w:tc>
              <w:tc>
                <w:tcPr>
                  <w:tcW w:w="421" w:type="pct"/>
                  <w:noWrap w:val="0"/>
                  <w:vAlign w:val="center"/>
                </w:tcPr>
                <w:p w14:paraId="01B437A3">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Ⅲ</w:t>
                  </w:r>
                </w:p>
              </w:tc>
              <w:tc>
                <w:tcPr>
                  <w:tcW w:w="377" w:type="pct"/>
                  <w:noWrap w:val="0"/>
                  <w:vAlign w:val="center"/>
                </w:tcPr>
                <w:p w14:paraId="56A8B23B">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Ⅰ</w:t>
                  </w:r>
                </w:p>
              </w:tc>
              <w:tc>
                <w:tcPr>
                  <w:tcW w:w="336" w:type="pct"/>
                  <w:noWrap w:val="0"/>
                  <w:vAlign w:val="center"/>
                </w:tcPr>
                <w:p w14:paraId="1F2EC2B0">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Ⅱ</w:t>
                  </w:r>
                </w:p>
              </w:tc>
              <w:tc>
                <w:tcPr>
                  <w:tcW w:w="336" w:type="pct"/>
                  <w:noWrap w:val="0"/>
                  <w:vAlign w:val="center"/>
                </w:tcPr>
                <w:p w14:paraId="1760839A">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Ⅲ</w:t>
                  </w:r>
                </w:p>
              </w:tc>
            </w:tr>
            <w:tr w14:paraId="64E730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restart"/>
                  <w:noWrap w:val="0"/>
                  <w:vAlign w:val="center"/>
                </w:tcPr>
                <w:p w14:paraId="1E5C9CA7">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21" w:right="0"/>
                    <w:jc w:val="center"/>
                    <w:textAlignment w:val="auto"/>
                    <w:rPr>
                      <w:rFonts w:hint="default"/>
                      <w:color w:val="auto"/>
                      <w:sz w:val="18"/>
                      <w:szCs w:val="18"/>
                      <w:highlight w:val="none"/>
                    </w:rPr>
                  </w:pPr>
                  <w:r>
                    <w:rPr>
                      <w:rFonts w:hint="default"/>
                      <w:color w:val="auto"/>
                      <w:w w:val="99"/>
                      <w:sz w:val="18"/>
                      <w:szCs w:val="18"/>
                      <w:highlight w:val="none"/>
                    </w:rPr>
                    <w:t>A</w:t>
                  </w:r>
                </w:p>
              </w:tc>
              <w:tc>
                <w:tcPr>
                  <w:tcW w:w="871" w:type="pct"/>
                  <w:noWrap w:val="0"/>
                  <w:vAlign w:val="center"/>
                </w:tcPr>
                <w:p w14:paraId="18D6B46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&lt;2</w:t>
                  </w:r>
                </w:p>
              </w:tc>
              <w:tc>
                <w:tcPr>
                  <w:tcW w:w="419" w:type="pct"/>
                  <w:noWrap w:val="0"/>
                  <w:vAlign w:val="center"/>
                </w:tcPr>
                <w:p w14:paraId="17847AEE">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400</w:t>
                  </w:r>
                </w:p>
              </w:tc>
              <w:tc>
                <w:tcPr>
                  <w:tcW w:w="419" w:type="pct"/>
                  <w:noWrap w:val="0"/>
                  <w:vAlign w:val="center"/>
                </w:tcPr>
                <w:p w14:paraId="1FB8105C">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400</w:t>
                  </w:r>
                </w:p>
              </w:tc>
              <w:tc>
                <w:tcPr>
                  <w:tcW w:w="336" w:type="pct"/>
                  <w:noWrap w:val="0"/>
                  <w:vAlign w:val="center"/>
                </w:tcPr>
                <w:p w14:paraId="0EF42983">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400</w:t>
                  </w:r>
                </w:p>
              </w:tc>
              <w:tc>
                <w:tcPr>
                  <w:tcW w:w="503" w:type="pct"/>
                  <w:noWrap w:val="0"/>
                  <w:vAlign w:val="center"/>
                </w:tcPr>
                <w:p w14:paraId="1BF0FF56">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400</w:t>
                  </w:r>
                </w:p>
              </w:tc>
              <w:tc>
                <w:tcPr>
                  <w:tcW w:w="524" w:type="pct"/>
                  <w:noWrap w:val="0"/>
                  <w:vAlign w:val="center"/>
                </w:tcPr>
                <w:p w14:paraId="39C4E51F">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400</w:t>
                  </w:r>
                </w:p>
              </w:tc>
              <w:tc>
                <w:tcPr>
                  <w:tcW w:w="421" w:type="pct"/>
                  <w:noWrap w:val="0"/>
                  <w:vAlign w:val="center"/>
                </w:tcPr>
                <w:p w14:paraId="3CEE3E71">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400</w:t>
                  </w:r>
                </w:p>
              </w:tc>
              <w:tc>
                <w:tcPr>
                  <w:tcW w:w="377" w:type="pct"/>
                  <w:noWrap w:val="0"/>
                  <w:vAlign w:val="center"/>
                </w:tcPr>
                <w:p w14:paraId="290CEA6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80</w:t>
                  </w:r>
                </w:p>
              </w:tc>
              <w:tc>
                <w:tcPr>
                  <w:tcW w:w="336" w:type="pct"/>
                  <w:noWrap w:val="0"/>
                  <w:vAlign w:val="center"/>
                </w:tcPr>
                <w:p w14:paraId="284DF08E">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80</w:t>
                  </w:r>
                </w:p>
              </w:tc>
              <w:tc>
                <w:tcPr>
                  <w:tcW w:w="336" w:type="pct"/>
                  <w:noWrap w:val="0"/>
                  <w:vAlign w:val="center"/>
                </w:tcPr>
                <w:p w14:paraId="0DACCB6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80</w:t>
                  </w:r>
                </w:p>
              </w:tc>
            </w:tr>
            <w:tr w14:paraId="2E3328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7E0165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noWrap w:val="0"/>
                  <w:vAlign w:val="center"/>
                </w:tcPr>
                <w:p w14:paraId="1EA6C917">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2~4</w:t>
                  </w:r>
                </w:p>
              </w:tc>
              <w:tc>
                <w:tcPr>
                  <w:tcW w:w="419" w:type="pct"/>
                  <w:noWrap w:val="0"/>
                  <w:vAlign w:val="center"/>
                </w:tcPr>
                <w:p w14:paraId="002BC585">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700</w:t>
                  </w:r>
                </w:p>
              </w:tc>
              <w:tc>
                <w:tcPr>
                  <w:tcW w:w="419" w:type="pct"/>
                  <w:noWrap w:val="0"/>
                  <w:vAlign w:val="center"/>
                </w:tcPr>
                <w:p w14:paraId="2BCB2FB6">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470</w:t>
                  </w:r>
                </w:p>
              </w:tc>
              <w:tc>
                <w:tcPr>
                  <w:tcW w:w="336" w:type="pct"/>
                  <w:noWrap w:val="0"/>
                  <w:vAlign w:val="center"/>
                </w:tcPr>
                <w:p w14:paraId="2A8444E6">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350</w:t>
                  </w:r>
                </w:p>
              </w:tc>
              <w:tc>
                <w:tcPr>
                  <w:tcW w:w="503" w:type="pct"/>
                  <w:noWrap w:val="0"/>
                  <w:vAlign w:val="center"/>
                </w:tcPr>
                <w:p w14:paraId="752AF5CA">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700</w:t>
                  </w:r>
                </w:p>
              </w:tc>
              <w:tc>
                <w:tcPr>
                  <w:tcW w:w="524" w:type="pct"/>
                  <w:noWrap w:val="0"/>
                  <w:vAlign w:val="center"/>
                </w:tcPr>
                <w:p w14:paraId="716013C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470</w:t>
                  </w:r>
                </w:p>
              </w:tc>
              <w:tc>
                <w:tcPr>
                  <w:tcW w:w="421" w:type="pct"/>
                  <w:noWrap w:val="0"/>
                  <w:vAlign w:val="center"/>
                </w:tcPr>
                <w:p w14:paraId="5A01420E">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350</w:t>
                  </w:r>
                </w:p>
              </w:tc>
              <w:tc>
                <w:tcPr>
                  <w:tcW w:w="377" w:type="pct"/>
                  <w:noWrap w:val="0"/>
                  <w:vAlign w:val="center"/>
                </w:tcPr>
                <w:p w14:paraId="27C9663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380</w:t>
                  </w:r>
                </w:p>
              </w:tc>
              <w:tc>
                <w:tcPr>
                  <w:tcW w:w="336" w:type="pct"/>
                  <w:noWrap w:val="0"/>
                  <w:vAlign w:val="center"/>
                </w:tcPr>
                <w:p w14:paraId="2E562CFF">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250</w:t>
                  </w:r>
                </w:p>
              </w:tc>
              <w:tc>
                <w:tcPr>
                  <w:tcW w:w="336" w:type="pct"/>
                  <w:noWrap w:val="0"/>
                  <w:vAlign w:val="center"/>
                </w:tcPr>
                <w:p w14:paraId="0CAC7397">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190</w:t>
                  </w:r>
                </w:p>
              </w:tc>
            </w:tr>
            <w:tr w14:paraId="35A5A3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6BF51F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noWrap w:val="0"/>
                  <w:vAlign w:val="center"/>
                </w:tcPr>
                <w:p w14:paraId="2641E31A">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&gt;4</w:t>
                  </w:r>
                </w:p>
              </w:tc>
              <w:tc>
                <w:tcPr>
                  <w:tcW w:w="419" w:type="pct"/>
                  <w:noWrap w:val="0"/>
                  <w:vAlign w:val="center"/>
                </w:tcPr>
                <w:p w14:paraId="2EEB7C6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530</w:t>
                  </w:r>
                </w:p>
              </w:tc>
              <w:tc>
                <w:tcPr>
                  <w:tcW w:w="419" w:type="pct"/>
                  <w:noWrap w:val="0"/>
                  <w:vAlign w:val="center"/>
                </w:tcPr>
                <w:p w14:paraId="3AAF804B">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350</w:t>
                  </w:r>
                </w:p>
              </w:tc>
              <w:tc>
                <w:tcPr>
                  <w:tcW w:w="336" w:type="pct"/>
                  <w:noWrap w:val="0"/>
                  <w:vAlign w:val="center"/>
                </w:tcPr>
                <w:p w14:paraId="495B8DC3">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260</w:t>
                  </w:r>
                </w:p>
              </w:tc>
              <w:tc>
                <w:tcPr>
                  <w:tcW w:w="503" w:type="pct"/>
                  <w:noWrap w:val="0"/>
                  <w:vAlign w:val="center"/>
                </w:tcPr>
                <w:p w14:paraId="17072FAF">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530</w:t>
                  </w:r>
                </w:p>
              </w:tc>
              <w:tc>
                <w:tcPr>
                  <w:tcW w:w="524" w:type="pct"/>
                  <w:noWrap w:val="0"/>
                  <w:vAlign w:val="center"/>
                </w:tcPr>
                <w:p w14:paraId="5E8DF476">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350</w:t>
                  </w:r>
                </w:p>
              </w:tc>
              <w:tc>
                <w:tcPr>
                  <w:tcW w:w="421" w:type="pct"/>
                  <w:noWrap w:val="0"/>
                  <w:vAlign w:val="center"/>
                </w:tcPr>
                <w:p w14:paraId="6E389692">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260</w:t>
                  </w:r>
                </w:p>
              </w:tc>
              <w:tc>
                <w:tcPr>
                  <w:tcW w:w="377" w:type="pct"/>
                  <w:noWrap w:val="0"/>
                  <w:vAlign w:val="center"/>
                </w:tcPr>
                <w:p w14:paraId="18236926">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290</w:t>
                  </w:r>
                </w:p>
              </w:tc>
              <w:tc>
                <w:tcPr>
                  <w:tcW w:w="336" w:type="pct"/>
                  <w:noWrap w:val="0"/>
                  <w:vAlign w:val="center"/>
                </w:tcPr>
                <w:p w14:paraId="2CC4204A">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190</w:t>
                  </w:r>
                </w:p>
              </w:tc>
              <w:tc>
                <w:tcPr>
                  <w:tcW w:w="336" w:type="pct"/>
                  <w:noWrap w:val="0"/>
                  <w:vAlign w:val="center"/>
                </w:tcPr>
                <w:p w14:paraId="7F70FAA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110</w:t>
                  </w:r>
                </w:p>
              </w:tc>
            </w:tr>
            <w:tr w14:paraId="2BD739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restart"/>
                  <w:noWrap w:val="0"/>
                  <w:vAlign w:val="center"/>
                </w:tcPr>
                <w:p w14:paraId="03D687C8">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24" w:right="0"/>
                    <w:jc w:val="center"/>
                    <w:textAlignment w:val="auto"/>
                    <w:rPr>
                      <w:rFonts w:hint="default"/>
                      <w:color w:val="auto"/>
                      <w:sz w:val="18"/>
                      <w:szCs w:val="18"/>
                      <w:highlight w:val="none"/>
                    </w:rPr>
                  </w:pPr>
                  <w:r>
                    <w:rPr>
                      <w:rFonts w:hint="default"/>
                      <w:color w:val="auto"/>
                      <w:w w:val="99"/>
                      <w:sz w:val="18"/>
                      <w:szCs w:val="18"/>
                      <w:highlight w:val="none"/>
                    </w:rPr>
                    <w:t>B</w:t>
                  </w:r>
                </w:p>
              </w:tc>
              <w:tc>
                <w:tcPr>
                  <w:tcW w:w="871" w:type="pct"/>
                  <w:noWrap w:val="0"/>
                  <w:vAlign w:val="center"/>
                </w:tcPr>
                <w:p w14:paraId="539CF77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&lt;2</w:t>
                  </w:r>
                </w:p>
              </w:tc>
              <w:tc>
                <w:tcPr>
                  <w:tcW w:w="1175" w:type="pct"/>
                  <w:gridSpan w:val="3"/>
                  <w:noWrap w:val="0"/>
                  <w:vAlign w:val="center"/>
                </w:tcPr>
                <w:p w14:paraId="303D66F5">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4" w:rightChars="-10"/>
                    <w:jc w:val="center"/>
                    <w:textAlignment w:val="auto"/>
                    <w:rPr>
                      <w:rFonts w:hint="default"/>
                      <w:color w:val="auto"/>
                      <w:sz w:val="18"/>
                      <w:szCs w:val="18"/>
                      <w:highlight w:val="none"/>
                    </w:rPr>
                  </w:pPr>
                  <w:r>
                    <w:rPr>
                      <w:rFonts w:hint="default"/>
                      <w:color w:val="auto"/>
                      <w:sz w:val="18"/>
                      <w:szCs w:val="18"/>
                      <w:highlight w:val="none"/>
                    </w:rPr>
                    <w:t>0.01</w:t>
                  </w:r>
                </w:p>
              </w:tc>
              <w:tc>
                <w:tcPr>
                  <w:tcW w:w="1449" w:type="pct"/>
                  <w:gridSpan w:val="3"/>
                  <w:noWrap w:val="0"/>
                  <w:vAlign w:val="center"/>
                </w:tcPr>
                <w:p w14:paraId="2FB6A596">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2" w:rightChars="26"/>
                    <w:jc w:val="center"/>
                    <w:textAlignment w:val="auto"/>
                    <w:rPr>
                      <w:rFonts w:hint="default"/>
                      <w:color w:val="auto"/>
                      <w:sz w:val="18"/>
                      <w:szCs w:val="18"/>
                      <w:highlight w:val="none"/>
                    </w:rPr>
                  </w:pPr>
                  <w:r>
                    <w:rPr>
                      <w:rFonts w:hint="default"/>
                      <w:color w:val="auto"/>
                      <w:sz w:val="18"/>
                      <w:szCs w:val="18"/>
                      <w:highlight w:val="none"/>
                    </w:rPr>
                    <w:t>0.015</w:t>
                  </w:r>
                </w:p>
              </w:tc>
              <w:tc>
                <w:tcPr>
                  <w:tcW w:w="1050" w:type="pct"/>
                  <w:gridSpan w:val="3"/>
                  <w:noWrap w:val="0"/>
                  <w:vAlign w:val="center"/>
                </w:tcPr>
                <w:p w14:paraId="662DF6B9">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
                    <w:jc w:val="center"/>
                    <w:textAlignment w:val="auto"/>
                    <w:rPr>
                      <w:rFonts w:hint="default"/>
                      <w:color w:val="auto"/>
                      <w:sz w:val="18"/>
                      <w:szCs w:val="18"/>
                      <w:highlight w:val="none"/>
                    </w:rPr>
                  </w:pPr>
                  <w:r>
                    <w:rPr>
                      <w:rFonts w:hint="default"/>
                      <w:color w:val="auto"/>
                      <w:sz w:val="18"/>
                      <w:szCs w:val="18"/>
                      <w:highlight w:val="none"/>
                    </w:rPr>
                    <w:t>0.015</w:t>
                  </w:r>
                </w:p>
              </w:tc>
            </w:tr>
            <w:tr w14:paraId="684F9A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3B2F9C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noWrap w:val="0"/>
                  <w:vAlign w:val="center"/>
                </w:tcPr>
                <w:p w14:paraId="47A7D2A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&gt;2</w:t>
                  </w:r>
                </w:p>
              </w:tc>
              <w:tc>
                <w:tcPr>
                  <w:tcW w:w="1175" w:type="pct"/>
                  <w:gridSpan w:val="3"/>
                  <w:noWrap w:val="0"/>
                  <w:vAlign w:val="center"/>
                </w:tcPr>
                <w:p w14:paraId="3D0E01F0">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4" w:rightChars="-10"/>
                    <w:jc w:val="center"/>
                    <w:textAlignment w:val="auto"/>
                    <w:rPr>
                      <w:rFonts w:hint="default"/>
                      <w:color w:val="auto"/>
                      <w:sz w:val="18"/>
                      <w:szCs w:val="18"/>
                      <w:highlight w:val="none"/>
                    </w:rPr>
                  </w:pPr>
                  <w:r>
                    <w:rPr>
                      <w:rFonts w:hint="default"/>
                      <w:color w:val="auto"/>
                      <w:sz w:val="18"/>
                      <w:szCs w:val="18"/>
                      <w:highlight w:val="none"/>
                    </w:rPr>
                    <w:t>0.021</w:t>
                  </w:r>
                </w:p>
              </w:tc>
              <w:tc>
                <w:tcPr>
                  <w:tcW w:w="1449" w:type="pct"/>
                  <w:gridSpan w:val="3"/>
                  <w:noWrap w:val="0"/>
                  <w:vAlign w:val="center"/>
                </w:tcPr>
                <w:p w14:paraId="3E20C88C">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2" w:rightChars="26"/>
                    <w:jc w:val="center"/>
                    <w:textAlignment w:val="auto"/>
                    <w:rPr>
                      <w:rFonts w:hint="default"/>
                      <w:color w:val="auto"/>
                      <w:sz w:val="18"/>
                      <w:szCs w:val="18"/>
                      <w:highlight w:val="none"/>
                    </w:rPr>
                  </w:pPr>
                  <w:r>
                    <w:rPr>
                      <w:rFonts w:hint="default"/>
                      <w:color w:val="auto"/>
                      <w:sz w:val="18"/>
                      <w:szCs w:val="18"/>
                      <w:highlight w:val="none"/>
                    </w:rPr>
                    <w:t>0.036</w:t>
                  </w:r>
                </w:p>
              </w:tc>
              <w:tc>
                <w:tcPr>
                  <w:tcW w:w="1050" w:type="pct"/>
                  <w:gridSpan w:val="3"/>
                  <w:noWrap w:val="0"/>
                  <w:vAlign w:val="center"/>
                </w:tcPr>
                <w:p w14:paraId="4049F0AC">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
                    <w:jc w:val="center"/>
                    <w:textAlignment w:val="auto"/>
                    <w:rPr>
                      <w:rFonts w:hint="default"/>
                      <w:color w:val="auto"/>
                      <w:sz w:val="18"/>
                      <w:szCs w:val="18"/>
                      <w:highlight w:val="none"/>
                    </w:rPr>
                  </w:pPr>
                  <w:r>
                    <w:rPr>
                      <w:rFonts w:hint="default"/>
                      <w:color w:val="auto"/>
                      <w:sz w:val="18"/>
                      <w:szCs w:val="18"/>
                      <w:highlight w:val="none"/>
                    </w:rPr>
                    <w:t>0.036</w:t>
                  </w:r>
                </w:p>
              </w:tc>
            </w:tr>
            <w:tr w14:paraId="643EEB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restart"/>
                  <w:noWrap w:val="0"/>
                  <w:vAlign w:val="center"/>
                </w:tcPr>
                <w:p w14:paraId="1FB9CE4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24" w:right="0"/>
                    <w:jc w:val="center"/>
                    <w:textAlignment w:val="auto"/>
                    <w:rPr>
                      <w:rFonts w:hint="default"/>
                      <w:color w:val="auto"/>
                      <w:sz w:val="18"/>
                      <w:szCs w:val="18"/>
                      <w:highlight w:val="none"/>
                    </w:rPr>
                  </w:pPr>
                  <w:r>
                    <w:rPr>
                      <w:rFonts w:hint="default"/>
                      <w:color w:val="auto"/>
                      <w:w w:val="99"/>
                      <w:sz w:val="18"/>
                      <w:szCs w:val="18"/>
                      <w:highlight w:val="none"/>
                    </w:rPr>
                    <w:t>C</w:t>
                  </w:r>
                </w:p>
              </w:tc>
              <w:tc>
                <w:tcPr>
                  <w:tcW w:w="871" w:type="pct"/>
                  <w:noWrap w:val="0"/>
                  <w:vAlign w:val="center"/>
                </w:tcPr>
                <w:p w14:paraId="061E74C5">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&lt;2</w:t>
                  </w:r>
                </w:p>
              </w:tc>
              <w:tc>
                <w:tcPr>
                  <w:tcW w:w="1175" w:type="pct"/>
                  <w:gridSpan w:val="3"/>
                  <w:noWrap w:val="0"/>
                  <w:vAlign w:val="center"/>
                </w:tcPr>
                <w:p w14:paraId="12C809E5">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4" w:rightChars="-10"/>
                    <w:jc w:val="center"/>
                    <w:textAlignment w:val="auto"/>
                    <w:rPr>
                      <w:rFonts w:hint="default"/>
                      <w:color w:val="auto"/>
                      <w:sz w:val="18"/>
                      <w:szCs w:val="18"/>
                      <w:highlight w:val="none"/>
                    </w:rPr>
                  </w:pPr>
                  <w:r>
                    <w:rPr>
                      <w:rFonts w:hint="default"/>
                      <w:color w:val="auto"/>
                      <w:sz w:val="18"/>
                      <w:szCs w:val="18"/>
                      <w:highlight w:val="none"/>
                    </w:rPr>
                    <w:t>1.85</w:t>
                  </w:r>
                </w:p>
              </w:tc>
              <w:tc>
                <w:tcPr>
                  <w:tcW w:w="1449" w:type="pct"/>
                  <w:gridSpan w:val="3"/>
                  <w:noWrap w:val="0"/>
                  <w:vAlign w:val="center"/>
                </w:tcPr>
                <w:p w14:paraId="5AE20877">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2" w:rightChars="26"/>
                    <w:jc w:val="center"/>
                    <w:textAlignment w:val="auto"/>
                    <w:rPr>
                      <w:rFonts w:hint="default"/>
                      <w:color w:val="auto"/>
                      <w:sz w:val="18"/>
                      <w:szCs w:val="18"/>
                      <w:highlight w:val="none"/>
                    </w:rPr>
                  </w:pPr>
                  <w:r>
                    <w:rPr>
                      <w:rFonts w:hint="default"/>
                      <w:color w:val="auto"/>
                      <w:sz w:val="18"/>
                      <w:szCs w:val="18"/>
                      <w:highlight w:val="none"/>
                    </w:rPr>
                    <w:t>1.79</w:t>
                  </w:r>
                </w:p>
              </w:tc>
              <w:tc>
                <w:tcPr>
                  <w:tcW w:w="1050" w:type="pct"/>
                  <w:gridSpan w:val="3"/>
                  <w:noWrap w:val="0"/>
                  <w:vAlign w:val="center"/>
                </w:tcPr>
                <w:p w14:paraId="648FC7E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
                    <w:jc w:val="center"/>
                    <w:textAlignment w:val="auto"/>
                    <w:rPr>
                      <w:rFonts w:hint="default"/>
                      <w:color w:val="auto"/>
                      <w:sz w:val="18"/>
                      <w:szCs w:val="18"/>
                      <w:highlight w:val="none"/>
                    </w:rPr>
                  </w:pPr>
                  <w:r>
                    <w:rPr>
                      <w:rFonts w:hint="default"/>
                      <w:color w:val="auto"/>
                      <w:sz w:val="18"/>
                      <w:szCs w:val="18"/>
                      <w:highlight w:val="none"/>
                    </w:rPr>
                    <w:t>1.79</w:t>
                  </w:r>
                </w:p>
              </w:tc>
            </w:tr>
            <w:tr w14:paraId="09EABE9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65AFC0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noWrap w:val="0"/>
                  <w:vAlign w:val="center"/>
                </w:tcPr>
                <w:p w14:paraId="6ED37B41">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&gt;2</w:t>
                  </w:r>
                </w:p>
              </w:tc>
              <w:tc>
                <w:tcPr>
                  <w:tcW w:w="1175" w:type="pct"/>
                  <w:gridSpan w:val="3"/>
                  <w:noWrap w:val="0"/>
                  <w:vAlign w:val="center"/>
                </w:tcPr>
                <w:p w14:paraId="66BEC1F5">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4" w:rightChars="-10"/>
                    <w:jc w:val="center"/>
                    <w:textAlignment w:val="auto"/>
                    <w:rPr>
                      <w:rFonts w:hint="default"/>
                      <w:color w:val="auto"/>
                      <w:sz w:val="18"/>
                      <w:szCs w:val="18"/>
                      <w:highlight w:val="none"/>
                    </w:rPr>
                  </w:pPr>
                  <w:r>
                    <w:rPr>
                      <w:rFonts w:hint="default"/>
                      <w:color w:val="auto"/>
                      <w:sz w:val="18"/>
                      <w:szCs w:val="18"/>
                      <w:highlight w:val="none"/>
                    </w:rPr>
                    <w:t>1.85</w:t>
                  </w:r>
                </w:p>
              </w:tc>
              <w:tc>
                <w:tcPr>
                  <w:tcW w:w="1449" w:type="pct"/>
                  <w:gridSpan w:val="3"/>
                  <w:noWrap w:val="0"/>
                  <w:vAlign w:val="center"/>
                </w:tcPr>
                <w:p w14:paraId="5DD1695F">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2" w:rightChars="26"/>
                    <w:jc w:val="center"/>
                    <w:textAlignment w:val="auto"/>
                    <w:rPr>
                      <w:rFonts w:hint="default"/>
                      <w:color w:val="auto"/>
                      <w:sz w:val="18"/>
                      <w:szCs w:val="18"/>
                      <w:highlight w:val="none"/>
                    </w:rPr>
                  </w:pPr>
                  <w:r>
                    <w:rPr>
                      <w:rFonts w:hint="default"/>
                      <w:color w:val="auto"/>
                      <w:sz w:val="18"/>
                      <w:szCs w:val="18"/>
                      <w:highlight w:val="none"/>
                    </w:rPr>
                    <w:t>1.77</w:t>
                  </w:r>
                </w:p>
              </w:tc>
              <w:tc>
                <w:tcPr>
                  <w:tcW w:w="1050" w:type="pct"/>
                  <w:gridSpan w:val="3"/>
                  <w:noWrap w:val="0"/>
                  <w:vAlign w:val="center"/>
                </w:tcPr>
                <w:p w14:paraId="6E523BE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
                    <w:jc w:val="center"/>
                    <w:textAlignment w:val="auto"/>
                    <w:rPr>
                      <w:rFonts w:hint="default"/>
                      <w:color w:val="auto"/>
                      <w:sz w:val="18"/>
                      <w:szCs w:val="18"/>
                      <w:highlight w:val="none"/>
                    </w:rPr>
                  </w:pPr>
                  <w:r>
                    <w:rPr>
                      <w:rFonts w:hint="default"/>
                      <w:color w:val="auto"/>
                      <w:sz w:val="18"/>
                      <w:szCs w:val="18"/>
                      <w:highlight w:val="none"/>
                    </w:rPr>
                    <w:t>1.77</w:t>
                  </w:r>
                </w:p>
              </w:tc>
            </w:tr>
            <w:tr w14:paraId="467209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restart"/>
                  <w:noWrap w:val="0"/>
                  <w:vAlign w:val="center"/>
                </w:tcPr>
                <w:p w14:paraId="7F2B04F1">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21" w:right="0"/>
                    <w:jc w:val="center"/>
                    <w:textAlignment w:val="auto"/>
                    <w:rPr>
                      <w:rFonts w:hint="default"/>
                      <w:color w:val="auto"/>
                      <w:sz w:val="18"/>
                      <w:szCs w:val="18"/>
                      <w:highlight w:val="none"/>
                    </w:rPr>
                  </w:pPr>
                  <w:r>
                    <w:rPr>
                      <w:rFonts w:hint="default"/>
                      <w:color w:val="auto"/>
                      <w:w w:val="99"/>
                      <w:sz w:val="18"/>
                      <w:szCs w:val="18"/>
                      <w:highlight w:val="none"/>
                    </w:rPr>
                    <w:t>D</w:t>
                  </w:r>
                </w:p>
              </w:tc>
              <w:tc>
                <w:tcPr>
                  <w:tcW w:w="871" w:type="pct"/>
                  <w:noWrap w:val="0"/>
                  <w:vAlign w:val="center"/>
                </w:tcPr>
                <w:p w14:paraId="546DD80D">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&lt;2</w:t>
                  </w:r>
                </w:p>
              </w:tc>
              <w:tc>
                <w:tcPr>
                  <w:tcW w:w="1175" w:type="pct"/>
                  <w:gridSpan w:val="3"/>
                  <w:noWrap w:val="0"/>
                  <w:vAlign w:val="center"/>
                </w:tcPr>
                <w:p w14:paraId="7B1C3E1A">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4" w:rightChars="-10"/>
                    <w:jc w:val="center"/>
                    <w:textAlignment w:val="auto"/>
                    <w:rPr>
                      <w:rFonts w:hint="default"/>
                      <w:color w:val="auto"/>
                      <w:sz w:val="18"/>
                      <w:szCs w:val="18"/>
                      <w:highlight w:val="none"/>
                    </w:rPr>
                  </w:pPr>
                  <w:r>
                    <w:rPr>
                      <w:rFonts w:hint="default"/>
                      <w:color w:val="auto"/>
                      <w:sz w:val="18"/>
                      <w:szCs w:val="18"/>
                      <w:highlight w:val="none"/>
                    </w:rPr>
                    <w:t>0.78</w:t>
                  </w:r>
                </w:p>
              </w:tc>
              <w:tc>
                <w:tcPr>
                  <w:tcW w:w="1449" w:type="pct"/>
                  <w:gridSpan w:val="3"/>
                  <w:noWrap w:val="0"/>
                  <w:vAlign w:val="center"/>
                </w:tcPr>
                <w:p w14:paraId="2FFDDBD7">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2" w:rightChars="26"/>
                    <w:jc w:val="center"/>
                    <w:textAlignment w:val="auto"/>
                    <w:rPr>
                      <w:rFonts w:hint="default"/>
                      <w:color w:val="auto"/>
                      <w:sz w:val="18"/>
                      <w:szCs w:val="18"/>
                      <w:highlight w:val="none"/>
                    </w:rPr>
                  </w:pPr>
                  <w:r>
                    <w:rPr>
                      <w:rFonts w:hint="default"/>
                      <w:color w:val="auto"/>
                      <w:sz w:val="18"/>
                      <w:szCs w:val="18"/>
                      <w:highlight w:val="none"/>
                    </w:rPr>
                    <w:t>0.78</w:t>
                  </w:r>
                </w:p>
              </w:tc>
              <w:tc>
                <w:tcPr>
                  <w:tcW w:w="1050" w:type="pct"/>
                  <w:gridSpan w:val="3"/>
                  <w:noWrap w:val="0"/>
                  <w:vAlign w:val="center"/>
                </w:tcPr>
                <w:p w14:paraId="03E5E4B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
                    <w:jc w:val="center"/>
                    <w:textAlignment w:val="auto"/>
                    <w:rPr>
                      <w:rFonts w:hint="default"/>
                      <w:color w:val="auto"/>
                      <w:sz w:val="18"/>
                      <w:szCs w:val="18"/>
                      <w:highlight w:val="none"/>
                    </w:rPr>
                  </w:pPr>
                  <w:r>
                    <w:rPr>
                      <w:rFonts w:hint="default"/>
                      <w:color w:val="auto"/>
                      <w:sz w:val="18"/>
                      <w:szCs w:val="18"/>
                      <w:highlight w:val="none"/>
                    </w:rPr>
                    <w:t>0.57</w:t>
                  </w:r>
                </w:p>
              </w:tc>
            </w:tr>
            <w:tr w14:paraId="1A08923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52" w:type="pct"/>
                  <w:vMerge w:val="continue"/>
                  <w:noWrap w:val="0"/>
                  <w:vAlign w:val="center"/>
                </w:tcPr>
                <w:p w14:paraId="340E23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40"/>
                    <w:jc w:val="center"/>
                    <w:textAlignment w:val="auto"/>
                    <w:rPr>
                      <w:rFonts w:hint="default"/>
                      <w:color w:val="auto"/>
                      <w:sz w:val="18"/>
                      <w:szCs w:val="18"/>
                      <w:highlight w:val="none"/>
                    </w:rPr>
                  </w:pPr>
                </w:p>
              </w:tc>
              <w:tc>
                <w:tcPr>
                  <w:tcW w:w="871" w:type="pct"/>
                  <w:noWrap w:val="0"/>
                  <w:vAlign w:val="center"/>
                </w:tcPr>
                <w:p w14:paraId="7A993F1C">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16"/>
                    <w:jc w:val="center"/>
                    <w:textAlignment w:val="auto"/>
                    <w:rPr>
                      <w:rFonts w:hint="default"/>
                      <w:color w:val="auto"/>
                      <w:sz w:val="18"/>
                      <w:szCs w:val="18"/>
                      <w:highlight w:val="none"/>
                    </w:rPr>
                  </w:pPr>
                  <w:r>
                    <w:rPr>
                      <w:rFonts w:hint="default"/>
                      <w:color w:val="auto"/>
                      <w:sz w:val="18"/>
                      <w:szCs w:val="18"/>
                      <w:highlight w:val="none"/>
                    </w:rPr>
                    <w:t>&gt;2</w:t>
                  </w:r>
                </w:p>
              </w:tc>
              <w:tc>
                <w:tcPr>
                  <w:tcW w:w="1175" w:type="pct"/>
                  <w:gridSpan w:val="3"/>
                  <w:noWrap w:val="0"/>
                  <w:vAlign w:val="center"/>
                </w:tcPr>
                <w:p w14:paraId="031FCFF4">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24" w:rightChars="-10"/>
                    <w:jc w:val="center"/>
                    <w:textAlignment w:val="auto"/>
                    <w:rPr>
                      <w:rFonts w:hint="default"/>
                      <w:color w:val="auto"/>
                      <w:sz w:val="18"/>
                      <w:szCs w:val="18"/>
                      <w:highlight w:val="none"/>
                    </w:rPr>
                  </w:pPr>
                  <w:r>
                    <w:rPr>
                      <w:rFonts w:hint="default"/>
                      <w:color w:val="auto"/>
                      <w:sz w:val="18"/>
                      <w:szCs w:val="18"/>
                      <w:highlight w:val="none"/>
                    </w:rPr>
                    <w:t>0.84</w:t>
                  </w:r>
                </w:p>
              </w:tc>
              <w:tc>
                <w:tcPr>
                  <w:tcW w:w="1449" w:type="pct"/>
                  <w:gridSpan w:val="3"/>
                  <w:noWrap w:val="0"/>
                  <w:vAlign w:val="center"/>
                </w:tcPr>
                <w:p w14:paraId="64CBF682">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2" w:rightChars="26"/>
                    <w:jc w:val="center"/>
                    <w:textAlignment w:val="auto"/>
                    <w:rPr>
                      <w:rFonts w:hint="default"/>
                      <w:color w:val="auto"/>
                      <w:sz w:val="18"/>
                      <w:szCs w:val="18"/>
                      <w:highlight w:val="none"/>
                    </w:rPr>
                  </w:pPr>
                  <w:r>
                    <w:rPr>
                      <w:rFonts w:hint="default"/>
                      <w:color w:val="auto"/>
                      <w:sz w:val="18"/>
                      <w:szCs w:val="18"/>
                      <w:highlight w:val="none"/>
                    </w:rPr>
                    <w:t>0.84</w:t>
                  </w:r>
                </w:p>
              </w:tc>
              <w:tc>
                <w:tcPr>
                  <w:tcW w:w="1050" w:type="pct"/>
                  <w:gridSpan w:val="3"/>
                  <w:noWrap w:val="0"/>
                  <w:vAlign w:val="center"/>
                </w:tcPr>
                <w:p w14:paraId="4509CC9B">
                  <w:pPr>
                    <w:pStyle w:val="8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6"/>
                    <w:jc w:val="center"/>
                    <w:textAlignment w:val="auto"/>
                    <w:rPr>
                      <w:rFonts w:hint="default"/>
                      <w:color w:val="auto"/>
                      <w:sz w:val="18"/>
                      <w:szCs w:val="18"/>
                      <w:highlight w:val="none"/>
                    </w:rPr>
                  </w:pPr>
                  <w:r>
                    <w:rPr>
                      <w:rFonts w:hint="default"/>
                      <w:color w:val="auto"/>
                      <w:sz w:val="18"/>
                      <w:szCs w:val="18"/>
                      <w:highlight w:val="none"/>
                    </w:rPr>
                    <w:t>0.76</w:t>
                  </w:r>
                </w:p>
              </w:tc>
            </w:tr>
            <w:tr w14:paraId="2E00D5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000" w:type="pct"/>
                  <w:gridSpan w:val="11"/>
                  <w:noWrap w:val="0"/>
                  <w:vAlign w:val="top"/>
                </w:tcPr>
                <w:p w14:paraId="161FF3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textAlignment w:val="auto"/>
                    <w:rPr>
                      <w:rFonts w:hint="default"/>
                      <w:color w:val="auto"/>
                      <w:sz w:val="18"/>
                      <w:szCs w:val="18"/>
                      <w:highlight w:val="none"/>
                    </w:rPr>
                  </w:pPr>
                  <w:r>
                    <w:rPr>
                      <w:rFonts w:hint="default"/>
                      <w:color w:val="auto"/>
                      <w:sz w:val="18"/>
                      <w:szCs w:val="18"/>
                      <w:highlight w:val="none"/>
                    </w:rPr>
                    <w:t>注:1）工业企业大气污染源构成分为三类</w:t>
                  </w:r>
                  <w:r>
                    <w:rPr>
                      <w:rFonts w:hint="eastAsia"/>
                      <w:color w:val="auto"/>
                      <w:sz w:val="18"/>
                      <w:szCs w:val="18"/>
                      <w:highlight w:val="none"/>
                    </w:rPr>
                    <w:t>：</w:t>
                  </w:r>
                </w:p>
                <w:p w14:paraId="152537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textAlignment w:val="auto"/>
                    <w:rPr>
                      <w:rFonts w:hint="eastAsia"/>
                      <w:color w:val="auto"/>
                      <w:sz w:val="18"/>
                      <w:szCs w:val="18"/>
                      <w:highlight w:val="none"/>
                    </w:rPr>
                  </w:pPr>
                  <w:r>
                    <w:rPr>
                      <w:rFonts w:hint="default"/>
                      <w:color w:val="auto"/>
                      <w:sz w:val="18"/>
                      <w:szCs w:val="18"/>
                      <w:highlight w:val="none"/>
                    </w:rPr>
                    <w:t>Ⅰ类：与无组织排放源共存的排放同种有害气体的排气筒的排放量，大于标准</w:t>
                  </w:r>
                  <w:r>
                    <w:rPr>
                      <w:rFonts w:hint="eastAsia"/>
                      <w:color w:val="auto"/>
                      <w:sz w:val="18"/>
                      <w:szCs w:val="18"/>
                      <w:highlight w:val="none"/>
                    </w:rPr>
                    <w:t>规</w:t>
                  </w:r>
                  <w:r>
                    <w:rPr>
                      <w:rFonts w:hint="default"/>
                      <w:color w:val="auto"/>
                      <w:sz w:val="18"/>
                      <w:szCs w:val="18"/>
                      <w:highlight w:val="none"/>
                    </w:rPr>
                    <w:t>定的允许排</w:t>
                  </w:r>
                  <w:r>
                    <w:rPr>
                      <w:rFonts w:hint="eastAsia"/>
                      <w:color w:val="auto"/>
                      <w:sz w:val="18"/>
                      <w:szCs w:val="18"/>
                      <w:highlight w:val="none"/>
                    </w:rPr>
                    <w:t>放量的三分之一者。</w:t>
                  </w:r>
                </w:p>
                <w:p w14:paraId="251825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textAlignment w:val="auto"/>
                    <w:rPr>
                      <w:rFonts w:hint="eastAsia"/>
                      <w:color w:val="auto"/>
                      <w:sz w:val="18"/>
                      <w:szCs w:val="18"/>
                      <w:highlight w:val="none"/>
                    </w:rPr>
                  </w:pPr>
                  <w:r>
                    <w:rPr>
                      <w:rFonts w:hint="default"/>
                      <w:color w:val="auto"/>
                      <w:sz w:val="18"/>
                      <w:szCs w:val="18"/>
                      <w:highlight w:val="none"/>
                    </w:rPr>
                    <w:t>Ⅱ</w:t>
                  </w:r>
                  <w:r>
                    <w:rPr>
                      <w:rFonts w:hint="eastAsia"/>
                      <w:color w:val="auto"/>
                      <w:sz w:val="18"/>
                      <w:szCs w:val="18"/>
                      <w:highlight w:val="none"/>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14:paraId="33DA30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textAlignment w:val="auto"/>
                    <w:rPr>
                      <w:rFonts w:hint="eastAsia"/>
                      <w:color w:val="auto"/>
                      <w:sz w:val="18"/>
                      <w:szCs w:val="18"/>
                      <w:highlight w:val="none"/>
                    </w:rPr>
                  </w:pPr>
                  <w:r>
                    <w:rPr>
                      <w:rFonts w:hint="default"/>
                      <w:color w:val="auto"/>
                      <w:sz w:val="18"/>
                      <w:szCs w:val="18"/>
                      <w:highlight w:val="none"/>
                    </w:rPr>
                    <w:t>Ⅲ</w:t>
                  </w:r>
                  <w:r>
                    <w:rPr>
                      <w:rFonts w:hint="eastAsia"/>
                      <w:color w:val="auto"/>
                      <w:sz w:val="18"/>
                      <w:szCs w:val="18"/>
                      <w:highlight w:val="none"/>
                    </w:rPr>
                    <w:t>类：无排放同种有害物质的排气筒与无组织排放源共存，且无组织排放的有害物质的容许浓度是按慢性反应指标确定者。</w:t>
                  </w:r>
                </w:p>
              </w:tc>
            </w:tr>
          </w:tbl>
          <w:p w14:paraId="437B99FF">
            <w:pPr>
              <w:wordWrap w:val="0"/>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按照《大气有害物质无组织排放卫生防护距离推导技术导则》（GB/T 39499-2020）中“当目标企业无组织排放存在多种有毒有害污染物时，基于单个污染物的等标排放量计算结果，优先选择等标排放量大的污染物为企业无组织排放的主要特征大气有害物质。当前两种污染物的等标排放量相差在10%以内时，需要同时选择这两种特征大气有害物质分别计算卫生防护距离初值。”</w:t>
            </w:r>
          </w:p>
          <w:p w14:paraId="08EF71A8">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项目各无组织排放源有害物质等标排放量计算结果</w:t>
            </w:r>
          </w:p>
          <w:tbl>
            <w:tblPr>
              <w:tblStyle w:val="103"/>
              <w:tblW w:w="4986"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6"/>
              <w:gridCol w:w="1408"/>
              <w:gridCol w:w="1563"/>
              <w:gridCol w:w="1594"/>
              <w:gridCol w:w="1432"/>
              <w:gridCol w:w="1449"/>
            </w:tblGrid>
            <w:tr w14:paraId="3AB5E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tcBorders>
                    <w:top w:val="single" w:color="auto" w:sz="12" w:space="0"/>
                    <w:left w:val="nil"/>
                    <w:bottom w:val="single" w:color="auto" w:sz="8" w:space="0"/>
                    <w:right w:val="single" w:color="auto" w:sz="8" w:space="0"/>
                  </w:tcBorders>
                  <w:vAlign w:val="center"/>
                </w:tcPr>
                <w:p w14:paraId="6AAD350D">
                  <w:pPr>
                    <w:pStyle w:val="81"/>
                    <w:keepNext w:val="0"/>
                    <w:keepLines w:val="0"/>
                    <w:suppressLineNumbers w:val="0"/>
                    <w:spacing w:before="0" w:beforeAutospacing="0" w:after="0" w:afterAutospacing="0"/>
                    <w:ind w:left="0" w:right="-16"/>
                    <w:jc w:val="center"/>
                    <w:rPr>
                      <w:rFonts w:hint="default" w:ascii="宋体" w:hAnsi="宋体" w:eastAsia="宋体" w:cs="宋体"/>
                      <w:b/>
                      <w:bCs/>
                      <w:color w:val="auto"/>
                      <w:sz w:val="18"/>
                      <w:szCs w:val="18"/>
                      <w:highlight w:val="none"/>
                    </w:rPr>
                  </w:pPr>
                  <w:r>
                    <w:rPr>
                      <w:rFonts w:hint="default" w:ascii="宋体" w:hAnsi="宋体" w:eastAsia="宋体" w:cs="宋体"/>
                      <w:b/>
                      <w:bCs/>
                      <w:color w:val="auto"/>
                      <w:sz w:val="18"/>
                      <w:szCs w:val="18"/>
                      <w:highlight w:val="none"/>
                    </w:rPr>
                    <w:t>排放源</w:t>
                  </w:r>
                </w:p>
              </w:tc>
              <w:tc>
                <w:tcPr>
                  <w:tcW w:w="815" w:type="pct"/>
                  <w:tcBorders>
                    <w:top w:val="single" w:color="auto" w:sz="12" w:space="0"/>
                    <w:left w:val="single" w:color="auto" w:sz="8" w:space="0"/>
                    <w:bottom w:val="single" w:color="auto" w:sz="8" w:space="0"/>
                    <w:right w:val="single" w:color="auto" w:sz="8" w:space="0"/>
                  </w:tcBorders>
                  <w:vAlign w:val="center"/>
                </w:tcPr>
                <w:p w14:paraId="0C60C2C9">
                  <w:pPr>
                    <w:pStyle w:val="81"/>
                    <w:keepNext w:val="0"/>
                    <w:keepLines w:val="0"/>
                    <w:suppressLineNumbers w:val="0"/>
                    <w:spacing w:before="0" w:beforeAutospacing="0" w:after="0" w:afterAutospacing="0"/>
                    <w:ind w:left="0" w:right="-16"/>
                    <w:jc w:val="center"/>
                    <w:rPr>
                      <w:rFonts w:hint="default" w:ascii="宋体" w:hAnsi="宋体" w:eastAsia="宋体" w:cs="宋体"/>
                      <w:b/>
                      <w:bCs/>
                      <w:color w:val="auto"/>
                      <w:sz w:val="18"/>
                      <w:szCs w:val="18"/>
                      <w:highlight w:val="none"/>
                    </w:rPr>
                  </w:pPr>
                  <w:r>
                    <w:rPr>
                      <w:rFonts w:hint="default" w:ascii="宋体" w:hAnsi="宋体" w:eastAsia="宋体" w:cs="宋体"/>
                      <w:b/>
                      <w:bCs/>
                      <w:color w:val="auto"/>
                      <w:sz w:val="18"/>
                      <w:szCs w:val="18"/>
                      <w:highlight w:val="none"/>
                    </w:rPr>
                    <w:t>污染因子</w:t>
                  </w:r>
                </w:p>
              </w:tc>
              <w:tc>
                <w:tcPr>
                  <w:tcW w:w="905" w:type="pct"/>
                  <w:tcBorders>
                    <w:top w:val="single" w:color="auto" w:sz="12" w:space="0"/>
                    <w:left w:val="single" w:color="auto" w:sz="8" w:space="0"/>
                    <w:bottom w:val="single" w:color="auto" w:sz="8" w:space="0"/>
                    <w:right w:val="single" w:color="auto" w:sz="8" w:space="0"/>
                  </w:tcBorders>
                  <w:vAlign w:val="center"/>
                </w:tcPr>
                <w:p w14:paraId="772AB48E">
                  <w:pPr>
                    <w:pStyle w:val="81"/>
                    <w:keepNext w:val="0"/>
                    <w:keepLines w:val="0"/>
                    <w:suppressLineNumbers w:val="0"/>
                    <w:spacing w:before="0" w:beforeAutospacing="0" w:after="0" w:afterAutospacing="0"/>
                    <w:ind w:left="0" w:right="-16"/>
                    <w:jc w:val="center"/>
                    <w:rPr>
                      <w:rFonts w:hint="default" w:ascii="宋体" w:hAnsi="宋体" w:eastAsia="宋体" w:cs="宋体"/>
                      <w:b/>
                      <w:bCs/>
                      <w:color w:val="auto"/>
                      <w:sz w:val="18"/>
                      <w:szCs w:val="18"/>
                      <w:highlight w:val="none"/>
                    </w:rPr>
                  </w:pPr>
                  <w:r>
                    <w:rPr>
                      <w:rFonts w:hint="default" w:ascii="宋体" w:hAnsi="宋体" w:eastAsia="宋体" w:cs="宋体"/>
                      <w:b/>
                      <w:bCs/>
                      <w:color w:val="auto"/>
                      <w:sz w:val="18"/>
                      <w:szCs w:val="18"/>
                      <w:highlight w:val="none"/>
                    </w:rPr>
                    <w:t>无组织排放源强Qc（kg/h）</w:t>
                  </w:r>
                </w:p>
              </w:tc>
              <w:tc>
                <w:tcPr>
                  <w:tcW w:w="923" w:type="pct"/>
                  <w:tcBorders>
                    <w:top w:val="single" w:color="auto" w:sz="12" w:space="0"/>
                    <w:left w:val="single" w:color="auto" w:sz="8" w:space="0"/>
                    <w:bottom w:val="single" w:color="auto" w:sz="8" w:space="0"/>
                    <w:right w:val="single" w:color="auto" w:sz="8" w:space="0"/>
                  </w:tcBorders>
                  <w:vAlign w:val="center"/>
                </w:tcPr>
                <w:p w14:paraId="6ACEAC32">
                  <w:pPr>
                    <w:pStyle w:val="81"/>
                    <w:keepNext w:val="0"/>
                    <w:keepLines w:val="0"/>
                    <w:suppressLineNumbers w:val="0"/>
                    <w:spacing w:before="0" w:beforeAutospacing="0" w:after="0" w:afterAutospacing="0"/>
                    <w:ind w:left="0" w:right="-16"/>
                    <w:jc w:val="center"/>
                    <w:rPr>
                      <w:rFonts w:hint="default" w:ascii="宋体" w:hAnsi="宋体" w:eastAsia="宋体" w:cs="宋体"/>
                      <w:b/>
                      <w:bCs/>
                      <w:color w:val="auto"/>
                      <w:sz w:val="18"/>
                      <w:szCs w:val="18"/>
                      <w:highlight w:val="none"/>
                    </w:rPr>
                  </w:pPr>
                  <w:r>
                    <w:rPr>
                      <w:rFonts w:hint="default" w:ascii="宋体" w:hAnsi="宋体" w:eastAsia="宋体" w:cs="宋体"/>
                      <w:b/>
                      <w:bCs/>
                      <w:color w:val="auto"/>
                      <w:sz w:val="18"/>
                      <w:szCs w:val="18"/>
                      <w:highlight w:val="none"/>
                    </w:rPr>
                    <w:t>标准限值Cm（mg/m3）</w:t>
                  </w:r>
                </w:p>
              </w:tc>
              <w:tc>
                <w:tcPr>
                  <w:tcW w:w="829" w:type="pct"/>
                  <w:tcBorders>
                    <w:top w:val="single" w:color="auto" w:sz="12" w:space="0"/>
                    <w:left w:val="single" w:color="auto" w:sz="8" w:space="0"/>
                    <w:bottom w:val="single" w:color="auto" w:sz="8" w:space="0"/>
                    <w:right w:val="single" w:color="auto" w:sz="8" w:space="0"/>
                  </w:tcBorders>
                  <w:vAlign w:val="center"/>
                </w:tcPr>
                <w:p w14:paraId="7BD0C6B2">
                  <w:pPr>
                    <w:pStyle w:val="81"/>
                    <w:keepNext w:val="0"/>
                    <w:keepLines w:val="0"/>
                    <w:suppressLineNumbers w:val="0"/>
                    <w:spacing w:before="0" w:beforeAutospacing="0" w:after="0" w:afterAutospacing="0"/>
                    <w:ind w:left="0" w:right="-16"/>
                    <w:jc w:val="center"/>
                    <w:rPr>
                      <w:rFonts w:hint="default" w:ascii="宋体" w:hAnsi="宋体" w:eastAsia="宋体" w:cs="宋体"/>
                      <w:b/>
                      <w:bCs/>
                      <w:color w:val="auto"/>
                      <w:sz w:val="18"/>
                      <w:szCs w:val="18"/>
                      <w:highlight w:val="none"/>
                    </w:rPr>
                  </w:pPr>
                  <w:r>
                    <w:rPr>
                      <w:rFonts w:hint="default" w:ascii="宋体" w:hAnsi="宋体" w:eastAsia="宋体" w:cs="宋体"/>
                      <w:b/>
                      <w:bCs/>
                      <w:color w:val="auto"/>
                      <w:sz w:val="18"/>
                      <w:szCs w:val="18"/>
                      <w:highlight w:val="none"/>
                    </w:rPr>
                    <w:t>等标排放量（Qc/cm）</w:t>
                  </w:r>
                </w:p>
              </w:tc>
              <w:tc>
                <w:tcPr>
                  <w:tcW w:w="839" w:type="pct"/>
                  <w:tcBorders>
                    <w:top w:val="single" w:color="auto" w:sz="12" w:space="0"/>
                    <w:left w:val="single" w:color="auto" w:sz="8" w:space="0"/>
                    <w:bottom w:val="single" w:color="auto" w:sz="8" w:space="0"/>
                    <w:right w:val="nil"/>
                  </w:tcBorders>
                  <w:vAlign w:val="center"/>
                </w:tcPr>
                <w:p w14:paraId="0D27945B">
                  <w:pPr>
                    <w:jc w:val="center"/>
                    <w:rPr>
                      <w:b/>
                      <w:bCs/>
                      <w:color w:val="auto"/>
                      <w:sz w:val="18"/>
                      <w:szCs w:val="18"/>
                      <w:highlight w:val="none"/>
                    </w:rPr>
                  </w:pPr>
                  <w:r>
                    <w:rPr>
                      <w:b/>
                      <w:bCs/>
                      <w:color w:val="auto"/>
                      <w:sz w:val="18"/>
                      <w:szCs w:val="18"/>
                      <w:highlight w:val="none"/>
                    </w:rPr>
                    <w:t>有害物质选取</w:t>
                  </w:r>
                </w:p>
              </w:tc>
            </w:tr>
            <w:tr w14:paraId="4FC792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restart"/>
                  <w:tcBorders>
                    <w:top w:val="single" w:color="auto" w:sz="8" w:space="0"/>
                    <w:left w:val="nil"/>
                    <w:bottom w:val="single" w:color="auto" w:sz="8" w:space="0"/>
                    <w:right w:val="single" w:color="auto" w:sz="8" w:space="0"/>
                  </w:tcBorders>
                  <w:vAlign w:val="center"/>
                </w:tcPr>
                <w:p w14:paraId="537968D0">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r>
                    <w:rPr>
                      <w:rFonts w:hint="default" w:ascii="宋体" w:hAnsi="宋体" w:eastAsia="宋体" w:cs="宋体"/>
                      <w:color w:val="auto"/>
                      <w:sz w:val="18"/>
                      <w:szCs w:val="18"/>
                      <w:highlight w:val="none"/>
                    </w:rPr>
                    <w:t>待宰区</w:t>
                  </w:r>
                </w:p>
              </w:tc>
              <w:tc>
                <w:tcPr>
                  <w:tcW w:w="815" w:type="pct"/>
                  <w:tcBorders>
                    <w:top w:val="single" w:color="auto" w:sz="8" w:space="0"/>
                    <w:left w:val="single" w:color="auto" w:sz="8" w:space="0"/>
                    <w:bottom w:val="single" w:color="auto" w:sz="8" w:space="0"/>
                    <w:right w:val="single" w:color="auto" w:sz="8" w:space="0"/>
                  </w:tcBorders>
                  <w:vAlign w:val="center"/>
                </w:tcPr>
                <w:p w14:paraId="2EB811AF">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NH</w:t>
                  </w:r>
                  <w:r>
                    <w:rPr>
                      <w:rFonts w:hint="default" w:ascii="Times New Roman" w:hAnsi="Times New Roman" w:eastAsia="宋体" w:cs="Times New Roman"/>
                      <w:color w:val="auto"/>
                      <w:sz w:val="18"/>
                      <w:szCs w:val="18"/>
                      <w:highlight w:val="none"/>
                      <w:vertAlign w:val="subscript"/>
                    </w:rPr>
                    <w:t>3</w:t>
                  </w:r>
                </w:p>
              </w:tc>
              <w:tc>
                <w:tcPr>
                  <w:tcW w:w="905" w:type="pct"/>
                  <w:tcBorders>
                    <w:top w:val="single" w:color="auto" w:sz="8" w:space="0"/>
                    <w:left w:val="single" w:color="auto" w:sz="8" w:space="0"/>
                    <w:bottom w:val="single" w:color="auto" w:sz="8" w:space="0"/>
                    <w:right w:val="single" w:color="auto" w:sz="8" w:space="0"/>
                  </w:tcBorders>
                  <w:vAlign w:val="center"/>
                </w:tcPr>
                <w:p w14:paraId="11994726">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0.00108</w:t>
                  </w:r>
                </w:p>
              </w:tc>
              <w:tc>
                <w:tcPr>
                  <w:tcW w:w="923" w:type="pct"/>
                  <w:tcBorders>
                    <w:top w:val="single" w:color="auto" w:sz="8" w:space="0"/>
                    <w:left w:val="single" w:color="auto" w:sz="8" w:space="0"/>
                    <w:bottom w:val="single" w:color="auto" w:sz="8" w:space="0"/>
                    <w:right w:val="single" w:color="auto" w:sz="8" w:space="0"/>
                  </w:tcBorders>
                  <w:vAlign w:val="center"/>
                </w:tcPr>
                <w:p w14:paraId="46CC11D9">
                  <w:pPr>
                    <w:keepNext w:val="0"/>
                    <w:keepLines w:val="0"/>
                    <w:widowControl/>
                    <w:suppressLineNumbers w:val="0"/>
                    <w:jc w:val="center"/>
                    <w:textAlignment w:val="center"/>
                    <w:rPr>
                      <w:rFonts w:hint="default" w:ascii="Times New Roman" w:hAnsi="Times New Roman" w:eastAsia="宋体" w:cs="Times New Roman"/>
                      <w:color w:val="auto"/>
                      <w:sz w:val="18"/>
                      <w:szCs w:val="18"/>
                      <w:highlight w:val="none"/>
                    </w:rPr>
                  </w:pPr>
                  <w:r>
                    <w:rPr>
                      <w:rFonts w:hint="eastAsia" w:ascii="宋体" w:hAnsi="宋体" w:eastAsia="宋体" w:cs="宋体"/>
                      <w:i w:val="0"/>
                      <w:iCs w:val="0"/>
                      <w:color w:val="auto"/>
                      <w:kern w:val="0"/>
                      <w:sz w:val="18"/>
                      <w:szCs w:val="18"/>
                      <w:highlight w:val="none"/>
                      <w:u w:val="none"/>
                      <w:lang w:val="en-US" w:eastAsia="zh-CN" w:bidi="ar"/>
                    </w:rPr>
                    <w:t>0.2</w:t>
                  </w:r>
                </w:p>
              </w:tc>
              <w:tc>
                <w:tcPr>
                  <w:tcW w:w="829" w:type="pct"/>
                  <w:tcBorders>
                    <w:top w:val="single" w:color="auto" w:sz="8" w:space="0"/>
                    <w:left w:val="single" w:color="auto" w:sz="8" w:space="0"/>
                    <w:bottom w:val="single" w:color="auto" w:sz="8" w:space="0"/>
                    <w:right w:val="single" w:color="auto" w:sz="8" w:space="0"/>
                  </w:tcBorders>
                  <w:vAlign w:val="center"/>
                </w:tcPr>
                <w:p w14:paraId="5678AD5E">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0.00540</w:t>
                  </w:r>
                </w:p>
              </w:tc>
              <w:tc>
                <w:tcPr>
                  <w:tcW w:w="839" w:type="pct"/>
                  <w:vMerge w:val="restart"/>
                  <w:tcBorders>
                    <w:top w:val="single" w:color="auto" w:sz="8" w:space="0"/>
                    <w:left w:val="single" w:color="auto" w:sz="8" w:space="0"/>
                    <w:bottom w:val="single" w:color="auto" w:sz="8" w:space="0"/>
                    <w:right w:val="nil"/>
                  </w:tcBorders>
                  <w:vAlign w:val="center"/>
                </w:tcPr>
                <w:p w14:paraId="470DAE46">
                  <w:pPr>
                    <w:jc w:val="center"/>
                    <w:rPr>
                      <w:rFonts w:hint="default" w:eastAsia="宋体"/>
                      <w:color w:val="auto"/>
                      <w:sz w:val="18"/>
                      <w:szCs w:val="18"/>
                      <w:highlight w:val="none"/>
                      <w:lang w:val="en-US" w:eastAsia="zh-CN"/>
                    </w:rPr>
                  </w:pPr>
                  <w:r>
                    <w:rPr>
                      <w:rFonts w:hint="eastAsia" w:cs="Times New Roman"/>
                      <w:color w:val="auto"/>
                      <w:sz w:val="18"/>
                      <w:szCs w:val="18"/>
                      <w:highlight w:val="none"/>
                      <w:lang w:val="en-US" w:eastAsia="zh-CN"/>
                    </w:rPr>
                    <w:t>H</w:t>
                  </w:r>
                  <w:r>
                    <w:rPr>
                      <w:rFonts w:hint="eastAsia" w:cs="Times New Roman"/>
                      <w:color w:val="auto"/>
                      <w:sz w:val="18"/>
                      <w:szCs w:val="18"/>
                      <w:highlight w:val="none"/>
                      <w:vertAlign w:val="subscript"/>
                      <w:lang w:val="en-US" w:eastAsia="zh-CN"/>
                    </w:rPr>
                    <w:t>2</w:t>
                  </w:r>
                  <w:r>
                    <w:rPr>
                      <w:rFonts w:hint="eastAsia" w:cs="Times New Roman"/>
                      <w:color w:val="auto"/>
                      <w:sz w:val="18"/>
                      <w:szCs w:val="18"/>
                      <w:highlight w:val="none"/>
                      <w:lang w:val="en-US" w:eastAsia="zh-CN"/>
                    </w:rPr>
                    <w:t>S</w:t>
                  </w:r>
                </w:p>
              </w:tc>
            </w:tr>
            <w:tr w14:paraId="18A35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continue"/>
                  <w:tcBorders>
                    <w:top w:val="single" w:color="auto" w:sz="8" w:space="0"/>
                    <w:left w:val="nil"/>
                    <w:bottom w:val="single" w:color="auto" w:sz="8" w:space="0"/>
                    <w:right w:val="single" w:color="auto" w:sz="8" w:space="0"/>
                  </w:tcBorders>
                  <w:vAlign w:val="center"/>
                </w:tcPr>
                <w:p w14:paraId="34AC5289">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p>
              </w:tc>
              <w:tc>
                <w:tcPr>
                  <w:tcW w:w="815" w:type="pct"/>
                  <w:tcBorders>
                    <w:top w:val="single" w:color="auto" w:sz="8" w:space="0"/>
                    <w:left w:val="single" w:color="auto" w:sz="8" w:space="0"/>
                    <w:bottom w:val="single" w:color="auto" w:sz="8" w:space="0"/>
                    <w:right w:val="single" w:color="auto" w:sz="8" w:space="0"/>
                  </w:tcBorders>
                  <w:vAlign w:val="center"/>
                </w:tcPr>
                <w:p w14:paraId="6B3044A1">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H</w:t>
                  </w:r>
                  <w:r>
                    <w:rPr>
                      <w:rFonts w:hint="default" w:ascii="Times New Roman" w:hAnsi="Times New Roman" w:eastAsia="宋体" w:cs="Times New Roman"/>
                      <w:color w:val="auto"/>
                      <w:sz w:val="18"/>
                      <w:szCs w:val="18"/>
                      <w:highlight w:val="none"/>
                      <w:vertAlign w:val="subscript"/>
                    </w:rPr>
                    <w:t>2</w:t>
                  </w:r>
                  <w:r>
                    <w:rPr>
                      <w:rFonts w:hint="default" w:ascii="Times New Roman" w:hAnsi="Times New Roman" w:eastAsia="宋体" w:cs="Times New Roman"/>
                      <w:color w:val="auto"/>
                      <w:sz w:val="18"/>
                      <w:szCs w:val="18"/>
                      <w:highlight w:val="none"/>
                    </w:rPr>
                    <w:t>S</w:t>
                  </w:r>
                </w:p>
              </w:tc>
              <w:tc>
                <w:tcPr>
                  <w:tcW w:w="905" w:type="pct"/>
                  <w:tcBorders>
                    <w:top w:val="single" w:color="auto" w:sz="8" w:space="0"/>
                    <w:left w:val="single" w:color="auto" w:sz="8" w:space="0"/>
                    <w:bottom w:val="single" w:color="auto" w:sz="8" w:space="0"/>
                    <w:right w:val="single" w:color="auto" w:sz="8" w:space="0"/>
                  </w:tcBorders>
                  <w:vAlign w:val="center"/>
                </w:tcPr>
                <w:p w14:paraId="7AEB1470">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0.00008</w:t>
                  </w:r>
                </w:p>
              </w:tc>
              <w:tc>
                <w:tcPr>
                  <w:tcW w:w="923" w:type="pct"/>
                  <w:tcBorders>
                    <w:top w:val="single" w:color="auto" w:sz="8" w:space="0"/>
                    <w:left w:val="single" w:color="auto" w:sz="8" w:space="0"/>
                    <w:bottom w:val="single" w:color="auto" w:sz="8" w:space="0"/>
                    <w:right w:val="single" w:color="auto" w:sz="8" w:space="0"/>
                  </w:tcBorders>
                  <w:vAlign w:val="center"/>
                </w:tcPr>
                <w:p w14:paraId="13C64C2A">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0.01</w:t>
                  </w:r>
                </w:p>
              </w:tc>
              <w:tc>
                <w:tcPr>
                  <w:tcW w:w="829" w:type="pct"/>
                  <w:tcBorders>
                    <w:top w:val="single" w:color="auto" w:sz="8" w:space="0"/>
                    <w:left w:val="single" w:color="auto" w:sz="8" w:space="0"/>
                    <w:bottom w:val="single" w:color="auto" w:sz="8" w:space="0"/>
                    <w:right w:val="single" w:color="auto" w:sz="8" w:space="0"/>
                  </w:tcBorders>
                  <w:vAlign w:val="center"/>
                </w:tcPr>
                <w:p w14:paraId="70CE1481">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0.00800</w:t>
                  </w:r>
                </w:p>
              </w:tc>
              <w:tc>
                <w:tcPr>
                  <w:tcW w:w="839" w:type="pct"/>
                  <w:vMerge w:val="continue"/>
                  <w:tcBorders>
                    <w:top w:val="single" w:color="auto" w:sz="8" w:space="0"/>
                    <w:left w:val="single" w:color="auto" w:sz="8" w:space="0"/>
                    <w:bottom w:val="single" w:color="auto" w:sz="8" w:space="0"/>
                    <w:right w:val="nil"/>
                  </w:tcBorders>
                  <w:vAlign w:val="center"/>
                </w:tcPr>
                <w:p w14:paraId="1780FCC2">
                  <w:pPr>
                    <w:jc w:val="center"/>
                    <w:rPr>
                      <w:color w:val="auto"/>
                      <w:sz w:val="18"/>
                      <w:szCs w:val="18"/>
                      <w:highlight w:val="none"/>
                    </w:rPr>
                  </w:pPr>
                </w:p>
              </w:tc>
            </w:tr>
            <w:tr w14:paraId="31B802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restart"/>
                  <w:tcBorders>
                    <w:top w:val="single" w:color="auto" w:sz="8" w:space="0"/>
                    <w:left w:val="nil"/>
                    <w:bottom w:val="single" w:color="auto" w:sz="8" w:space="0"/>
                    <w:right w:val="single" w:color="auto" w:sz="8" w:space="0"/>
                  </w:tcBorders>
                  <w:vAlign w:val="center"/>
                </w:tcPr>
                <w:p w14:paraId="40B2BA0E">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r>
                    <w:rPr>
                      <w:rFonts w:hint="default" w:ascii="宋体" w:hAnsi="宋体" w:eastAsia="宋体" w:cs="宋体"/>
                      <w:color w:val="auto"/>
                      <w:sz w:val="18"/>
                      <w:szCs w:val="18"/>
                      <w:highlight w:val="none"/>
                    </w:rPr>
                    <w:t>屠宰区</w:t>
                  </w:r>
                </w:p>
              </w:tc>
              <w:tc>
                <w:tcPr>
                  <w:tcW w:w="815" w:type="pct"/>
                  <w:tcBorders>
                    <w:top w:val="single" w:color="auto" w:sz="8" w:space="0"/>
                    <w:left w:val="single" w:color="auto" w:sz="8" w:space="0"/>
                    <w:bottom w:val="single" w:color="auto" w:sz="8" w:space="0"/>
                    <w:right w:val="single" w:color="auto" w:sz="8" w:space="0"/>
                  </w:tcBorders>
                  <w:vAlign w:val="center"/>
                </w:tcPr>
                <w:p w14:paraId="3004F15D">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NH</w:t>
                  </w:r>
                  <w:r>
                    <w:rPr>
                      <w:rFonts w:hint="default" w:ascii="Times New Roman" w:hAnsi="Times New Roman" w:eastAsia="宋体" w:cs="Times New Roman"/>
                      <w:color w:val="auto"/>
                      <w:sz w:val="18"/>
                      <w:szCs w:val="18"/>
                      <w:highlight w:val="none"/>
                      <w:vertAlign w:val="subscript"/>
                    </w:rPr>
                    <w:t>3</w:t>
                  </w:r>
                </w:p>
              </w:tc>
              <w:tc>
                <w:tcPr>
                  <w:tcW w:w="905" w:type="pct"/>
                  <w:tcBorders>
                    <w:top w:val="single" w:color="auto" w:sz="8" w:space="0"/>
                    <w:left w:val="single" w:color="auto" w:sz="8" w:space="0"/>
                    <w:bottom w:val="single" w:color="auto" w:sz="8" w:space="0"/>
                    <w:right w:val="single" w:color="auto" w:sz="8" w:space="0"/>
                  </w:tcBorders>
                  <w:vAlign w:val="center"/>
                </w:tcPr>
                <w:p w14:paraId="4FB733E4">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w:t>
                  </w:r>
                  <w:r>
                    <w:rPr>
                      <w:rFonts w:hint="eastAsia" w:ascii="Times New Roman" w:hAnsi="Times New Roman" w:cs="Times New Roman"/>
                      <w:color w:val="auto"/>
                      <w:sz w:val="18"/>
                      <w:szCs w:val="18"/>
                      <w:highlight w:val="none"/>
                      <w:lang w:val="en-US" w:eastAsia="zh-CN"/>
                    </w:rPr>
                    <w:t>7</w:t>
                  </w:r>
                </w:p>
              </w:tc>
              <w:tc>
                <w:tcPr>
                  <w:tcW w:w="923" w:type="pct"/>
                  <w:tcBorders>
                    <w:top w:val="single" w:color="auto" w:sz="8" w:space="0"/>
                    <w:left w:val="single" w:color="auto" w:sz="8" w:space="0"/>
                    <w:bottom w:val="single" w:color="auto" w:sz="8" w:space="0"/>
                    <w:right w:val="single" w:color="auto" w:sz="8" w:space="0"/>
                  </w:tcBorders>
                  <w:vAlign w:val="center"/>
                </w:tcPr>
                <w:p w14:paraId="35A2E39F">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0.2</w:t>
                  </w:r>
                </w:p>
              </w:tc>
              <w:tc>
                <w:tcPr>
                  <w:tcW w:w="829" w:type="pct"/>
                  <w:tcBorders>
                    <w:top w:val="single" w:color="auto" w:sz="8" w:space="0"/>
                    <w:left w:val="single" w:color="auto" w:sz="8" w:space="0"/>
                    <w:bottom w:val="single" w:color="auto" w:sz="8" w:space="0"/>
                    <w:right w:val="single" w:color="auto" w:sz="8" w:space="0"/>
                  </w:tcBorders>
                  <w:vAlign w:val="center"/>
                </w:tcPr>
                <w:p w14:paraId="01003527">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0.03500</w:t>
                  </w:r>
                </w:p>
              </w:tc>
              <w:tc>
                <w:tcPr>
                  <w:tcW w:w="839" w:type="pct"/>
                  <w:vMerge w:val="restart"/>
                  <w:tcBorders>
                    <w:top w:val="single" w:color="auto" w:sz="8" w:space="0"/>
                    <w:left w:val="single" w:color="auto" w:sz="8" w:space="0"/>
                    <w:bottom w:val="single" w:color="auto" w:sz="8" w:space="0"/>
                    <w:right w:val="nil"/>
                  </w:tcBorders>
                  <w:vAlign w:val="center"/>
                </w:tcPr>
                <w:p w14:paraId="32EE5DD9">
                  <w:pPr>
                    <w:jc w:val="center"/>
                    <w:rPr>
                      <w:color w:val="auto"/>
                      <w:sz w:val="18"/>
                      <w:szCs w:val="18"/>
                      <w:highlight w:val="none"/>
                    </w:rPr>
                  </w:pPr>
                  <w:r>
                    <w:rPr>
                      <w:rFonts w:hint="default" w:ascii="Times New Roman" w:hAnsi="Times New Roman" w:eastAsia="宋体" w:cs="Times New Roman"/>
                      <w:color w:val="auto"/>
                      <w:sz w:val="18"/>
                      <w:szCs w:val="18"/>
                      <w:highlight w:val="none"/>
                    </w:rPr>
                    <w:t>NH</w:t>
                  </w:r>
                  <w:r>
                    <w:rPr>
                      <w:rFonts w:hint="default" w:ascii="Times New Roman" w:hAnsi="Times New Roman" w:eastAsia="宋体" w:cs="Times New Roman"/>
                      <w:color w:val="auto"/>
                      <w:sz w:val="18"/>
                      <w:szCs w:val="18"/>
                      <w:highlight w:val="none"/>
                      <w:vertAlign w:val="subscript"/>
                    </w:rPr>
                    <w:t>3</w:t>
                  </w:r>
                </w:p>
              </w:tc>
            </w:tr>
            <w:tr w14:paraId="4A0E34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continue"/>
                  <w:tcBorders>
                    <w:top w:val="single" w:color="auto" w:sz="8" w:space="0"/>
                    <w:left w:val="nil"/>
                    <w:bottom w:val="single" w:color="auto" w:sz="8" w:space="0"/>
                    <w:right w:val="single" w:color="auto" w:sz="8" w:space="0"/>
                  </w:tcBorders>
                  <w:vAlign w:val="center"/>
                </w:tcPr>
                <w:p w14:paraId="2441629C">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p>
              </w:tc>
              <w:tc>
                <w:tcPr>
                  <w:tcW w:w="815" w:type="pct"/>
                  <w:tcBorders>
                    <w:top w:val="single" w:color="auto" w:sz="8" w:space="0"/>
                    <w:left w:val="single" w:color="auto" w:sz="8" w:space="0"/>
                    <w:bottom w:val="single" w:color="auto" w:sz="8" w:space="0"/>
                    <w:right w:val="single" w:color="auto" w:sz="8" w:space="0"/>
                  </w:tcBorders>
                  <w:vAlign w:val="center"/>
                </w:tcPr>
                <w:p w14:paraId="3F41EC36">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H</w:t>
                  </w:r>
                  <w:r>
                    <w:rPr>
                      <w:rFonts w:hint="default" w:ascii="Times New Roman" w:hAnsi="Times New Roman" w:eastAsia="宋体" w:cs="Times New Roman"/>
                      <w:color w:val="auto"/>
                      <w:sz w:val="18"/>
                      <w:szCs w:val="18"/>
                      <w:highlight w:val="none"/>
                      <w:vertAlign w:val="subscript"/>
                    </w:rPr>
                    <w:t>2</w:t>
                  </w:r>
                  <w:r>
                    <w:rPr>
                      <w:rFonts w:hint="default" w:ascii="Times New Roman" w:hAnsi="Times New Roman" w:eastAsia="宋体" w:cs="Times New Roman"/>
                      <w:color w:val="auto"/>
                      <w:sz w:val="18"/>
                      <w:szCs w:val="18"/>
                      <w:highlight w:val="none"/>
                    </w:rPr>
                    <w:t>S</w:t>
                  </w:r>
                </w:p>
              </w:tc>
              <w:tc>
                <w:tcPr>
                  <w:tcW w:w="905" w:type="pct"/>
                  <w:tcBorders>
                    <w:top w:val="single" w:color="auto" w:sz="8" w:space="0"/>
                    <w:left w:val="single" w:color="auto" w:sz="8" w:space="0"/>
                    <w:bottom w:val="single" w:color="auto" w:sz="8" w:space="0"/>
                    <w:right w:val="single" w:color="auto" w:sz="8" w:space="0"/>
                  </w:tcBorders>
                  <w:vAlign w:val="center"/>
                </w:tcPr>
                <w:p w14:paraId="74718262">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0.000</w:t>
                  </w:r>
                  <w:r>
                    <w:rPr>
                      <w:rFonts w:hint="eastAsia" w:ascii="Times New Roman" w:hAnsi="Times New Roman" w:cs="Times New Roman"/>
                      <w:color w:val="auto"/>
                      <w:sz w:val="18"/>
                      <w:szCs w:val="18"/>
                      <w:highlight w:val="none"/>
                      <w:lang w:val="en-US" w:eastAsia="zh-CN"/>
                    </w:rPr>
                    <w:t>15</w:t>
                  </w:r>
                </w:p>
              </w:tc>
              <w:tc>
                <w:tcPr>
                  <w:tcW w:w="923" w:type="pct"/>
                  <w:tcBorders>
                    <w:top w:val="single" w:color="auto" w:sz="8" w:space="0"/>
                    <w:left w:val="single" w:color="auto" w:sz="8" w:space="0"/>
                    <w:bottom w:val="single" w:color="auto" w:sz="8" w:space="0"/>
                    <w:right w:val="single" w:color="auto" w:sz="8" w:space="0"/>
                  </w:tcBorders>
                  <w:vAlign w:val="center"/>
                </w:tcPr>
                <w:p w14:paraId="1094E0A7">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0.01</w:t>
                  </w:r>
                </w:p>
              </w:tc>
              <w:tc>
                <w:tcPr>
                  <w:tcW w:w="829" w:type="pct"/>
                  <w:tcBorders>
                    <w:top w:val="single" w:color="auto" w:sz="8" w:space="0"/>
                    <w:left w:val="single" w:color="auto" w:sz="8" w:space="0"/>
                    <w:bottom w:val="single" w:color="auto" w:sz="8" w:space="0"/>
                    <w:right w:val="single" w:color="auto" w:sz="8" w:space="0"/>
                  </w:tcBorders>
                  <w:vAlign w:val="center"/>
                </w:tcPr>
                <w:p w14:paraId="356F5067">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0.01500</w:t>
                  </w:r>
                </w:p>
              </w:tc>
              <w:tc>
                <w:tcPr>
                  <w:tcW w:w="839" w:type="pct"/>
                  <w:vMerge w:val="continue"/>
                  <w:tcBorders>
                    <w:top w:val="single" w:color="auto" w:sz="8" w:space="0"/>
                    <w:left w:val="single" w:color="auto" w:sz="8" w:space="0"/>
                    <w:bottom w:val="single" w:color="auto" w:sz="8" w:space="0"/>
                    <w:right w:val="nil"/>
                  </w:tcBorders>
                  <w:vAlign w:val="center"/>
                </w:tcPr>
                <w:p w14:paraId="605D0ECA">
                  <w:pPr>
                    <w:jc w:val="center"/>
                    <w:rPr>
                      <w:color w:val="auto"/>
                      <w:sz w:val="18"/>
                      <w:szCs w:val="18"/>
                      <w:highlight w:val="none"/>
                    </w:rPr>
                  </w:pPr>
                </w:p>
              </w:tc>
            </w:tr>
            <w:tr w14:paraId="1DA73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restart"/>
                  <w:tcBorders>
                    <w:top w:val="single" w:color="auto" w:sz="8" w:space="0"/>
                    <w:left w:val="nil"/>
                    <w:bottom w:val="single" w:color="auto" w:sz="8" w:space="0"/>
                    <w:right w:val="single" w:color="auto" w:sz="8" w:space="0"/>
                  </w:tcBorders>
                  <w:vAlign w:val="center"/>
                </w:tcPr>
                <w:p w14:paraId="732C3910">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r>
                    <w:rPr>
                      <w:rFonts w:hint="default" w:ascii="宋体" w:hAnsi="宋体" w:eastAsia="宋体" w:cs="宋体"/>
                      <w:color w:val="auto"/>
                      <w:sz w:val="18"/>
                      <w:szCs w:val="18"/>
                      <w:highlight w:val="none"/>
                    </w:rPr>
                    <w:t>污水处理站</w:t>
                  </w:r>
                </w:p>
              </w:tc>
              <w:tc>
                <w:tcPr>
                  <w:tcW w:w="815" w:type="pct"/>
                  <w:tcBorders>
                    <w:top w:val="single" w:color="auto" w:sz="8" w:space="0"/>
                    <w:left w:val="single" w:color="auto" w:sz="8" w:space="0"/>
                    <w:bottom w:val="single" w:color="auto" w:sz="8" w:space="0"/>
                    <w:right w:val="single" w:color="auto" w:sz="8" w:space="0"/>
                  </w:tcBorders>
                  <w:vAlign w:val="center"/>
                </w:tcPr>
                <w:p w14:paraId="4A932F8B">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NH</w:t>
                  </w:r>
                  <w:r>
                    <w:rPr>
                      <w:rFonts w:hint="default" w:ascii="Times New Roman" w:hAnsi="Times New Roman" w:eastAsia="宋体" w:cs="Times New Roman"/>
                      <w:color w:val="auto"/>
                      <w:sz w:val="18"/>
                      <w:szCs w:val="18"/>
                      <w:highlight w:val="none"/>
                      <w:vertAlign w:val="subscript"/>
                    </w:rPr>
                    <w:t>3</w:t>
                  </w:r>
                </w:p>
              </w:tc>
              <w:tc>
                <w:tcPr>
                  <w:tcW w:w="905" w:type="pct"/>
                  <w:tcBorders>
                    <w:top w:val="single" w:color="auto" w:sz="8" w:space="0"/>
                    <w:left w:val="single" w:color="auto" w:sz="8" w:space="0"/>
                    <w:bottom w:val="single" w:color="auto" w:sz="8" w:space="0"/>
                    <w:right w:val="single" w:color="auto" w:sz="8" w:space="0"/>
                  </w:tcBorders>
                  <w:vAlign w:val="center"/>
                </w:tcPr>
                <w:p w14:paraId="4E9D2B98">
                  <w:pPr>
                    <w:keepNext w:val="0"/>
                    <w:keepLines w:val="0"/>
                    <w:widowControl/>
                    <w:suppressLineNumbers w:val="0"/>
                    <w:jc w:val="center"/>
                    <w:textAlignment w:val="center"/>
                    <w:rPr>
                      <w:rFonts w:hint="default" w:ascii="Times New Roman" w:hAnsi="Times New Roman" w:eastAsia="宋体" w:cs="Times New Roman"/>
                      <w:color w:val="auto"/>
                      <w:sz w:val="18"/>
                      <w:szCs w:val="18"/>
                      <w:highlight w:val="none"/>
                      <w:lang w:val="en-US"/>
                    </w:rPr>
                  </w:pPr>
                  <w:r>
                    <w:rPr>
                      <w:rFonts w:hint="eastAsia" w:cs="Times New Roman"/>
                      <w:i w:val="0"/>
                      <w:iCs w:val="0"/>
                      <w:color w:val="auto"/>
                      <w:kern w:val="0"/>
                      <w:sz w:val="18"/>
                      <w:szCs w:val="18"/>
                      <w:highlight w:val="none"/>
                      <w:u w:val="none"/>
                      <w:lang w:val="en-US" w:eastAsia="zh-CN" w:bidi="ar"/>
                    </w:rPr>
                    <w:t>0.000106735</w:t>
                  </w:r>
                </w:p>
              </w:tc>
              <w:tc>
                <w:tcPr>
                  <w:tcW w:w="923" w:type="pct"/>
                  <w:tcBorders>
                    <w:top w:val="single" w:color="auto" w:sz="8" w:space="0"/>
                    <w:left w:val="single" w:color="auto" w:sz="8" w:space="0"/>
                    <w:bottom w:val="single" w:color="auto" w:sz="8" w:space="0"/>
                    <w:right w:val="single" w:color="auto" w:sz="8" w:space="0"/>
                  </w:tcBorders>
                  <w:vAlign w:val="center"/>
                </w:tcPr>
                <w:p w14:paraId="5D689AA6">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0.2</w:t>
                  </w:r>
                </w:p>
              </w:tc>
              <w:tc>
                <w:tcPr>
                  <w:tcW w:w="829" w:type="pct"/>
                  <w:tcBorders>
                    <w:top w:val="single" w:color="auto" w:sz="8" w:space="0"/>
                    <w:left w:val="single" w:color="auto" w:sz="8" w:space="0"/>
                    <w:bottom w:val="single" w:color="auto" w:sz="8" w:space="0"/>
                    <w:right w:val="single" w:color="auto" w:sz="8" w:space="0"/>
                  </w:tcBorders>
                  <w:vAlign w:val="center"/>
                </w:tcPr>
                <w:p w14:paraId="50AD10BE">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0.00053</w:t>
                  </w:r>
                </w:p>
              </w:tc>
              <w:tc>
                <w:tcPr>
                  <w:tcW w:w="839" w:type="pct"/>
                  <w:vMerge w:val="restart"/>
                  <w:tcBorders>
                    <w:top w:val="single" w:color="auto" w:sz="8" w:space="0"/>
                    <w:left w:val="single" w:color="auto" w:sz="8" w:space="0"/>
                    <w:bottom w:val="single" w:color="auto" w:sz="8" w:space="0"/>
                    <w:right w:val="nil"/>
                  </w:tcBorders>
                  <w:vAlign w:val="center"/>
                </w:tcPr>
                <w:p w14:paraId="20DC9323">
                  <w:pPr>
                    <w:jc w:val="center"/>
                    <w:rPr>
                      <w:color w:val="auto"/>
                      <w:sz w:val="18"/>
                      <w:szCs w:val="18"/>
                      <w:highlight w:val="none"/>
                    </w:rPr>
                  </w:pPr>
                  <w:r>
                    <w:rPr>
                      <w:rFonts w:hint="default" w:ascii="Times New Roman" w:hAnsi="Times New Roman" w:eastAsia="宋体" w:cs="Times New Roman"/>
                      <w:color w:val="auto"/>
                      <w:sz w:val="18"/>
                      <w:szCs w:val="18"/>
                      <w:highlight w:val="none"/>
                    </w:rPr>
                    <w:t>NH</w:t>
                  </w:r>
                  <w:r>
                    <w:rPr>
                      <w:rFonts w:hint="default" w:ascii="Times New Roman" w:hAnsi="Times New Roman" w:eastAsia="宋体" w:cs="Times New Roman"/>
                      <w:color w:val="auto"/>
                      <w:sz w:val="18"/>
                      <w:szCs w:val="18"/>
                      <w:highlight w:val="none"/>
                      <w:vertAlign w:val="subscript"/>
                    </w:rPr>
                    <w:t>3</w:t>
                  </w:r>
                </w:p>
              </w:tc>
            </w:tr>
            <w:tr w14:paraId="0FEAE6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continue"/>
                  <w:tcBorders>
                    <w:top w:val="single" w:color="auto" w:sz="8" w:space="0"/>
                    <w:left w:val="nil"/>
                    <w:bottom w:val="single" w:color="auto" w:sz="8" w:space="0"/>
                    <w:right w:val="single" w:color="auto" w:sz="8" w:space="0"/>
                  </w:tcBorders>
                  <w:vAlign w:val="center"/>
                </w:tcPr>
                <w:p w14:paraId="0DB22E28">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p>
              </w:tc>
              <w:tc>
                <w:tcPr>
                  <w:tcW w:w="815" w:type="pct"/>
                  <w:tcBorders>
                    <w:top w:val="single" w:color="auto" w:sz="8" w:space="0"/>
                    <w:left w:val="single" w:color="auto" w:sz="8" w:space="0"/>
                    <w:bottom w:val="single" w:color="auto" w:sz="8" w:space="0"/>
                    <w:right w:val="single" w:color="auto" w:sz="8" w:space="0"/>
                  </w:tcBorders>
                  <w:vAlign w:val="center"/>
                </w:tcPr>
                <w:p w14:paraId="6B91CC7C">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H</w:t>
                  </w:r>
                  <w:r>
                    <w:rPr>
                      <w:rFonts w:hint="default" w:ascii="Times New Roman" w:hAnsi="Times New Roman" w:eastAsia="宋体" w:cs="Times New Roman"/>
                      <w:color w:val="auto"/>
                      <w:sz w:val="18"/>
                      <w:szCs w:val="18"/>
                      <w:highlight w:val="none"/>
                      <w:vertAlign w:val="subscript"/>
                    </w:rPr>
                    <w:t>2</w:t>
                  </w:r>
                  <w:r>
                    <w:rPr>
                      <w:rFonts w:hint="default" w:ascii="Times New Roman" w:hAnsi="Times New Roman" w:eastAsia="宋体" w:cs="Times New Roman"/>
                      <w:color w:val="auto"/>
                      <w:sz w:val="18"/>
                      <w:szCs w:val="18"/>
                      <w:highlight w:val="none"/>
                    </w:rPr>
                    <w:t>S</w:t>
                  </w:r>
                </w:p>
              </w:tc>
              <w:tc>
                <w:tcPr>
                  <w:tcW w:w="905" w:type="pct"/>
                  <w:tcBorders>
                    <w:top w:val="single" w:color="auto" w:sz="8" w:space="0"/>
                    <w:left w:val="single" w:color="auto" w:sz="8" w:space="0"/>
                    <w:bottom w:val="single" w:color="auto" w:sz="8" w:space="0"/>
                    <w:right w:val="single" w:color="auto" w:sz="8" w:space="0"/>
                  </w:tcBorders>
                  <w:vAlign w:val="center"/>
                </w:tcPr>
                <w:p w14:paraId="2CA837C0">
                  <w:pPr>
                    <w:keepNext w:val="0"/>
                    <w:keepLines w:val="0"/>
                    <w:widowControl/>
                    <w:suppressLineNumbers w:val="0"/>
                    <w:jc w:val="center"/>
                    <w:textAlignment w:val="center"/>
                    <w:rPr>
                      <w:rFonts w:hint="default" w:ascii="Times New Roman" w:hAnsi="Times New Roman" w:eastAsia="宋体" w:cs="Times New Roman"/>
                      <w:color w:val="auto"/>
                      <w:sz w:val="18"/>
                      <w:szCs w:val="18"/>
                      <w:highlight w:val="none"/>
                    </w:rPr>
                  </w:pPr>
                  <w:r>
                    <w:rPr>
                      <w:rFonts w:hint="eastAsia" w:cs="Times New Roman"/>
                      <w:i w:val="0"/>
                      <w:iCs w:val="0"/>
                      <w:color w:val="auto"/>
                      <w:kern w:val="0"/>
                      <w:sz w:val="18"/>
                      <w:szCs w:val="18"/>
                      <w:highlight w:val="none"/>
                      <w:u w:val="none"/>
                      <w:lang w:val="en-US" w:eastAsia="zh-CN" w:bidi="ar"/>
                    </w:rPr>
                    <w:t>4.10959</w:t>
                  </w:r>
                  <w:r>
                    <w:rPr>
                      <w:rFonts w:hint="default" w:ascii="Times New Roman" w:hAnsi="Times New Roman" w:eastAsia="宋体" w:cs="Times New Roman"/>
                      <w:i w:val="0"/>
                      <w:iCs w:val="0"/>
                      <w:color w:val="auto"/>
                      <w:kern w:val="0"/>
                      <w:sz w:val="18"/>
                      <w:szCs w:val="18"/>
                      <w:highlight w:val="none"/>
                      <w:u w:val="none"/>
                      <w:lang w:val="en-US" w:eastAsia="zh-CN" w:bidi="ar"/>
                    </w:rPr>
                    <w:t>E-06</w:t>
                  </w:r>
                </w:p>
              </w:tc>
              <w:tc>
                <w:tcPr>
                  <w:tcW w:w="923" w:type="pct"/>
                  <w:tcBorders>
                    <w:top w:val="single" w:color="auto" w:sz="8" w:space="0"/>
                    <w:left w:val="single" w:color="auto" w:sz="8" w:space="0"/>
                    <w:bottom w:val="single" w:color="auto" w:sz="8" w:space="0"/>
                    <w:right w:val="single" w:color="auto" w:sz="8" w:space="0"/>
                  </w:tcBorders>
                  <w:vAlign w:val="center"/>
                </w:tcPr>
                <w:p w14:paraId="2DD1BCCB">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0.01</w:t>
                  </w:r>
                </w:p>
              </w:tc>
              <w:tc>
                <w:tcPr>
                  <w:tcW w:w="829" w:type="pct"/>
                  <w:tcBorders>
                    <w:top w:val="single" w:color="auto" w:sz="8" w:space="0"/>
                    <w:left w:val="single" w:color="auto" w:sz="8" w:space="0"/>
                    <w:bottom w:val="single" w:color="auto" w:sz="8" w:space="0"/>
                    <w:right w:val="single" w:color="auto" w:sz="8" w:space="0"/>
                  </w:tcBorders>
                  <w:vAlign w:val="center"/>
                </w:tcPr>
                <w:p w14:paraId="1C8898A0">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0.00041</w:t>
                  </w:r>
                </w:p>
              </w:tc>
              <w:tc>
                <w:tcPr>
                  <w:tcW w:w="839" w:type="pct"/>
                  <w:vMerge w:val="continue"/>
                  <w:tcBorders>
                    <w:top w:val="single" w:color="auto" w:sz="8" w:space="0"/>
                    <w:left w:val="single" w:color="auto" w:sz="8" w:space="0"/>
                    <w:bottom w:val="single" w:color="auto" w:sz="8" w:space="0"/>
                    <w:right w:val="nil"/>
                  </w:tcBorders>
                  <w:vAlign w:val="center"/>
                </w:tcPr>
                <w:p w14:paraId="3B871950">
                  <w:pPr>
                    <w:jc w:val="center"/>
                    <w:rPr>
                      <w:rFonts w:ascii="Arial"/>
                      <w:color w:val="auto"/>
                      <w:sz w:val="18"/>
                      <w:szCs w:val="18"/>
                      <w:highlight w:val="none"/>
                    </w:rPr>
                  </w:pPr>
                </w:p>
              </w:tc>
            </w:tr>
            <w:tr w14:paraId="02138E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restart"/>
                  <w:tcBorders>
                    <w:top w:val="single" w:color="auto" w:sz="8" w:space="0"/>
                    <w:left w:val="nil"/>
                    <w:right w:val="single" w:color="auto" w:sz="8" w:space="0"/>
                  </w:tcBorders>
                  <w:vAlign w:val="center"/>
                </w:tcPr>
                <w:p w14:paraId="7DC2FE08">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r>
                    <w:rPr>
                      <w:rFonts w:hint="default" w:ascii="宋体" w:hAnsi="宋体" w:eastAsia="宋体" w:cs="宋体"/>
                      <w:color w:val="auto"/>
                      <w:sz w:val="18"/>
                      <w:szCs w:val="18"/>
                      <w:highlight w:val="none"/>
                    </w:rPr>
                    <w:t>猪粪、猪毛及肠内容物暂存间</w:t>
                  </w:r>
                </w:p>
              </w:tc>
              <w:tc>
                <w:tcPr>
                  <w:tcW w:w="815" w:type="pct"/>
                  <w:tcBorders>
                    <w:top w:val="single" w:color="auto" w:sz="8" w:space="0"/>
                    <w:left w:val="single" w:color="auto" w:sz="8" w:space="0"/>
                    <w:bottom w:val="single" w:color="auto" w:sz="8" w:space="0"/>
                    <w:right w:val="single" w:color="auto" w:sz="8" w:space="0"/>
                  </w:tcBorders>
                  <w:vAlign w:val="center"/>
                </w:tcPr>
                <w:p w14:paraId="7B8E742C">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NH</w:t>
                  </w:r>
                  <w:r>
                    <w:rPr>
                      <w:rFonts w:hint="default" w:ascii="Times New Roman" w:hAnsi="Times New Roman" w:eastAsia="宋体" w:cs="Times New Roman"/>
                      <w:color w:val="auto"/>
                      <w:sz w:val="18"/>
                      <w:szCs w:val="18"/>
                      <w:highlight w:val="none"/>
                      <w:vertAlign w:val="subscript"/>
                    </w:rPr>
                    <w:t>3</w:t>
                  </w:r>
                </w:p>
              </w:tc>
              <w:tc>
                <w:tcPr>
                  <w:tcW w:w="905" w:type="pct"/>
                  <w:tcBorders>
                    <w:top w:val="single" w:color="auto" w:sz="8" w:space="0"/>
                    <w:left w:val="single" w:color="auto" w:sz="8" w:space="0"/>
                    <w:bottom w:val="single" w:color="auto" w:sz="8" w:space="0"/>
                    <w:right w:val="single" w:color="auto" w:sz="8" w:space="0"/>
                  </w:tcBorders>
                  <w:vAlign w:val="center"/>
                </w:tcPr>
                <w:p w14:paraId="5B9DEA5F">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eastAsia" w:ascii="Times New Roman" w:hAnsi="Times New Roman" w:cs="Times New Roman"/>
                      <w:i w:val="0"/>
                      <w:iCs w:val="0"/>
                      <w:color w:val="auto"/>
                      <w:kern w:val="0"/>
                      <w:sz w:val="18"/>
                      <w:szCs w:val="18"/>
                      <w:highlight w:val="none"/>
                      <w:u w:val="none"/>
                      <w:lang w:val="en-US" w:eastAsia="zh-CN" w:bidi="ar"/>
                    </w:rPr>
                    <w:t>6.27854</w:t>
                  </w:r>
                  <w:r>
                    <w:rPr>
                      <w:rFonts w:hint="default" w:ascii="Times New Roman" w:hAnsi="Times New Roman" w:eastAsia="宋体" w:cs="Times New Roman"/>
                      <w:i w:val="0"/>
                      <w:iCs w:val="0"/>
                      <w:color w:val="auto"/>
                      <w:kern w:val="0"/>
                      <w:sz w:val="18"/>
                      <w:szCs w:val="18"/>
                      <w:highlight w:val="none"/>
                      <w:u w:val="none"/>
                      <w:lang w:val="en-US" w:eastAsia="zh-CN" w:bidi="ar"/>
                    </w:rPr>
                    <w:t>E-06</w:t>
                  </w:r>
                </w:p>
              </w:tc>
              <w:tc>
                <w:tcPr>
                  <w:tcW w:w="923" w:type="pct"/>
                  <w:tcBorders>
                    <w:top w:val="single" w:color="auto" w:sz="8" w:space="0"/>
                    <w:left w:val="single" w:color="auto" w:sz="8" w:space="0"/>
                    <w:bottom w:val="single" w:color="auto" w:sz="8" w:space="0"/>
                    <w:right w:val="single" w:color="auto" w:sz="8" w:space="0"/>
                  </w:tcBorders>
                  <w:vAlign w:val="center"/>
                </w:tcPr>
                <w:p w14:paraId="5BE036D5">
                  <w:pPr>
                    <w:pStyle w:val="81"/>
                    <w:keepNext w:val="0"/>
                    <w:keepLines w:val="0"/>
                    <w:suppressLineNumbers w:val="0"/>
                    <w:spacing w:before="0" w:beforeAutospacing="0" w:after="0" w:afterAutospacing="0"/>
                    <w:ind w:left="0" w:leftChars="0" w:right="-16" w:right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0.2</w:t>
                  </w:r>
                </w:p>
              </w:tc>
              <w:tc>
                <w:tcPr>
                  <w:tcW w:w="829" w:type="pct"/>
                  <w:tcBorders>
                    <w:top w:val="single" w:color="auto" w:sz="8" w:space="0"/>
                    <w:left w:val="single" w:color="auto" w:sz="8" w:space="0"/>
                    <w:bottom w:val="single" w:color="auto" w:sz="8" w:space="0"/>
                    <w:right w:val="single" w:color="auto" w:sz="8" w:space="0"/>
                  </w:tcBorders>
                  <w:vAlign w:val="center"/>
                </w:tcPr>
                <w:p w14:paraId="79EA5B64">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0.00003</w:t>
                  </w:r>
                </w:p>
              </w:tc>
              <w:tc>
                <w:tcPr>
                  <w:tcW w:w="839" w:type="pct"/>
                  <w:vMerge w:val="restart"/>
                  <w:tcBorders>
                    <w:top w:val="single" w:color="auto" w:sz="8" w:space="0"/>
                    <w:left w:val="single" w:color="auto" w:sz="8" w:space="0"/>
                    <w:right w:val="nil"/>
                  </w:tcBorders>
                  <w:vAlign w:val="center"/>
                </w:tcPr>
                <w:p w14:paraId="14C14539">
                  <w:pPr>
                    <w:jc w:val="center"/>
                    <w:rPr>
                      <w:rFonts w:ascii="Arial"/>
                      <w:color w:val="auto"/>
                      <w:sz w:val="18"/>
                      <w:szCs w:val="18"/>
                      <w:highlight w:val="none"/>
                    </w:rPr>
                  </w:pPr>
                  <w:r>
                    <w:rPr>
                      <w:rFonts w:hint="default" w:ascii="Times New Roman" w:hAnsi="Times New Roman" w:eastAsia="宋体" w:cs="Times New Roman"/>
                      <w:color w:val="auto"/>
                      <w:sz w:val="18"/>
                      <w:szCs w:val="18"/>
                      <w:highlight w:val="none"/>
                    </w:rPr>
                    <w:t>H</w:t>
                  </w:r>
                  <w:r>
                    <w:rPr>
                      <w:rFonts w:hint="default" w:ascii="Times New Roman" w:hAnsi="Times New Roman" w:eastAsia="宋体" w:cs="Times New Roman"/>
                      <w:color w:val="auto"/>
                      <w:sz w:val="18"/>
                      <w:szCs w:val="18"/>
                      <w:highlight w:val="none"/>
                      <w:vertAlign w:val="subscript"/>
                    </w:rPr>
                    <w:t>2</w:t>
                  </w:r>
                  <w:r>
                    <w:rPr>
                      <w:rFonts w:hint="default" w:ascii="Times New Roman" w:hAnsi="Times New Roman" w:eastAsia="宋体" w:cs="Times New Roman"/>
                      <w:color w:val="auto"/>
                      <w:sz w:val="18"/>
                      <w:szCs w:val="18"/>
                      <w:highlight w:val="none"/>
                    </w:rPr>
                    <w:t>S</w:t>
                  </w:r>
                </w:p>
              </w:tc>
            </w:tr>
            <w:tr w14:paraId="4ADD3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jc w:val="center"/>
              </w:trPr>
              <w:tc>
                <w:tcPr>
                  <w:tcW w:w="687" w:type="pct"/>
                  <w:vMerge w:val="continue"/>
                  <w:tcBorders>
                    <w:left w:val="nil"/>
                    <w:bottom w:val="single" w:color="auto" w:sz="12" w:space="0"/>
                    <w:right w:val="single" w:color="auto" w:sz="8" w:space="0"/>
                  </w:tcBorders>
                  <w:vAlign w:val="center"/>
                </w:tcPr>
                <w:p w14:paraId="74556C1B">
                  <w:pPr>
                    <w:pStyle w:val="81"/>
                    <w:keepNext w:val="0"/>
                    <w:keepLines w:val="0"/>
                    <w:suppressLineNumbers w:val="0"/>
                    <w:spacing w:before="0" w:beforeAutospacing="0" w:after="0" w:afterAutospacing="0"/>
                    <w:ind w:left="0" w:right="-16"/>
                    <w:jc w:val="center"/>
                    <w:rPr>
                      <w:rFonts w:hint="default" w:ascii="宋体" w:hAnsi="宋体" w:eastAsia="宋体" w:cs="宋体"/>
                      <w:color w:val="auto"/>
                      <w:sz w:val="18"/>
                      <w:szCs w:val="18"/>
                      <w:highlight w:val="none"/>
                    </w:rPr>
                  </w:pPr>
                </w:p>
              </w:tc>
              <w:tc>
                <w:tcPr>
                  <w:tcW w:w="815" w:type="pct"/>
                  <w:tcBorders>
                    <w:top w:val="single" w:color="auto" w:sz="8" w:space="0"/>
                    <w:left w:val="single" w:color="auto" w:sz="8" w:space="0"/>
                    <w:bottom w:val="single" w:color="auto" w:sz="12" w:space="0"/>
                    <w:right w:val="single" w:color="auto" w:sz="8" w:space="0"/>
                  </w:tcBorders>
                  <w:vAlign w:val="center"/>
                </w:tcPr>
                <w:p w14:paraId="64497177">
                  <w:pPr>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H</w:t>
                  </w:r>
                  <w:r>
                    <w:rPr>
                      <w:rFonts w:hint="default" w:ascii="Times New Roman" w:hAnsi="Times New Roman" w:eastAsia="宋体" w:cs="Times New Roman"/>
                      <w:color w:val="auto"/>
                      <w:sz w:val="18"/>
                      <w:szCs w:val="18"/>
                      <w:highlight w:val="none"/>
                      <w:vertAlign w:val="subscript"/>
                    </w:rPr>
                    <w:t>2</w:t>
                  </w:r>
                  <w:r>
                    <w:rPr>
                      <w:rFonts w:hint="default" w:ascii="Times New Roman" w:hAnsi="Times New Roman" w:eastAsia="宋体" w:cs="Times New Roman"/>
                      <w:color w:val="auto"/>
                      <w:sz w:val="18"/>
                      <w:szCs w:val="18"/>
                      <w:highlight w:val="none"/>
                    </w:rPr>
                    <w:t>S</w:t>
                  </w:r>
                </w:p>
              </w:tc>
              <w:tc>
                <w:tcPr>
                  <w:tcW w:w="905" w:type="pct"/>
                  <w:tcBorders>
                    <w:top w:val="single" w:color="auto" w:sz="8" w:space="0"/>
                    <w:left w:val="single" w:color="auto" w:sz="8" w:space="0"/>
                    <w:bottom w:val="single" w:color="auto" w:sz="12" w:space="0"/>
                    <w:right w:val="single" w:color="auto" w:sz="8" w:space="0"/>
                  </w:tcBorders>
                  <w:vAlign w:val="center"/>
                </w:tcPr>
                <w:p w14:paraId="04D29D5E">
                  <w:pPr>
                    <w:pStyle w:val="81"/>
                    <w:keepNext w:val="0"/>
                    <w:keepLines w:val="0"/>
                    <w:suppressLineNumbers w:val="0"/>
                    <w:spacing w:before="0" w:beforeAutospacing="0" w:after="0" w:afterAutospacing="0"/>
                    <w:ind w:left="0" w:right="-16"/>
                    <w:jc w:val="center"/>
                    <w:rPr>
                      <w:rFonts w:hint="default" w:ascii="Times New Roman" w:hAnsi="Times New Roman" w:eastAsia="宋体" w:cs="Times New Roman"/>
                      <w:color w:val="auto"/>
                      <w:sz w:val="18"/>
                      <w:szCs w:val="18"/>
                      <w:highlight w:val="none"/>
                    </w:rPr>
                  </w:pPr>
                  <w:r>
                    <w:rPr>
                      <w:rFonts w:hint="eastAsia" w:ascii="Times New Roman" w:hAnsi="Times New Roman" w:cs="Times New Roman"/>
                      <w:i w:val="0"/>
                      <w:iCs w:val="0"/>
                      <w:color w:val="auto"/>
                      <w:kern w:val="0"/>
                      <w:sz w:val="18"/>
                      <w:szCs w:val="18"/>
                      <w:highlight w:val="none"/>
                      <w:u w:val="none"/>
                      <w:lang w:val="en-US" w:eastAsia="zh-CN" w:bidi="ar"/>
                    </w:rPr>
                    <w:t>5.13699</w:t>
                  </w:r>
                  <w:r>
                    <w:rPr>
                      <w:rFonts w:hint="default" w:ascii="Times New Roman" w:hAnsi="Times New Roman" w:eastAsia="宋体" w:cs="Times New Roman"/>
                      <w:i w:val="0"/>
                      <w:iCs w:val="0"/>
                      <w:color w:val="auto"/>
                      <w:kern w:val="0"/>
                      <w:sz w:val="18"/>
                      <w:szCs w:val="18"/>
                      <w:highlight w:val="none"/>
                      <w:u w:val="none"/>
                      <w:lang w:val="en-US" w:eastAsia="zh-CN" w:bidi="ar"/>
                    </w:rPr>
                    <w:t>E-07</w:t>
                  </w:r>
                </w:p>
              </w:tc>
              <w:tc>
                <w:tcPr>
                  <w:tcW w:w="923" w:type="pct"/>
                  <w:tcBorders>
                    <w:top w:val="single" w:color="auto" w:sz="8" w:space="0"/>
                    <w:left w:val="single" w:color="auto" w:sz="8" w:space="0"/>
                    <w:bottom w:val="single" w:color="auto" w:sz="12" w:space="0"/>
                    <w:right w:val="single" w:color="auto" w:sz="8" w:space="0"/>
                  </w:tcBorders>
                  <w:vAlign w:val="center"/>
                </w:tcPr>
                <w:p w14:paraId="3543A515">
                  <w:pPr>
                    <w:pStyle w:val="81"/>
                    <w:keepNext w:val="0"/>
                    <w:keepLines w:val="0"/>
                    <w:suppressLineNumbers w:val="0"/>
                    <w:spacing w:before="0" w:beforeAutospacing="0" w:after="0" w:afterAutospacing="0"/>
                    <w:ind w:left="0" w:leftChars="0" w:right="-16" w:rightChars="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0.01</w:t>
                  </w:r>
                </w:p>
              </w:tc>
              <w:tc>
                <w:tcPr>
                  <w:tcW w:w="829" w:type="pct"/>
                  <w:tcBorders>
                    <w:top w:val="single" w:color="auto" w:sz="8" w:space="0"/>
                    <w:left w:val="single" w:color="auto" w:sz="8" w:space="0"/>
                    <w:bottom w:val="single" w:color="auto" w:sz="12" w:space="0"/>
                    <w:right w:val="single" w:color="auto" w:sz="8" w:space="0"/>
                  </w:tcBorders>
                  <w:vAlign w:val="center"/>
                </w:tcPr>
                <w:p w14:paraId="62F27404">
                  <w:pPr>
                    <w:keepNext w:val="0"/>
                    <w:keepLines w:val="0"/>
                    <w:widowControl/>
                    <w:suppressLineNumbers w:val="0"/>
                    <w:jc w:val="center"/>
                    <w:textAlignment w:val="center"/>
                    <w:rPr>
                      <w:rFonts w:hint="default" w:ascii="Times New Roman" w:hAnsi="Times New Roman" w:eastAsia="宋体" w:cs="Times New Roman"/>
                      <w:color w:val="auto"/>
                      <w:kern w:val="2"/>
                      <w:sz w:val="18"/>
                      <w:szCs w:val="18"/>
                      <w:highlight w:val="none"/>
                      <w:lang w:val="zh-CN" w:eastAsia="zh-CN" w:bidi="zh-CN"/>
                    </w:rPr>
                  </w:pPr>
                  <w:r>
                    <w:rPr>
                      <w:rFonts w:hint="eastAsia" w:ascii="Times New Roman" w:hAnsi="Times New Roman" w:eastAsia="宋体" w:cs="Times New Roman"/>
                      <w:color w:val="auto"/>
                      <w:kern w:val="2"/>
                      <w:sz w:val="18"/>
                      <w:szCs w:val="18"/>
                      <w:highlight w:val="none"/>
                      <w:lang w:val="en-US" w:eastAsia="zh-CN" w:bidi="zh-CN"/>
                    </w:rPr>
                    <w:t>0.00005</w:t>
                  </w:r>
                </w:p>
              </w:tc>
              <w:tc>
                <w:tcPr>
                  <w:tcW w:w="839" w:type="pct"/>
                  <w:vMerge w:val="continue"/>
                  <w:tcBorders>
                    <w:left w:val="single" w:color="auto" w:sz="8" w:space="0"/>
                    <w:bottom w:val="single" w:color="auto" w:sz="12" w:space="0"/>
                    <w:right w:val="nil"/>
                  </w:tcBorders>
                  <w:vAlign w:val="center"/>
                </w:tcPr>
                <w:p w14:paraId="5C0ADCFC">
                  <w:pPr>
                    <w:jc w:val="center"/>
                    <w:rPr>
                      <w:rFonts w:ascii="Arial"/>
                      <w:color w:val="auto"/>
                      <w:sz w:val="21"/>
                      <w:highlight w:val="none"/>
                    </w:rPr>
                  </w:pPr>
                </w:p>
              </w:tc>
            </w:tr>
          </w:tbl>
          <w:p w14:paraId="3E09B207">
            <w:pPr>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（2）计算结果</w:t>
            </w:r>
          </w:p>
          <w:p w14:paraId="4BD86055">
            <w:pPr>
              <w:wordWrap w:val="0"/>
              <w:spacing w:line="440" w:lineRule="exact"/>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本项目在生产过程中的无组织排放废气主要是各生产单元无组织排放的恶臭，其污染因子主要是NH</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、H</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S，恶臭类污染物评价标准</w:t>
            </w:r>
            <w:r>
              <w:rPr>
                <w:rFonts w:hint="eastAsia" w:cs="Times New Roman"/>
                <w:color w:val="auto"/>
                <w:sz w:val="24"/>
                <w:szCs w:val="24"/>
                <w:highlight w:val="none"/>
                <w:lang w:val="en-US" w:eastAsia="zh-CN"/>
              </w:rPr>
              <w:t>取</w:t>
            </w:r>
            <w:r>
              <w:rPr>
                <w:rFonts w:hint="eastAsia" w:ascii="Times New Roman" w:hAnsi="Times New Roman" w:eastAsia="宋体" w:cs="Times New Roman"/>
                <w:color w:val="auto"/>
                <w:sz w:val="24"/>
                <w:szCs w:val="24"/>
                <w:highlight w:val="none"/>
              </w:rPr>
              <w:t>《环境影响评价技术导则大气环境》</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HJ</w:t>
            </w:r>
            <w:r>
              <w:rPr>
                <w:rFonts w:hint="eastAsia" w:cs="Times New Roman"/>
                <w:color w:val="auto"/>
                <w:sz w:val="24"/>
                <w:szCs w:val="24"/>
                <w:highlight w:val="none"/>
                <w:lang w:eastAsia="zh-CN"/>
              </w:rPr>
              <w:t>2.2-2018）</w:t>
            </w:r>
            <w:r>
              <w:rPr>
                <w:rFonts w:hint="eastAsia" w:ascii="Times New Roman" w:hAnsi="Times New Roman" w:eastAsia="宋体" w:cs="Times New Roman"/>
                <w:color w:val="auto"/>
                <w:sz w:val="24"/>
                <w:szCs w:val="24"/>
                <w:highlight w:val="none"/>
              </w:rPr>
              <w:t>中</w:t>
            </w:r>
            <w:r>
              <w:rPr>
                <w:rFonts w:hint="eastAsia" w:cs="Times New Roman"/>
                <w:color w:val="auto"/>
                <w:sz w:val="24"/>
                <w:szCs w:val="24"/>
                <w:highlight w:val="none"/>
                <w:lang w:val="en-US" w:eastAsia="zh-CN"/>
              </w:rPr>
              <w:t>附录D的限</w:t>
            </w:r>
            <w:r>
              <w:rPr>
                <w:rFonts w:hint="eastAsia" w:ascii="Times New Roman" w:hAnsi="Times New Roman" w:eastAsia="宋体" w:cs="Times New Roman"/>
                <w:color w:val="auto"/>
                <w:sz w:val="24"/>
                <w:szCs w:val="24"/>
                <w:highlight w:val="none"/>
              </w:rPr>
              <w:t>值。根据上述公式计算，可得出无组织排放恶臭的卫生防护距离，计算结果见</w:t>
            </w:r>
            <w:r>
              <w:rPr>
                <w:rFonts w:hint="eastAsia" w:ascii="Times New Roman" w:hAnsi="Times New Roman" w:eastAsia="宋体" w:cs="Times New Roman"/>
                <w:color w:val="auto"/>
                <w:sz w:val="24"/>
                <w:szCs w:val="24"/>
                <w:highlight w:val="none"/>
                <w:lang w:val="en-US" w:eastAsia="zh-CN"/>
              </w:rPr>
              <w:t>下表</w:t>
            </w:r>
            <w:r>
              <w:rPr>
                <w:rFonts w:hint="eastAsia" w:ascii="Times New Roman" w:hAnsi="Times New Roman" w:eastAsia="宋体" w:cs="Times New Roman"/>
                <w:color w:val="auto"/>
                <w:sz w:val="24"/>
                <w:szCs w:val="24"/>
                <w:highlight w:val="none"/>
              </w:rPr>
              <w:t>。</w:t>
            </w:r>
          </w:p>
          <w:p w14:paraId="1AF3952A">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无组织排放源及卫生防护距离</w:t>
            </w:r>
          </w:p>
          <w:p w14:paraId="11B7D491">
            <w:pPr>
              <w:spacing w:line="125" w:lineRule="auto"/>
              <w:rPr>
                <w:rFonts w:ascii="Arial"/>
                <w:color w:val="auto"/>
                <w:sz w:val="2"/>
                <w:highlight w:val="none"/>
              </w:rPr>
            </w:pPr>
          </w:p>
          <w:tbl>
            <w:tblPr>
              <w:tblStyle w:val="103"/>
              <w:tblW w:w="496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2"/>
              <w:gridCol w:w="886"/>
              <w:gridCol w:w="921"/>
              <w:gridCol w:w="1025"/>
              <w:gridCol w:w="1118"/>
              <w:gridCol w:w="810"/>
              <w:gridCol w:w="928"/>
              <w:gridCol w:w="1088"/>
              <w:gridCol w:w="572"/>
              <w:gridCol w:w="693"/>
            </w:tblGrid>
            <w:tr w14:paraId="6B660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836" w:type="pct"/>
                  <w:gridSpan w:val="2"/>
                  <w:tcBorders>
                    <w:top w:val="single" w:color="auto" w:sz="12" w:space="0"/>
                    <w:left w:val="nil"/>
                    <w:bottom w:val="single" w:color="auto" w:sz="8" w:space="0"/>
                    <w:right w:val="single" w:color="auto" w:sz="8" w:space="0"/>
                  </w:tcBorders>
                  <w:vAlign w:val="center"/>
                </w:tcPr>
                <w:p w14:paraId="6358D1E0">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无组织排放源</w:t>
                  </w:r>
                </w:p>
              </w:tc>
              <w:tc>
                <w:tcPr>
                  <w:tcW w:w="536" w:type="pct"/>
                  <w:tcBorders>
                    <w:top w:val="single" w:color="auto" w:sz="12" w:space="0"/>
                    <w:left w:val="single" w:color="auto" w:sz="8" w:space="0"/>
                    <w:bottom w:val="single" w:color="auto" w:sz="8" w:space="0"/>
                    <w:right w:val="single" w:color="auto" w:sz="8" w:space="0"/>
                  </w:tcBorders>
                  <w:vAlign w:val="center"/>
                </w:tcPr>
                <w:p w14:paraId="3518AE7A">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污染物名称</w:t>
                  </w:r>
                </w:p>
              </w:tc>
              <w:tc>
                <w:tcPr>
                  <w:tcW w:w="596" w:type="pct"/>
                  <w:tcBorders>
                    <w:top w:val="single" w:color="auto" w:sz="12" w:space="0"/>
                    <w:left w:val="single" w:color="auto" w:sz="8" w:space="0"/>
                    <w:bottom w:val="single" w:color="auto" w:sz="8" w:space="0"/>
                    <w:right w:val="single" w:color="auto" w:sz="8" w:space="0"/>
                  </w:tcBorders>
                  <w:vAlign w:val="center"/>
                </w:tcPr>
                <w:p w14:paraId="4A85054C">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排放速率（kg/h）</w:t>
                  </w:r>
                </w:p>
              </w:tc>
              <w:tc>
                <w:tcPr>
                  <w:tcW w:w="650" w:type="pct"/>
                  <w:tcBorders>
                    <w:top w:val="single" w:color="auto" w:sz="12" w:space="0"/>
                    <w:left w:val="single" w:color="auto" w:sz="8" w:space="0"/>
                    <w:bottom w:val="single" w:color="auto" w:sz="8" w:space="0"/>
                    <w:right w:val="single" w:color="auto" w:sz="8" w:space="0"/>
                  </w:tcBorders>
                  <w:vAlign w:val="center"/>
                </w:tcPr>
                <w:p w14:paraId="7AF91AE7">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排放源面积（m</w:t>
                  </w:r>
                  <w:r>
                    <w:rPr>
                      <w:rFonts w:hint="default" w:ascii="Times New Roman" w:hAnsi="Times New Roman" w:eastAsia="宋体" w:cs="Times New Roman"/>
                      <w:b/>
                      <w:bCs/>
                      <w:color w:val="auto"/>
                      <w:kern w:val="0"/>
                      <w:sz w:val="21"/>
                      <w:szCs w:val="24"/>
                      <w:highlight w:val="none"/>
                      <w:vertAlign w:val="superscript"/>
                      <w:lang w:val="en-US" w:eastAsia="zh-CN" w:bidi="ar-SA"/>
                    </w:rPr>
                    <w:t>2</w:t>
                  </w:r>
                  <w:r>
                    <w:rPr>
                      <w:rFonts w:hint="default" w:ascii="Times New Roman" w:hAnsi="Times New Roman" w:eastAsia="宋体" w:cs="Times New Roman"/>
                      <w:b/>
                      <w:bCs/>
                      <w:color w:val="auto"/>
                      <w:kern w:val="0"/>
                      <w:sz w:val="21"/>
                      <w:szCs w:val="24"/>
                      <w:highlight w:val="none"/>
                      <w:lang w:val="en-US" w:eastAsia="zh-CN" w:bidi="ar-SA"/>
                    </w:rPr>
                    <w:t>）</w:t>
                  </w:r>
                </w:p>
              </w:tc>
              <w:tc>
                <w:tcPr>
                  <w:tcW w:w="471" w:type="pct"/>
                  <w:tcBorders>
                    <w:top w:val="single" w:color="auto" w:sz="12" w:space="0"/>
                    <w:left w:val="single" w:color="auto" w:sz="8" w:space="0"/>
                    <w:bottom w:val="single" w:color="auto" w:sz="8" w:space="0"/>
                    <w:right w:val="single" w:color="auto" w:sz="8" w:space="0"/>
                  </w:tcBorders>
                  <w:vAlign w:val="center"/>
                </w:tcPr>
                <w:p w14:paraId="1D4A6FAE">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排放高度（m）</w:t>
                  </w:r>
                </w:p>
              </w:tc>
              <w:tc>
                <w:tcPr>
                  <w:tcW w:w="539" w:type="pct"/>
                  <w:tcBorders>
                    <w:top w:val="single" w:color="auto" w:sz="12" w:space="0"/>
                    <w:left w:val="single" w:color="auto" w:sz="8" w:space="0"/>
                    <w:bottom w:val="single" w:color="auto" w:sz="8" w:space="0"/>
                    <w:right w:val="single" w:color="auto" w:sz="8" w:space="0"/>
                  </w:tcBorders>
                  <w:vAlign w:val="center"/>
                </w:tcPr>
                <w:p w14:paraId="43C93B5E">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浓度限值</w:t>
                  </w:r>
                </w:p>
                <w:p w14:paraId="399D86DD">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(mg/m3)</w:t>
                  </w:r>
                </w:p>
              </w:tc>
              <w:tc>
                <w:tcPr>
                  <w:tcW w:w="632" w:type="pct"/>
                  <w:tcBorders>
                    <w:top w:val="single" w:color="auto" w:sz="12" w:space="0"/>
                    <w:left w:val="single" w:color="auto" w:sz="8" w:space="0"/>
                    <w:bottom w:val="single" w:color="auto" w:sz="8" w:space="0"/>
                    <w:right w:val="single" w:color="auto" w:sz="8" w:space="0"/>
                  </w:tcBorders>
                  <w:vAlign w:val="center"/>
                </w:tcPr>
                <w:p w14:paraId="3A3C91F1">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卫生防护距离计算值</w:t>
                  </w:r>
                </w:p>
                <w:p w14:paraId="647AD4DE">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（m）</w:t>
                  </w:r>
                </w:p>
              </w:tc>
              <w:tc>
                <w:tcPr>
                  <w:tcW w:w="736" w:type="pct"/>
                  <w:gridSpan w:val="2"/>
                  <w:tcBorders>
                    <w:top w:val="single" w:color="auto" w:sz="12" w:space="0"/>
                    <w:left w:val="single" w:color="auto" w:sz="8" w:space="0"/>
                    <w:bottom w:val="single" w:color="auto" w:sz="8" w:space="0"/>
                    <w:right w:val="nil"/>
                  </w:tcBorders>
                  <w:vAlign w:val="center"/>
                </w:tcPr>
                <w:p w14:paraId="11D90F4D">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b/>
                      <w:bCs/>
                      <w:color w:val="auto"/>
                      <w:kern w:val="0"/>
                      <w:sz w:val="21"/>
                      <w:szCs w:val="24"/>
                      <w:highlight w:val="none"/>
                      <w:lang w:val="en-US" w:eastAsia="zh-CN" w:bidi="ar-SA"/>
                    </w:rPr>
                  </w:pPr>
                  <w:r>
                    <w:rPr>
                      <w:rFonts w:hint="default" w:ascii="Times New Roman" w:hAnsi="Times New Roman" w:eastAsia="宋体" w:cs="Times New Roman"/>
                      <w:b/>
                      <w:bCs/>
                      <w:color w:val="auto"/>
                      <w:kern w:val="0"/>
                      <w:sz w:val="21"/>
                      <w:szCs w:val="24"/>
                      <w:highlight w:val="none"/>
                      <w:lang w:val="en-US" w:eastAsia="zh-CN" w:bidi="ar-SA"/>
                    </w:rPr>
                    <w:t>卫生防护距离确定值（m）</w:t>
                  </w:r>
                </w:p>
              </w:tc>
            </w:tr>
            <w:tr w14:paraId="6C829A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321" w:type="pct"/>
                  <w:vMerge w:val="restart"/>
                  <w:tcBorders>
                    <w:top w:val="single" w:color="auto" w:sz="8" w:space="0"/>
                    <w:left w:val="nil"/>
                    <w:right w:val="single" w:color="auto" w:sz="4" w:space="0"/>
                  </w:tcBorders>
                  <w:vAlign w:val="center"/>
                </w:tcPr>
                <w:p w14:paraId="6BA72CD7">
                  <w:pPr>
                    <w:pStyle w:val="81"/>
                    <w:keepNext w:val="0"/>
                    <w:keepLines w:val="0"/>
                    <w:suppressLineNumbers w:val="0"/>
                    <w:spacing w:before="0" w:beforeAutospacing="0" w:after="0" w:afterAutospacing="0"/>
                    <w:ind w:left="0" w:leftChars="0" w:right="-16" w:right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cs="Times New Roman"/>
                      <w:color w:val="auto"/>
                      <w:kern w:val="0"/>
                      <w:sz w:val="21"/>
                      <w:szCs w:val="24"/>
                      <w:highlight w:val="none"/>
                      <w:lang w:val="en-US" w:eastAsia="zh-CN" w:bidi="ar-SA"/>
                    </w:rPr>
                    <w:t>屠宰与分割车间</w:t>
                  </w:r>
                </w:p>
              </w:tc>
              <w:tc>
                <w:tcPr>
                  <w:tcW w:w="515" w:type="pct"/>
                  <w:tcBorders>
                    <w:top w:val="single" w:color="auto" w:sz="8" w:space="0"/>
                    <w:left w:val="single" w:color="auto" w:sz="4" w:space="0"/>
                    <w:bottom w:val="single" w:color="auto" w:sz="8" w:space="0"/>
                    <w:right w:val="single" w:color="auto" w:sz="8" w:space="0"/>
                  </w:tcBorders>
                  <w:vAlign w:val="center"/>
                </w:tcPr>
                <w:p w14:paraId="09F1133C">
                  <w:pPr>
                    <w:pStyle w:val="81"/>
                    <w:keepNext w:val="0"/>
                    <w:keepLines w:val="0"/>
                    <w:suppressLineNumbers w:val="0"/>
                    <w:spacing w:before="0" w:beforeAutospacing="0" w:after="0" w:afterAutospacing="0"/>
                    <w:ind w:left="0" w:leftChars="0" w:right="-16" w:rightChars="0"/>
                    <w:jc w:val="center"/>
                    <w:rPr>
                      <w:rFonts w:hint="default" w:ascii="宋体" w:hAnsi="宋体" w:eastAsia="宋体" w:cs="宋体"/>
                      <w:color w:val="auto"/>
                      <w:sz w:val="21"/>
                      <w:highlight w:val="none"/>
                    </w:rPr>
                  </w:pPr>
                  <w:r>
                    <w:rPr>
                      <w:rFonts w:hint="default" w:ascii="宋体" w:hAnsi="宋体" w:eastAsia="宋体" w:cs="宋体"/>
                      <w:color w:val="auto"/>
                      <w:sz w:val="21"/>
                      <w:highlight w:val="none"/>
                    </w:rPr>
                    <w:t>待宰区</w:t>
                  </w:r>
                </w:p>
              </w:tc>
              <w:tc>
                <w:tcPr>
                  <w:tcW w:w="536" w:type="pct"/>
                  <w:tcBorders>
                    <w:top w:val="single" w:color="auto" w:sz="8" w:space="0"/>
                    <w:left w:val="single" w:color="auto" w:sz="8" w:space="0"/>
                    <w:bottom w:val="single" w:color="auto" w:sz="8" w:space="0"/>
                    <w:right w:val="single" w:color="auto" w:sz="8" w:space="0"/>
                  </w:tcBorders>
                  <w:vAlign w:val="center"/>
                </w:tcPr>
                <w:p w14:paraId="6C8477C3">
                  <w:pPr>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H</w:t>
                  </w:r>
                  <w:r>
                    <w:rPr>
                      <w:rFonts w:hint="eastAsia" w:cs="Times New Roman"/>
                      <w:color w:val="auto"/>
                      <w:sz w:val="21"/>
                      <w:szCs w:val="21"/>
                      <w:highlight w:val="none"/>
                      <w:vertAlign w:val="subscript"/>
                      <w:lang w:val="en-US" w:eastAsia="zh-CN"/>
                    </w:rPr>
                    <w:t>2</w:t>
                  </w:r>
                  <w:r>
                    <w:rPr>
                      <w:rFonts w:hint="eastAsia" w:cs="Times New Roman"/>
                      <w:color w:val="auto"/>
                      <w:sz w:val="21"/>
                      <w:szCs w:val="21"/>
                      <w:highlight w:val="none"/>
                      <w:lang w:val="en-US" w:eastAsia="zh-CN"/>
                    </w:rPr>
                    <w:t>S</w:t>
                  </w:r>
                </w:p>
              </w:tc>
              <w:tc>
                <w:tcPr>
                  <w:tcW w:w="596" w:type="pct"/>
                  <w:tcBorders>
                    <w:top w:val="single" w:color="auto" w:sz="8" w:space="0"/>
                    <w:left w:val="single" w:color="auto" w:sz="8" w:space="0"/>
                    <w:bottom w:val="single" w:color="auto" w:sz="8" w:space="0"/>
                    <w:right w:val="single" w:color="auto" w:sz="8" w:space="0"/>
                  </w:tcBorders>
                  <w:vAlign w:val="center"/>
                </w:tcPr>
                <w:p w14:paraId="7E59F44A">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w:t>
                  </w: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08</w:t>
                  </w:r>
                </w:p>
              </w:tc>
              <w:tc>
                <w:tcPr>
                  <w:tcW w:w="650" w:type="pct"/>
                  <w:tcBorders>
                    <w:top w:val="single" w:color="auto" w:sz="8" w:space="0"/>
                    <w:left w:val="single" w:color="auto" w:sz="8" w:space="0"/>
                    <w:bottom w:val="single" w:color="auto" w:sz="8" w:space="0"/>
                    <w:right w:val="single" w:color="auto" w:sz="8" w:space="0"/>
                  </w:tcBorders>
                  <w:vAlign w:val="center"/>
                </w:tcPr>
                <w:p w14:paraId="49C95A5B">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37.8</w:t>
                  </w:r>
                </w:p>
              </w:tc>
              <w:tc>
                <w:tcPr>
                  <w:tcW w:w="471" w:type="pct"/>
                  <w:tcBorders>
                    <w:top w:val="single" w:color="auto" w:sz="8" w:space="0"/>
                    <w:left w:val="single" w:color="auto" w:sz="8" w:space="0"/>
                    <w:bottom w:val="single" w:color="auto" w:sz="8" w:space="0"/>
                    <w:right w:val="single" w:color="auto" w:sz="8" w:space="0"/>
                  </w:tcBorders>
                  <w:vAlign w:val="center"/>
                </w:tcPr>
                <w:p w14:paraId="33DD43FE">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6.3</w:t>
                  </w:r>
                </w:p>
              </w:tc>
              <w:tc>
                <w:tcPr>
                  <w:tcW w:w="539" w:type="pct"/>
                  <w:tcBorders>
                    <w:top w:val="single" w:color="auto" w:sz="8" w:space="0"/>
                    <w:left w:val="single" w:color="auto" w:sz="8" w:space="0"/>
                    <w:bottom w:val="single" w:color="auto" w:sz="8" w:space="0"/>
                    <w:right w:val="single" w:color="auto" w:sz="8" w:space="0"/>
                  </w:tcBorders>
                  <w:vAlign w:val="center"/>
                </w:tcPr>
                <w:p w14:paraId="695FCD93">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0.01</w:t>
                  </w:r>
                </w:p>
              </w:tc>
              <w:tc>
                <w:tcPr>
                  <w:tcW w:w="632" w:type="pct"/>
                  <w:tcBorders>
                    <w:top w:val="single" w:color="auto" w:sz="8" w:space="0"/>
                    <w:left w:val="single" w:color="auto" w:sz="8" w:space="0"/>
                    <w:bottom w:val="single" w:color="auto" w:sz="8" w:space="0"/>
                    <w:right w:val="single" w:color="auto" w:sz="8" w:space="0"/>
                  </w:tcBorders>
                  <w:vAlign w:val="center"/>
                </w:tcPr>
                <w:p w14:paraId="32AAEC2A">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55</w:t>
                  </w:r>
                </w:p>
              </w:tc>
              <w:tc>
                <w:tcPr>
                  <w:tcW w:w="332" w:type="pct"/>
                  <w:tcBorders>
                    <w:top w:val="single" w:color="auto" w:sz="8" w:space="0"/>
                    <w:left w:val="single" w:color="auto" w:sz="8" w:space="0"/>
                    <w:bottom w:val="single" w:color="auto" w:sz="8" w:space="0"/>
                    <w:right w:val="single" w:color="auto" w:sz="4" w:space="0"/>
                  </w:tcBorders>
                  <w:vAlign w:val="center"/>
                </w:tcPr>
                <w:p w14:paraId="490D1A72">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100</w:t>
                  </w:r>
                </w:p>
              </w:tc>
              <w:tc>
                <w:tcPr>
                  <w:tcW w:w="403" w:type="pct"/>
                  <w:vMerge w:val="restart"/>
                  <w:tcBorders>
                    <w:top w:val="single" w:color="auto" w:sz="8" w:space="0"/>
                    <w:left w:val="single" w:color="auto" w:sz="4" w:space="0"/>
                    <w:right w:val="nil"/>
                  </w:tcBorders>
                  <w:vAlign w:val="center"/>
                </w:tcPr>
                <w:p w14:paraId="0AA785C0">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取较大值100</w:t>
                  </w:r>
                </w:p>
              </w:tc>
            </w:tr>
            <w:tr w14:paraId="447DA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321" w:type="pct"/>
                  <w:vMerge w:val="continue"/>
                  <w:tcBorders>
                    <w:left w:val="nil"/>
                    <w:bottom w:val="single" w:color="auto" w:sz="8" w:space="0"/>
                    <w:right w:val="single" w:color="auto" w:sz="4" w:space="0"/>
                  </w:tcBorders>
                  <w:vAlign w:val="center"/>
                </w:tcPr>
                <w:p w14:paraId="5F643F96">
                  <w:pPr>
                    <w:pStyle w:val="81"/>
                    <w:keepNext w:val="0"/>
                    <w:keepLines w:val="0"/>
                    <w:suppressLineNumbers w:val="0"/>
                    <w:spacing w:before="0" w:beforeAutospacing="0" w:after="0" w:afterAutospacing="0"/>
                    <w:ind w:left="0" w:leftChars="0" w:right="-16" w:rightChars="0"/>
                    <w:jc w:val="center"/>
                    <w:rPr>
                      <w:rFonts w:hint="default" w:ascii="Times New Roman" w:hAnsi="Times New Roman" w:eastAsia="宋体" w:cs="Times New Roman"/>
                      <w:color w:val="auto"/>
                      <w:kern w:val="0"/>
                      <w:sz w:val="21"/>
                      <w:szCs w:val="24"/>
                      <w:highlight w:val="none"/>
                      <w:lang w:val="en-US" w:eastAsia="zh-CN" w:bidi="ar-SA"/>
                    </w:rPr>
                  </w:pPr>
                </w:p>
              </w:tc>
              <w:tc>
                <w:tcPr>
                  <w:tcW w:w="515" w:type="pct"/>
                  <w:tcBorders>
                    <w:top w:val="single" w:color="auto" w:sz="8" w:space="0"/>
                    <w:left w:val="single" w:color="auto" w:sz="4" w:space="0"/>
                    <w:bottom w:val="single" w:color="auto" w:sz="8" w:space="0"/>
                    <w:right w:val="single" w:color="auto" w:sz="8" w:space="0"/>
                  </w:tcBorders>
                  <w:vAlign w:val="center"/>
                </w:tcPr>
                <w:p w14:paraId="082CC8F2">
                  <w:pPr>
                    <w:pStyle w:val="81"/>
                    <w:keepNext w:val="0"/>
                    <w:keepLines w:val="0"/>
                    <w:suppressLineNumbers w:val="0"/>
                    <w:spacing w:before="0" w:beforeAutospacing="0" w:after="0" w:afterAutospacing="0"/>
                    <w:ind w:left="0" w:leftChars="0" w:right="-16" w:rightChars="0"/>
                    <w:jc w:val="center"/>
                    <w:rPr>
                      <w:rFonts w:hint="default" w:ascii="宋体" w:hAnsi="宋体" w:eastAsia="宋体" w:cs="宋体"/>
                      <w:color w:val="auto"/>
                      <w:sz w:val="21"/>
                      <w:highlight w:val="none"/>
                    </w:rPr>
                  </w:pPr>
                  <w:r>
                    <w:rPr>
                      <w:rFonts w:hint="default" w:ascii="宋体" w:hAnsi="宋体" w:eastAsia="宋体" w:cs="宋体"/>
                      <w:color w:val="auto"/>
                      <w:sz w:val="21"/>
                      <w:highlight w:val="none"/>
                    </w:rPr>
                    <w:t>屠宰区</w:t>
                  </w:r>
                </w:p>
              </w:tc>
              <w:tc>
                <w:tcPr>
                  <w:tcW w:w="536" w:type="pct"/>
                  <w:tcBorders>
                    <w:top w:val="single" w:color="auto" w:sz="8" w:space="0"/>
                    <w:left w:val="single" w:color="auto" w:sz="8" w:space="0"/>
                    <w:bottom w:val="single" w:color="auto" w:sz="8" w:space="0"/>
                    <w:right w:val="single" w:color="auto" w:sz="8" w:space="0"/>
                  </w:tcBorders>
                  <w:vAlign w:val="center"/>
                </w:tcPr>
                <w:p w14:paraId="0405E9CB">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596" w:type="pct"/>
                  <w:tcBorders>
                    <w:top w:val="single" w:color="auto" w:sz="8" w:space="0"/>
                    <w:left w:val="single" w:color="auto" w:sz="8" w:space="0"/>
                    <w:bottom w:val="single" w:color="auto" w:sz="8" w:space="0"/>
                    <w:right w:val="single" w:color="auto" w:sz="8" w:space="0"/>
                  </w:tcBorders>
                  <w:vAlign w:val="center"/>
                </w:tcPr>
                <w:p w14:paraId="77A3B03A">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w:t>
                  </w:r>
                  <w:r>
                    <w:rPr>
                      <w:rFonts w:hint="eastAsia" w:cs="Times New Roman"/>
                      <w:color w:val="auto"/>
                      <w:sz w:val="21"/>
                      <w:szCs w:val="21"/>
                      <w:highlight w:val="none"/>
                      <w:lang w:val="en-US" w:eastAsia="zh-CN"/>
                    </w:rPr>
                    <w:t>7</w:t>
                  </w:r>
                </w:p>
              </w:tc>
              <w:tc>
                <w:tcPr>
                  <w:tcW w:w="650" w:type="pct"/>
                  <w:tcBorders>
                    <w:top w:val="single" w:color="auto" w:sz="8" w:space="0"/>
                    <w:left w:val="single" w:color="auto" w:sz="8" w:space="0"/>
                    <w:bottom w:val="single" w:color="auto" w:sz="8" w:space="0"/>
                    <w:right w:val="single" w:color="auto" w:sz="8" w:space="0"/>
                  </w:tcBorders>
                  <w:vAlign w:val="center"/>
                </w:tcPr>
                <w:p w14:paraId="329553C2">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259.5</w:t>
                  </w:r>
                </w:p>
              </w:tc>
              <w:tc>
                <w:tcPr>
                  <w:tcW w:w="471" w:type="pct"/>
                  <w:tcBorders>
                    <w:top w:val="single" w:color="auto" w:sz="8" w:space="0"/>
                    <w:left w:val="single" w:color="auto" w:sz="8" w:space="0"/>
                    <w:bottom w:val="single" w:color="auto" w:sz="8" w:space="0"/>
                    <w:right w:val="single" w:color="auto" w:sz="8" w:space="0"/>
                  </w:tcBorders>
                  <w:vAlign w:val="center"/>
                </w:tcPr>
                <w:p w14:paraId="3341FEF4">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6.3</w:t>
                  </w:r>
                </w:p>
              </w:tc>
              <w:tc>
                <w:tcPr>
                  <w:tcW w:w="539" w:type="pct"/>
                  <w:tcBorders>
                    <w:top w:val="single" w:color="auto" w:sz="8" w:space="0"/>
                    <w:left w:val="single" w:color="auto" w:sz="8" w:space="0"/>
                    <w:bottom w:val="single" w:color="auto" w:sz="8" w:space="0"/>
                    <w:right w:val="single" w:color="auto" w:sz="8" w:space="0"/>
                  </w:tcBorders>
                  <w:vAlign w:val="center"/>
                </w:tcPr>
                <w:p w14:paraId="3218ED83">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0.2</w:t>
                  </w:r>
                </w:p>
              </w:tc>
              <w:tc>
                <w:tcPr>
                  <w:tcW w:w="632" w:type="pct"/>
                  <w:tcBorders>
                    <w:top w:val="single" w:color="auto" w:sz="8" w:space="0"/>
                    <w:left w:val="single" w:color="auto" w:sz="8" w:space="0"/>
                    <w:bottom w:val="single" w:color="auto" w:sz="8" w:space="0"/>
                    <w:right w:val="single" w:color="auto" w:sz="8" w:space="0"/>
                  </w:tcBorders>
                  <w:vAlign w:val="center"/>
                </w:tcPr>
                <w:p w14:paraId="4B98D054">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40</w:t>
                  </w:r>
                </w:p>
              </w:tc>
              <w:tc>
                <w:tcPr>
                  <w:tcW w:w="332" w:type="pct"/>
                  <w:tcBorders>
                    <w:top w:val="single" w:color="auto" w:sz="8" w:space="0"/>
                    <w:left w:val="single" w:color="auto" w:sz="8" w:space="0"/>
                    <w:bottom w:val="single" w:color="auto" w:sz="8" w:space="0"/>
                    <w:right w:val="single" w:color="auto" w:sz="4" w:space="0"/>
                  </w:tcBorders>
                  <w:vAlign w:val="center"/>
                </w:tcPr>
                <w:p w14:paraId="378D164B">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lang w:val="en-US" w:eastAsia="zh-CN" w:bidi="ar-SA"/>
                    </w:rPr>
                    <w:t>50</w:t>
                  </w:r>
                </w:p>
              </w:tc>
              <w:tc>
                <w:tcPr>
                  <w:tcW w:w="403" w:type="pct"/>
                  <w:vMerge w:val="continue"/>
                  <w:tcBorders>
                    <w:left w:val="single" w:color="auto" w:sz="4" w:space="0"/>
                    <w:bottom w:val="single" w:color="auto" w:sz="8" w:space="0"/>
                    <w:right w:val="nil"/>
                  </w:tcBorders>
                  <w:vAlign w:val="center"/>
                </w:tcPr>
                <w:p w14:paraId="341FFA76">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p>
              </w:tc>
            </w:tr>
            <w:tr w14:paraId="2784F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6" w:type="pct"/>
                  <w:gridSpan w:val="2"/>
                  <w:tcBorders>
                    <w:top w:val="single" w:color="auto" w:sz="8" w:space="0"/>
                    <w:left w:val="nil"/>
                    <w:bottom w:val="single" w:color="auto" w:sz="12" w:space="0"/>
                    <w:right w:val="single" w:color="auto" w:sz="8" w:space="0"/>
                  </w:tcBorders>
                  <w:vAlign w:val="center"/>
                </w:tcPr>
                <w:p w14:paraId="4C8A12B6">
                  <w:pPr>
                    <w:pStyle w:val="81"/>
                    <w:keepNext w:val="0"/>
                    <w:keepLines w:val="0"/>
                    <w:suppressLineNumbers w:val="0"/>
                    <w:spacing w:before="0" w:beforeAutospacing="0" w:after="0" w:afterAutospacing="0"/>
                    <w:ind w:left="0" w:leftChars="0" w:right="-16" w:right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宋体" w:hAnsi="宋体" w:eastAsia="宋体" w:cs="宋体"/>
                      <w:color w:val="auto"/>
                      <w:sz w:val="21"/>
                      <w:highlight w:val="none"/>
                    </w:rPr>
                    <w:t>污水处理站</w:t>
                  </w:r>
                </w:p>
              </w:tc>
              <w:tc>
                <w:tcPr>
                  <w:tcW w:w="536" w:type="pct"/>
                  <w:tcBorders>
                    <w:top w:val="single" w:color="auto" w:sz="8" w:space="0"/>
                    <w:left w:val="single" w:color="auto" w:sz="8" w:space="0"/>
                    <w:bottom w:val="single" w:color="auto" w:sz="12" w:space="0"/>
                    <w:right w:val="single" w:color="auto" w:sz="8" w:space="0"/>
                  </w:tcBorders>
                  <w:vAlign w:val="center"/>
                </w:tcPr>
                <w:p w14:paraId="601943C1">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p>
              </w:tc>
              <w:tc>
                <w:tcPr>
                  <w:tcW w:w="596" w:type="pct"/>
                  <w:tcBorders>
                    <w:top w:val="single" w:color="auto" w:sz="8" w:space="0"/>
                    <w:left w:val="single" w:color="auto" w:sz="8" w:space="0"/>
                    <w:bottom w:val="single" w:color="auto" w:sz="12" w:space="0"/>
                    <w:right w:val="single" w:color="auto" w:sz="8" w:space="0"/>
                  </w:tcBorders>
                  <w:vAlign w:val="center"/>
                </w:tcPr>
                <w:p w14:paraId="032A5B62">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0.000106735</w:t>
                  </w:r>
                </w:p>
              </w:tc>
              <w:tc>
                <w:tcPr>
                  <w:tcW w:w="650" w:type="pct"/>
                  <w:tcBorders>
                    <w:top w:val="single" w:color="auto" w:sz="8" w:space="0"/>
                    <w:left w:val="single" w:color="auto" w:sz="8" w:space="0"/>
                    <w:bottom w:val="single" w:color="auto" w:sz="12" w:space="0"/>
                    <w:right w:val="single" w:color="auto" w:sz="8" w:space="0"/>
                  </w:tcBorders>
                  <w:vAlign w:val="center"/>
                </w:tcPr>
                <w:p w14:paraId="707577E6">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15</w:t>
                  </w:r>
                </w:p>
              </w:tc>
              <w:tc>
                <w:tcPr>
                  <w:tcW w:w="471" w:type="pct"/>
                  <w:tcBorders>
                    <w:top w:val="single" w:color="auto" w:sz="8" w:space="0"/>
                    <w:left w:val="single" w:color="auto" w:sz="8" w:space="0"/>
                    <w:bottom w:val="single" w:color="auto" w:sz="12" w:space="0"/>
                    <w:right w:val="single" w:color="auto" w:sz="8" w:space="0"/>
                  </w:tcBorders>
                  <w:vAlign w:val="center"/>
                </w:tcPr>
                <w:p w14:paraId="651BD99D">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3</w:t>
                  </w:r>
                </w:p>
              </w:tc>
              <w:tc>
                <w:tcPr>
                  <w:tcW w:w="539" w:type="pct"/>
                  <w:tcBorders>
                    <w:top w:val="single" w:color="auto" w:sz="8" w:space="0"/>
                    <w:left w:val="single" w:color="auto" w:sz="8" w:space="0"/>
                    <w:bottom w:val="single" w:color="auto" w:sz="12" w:space="0"/>
                    <w:right w:val="single" w:color="auto" w:sz="8" w:space="0"/>
                  </w:tcBorders>
                  <w:vAlign w:val="center"/>
                </w:tcPr>
                <w:p w14:paraId="2A7E6AF7">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0.2</w:t>
                  </w:r>
                </w:p>
              </w:tc>
              <w:tc>
                <w:tcPr>
                  <w:tcW w:w="632" w:type="pct"/>
                  <w:tcBorders>
                    <w:top w:val="single" w:color="auto" w:sz="8" w:space="0"/>
                    <w:left w:val="single" w:color="auto" w:sz="8" w:space="0"/>
                    <w:bottom w:val="single" w:color="auto" w:sz="12" w:space="0"/>
                    <w:right w:val="single" w:color="auto" w:sz="8" w:space="0"/>
                  </w:tcBorders>
                  <w:vAlign w:val="center"/>
                </w:tcPr>
                <w:p w14:paraId="2D1693BF">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56</w:t>
                  </w:r>
                </w:p>
              </w:tc>
              <w:tc>
                <w:tcPr>
                  <w:tcW w:w="736" w:type="pct"/>
                  <w:gridSpan w:val="2"/>
                  <w:tcBorders>
                    <w:top w:val="single" w:color="auto" w:sz="8" w:space="0"/>
                    <w:left w:val="single" w:color="auto" w:sz="8" w:space="0"/>
                    <w:bottom w:val="single" w:color="auto" w:sz="12" w:space="0"/>
                    <w:right w:val="nil"/>
                  </w:tcBorders>
                  <w:vAlign w:val="center"/>
                </w:tcPr>
                <w:p w14:paraId="4E2E9EF5">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100</w:t>
                  </w:r>
                </w:p>
              </w:tc>
            </w:tr>
            <w:tr w14:paraId="0B729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6" w:type="pct"/>
                  <w:gridSpan w:val="2"/>
                  <w:tcBorders>
                    <w:top w:val="single" w:color="auto" w:sz="8" w:space="0"/>
                    <w:left w:val="nil"/>
                    <w:bottom w:val="single" w:color="auto" w:sz="12" w:space="0"/>
                    <w:right w:val="single" w:color="auto" w:sz="8" w:space="0"/>
                  </w:tcBorders>
                  <w:vAlign w:val="center"/>
                </w:tcPr>
                <w:p w14:paraId="42820E1E">
                  <w:pPr>
                    <w:pStyle w:val="81"/>
                    <w:keepNext w:val="0"/>
                    <w:keepLines w:val="0"/>
                    <w:suppressLineNumbers w:val="0"/>
                    <w:spacing w:before="0" w:beforeAutospacing="0" w:after="0" w:afterAutospacing="0"/>
                    <w:ind w:left="0" w:leftChars="0" w:right="-16" w:rightChars="0"/>
                    <w:jc w:val="center"/>
                    <w:rPr>
                      <w:rFonts w:hint="default" w:ascii="Times New Roman" w:hAnsi="Times New Roman" w:eastAsia="宋体" w:cs="Times New Roman"/>
                      <w:color w:val="auto"/>
                      <w:kern w:val="0"/>
                      <w:sz w:val="21"/>
                      <w:szCs w:val="24"/>
                      <w:highlight w:val="none"/>
                      <w:lang w:val="en-US" w:eastAsia="zh-CN" w:bidi="ar-SA"/>
                    </w:rPr>
                  </w:pPr>
                  <w:r>
                    <w:rPr>
                      <w:rFonts w:hint="default" w:ascii="宋体" w:hAnsi="宋体" w:eastAsia="宋体" w:cs="宋体"/>
                      <w:color w:val="auto"/>
                      <w:sz w:val="21"/>
                      <w:highlight w:val="none"/>
                    </w:rPr>
                    <w:t>猪粪、猪毛及肠内容物暂存间</w:t>
                  </w:r>
                </w:p>
              </w:tc>
              <w:tc>
                <w:tcPr>
                  <w:tcW w:w="536" w:type="pct"/>
                  <w:tcBorders>
                    <w:top w:val="single" w:color="auto" w:sz="8" w:space="0"/>
                    <w:left w:val="single" w:color="auto" w:sz="8" w:space="0"/>
                    <w:bottom w:val="single" w:color="auto" w:sz="12" w:space="0"/>
                    <w:right w:val="single" w:color="auto" w:sz="8" w:space="0"/>
                  </w:tcBorders>
                  <w:vAlign w:val="center"/>
                </w:tcPr>
                <w:p w14:paraId="1F3856AC">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rPr>
                    <w:t>H</w:t>
                  </w:r>
                  <w:r>
                    <w:rPr>
                      <w:rFonts w:hint="default" w:ascii="Times New Roman" w:hAnsi="Times New Roman" w:eastAsia="宋体" w:cs="Times New Roman"/>
                      <w:color w:val="auto"/>
                      <w:sz w:val="21"/>
                      <w:szCs w:val="21"/>
                      <w:highlight w:val="none"/>
                      <w:vertAlign w:val="subscript"/>
                    </w:rPr>
                    <w:t>2</w:t>
                  </w:r>
                  <w:r>
                    <w:rPr>
                      <w:rFonts w:hint="default" w:ascii="Times New Roman" w:hAnsi="Times New Roman" w:eastAsia="宋体" w:cs="Times New Roman"/>
                      <w:color w:val="auto"/>
                      <w:sz w:val="21"/>
                      <w:szCs w:val="21"/>
                      <w:highlight w:val="none"/>
                    </w:rPr>
                    <w:t>S</w:t>
                  </w:r>
                </w:p>
              </w:tc>
              <w:tc>
                <w:tcPr>
                  <w:tcW w:w="596" w:type="pct"/>
                  <w:tcBorders>
                    <w:top w:val="single" w:color="auto" w:sz="8" w:space="0"/>
                    <w:left w:val="single" w:color="auto" w:sz="8" w:space="0"/>
                    <w:bottom w:val="single" w:color="auto" w:sz="12" w:space="0"/>
                    <w:right w:val="single" w:color="auto" w:sz="8" w:space="0"/>
                  </w:tcBorders>
                  <w:vAlign w:val="center"/>
                </w:tcPr>
                <w:p w14:paraId="2E2D455D">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i w:val="0"/>
                      <w:iCs w:val="0"/>
                      <w:color w:val="auto"/>
                      <w:kern w:val="0"/>
                      <w:sz w:val="21"/>
                      <w:szCs w:val="21"/>
                      <w:highlight w:val="none"/>
                      <w:u w:val="none"/>
                      <w:lang w:val="en-US" w:eastAsia="zh-CN" w:bidi="ar"/>
                    </w:rPr>
                    <w:t>5.13699</w:t>
                  </w:r>
                  <w:r>
                    <w:rPr>
                      <w:rFonts w:hint="default" w:ascii="Times New Roman" w:hAnsi="Times New Roman" w:eastAsia="宋体" w:cs="Times New Roman"/>
                      <w:i w:val="0"/>
                      <w:iCs w:val="0"/>
                      <w:color w:val="auto"/>
                      <w:kern w:val="0"/>
                      <w:sz w:val="21"/>
                      <w:szCs w:val="21"/>
                      <w:highlight w:val="none"/>
                      <w:u w:val="none"/>
                      <w:lang w:val="en-US" w:eastAsia="zh-CN" w:bidi="ar"/>
                    </w:rPr>
                    <w:t>E-07</w:t>
                  </w:r>
                </w:p>
              </w:tc>
              <w:tc>
                <w:tcPr>
                  <w:tcW w:w="650" w:type="pct"/>
                  <w:tcBorders>
                    <w:top w:val="single" w:color="auto" w:sz="8" w:space="0"/>
                    <w:left w:val="single" w:color="auto" w:sz="8" w:space="0"/>
                    <w:bottom w:val="single" w:color="auto" w:sz="12" w:space="0"/>
                    <w:right w:val="single" w:color="auto" w:sz="8" w:space="0"/>
                  </w:tcBorders>
                  <w:vAlign w:val="center"/>
                </w:tcPr>
                <w:p w14:paraId="152317A5">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10</w:t>
                  </w:r>
                </w:p>
              </w:tc>
              <w:tc>
                <w:tcPr>
                  <w:tcW w:w="471" w:type="pct"/>
                  <w:tcBorders>
                    <w:top w:val="single" w:color="auto" w:sz="8" w:space="0"/>
                    <w:left w:val="single" w:color="auto" w:sz="8" w:space="0"/>
                    <w:bottom w:val="single" w:color="auto" w:sz="12" w:space="0"/>
                    <w:right w:val="single" w:color="auto" w:sz="8" w:space="0"/>
                  </w:tcBorders>
                  <w:vAlign w:val="center"/>
                </w:tcPr>
                <w:p w14:paraId="04D8BD4D">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2.5</w:t>
                  </w:r>
                </w:p>
              </w:tc>
              <w:tc>
                <w:tcPr>
                  <w:tcW w:w="539" w:type="pct"/>
                  <w:tcBorders>
                    <w:top w:val="single" w:color="auto" w:sz="8" w:space="0"/>
                    <w:left w:val="single" w:color="auto" w:sz="8" w:space="0"/>
                    <w:bottom w:val="single" w:color="auto" w:sz="12" w:space="0"/>
                    <w:right w:val="single" w:color="auto" w:sz="8" w:space="0"/>
                  </w:tcBorders>
                  <w:vAlign w:val="center"/>
                </w:tcPr>
                <w:p w14:paraId="2945E20B">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color w:val="auto"/>
                      <w:kern w:val="0"/>
                      <w:sz w:val="21"/>
                      <w:szCs w:val="24"/>
                      <w:highlight w:val="none"/>
                      <w:lang w:val="en-US" w:eastAsia="zh-CN" w:bidi="ar-SA"/>
                    </w:rPr>
                    <w:t>0.01</w:t>
                  </w:r>
                </w:p>
              </w:tc>
              <w:tc>
                <w:tcPr>
                  <w:tcW w:w="632" w:type="pct"/>
                  <w:tcBorders>
                    <w:top w:val="single" w:color="auto" w:sz="8" w:space="0"/>
                    <w:left w:val="single" w:color="auto" w:sz="8" w:space="0"/>
                    <w:bottom w:val="single" w:color="auto" w:sz="12" w:space="0"/>
                    <w:right w:val="single" w:color="auto" w:sz="8" w:space="0"/>
                  </w:tcBorders>
                  <w:vAlign w:val="center"/>
                </w:tcPr>
                <w:p w14:paraId="76A8C9EB">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57</w:t>
                  </w:r>
                </w:p>
              </w:tc>
              <w:tc>
                <w:tcPr>
                  <w:tcW w:w="736" w:type="pct"/>
                  <w:gridSpan w:val="2"/>
                  <w:tcBorders>
                    <w:top w:val="single" w:color="auto" w:sz="8" w:space="0"/>
                    <w:left w:val="single" w:color="auto" w:sz="8" w:space="0"/>
                    <w:bottom w:val="single" w:color="auto" w:sz="12" w:space="0"/>
                    <w:right w:val="nil"/>
                  </w:tcBorders>
                  <w:vAlign w:val="center"/>
                </w:tcPr>
                <w:p w14:paraId="35A1248B">
                  <w:pPr>
                    <w:keepNext w:val="0"/>
                    <w:keepLines w:val="0"/>
                    <w:widowControl w:val="0"/>
                    <w:suppressLineNumbers w:val="0"/>
                    <w:autoSpaceDE w:val="0"/>
                    <w:autoSpaceDN w:val="0"/>
                    <w:adjustRightInd w:val="0"/>
                    <w:spacing w:before="0" w:beforeAutospacing="0" w:after="0" w:afterAutospacing="0" w:line="240" w:lineRule="auto"/>
                    <w:ind w:left="0" w:right="-16" w:firstLine="0" w:firstLineChars="0"/>
                    <w:jc w:val="center"/>
                    <w:rPr>
                      <w:rFonts w:hint="default" w:ascii="Times New Roman" w:hAnsi="Times New Roman" w:eastAsia="宋体" w:cs="Times New Roman"/>
                      <w:color w:val="auto"/>
                      <w:kern w:val="0"/>
                      <w:sz w:val="21"/>
                      <w:szCs w:val="24"/>
                      <w:highlight w:val="none"/>
                      <w:lang w:val="en-US" w:eastAsia="zh-CN" w:bidi="ar-SA"/>
                    </w:rPr>
                  </w:pPr>
                  <w:r>
                    <w:rPr>
                      <w:rFonts w:hint="eastAsia" w:cs="Times New Roman"/>
                      <w:color w:val="auto"/>
                      <w:kern w:val="0"/>
                      <w:sz w:val="21"/>
                      <w:szCs w:val="24"/>
                      <w:highlight w:val="none"/>
                      <w:lang w:val="en-US" w:eastAsia="zh-CN" w:bidi="ar-SA"/>
                    </w:rPr>
                    <w:t>100</w:t>
                  </w:r>
                </w:p>
              </w:tc>
            </w:tr>
          </w:tbl>
          <w:p w14:paraId="25B5EF7A">
            <w:pPr>
              <w:wordWrap w:val="0"/>
              <w:spacing w:line="440" w:lineRule="exact"/>
              <w:ind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rPr>
              <w:t>由上表计算可知，本项目以</w:t>
            </w:r>
            <w:r>
              <w:rPr>
                <w:rFonts w:hint="eastAsia" w:cs="Times New Roman"/>
                <w:color w:val="auto"/>
                <w:sz w:val="24"/>
                <w:szCs w:val="24"/>
                <w:highlight w:val="none"/>
                <w:lang w:val="en-US" w:eastAsia="zh-CN"/>
              </w:rPr>
              <w:t>屠宰与分割车间</w:t>
            </w:r>
            <w:r>
              <w:rPr>
                <w:rFonts w:hint="eastAsia" w:ascii="Times New Roman" w:hAnsi="Times New Roman" w:eastAsia="宋体" w:cs="Times New Roman"/>
                <w:color w:val="auto"/>
                <w:sz w:val="24"/>
                <w:szCs w:val="24"/>
                <w:highlight w:val="none"/>
              </w:rPr>
              <w:t>、污水处理站</w:t>
            </w:r>
            <w:r>
              <w:rPr>
                <w:rFonts w:hint="eastAsia" w:ascii="Times New Roman" w:hAnsi="Times New Roman" w:eastAsia="宋体" w:cs="Times New Roman"/>
                <w:color w:val="auto"/>
                <w:sz w:val="24"/>
                <w:szCs w:val="24"/>
                <w:highlight w:val="none"/>
                <w:lang w:eastAsia="zh-CN"/>
              </w:rPr>
              <w:t>、猪粪、猪毛及肠内容物暂存间</w:t>
            </w:r>
            <w:r>
              <w:rPr>
                <w:rFonts w:hint="eastAsia" w:ascii="Times New Roman" w:hAnsi="Times New Roman" w:eastAsia="宋体" w:cs="Times New Roman"/>
                <w:color w:val="auto"/>
                <w:sz w:val="24"/>
                <w:szCs w:val="24"/>
                <w:highlight w:val="none"/>
              </w:rPr>
              <w:t>边界为中心划定</w:t>
            </w:r>
            <w:r>
              <w:rPr>
                <w:rFonts w:hint="eastAsia" w:cs="Times New Roman"/>
                <w:color w:val="auto"/>
                <w:sz w:val="24"/>
                <w:szCs w:val="24"/>
                <w:highlight w:val="none"/>
                <w:lang w:val="en-US" w:eastAsia="zh-CN"/>
              </w:rPr>
              <w:t>100</w:t>
            </w:r>
            <w:r>
              <w:rPr>
                <w:rFonts w:hint="eastAsia" w:ascii="Times New Roman" w:hAnsi="Times New Roman" w:eastAsia="宋体" w:cs="Times New Roman"/>
                <w:color w:val="auto"/>
                <w:sz w:val="24"/>
                <w:szCs w:val="24"/>
                <w:highlight w:val="none"/>
              </w:rPr>
              <w:t>m</w:t>
            </w:r>
            <w:r>
              <w:rPr>
                <w:rFonts w:hint="eastAsia"/>
                <w:color w:val="auto"/>
                <w:highlight w:val="none"/>
                <w:lang w:eastAsia="zh-CN"/>
              </w:rPr>
              <w:t>。</w:t>
            </w:r>
          </w:p>
          <w:p w14:paraId="382B4E8E">
            <w:pPr>
              <w:wordWrap w:val="0"/>
              <w:spacing w:line="440" w:lineRule="exact"/>
              <w:ind w:firstLine="480" w:firstLineChars="200"/>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color w:val="auto"/>
                <w:sz w:val="24"/>
                <w:szCs w:val="24"/>
                <w:highlight w:val="none"/>
              </w:rPr>
              <w:t>卫生防护距离的执行：</w:t>
            </w:r>
            <w:r>
              <w:rPr>
                <w:rFonts w:hint="eastAsia" w:ascii="Times New Roman" w:hAnsi="Times New Roman" w:eastAsia="宋体" w:cs="Times New Roman"/>
                <w:color w:val="auto"/>
                <w:sz w:val="24"/>
                <w:szCs w:val="24"/>
                <w:highlight w:val="none"/>
                <w:u w:val="single"/>
              </w:rPr>
              <w:t>该距离内不得建设为“城市和城镇居民区，包括文教科研区、医疗区、商业区、工业区、游览区等人口集中区”等禁建设施</w:t>
            </w:r>
            <w:r>
              <w:rPr>
                <w:rFonts w:hint="eastAsia" w:ascii="Times New Roman" w:hAnsi="Times New Roman" w:eastAsia="宋体" w:cs="Times New Roman"/>
                <w:color w:val="auto"/>
                <w:sz w:val="24"/>
                <w:szCs w:val="24"/>
                <w:highlight w:val="none"/>
              </w:rPr>
              <w:t>。根据现场踏勘调查，本项目卫生防护距离</w:t>
            </w:r>
            <w:r>
              <w:rPr>
                <w:rFonts w:hint="eastAsia" w:cs="Times New Roman"/>
                <w:color w:val="auto"/>
                <w:sz w:val="24"/>
                <w:szCs w:val="24"/>
                <w:highlight w:val="none"/>
                <w:lang w:val="en-US" w:eastAsia="zh-CN"/>
              </w:rPr>
              <w:t>100</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rPr>
              <w:t>范围内有</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rPr>
              <w:t>栋农户自用房</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见测绘图</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，拟由公司长期租赁用作项目</w:t>
            </w:r>
            <w:r>
              <w:rPr>
                <w:rFonts w:hint="eastAsia" w:ascii="Times New Roman" w:hAnsi="Times New Roman" w:eastAsia="宋体" w:cs="Times New Roman"/>
                <w:color w:val="auto"/>
                <w:sz w:val="24"/>
                <w:szCs w:val="24"/>
                <w:highlight w:val="none"/>
                <w:lang w:eastAsia="zh-CN"/>
              </w:rPr>
              <w:t>生产管理用房</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详见附件协议</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项目建成后，卫生防护距离范围内无学校、居民、医疗卫生、行政办公等环境敏感目标，本项目无环保搬迁。且环评要求：在卫生防护距离范围内不得规划新建集中居民区、医院、学校及食品医药加工企业等易受本项目恶臭影响的建设项目。</w:t>
            </w:r>
            <w:r>
              <w:rPr>
                <w:rFonts w:hint="eastAsia" w:cs="Times New Roman"/>
                <w:color w:val="auto"/>
                <w:sz w:val="24"/>
                <w:szCs w:val="24"/>
                <w:highlight w:val="none"/>
                <w:lang w:val="en-US" w:eastAsia="zh-CN"/>
              </w:rPr>
              <w:t>磨西镇人民政府已出文，对卫生防护距离内房屋租赁情况进行说明，对未来规划情况进行承诺（详见附件）。同时，项目对周边村民发放了20份公众调查表，未收到反对意见。</w:t>
            </w:r>
          </w:p>
        </w:tc>
      </w:tr>
    </w:tbl>
    <w:p w14:paraId="03CF101F">
      <w:pPr>
        <w:rPr>
          <w:rFonts w:hint="default" w:ascii="Times New Roman" w:hAnsi="Times New Roman" w:eastAsia="宋体" w:cs="Times New Roman"/>
          <w:color w:val="auto"/>
          <w:highlight w:val="none"/>
          <w:lang w:val="en-US" w:eastAsia="zh-CN"/>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52"/>
        <w:gridCol w:w="8629"/>
      </w:tblGrid>
      <w:tr w14:paraId="224D34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078" w:hRule="atLeast"/>
          <w:jc w:val="center"/>
        </w:trPr>
        <w:tc>
          <w:tcPr>
            <w:tcW w:w="352" w:type="dxa"/>
            <w:tcMar>
              <w:left w:w="28" w:type="dxa"/>
              <w:right w:w="28" w:type="dxa"/>
            </w:tcMar>
            <w:vAlign w:val="center"/>
          </w:tcPr>
          <w:p w14:paraId="7B16FDC5">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运营</w:t>
            </w:r>
          </w:p>
          <w:p w14:paraId="7C8191F7">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期环</w:t>
            </w:r>
          </w:p>
          <w:p w14:paraId="6605F53E">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境影</w:t>
            </w:r>
          </w:p>
          <w:p w14:paraId="6A1987D2">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响和</w:t>
            </w:r>
          </w:p>
          <w:p w14:paraId="5C6E28AA">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保护</w:t>
            </w:r>
          </w:p>
          <w:p w14:paraId="24AFE77D">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bCs/>
                <w:color w:val="auto"/>
                <w:szCs w:val="24"/>
                <w:highlight w:val="none"/>
              </w:rPr>
              <w:t>措施</w:t>
            </w:r>
          </w:p>
        </w:tc>
        <w:tc>
          <w:tcPr>
            <w:tcW w:w="8629" w:type="dxa"/>
            <w:vAlign w:val="center"/>
          </w:tcPr>
          <w:p w14:paraId="040286C7">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公众参与基本信息统计表</w:t>
            </w:r>
          </w:p>
          <w:tbl>
            <w:tblPr>
              <w:tblStyle w:val="32"/>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090"/>
              <w:gridCol w:w="1700"/>
              <w:gridCol w:w="1888"/>
              <w:gridCol w:w="1819"/>
              <w:gridCol w:w="1262"/>
            </w:tblGrid>
            <w:tr w14:paraId="35425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12" w:space="0"/>
                    <w:bottom w:val="single" w:color="auto" w:sz="6" w:space="0"/>
                    <w:right w:val="single" w:color="auto" w:sz="6" w:space="0"/>
                  </w:tcBorders>
                  <w:shd w:val="clear" w:color="auto" w:fill="auto"/>
                  <w:noWrap w:val="0"/>
                  <w:vAlign w:val="center"/>
                </w:tcPr>
                <w:p w14:paraId="3C540963">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652" w:type="pct"/>
                  <w:tcBorders>
                    <w:top w:val="single" w:color="auto" w:sz="12" w:space="0"/>
                    <w:left w:val="single" w:color="auto" w:sz="6" w:space="0"/>
                    <w:bottom w:val="single" w:color="auto" w:sz="6" w:space="0"/>
                    <w:right w:val="single" w:color="auto" w:sz="6" w:space="0"/>
                  </w:tcBorders>
                  <w:shd w:val="clear" w:color="auto" w:fill="auto"/>
                  <w:noWrap w:val="0"/>
                  <w:vAlign w:val="center"/>
                </w:tcPr>
                <w:p w14:paraId="05933386">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姓名</w:t>
                  </w:r>
                </w:p>
              </w:tc>
              <w:tc>
                <w:tcPr>
                  <w:tcW w:w="1017" w:type="pct"/>
                  <w:tcBorders>
                    <w:top w:val="single" w:color="auto" w:sz="12" w:space="0"/>
                    <w:left w:val="single" w:color="auto" w:sz="6" w:space="0"/>
                    <w:bottom w:val="single" w:color="auto" w:sz="6" w:space="0"/>
                    <w:right w:val="single" w:color="auto" w:sz="6" w:space="0"/>
                  </w:tcBorders>
                  <w:shd w:val="clear" w:color="auto" w:fill="auto"/>
                  <w:noWrap w:val="0"/>
                  <w:vAlign w:val="center"/>
                </w:tcPr>
                <w:p w14:paraId="35003F91">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联系方式</w:t>
                  </w:r>
                </w:p>
              </w:tc>
              <w:tc>
                <w:tcPr>
                  <w:tcW w:w="1130" w:type="pct"/>
                  <w:tcBorders>
                    <w:top w:val="single" w:color="auto" w:sz="12" w:space="0"/>
                    <w:left w:val="single" w:color="auto" w:sz="6" w:space="0"/>
                    <w:bottom w:val="single" w:color="auto" w:sz="6" w:space="0"/>
                    <w:right w:val="single" w:color="auto" w:sz="6" w:space="0"/>
                  </w:tcBorders>
                  <w:shd w:val="clear" w:color="auto" w:fill="auto"/>
                  <w:noWrap w:val="0"/>
                  <w:vAlign w:val="center"/>
                </w:tcPr>
                <w:p w14:paraId="65E8F65D">
                  <w:pPr>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lang w:val="en-US" w:eastAsia="zh-CN"/>
                    </w:rPr>
                    <w:t>单位名称或</w:t>
                  </w:r>
                  <w:r>
                    <w:rPr>
                      <w:rFonts w:hint="default" w:ascii="Times New Roman" w:hAnsi="Times New Roman" w:eastAsia="宋体" w:cs="Times New Roman"/>
                      <w:b/>
                      <w:color w:val="auto"/>
                      <w:sz w:val="21"/>
                      <w:szCs w:val="21"/>
                    </w:rPr>
                    <w:t>住址</w:t>
                  </w:r>
                </w:p>
              </w:tc>
              <w:tc>
                <w:tcPr>
                  <w:tcW w:w="1088" w:type="pct"/>
                  <w:tcBorders>
                    <w:top w:val="single" w:color="auto" w:sz="12" w:space="0"/>
                    <w:left w:val="single" w:color="auto" w:sz="6" w:space="0"/>
                    <w:bottom w:val="single" w:color="auto" w:sz="6" w:space="0"/>
                    <w:right w:val="single" w:color="auto" w:sz="6" w:space="0"/>
                  </w:tcBorders>
                  <w:shd w:val="clear" w:color="auto" w:fill="auto"/>
                  <w:noWrap w:val="0"/>
                  <w:vAlign w:val="center"/>
                </w:tcPr>
                <w:p w14:paraId="3B987E60">
                  <w:pPr>
                    <w:jc w:val="center"/>
                    <w:rPr>
                      <w:rFonts w:hint="default" w:ascii="Times New Roman" w:hAnsi="Times New Roman" w:eastAsia="宋体" w:cs="Times New Roman"/>
                      <w:b/>
                      <w:color w:val="auto"/>
                      <w:sz w:val="21"/>
                      <w:szCs w:val="21"/>
                      <w:lang w:val="en-US"/>
                    </w:rPr>
                  </w:pPr>
                  <w:r>
                    <w:rPr>
                      <w:rFonts w:hint="default" w:ascii="Times New Roman" w:hAnsi="Times New Roman" w:eastAsia="宋体" w:cs="Times New Roman"/>
                      <w:b/>
                      <w:color w:val="auto"/>
                      <w:sz w:val="21"/>
                      <w:szCs w:val="21"/>
                      <w:lang w:val="en-US" w:eastAsia="zh-CN"/>
                    </w:rPr>
                    <w:t>距离本项目距离（50m、100m、150m、200m范围）</w:t>
                  </w:r>
                </w:p>
              </w:tc>
              <w:tc>
                <w:tcPr>
                  <w:tcW w:w="755" w:type="pct"/>
                  <w:tcBorders>
                    <w:top w:val="single" w:color="auto" w:sz="12" w:space="0"/>
                    <w:left w:val="single" w:color="auto" w:sz="6" w:space="0"/>
                    <w:bottom w:val="single" w:color="auto" w:sz="6" w:space="0"/>
                    <w:right w:val="nil"/>
                  </w:tcBorders>
                  <w:shd w:val="clear" w:color="auto" w:fill="auto"/>
                  <w:noWrap w:val="0"/>
                  <w:vAlign w:val="center"/>
                </w:tcPr>
                <w:p w14:paraId="713AE6DD">
                  <w:pPr>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公众参与意见</w:t>
                  </w:r>
                </w:p>
              </w:tc>
            </w:tr>
            <w:tr w14:paraId="2C33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5DAA596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54D62F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周友康</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9B343B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13440182406</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9E1BB6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3B9668C">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1776D76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191EB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1680A1BA">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825956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周友荣</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9A2636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15990489334</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F13E1B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2F5165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84FBD6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0C074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7792ABE9">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48A102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姜学贵</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6CFAF4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15183613784</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283B74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98870E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1523C10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2BC05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39B621A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144170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陈启林</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728F28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13518448067</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33815A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D7495E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6C3E345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11A78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05CC4497">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227803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吴代平</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84D803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19196621529</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697DB3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8B2403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0ECA7F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3F4EC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4D701B9B">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6A4830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陈洪琼</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78E6C0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15183623894</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DD6959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E11307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E250D7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53A8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6E843654">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A1FEF4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姜德明</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05EE02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15082312311</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E88502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A58533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002B00D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30A5B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4E99CCB5">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B0BB65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陈启富</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A12F57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19981712252</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22D85B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1062D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73B73E4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3F279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198D0D46">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09AB1B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陈清洪</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42CB46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18011271235</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E9C417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CB8D42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5A72010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1B779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682F3BD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2A4774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刘忠平</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75095E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13568681945</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F2DA22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EFE6D5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0B9980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06526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2B26EDAA">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98D646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刘忠勇</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9D8BCC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13458421447</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B9B05F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D9A8F4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200</w:t>
                  </w:r>
                  <w:r>
                    <w:rPr>
                      <w:rFonts w:hint="default" w:ascii="Times New Roman" w:hAnsi="Times New Roman" w:eastAsia="宋体" w:cs="Times New Roman"/>
                      <w:color w:val="auto"/>
                      <w:kern w:val="0"/>
                      <w:sz w:val="21"/>
                      <w:szCs w:val="21"/>
                      <w:lang w:val="en-US" w:eastAsia="zh-CN"/>
                    </w:rPr>
                    <w:t>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1FE887E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1FD4A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6A1DDEC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F11994A">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陈洪斌</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FC59A5F">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18783632919</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1E0BCD6">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BEB26B1">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200m</w:t>
                  </w:r>
                  <w:r>
                    <w:rPr>
                      <w:rFonts w:hint="eastAsia" w:cs="Times New Roman"/>
                      <w:color w:val="auto"/>
                      <w:kern w:val="0"/>
                      <w:sz w:val="21"/>
                      <w:szCs w:val="21"/>
                      <w:lang w:val="en-US" w:eastAsia="zh-CN"/>
                    </w:rPr>
                    <w:t>范围内</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629083C4">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14ECB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0FD45CCB">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217F0C9">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曾树芬</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2D21547">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13548404070</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581A99A">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719E718">
                  <w:pPr>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3994EAF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无</w:t>
                  </w:r>
                </w:p>
              </w:tc>
            </w:tr>
            <w:tr w14:paraId="6E196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4B561C4D">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8076AA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邹向勒</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5D5674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13551694717</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2CF5D5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DB5FAD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16D90E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65D82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1AA976FC">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3A1E775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谭树清</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438208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18030909203</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1A8BE6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FB7748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79FC19B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7BC81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6D876432">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9E7568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任兰刚</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182E06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18048098359</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EFE271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0C440E6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B1B943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7EA80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57D1FBCF">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963209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邹山陶</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5AD08B2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19981713133</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7E6FDB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B56519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48BF41E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1DCF8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7CA0D38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A4E7ECC">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彭启刚</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340313D">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13154413827</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47B87A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D1C3A1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53B7076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62343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12C946C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E50804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熊春秀</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4D27C4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15520504789</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374BFF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6FCF7EB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3AF9C4F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r w14:paraId="2ABB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5" w:type="pct"/>
                  <w:tcBorders>
                    <w:top w:val="single" w:color="auto" w:sz="6" w:space="0"/>
                    <w:left w:val="nil"/>
                    <w:bottom w:val="single" w:color="auto" w:sz="6" w:space="0"/>
                    <w:right w:val="single" w:color="auto" w:sz="6" w:space="0"/>
                  </w:tcBorders>
                  <w:shd w:val="clear" w:color="auto" w:fill="auto"/>
                  <w:noWrap w:val="0"/>
                  <w:vAlign w:val="center"/>
                </w:tcPr>
                <w:p w14:paraId="35063D64">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652"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70F7C11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王荣</w:t>
                  </w:r>
                </w:p>
              </w:tc>
              <w:tc>
                <w:tcPr>
                  <w:tcW w:w="1017"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4096062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13754413827</w:t>
                  </w:r>
                </w:p>
              </w:tc>
              <w:tc>
                <w:tcPr>
                  <w:tcW w:w="1130"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115B045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highlight w:val="none"/>
                      <w:lang w:eastAsia="zh-CN"/>
                    </w:rPr>
                    <w:t>磨西镇磨岗岭村</w:t>
                  </w:r>
                </w:p>
              </w:tc>
              <w:tc>
                <w:tcPr>
                  <w:tcW w:w="1088" w:type="pct"/>
                  <w:tcBorders>
                    <w:top w:val="single" w:color="auto" w:sz="6" w:space="0"/>
                    <w:left w:val="single" w:color="auto" w:sz="6" w:space="0"/>
                    <w:bottom w:val="single" w:color="auto" w:sz="6" w:space="0"/>
                    <w:right w:val="single" w:color="auto" w:sz="6" w:space="0"/>
                  </w:tcBorders>
                  <w:shd w:val="clear" w:color="auto" w:fill="auto"/>
                  <w:noWrap w:val="0"/>
                  <w:vAlign w:val="center"/>
                </w:tcPr>
                <w:p w14:paraId="25FA3DC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&gt;500</w:t>
                  </w:r>
                  <w:r>
                    <w:rPr>
                      <w:rFonts w:hint="default" w:ascii="Times New Roman" w:hAnsi="Times New Roman" w:eastAsia="宋体" w:cs="Times New Roman"/>
                      <w:color w:val="auto"/>
                      <w:kern w:val="0"/>
                      <w:sz w:val="21"/>
                      <w:szCs w:val="21"/>
                      <w:lang w:val="en-US" w:eastAsia="zh-CN"/>
                    </w:rPr>
                    <w:t>m</w:t>
                  </w:r>
                </w:p>
              </w:tc>
              <w:tc>
                <w:tcPr>
                  <w:tcW w:w="755" w:type="pct"/>
                  <w:tcBorders>
                    <w:top w:val="single" w:color="auto" w:sz="6" w:space="0"/>
                    <w:left w:val="single" w:color="auto" w:sz="6" w:space="0"/>
                    <w:bottom w:val="single" w:color="auto" w:sz="6" w:space="0"/>
                    <w:right w:val="nil"/>
                  </w:tcBorders>
                  <w:shd w:val="clear" w:color="auto" w:fill="auto"/>
                  <w:noWrap w:val="0"/>
                  <w:vAlign w:val="center"/>
                </w:tcPr>
                <w:p w14:paraId="2F84626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无</w:t>
                  </w:r>
                </w:p>
              </w:tc>
            </w:tr>
          </w:tbl>
          <w:p w14:paraId="14326F6C">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4.2.2废水</w:t>
            </w:r>
          </w:p>
          <w:p w14:paraId="1F873F58">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r>
              <w:rPr>
                <w:rFonts w:hint="eastAsia" w:cs="Times New Roman"/>
                <w:b/>
                <w:bCs/>
                <w:color w:val="auto"/>
                <w:highlight w:val="none"/>
                <w:lang w:eastAsia="zh-CN"/>
              </w:rPr>
              <w:t>（</w:t>
            </w:r>
            <w:r>
              <w:rPr>
                <w:rFonts w:hint="eastAsia" w:cs="Times New Roman"/>
                <w:b/>
                <w:bCs/>
                <w:color w:val="auto"/>
                <w:highlight w:val="none"/>
                <w:lang w:val="en-US" w:eastAsia="zh-CN"/>
              </w:rPr>
              <w:t>一</w:t>
            </w:r>
            <w:r>
              <w:rPr>
                <w:rFonts w:hint="eastAsia" w:cs="Times New Roman"/>
                <w:b/>
                <w:bCs/>
                <w:color w:val="auto"/>
                <w:highlight w:val="none"/>
                <w:lang w:eastAsia="zh-CN"/>
              </w:rPr>
              <w:t>）</w:t>
            </w:r>
            <w:r>
              <w:rPr>
                <w:rFonts w:hint="default" w:ascii="Times New Roman" w:hAnsi="Times New Roman" w:eastAsia="宋体" w:cs="Times New Roman"/>
                <w:b/>
                <w:bCs/>
                <w:color w:val="auto"/>
                <w:highlight w:val="none"/>
              </w:rPr>
              <w:t>产污分析</w:t>
            </w:r>
          </w:p>
          <w:p w14:paraId="3B77454F">
            <w:pPr>
              <w:pStyle w:val="31"/>
              <w:adjustRightInd w:val="0"/>
              <w:snapToGrid w:val="0"/>
              <w:spacing w:after="0" w:line="360" w:lineRule="auto"/>
              <w:ind w:left="0" w:leftChars="0" w:firstLine="48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项目废水包括生活污水、车辆清洗废水、检疫废水、喷淋塔更换废水及生产废水。生产废水为屠宰加工废水（待宰间清洗废水、宰前冲淋废水、屠体清洗废水、猪内脏清洗废水、烫毛废水、车间冲洗等屠宰过程用水）等。</w:t>
            </w:r>
          </w:p>
          <w:p w14:paraId="298CB2E5">
            <w:pPr>
              <w:adjustRightInd w:val="0"/>
              <w:spacing w:line="360" w:lineRule="auto"/>
              <w:ind w:firstLine="482" w:firstLineChars="200"/>
              <w:contextualSpacing/>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1）生活污水污染物浓度源强核算</w:t>
            </w:r>
          </w:p>
          <w:p w14:paraId="34A73B02">
            <w:pPr>
              <w:adjustRightInd w:val="0"/>
              <w:spacing w:line="360" w:lineRule="auto"/>
              <w:ind w:firstLine="480" w:firstLineChars="200"/>
              <w:contextualSpacing/>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本项目劳动定员</w:t>
            </w:r>
            <w:r>
              <w:rPr>
                <w:rFonts w:hint="eastAsia" w:cs="Times New Roman"/>
                <w:color w:val="auto"/>
                <w:highlight w:val="none"/>
                <w:lang w:val="en-US" w:eastAsia="zh-CN"/>
              </w:rPr>
              <w:t>10</w:t>
            </w:r>
            <w:r>
              <w:rPr>
                <w:rFonts w:hint="default" w:ascii="Times New Roman" w:hAnsi="Times New Roman" w:eastAsia="宋体" w:cs="Times New Roman"/>
                <w:color w:val="auto"/>
                <w:highlight w:val="none"/>
              </w:rPr>
              <w:t>人，年工作</w:t>
            </w:r>
            <w:r>
              <w:rPr>
                <w:rFonts w:hint="eastAsia" w:cs="Times New Roman"/>
                <w:color w:val="auto"/>
                <w:highlight w:val="none"/>
                <w:lang w:val="en-US" w:eastAsia="zh-CN"/>
              </w:rPr>
              <w:t>365</w:t>
            </w:r>
            <w:r>
              <w:rPr>
                <w:rFonts w:hint="default" w:ascii="Times New Roman" w:hAnsi="Times New Roman" w:eastAsia="宋体" w:cs="Times New Roman"/>
                <w:color w:val="auto"/>
                <w:highlight w:val="none"/>
                <w:lang w:eastAsia="zh-CN"/>
              </w:rPr>
              <w:t>天</w:t>
            </w:r>
            <w:r>
              <w:rPr>
                <w:rFonts w:hint="default" w:ascii="Times New Roman" w:hAnsi="Times New Roman" w:eastAsia="宋体" w:cs="Times New Roman"/>
                <w:color w:val="auto"/>
                <w:highlight w:val="none"/>
              </w:rPr>
              <w:t>，每天工作</w:t>
            </w:r>
            <w:r>
              <w:rPr>
                <w:rFonts w:hint="eastAsia" w:cs="Times New Roman"/>
                <w:color w:val="auto"/>
                <w:highlight w:val="none"/>
                <w:lang w:val="en-US" w:eastAsia="zh-CN"/>
              </w:rPr>
              <w:t>8</w:t>
            </w:r>
            <w:r>
              <w:rPr>
                <w:rFonts w:hint="default" w:ascii="Times New Roman" w:hAnsi="Times New Roman" w:eastAsia="宋体" w:cs="Times New Roman"/>
                <w:color w:val="auto"/>
                <w:highlight w:val="none"/>
                <w:lang w:eastAsia="zh-CN"/>
              </w:rPr>
              <w:t>h</w:t>
            </w:r>
            <w:r>
              <w:rPr>
                <w:rFonts w:hint="default" w:ascii="Times New Roman" w:hAnsi="Times New Roman" w:eastAsia="宋体" w:cs="Times New Roman"/>
                <w:color w:val="auto"/>
                <w:highlight w:val="none"/>
              </w:rPr>
              <w:t>，不提供食堂</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住宿。根据《四川省用水定额》(川府函〔2021〕8号</w:t>
            </w:r>
            <w:r>
              <w:rPr>
                <w:rFonts w:hint="eastAsia" w:cs="Times New Roman"/>
                <w:color w:val="auto"/>
                <w:highlight w:val="none"/>
                <w:lang w:eastAsia="zh-CN"/>
              </w:rPr>
              <w:t>）</w:t>
            </w:r>
            <w:r>
              <w:rPr>
                <w:rFonts w:hint="default" w:ascii="Times New Roman" w:hAnsi="Times New Roman" w:eastAsia="宋体" w:cs="Times New Roman"/>
                <w:color w:val="auto"/>
                <w:highlight w:val="none"/>
              </w:rPr>
              <w:t>，生活用水按60L/人·d计，则办公人员生活用水量为</w:t>
            </w:r>
            <w:r>
              <w:rPr>
                <w:rFonts w:hint="eastAsia" w:ascii="Times New Roman" w:hAnsi="Times New Roman" w:eastAsia="宋体" w:cs="Times New Roman"/>
                <w:color w:val="auto"/>
                <w:highlight w:val="none"/>
                <w:lang w:val="en-US" w:eastAsia="zh-CN"/>
              </w:rPr>
              <w:t>0.6</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w:t>
            </w:r>
            <w:r>
              <w:rPr>
                <w:rFonts w:hint="eastAsia" w:cs="Times New Roman"/>
                <w:color w:val="auto"/>
                <w:highlight w:val="none"/>
                <w:lang w:val="en-US" w:eastAsia="zh-CN"/>
              </w:rPr>
              <w:t>219</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/a，排污系数按0.85计，则排水量为</w:t>
            </w:r>
            <w:r>
              <w:rPr>
                <w:rFonts w:hint="eastAsia" w:ascii="Times New Roman" w:hAnsi="Times New Roman" w:eastAsia="宋体" w:cs="Times New Roman"/>
                <w:color w:val="auto"/>
                <w:highlight w:val="none"/>
                <w:lang w:val="en-US" w:eastAsia="zh-CN"/>
              </w:rPr>
              <w:t>0.51</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w:t>
            </w:r>
            <w:r>
              <w:rPr>
                <w:rFonts w:hint="eastAsia" w:cs="Times New Roman"/>
                <w:color w:val="auto"/>
                <w:highlight w:val="none"/>
                <w:lang w:val="en-US" w:eastAsia="zh-CN"/>
              </w:rPr>
              <w:t>186.15</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w:t>
            </w:r>
          </w:p>
          <w:p w14:paraId="21CB5071">
            <w:pPr>
              <w:adjustRightInd w:val="0"/>
              <w:spacing w:line="360" w:lineRule="auto"/>
              <w:ind w:firstLine="480" w:firstLineChars="200"/>
              <w:contextualSpacing/>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根据《生活源产排污核算系数手册》的生活污水水质，生活污水中主要污染物浓度为：COD:325mg/L，BOD：200mg/L，氨氮：37.7mg/L，总氮:49.8mg/L，总磷：4.28mg/L，SS:300mg/L。</w:t>
            </w:r>
          </w:p>
          <w:p w14:paraId="01FB429E">
            <w:pPr>
              <w:adjustRightInd w:val="0"/>
              <w:spacing w:line="360" w:lineRule="auto"/>
              <w:ind w:firstLine="482" w:firstLineChars="200"/>
              <w:contextualSpacing/>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2）生产废水污染物浓度源强核算</w:t>
            </w:r>
          </w:p>
          <w:p w14:paraId="1B4C3C7A">
            <w:pPr>
              <w:spacing w:line="360" w:lineRule="auto"/>
              <w:ind w:firstLine="480" w:firstLineChars="200"/>
              <w:rPr>
                <w:rFonts w:hint="default"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①</w:t>
            </w:r>
            <w:r>
              <w:rPr>
                <w:rFonts w:hint="default" w:ascii="Times New Roman" w:hAnsi="Times New Roman" w:eastAsia="宋体" w:cs="Times New Roman"/>
                <w:b w:val="0"/>
                <w:bCs w:val="0"/>
                <w:color w:val="auto"/>
                <w:sz w:val="24"/>
                <w:szCs w:val="24"/>
                <w:highlight w:val="none"/>
                <w:lang w:val="en-US" w:eastAsia="zh-CN"/>
              </w:rPr>
              <w:t>屠宰</w:t>
            </w:r>
            <w:r>
              <w:rPr>
                <w:rFonts w:hint="eastAsia" w:ascii="Times New Roman" w:hAnsi="Times New Roman" w:eastAsia="宋体" w:cs="Times New Roman"/>
                <w:b w:val="0"/>
                <w:bCs w:val="0"/>
                <w:color w:val="auto"/>
                <w:sz w:val="24"/>
                <w:szCs w:val="24"/>
                <w:highlight w:val="none"/>
                <w:lang w:val="en-US" w:eastAsia="zh-CN"/>
              </w:rPr>
              <w:t>废水</w:t>
            </w:r>
          </w:p>
          <w:p w14:paraId="52D11B29">
            <w:pPr>
              <w:adjustRightInd w:val="0"/>
              <w:spacing w:line="360" w:lineRule="auto"/>
              <w:ind w:firstLine="480" w:firstLineChars="200"/>
              <w:contextualSpacing/>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根据水平衡分析，本项目屠宰废水</w:t>
            </w:r>
            <w:r>
              <w:rPr>
                <w:rFonts w:hint="eastAsia" w:ascii="Times New Roman" w:hAnsi="Times New Roman" w:eastAsia="宋体" w:cs="Times New Roman"/>
                <w:color w:val="auto"/>
                <w:highlight w:val="none"/>
                <w:lang w:val="en-US" w:eastAsia="zh-CN"/>
              </w:rPr>
              <w:t>平均</w:t>
            </w:r>
            <w:r>
              <w:rPr>
                <w:rFonts w:hint="default" w:ascii="Times New Roman" w:hAnsi="Times New Roman" w:eastAsia="宋体" w:cs="Times New Roman"/>
                <w:color w:val="auto"/>
                <w:highlight w:val="none"/>
              </w:rPr>
              <w:t>产生量为</w:t>
            </w:r>
            <w:r>
              <w:rPr>
                <w:rFonts w:hint="eastAsia" w:ascii="Times New Roman" w:hAnsi="Times New Roman" w:eastAsia="宋体" w:cs="Times New Roman"/>
                <w:color w:val="auto"/>
                <w:highlight w:val="none"/>
                <w:lang w:val="en-US" w:eastAsia="zh-CN"/>
              </w:rPr>
              <w:t>11.386</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/d，全年废水量为</w:t>
            </w:r>
            <w:r>
              <w:rPr>
                <w:rFonts w:hint="eastAsia" w:ascii="Times New Roman" w:hAnsi="Times New Roman" w:eastAsia="宋体" w:cs="Times New Roman"/>
                <w:color w:val="auto"/>
                <w:highlight w:val="none"/>
                <w:lang w:val="en-US" w:eastAsia="zh-CN"/>
              </w:rPr>
              <w:t>3723</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/a。参照《排放源统计调查产排污核算方法和系数手册》中“135屠宰及肉类加工行业系数手册排污系数取值</w:t>
            </w:r>
            <w:r>
              <w:rPr>
                <w:rFonts w:hint="eastAsia" w:ascii="Times New Roman" w:hAnsi="Times New Roman" w:eastAsia="宋体" w:cs="Times New Roman"/>
                <w:color w:val="auto"/>
                <w:highlight w:val="none"/>
                <w:lang w:val="en-US" w:eastAsia="zh-CN"/>
              </w:rPr>
              <w:t>-生猪-简单机械化屠宰-&lt;70头/天</w:t>
            </w:r>
            <w:r>
              <w:rPr>
                <w:rFonts w:hint="default" w:ascii="Times New Roman" w:hAnsi="Times New Roman" w:eastAsia="宋体" w:cs="Times New Roman"/>
                <w:color w:val="auto"/>
                <w:highlight w:val="none"/>
              </w:rPr>
              <w:t>”，本项目废水中COD产污系数为</w:t>
            </w:r>
            <w:r>
              <w:rPr>
                <w:rFonts w:hint="eastAsia" w:ascii="Times New Roman" w:hAnsi="Times New Roman" w:eastAsia="宋体" w:cs="Times New Roman"/>
                <w:color w:val="auto"/>
                <w:highlight w:val="none"/>
                <w:lang w:val="en-US" w:eastAsia="zh-CN"/>
              </w:rPr>
              <w:t>1.16</w:t>
            </w:r>
            <w:r>
              <w:rPr>
                <w:rFonts w:hint="default" w:ascii="Times New Roman" w:hAnsi="Times New Roman" w:eastAsia="宋体" w:cs="Times New Roman"/>
                <w:color w:val="auto"/>
                <w:highlight w:val="none"/>
              </w:rPr>
              <w:t>×10</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g/头，NH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-N产污系数为35g/头，总氮产污系数为</w:t>
            </w:r>
            <w:r>
              <w:rPr>
                <w:rFonts w:hint="eastAsia" w:ascii="Times New Roman" w:hAnsi="Times New Roman" w:eastAsia="宋体" w:cs="Times New Roman"/>
                <w:color w:val="auto"/>
                <w:highlight w:val="none"/>
                <w:lang w:val="en-US" w:eastAsia="zh-CN"/>
              </w:rPr>
              <w:t>89</w:t>
            </w:r>
            <w:r>
              <w:rPr>
                <w:rFonts w:hint="default" w:ascii="Times New Roman" w:hAnsi="Times New Roman" w:eastAsia="宋体" w:cs="Times New Roman"/>
                <w:color w:val="auto"/>
                <w:highlight w:val="none"/>
              </w:rPr>
              <w:t>g/头、总磷产污系数为</w:t>
            </w:r>
            <w:r>
              <w:rPr>
                <w:rFonts w:hint="eastAsia" w:ascii="Times New Roman" w:hAnsi="Times New Roman" w:eastAsia="宋体" w:cs="Times New Roman"/>
                <w:color w:val="auto"/>
                <w:highlight w:val="none"/>
                <w:lang w:val="en-US" w:eastAsia="zh-CN"/>
              </w:rPr>
              <w:t>12</w:t>
            </w:r>
            <w:r>
              <w:rPr>
                <w:rFonts w:hint="default" w:ascii="Times New Roman" w:hAnsi="Times New Roman" w:eastAsia="宋体" w:cs="Times New Roman"/>
                <w:color w:val="auto"/>
                <w:highlight w:val="none"/>
              </w:rPr>
              <w:t>g/头。本项目年屠宰生猪</w:t>
            </w:r>
            <w:r>
              <w:rPr>
                <w:rFonts w:hint="eastAsia" w:ascii="Times New Roman" w:hAnsi="Times New Roman" w:eastAsia="宋体" w:cs="Times New Roman"/>
                <w:color w:val="auto"/>
                <w:highlight w:val="none"/>
                <w:lang w:val="en-US" w:eastAsia="zh-CN"/>
              </w:rPr>
              <w:t>7300</w:t>
            </w:r>
            <w:r>
              <w:rPr>
                <w:rFonts w:hint="default" w:ascii="Times New Roman" w:hAnsi="Times New Roman" w:eastAsia="宋体" w:cs="Times New Roman"/>
                <w:color w:val="auto"/>
                <w:highlight w:val="none"/>
              </w:rPr>
              <w:t>头</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平均20头/天</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，则本项目COD排放量为</w:t>
            </w:r>
            <w:r>
              <w:rPr>
                <w:rFonts w:hint="eastAsia" w:ascii="Times New Roman" w:hAnsi="Times New Roman" w:eastAsia="宋体" w:cs="Times New Roman"/>
                <w:color w:val="auto"/>
                <w:highlight w:val="none"/>
                <w:lang w:val="en-US" w:eastAsia="zh-CN"/>
              </w:rPr>
              <w:t>8.468</w:t>
            </w:r>
            <w:r>
              <w:rPr>
                <w:rFonts w:hint="default" w:ascii="Times New Roman" w:hAnsi="Times New Roman" w:eastAsia="宋体" w:cs="Times New Roman"/>
                <w:color w:val="auto"/>
                <w:highlight w:val="none"/>
              </w:rPr>
              <w:t>t/a，NH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-N排放量为</w:t>
            </w:r>
            <w:r>
              <w:rPr>
                <w:rFonts w:hint="eastAsia" w:ascii="Times New Roman" w:hAnsi="Times New Roman" w:eastAsia="宋体" w:cs="Times New Roman"/>
                <w:color w:val="auto"/>
                <w:highlight w:val="none"/>
                <w:lang w:val="en-US" w:eastAsia="zh-CN"/>
              </w:rPr>
              <w:t>0.2555</w:t>
            </w:r>
            <w:r>
              <w:rPr>
                <w:rFonts w:hint="default" w:ascii="Times New Roman" w:hAnsi="Times New Roman" w:eastAsia="宋体" w:cs="Times New Roman"/>
                <w:color w:val="auto"/>
                <w:highlight w:val="none"/>
              </w:rPr>
              <w:t>t/a，总氮排放量为</w:t>
            </w:r>
            <w:r>
              <w:rPr>
                <w:rFonts w:hint="eastAsia" w:ascii="Times New Roman" w:hAnsi="Times New Roman" w:eastAsia="宋体" w:cs="Times New Roman"/>
                <w:color w:val="auto"/>
                <w:highlight w:val="none"/>
                <w:lang w:val="en-US" w:eastAsia="zh-CN"/>
              </w:rPr>
              <w:t>0.6497</w:t>
            </w:r>
            <w:r>
              <w:rPr>
                <w:rFonts w:hint="default" w:ascii="Times New Roman" w:hAnsi="Times New Roman" w:eastAsia="宋体" w:cs="Times New Roman"/>
                <w:color w:val="auto"/>
                <w:highlight w:val="none"/>
              </w:rPr>
              <w:t>4t/a，总磷排放量为</w:t>
            </w:r>
            <w:r>
              <w:rPr>
                <w:rFonts w:hint="eastAsia" w:ascii="Times New Roman" w:hAnsi="Times New Roman" w:eastAsia="宋体" w:cs="Times New Roman"/>
                <w:color w:val="auto"/>
                <w:highlight w:val="none"/>
                <w:lang w:val="en-US" w:eastAsia="zh-CN"/>
              </w:rPr>
              <w:t>0.0876</w:t>
            </w:r>
            <w:r>
              <w:rPr>
                <w:rFonts w:hint="default" w:ascii="Times New Roman" w:hAnsi="Times New Roman" w:eastAsia="宋体" w:cs="Times New Roman"/>
                <w:color w:val="auto"/>
                <w:highlight w:val="none"/>
              </w:rPr>
              <w:t>t/a，本项目屠宰废水产生量共计</w:t>
            </w:r>
            <w:r>
              <w:rPr>
                <w:rFonts w:hint="eastAsia" w:cs="Times New Roman"/>
                <w:color w:val="auto"/>
                <w:highlight w:val="none"/>
                <w:lang w:val="en-US" w:eastAsia="zh-CN"/>
              </w:rPr>
              <w:t>10.2</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/d，</w:t>
            </w:r>
            <w:r>
              <w:rPr>
                <w:rFonts w:hint="eastAsia" w:cs="Times New Roman"/>
                <w:color w:val="auto"/>
                <w:highlight w:val="none"/>
                <w:lang w:val="en-US" w:eastAsia="zh-CN"/>
              </w:rPr>
              <w:t>3723</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/a。据此核算屠宰废水COD浓度为</w:t>
            </w:r>
            <w:r>
              <w:rPr>
                <w:rFonts w:hint="eastAsia" w:ascii="Times New Roman" w:hAnsi="Times New Roman" w:eastAsia="宋体" w:cs="Times New Roman"/>
                <w:color w:val="auto"/>
                <w:highlight w:val="none"/>
                <w:lang w:val="en-US" w:eastAsia="zh-CN"/>
              </w:rPr>
              <w:t>2274.51</w:t>
            </w:r>
            <w:r>
              <w:rPr>
                <w:rFonts w:hint="default" w:ascii="Times New Roman" w:hAnsi="Times New Roman" w:eastAsia="宋体" w:cs="Times New Roman"/>
                <w:color w:val="auto"/>
                <w:highlight w:val="none"/>
              </w:rPr>
              <w:t>mg/L，NH</w:t>
            </w:r>
            <w:r>
              <w:rPr>
                <w:rFonts w:hint="default" w:ascii="Times New Roman" w:hAnsi="Times New Roman" w:eastAsia="宋体" w:cs="Times New Roman"/>
                <w:color w:val="auto"/>
                <w:highlight w:val="none"/>
                <w:vertAlign w:val="subscript"/>
              </w:rPr>
              <w:t>3</w:t>
            </w:r>
            <w:r>
              <w:rPr>
                <w:rFonts w:hint="default" w:ascii="Times New Roman" w:hAnsi="Times New Roman" w:eastAsia="宋体" w:cs="Times New Roman"/>
                <w:color w:val="auto"/>
                <w:highlight w:val="none"/>
              </w:rPr>
              <w:t>-N浓度为</w:t>
            </w:r>
            <w:r>
              <w:rPr>
                <w:rFonts w:hint="eastAsia" w:ascii="Times New Roman" w:hAnsi="Times New Roman" w:eastAsia="宋体" w:cs="Times New Roman"/>
                <w:color w:val="auto"/>
                <w:highlight w:val="none"/>
                <w:lang w:val="en-US" w:eastAsia="zh-CN"/>
              </w:rPr>
              <w:t>68.63</w:t>
            </w:r>
            <w:r>
              <w:rPr>
                <w:rFonts w:hint="default" w:ascii="Times New Roman" w:hAnsi="Times New Roman" w:eastAsia="宋体" w:cs="Times New Roman"/>
                <w:color w:val="auto"/>
                <w:highlight w:val="none"/>
              </w:rPr>
              <w:t>mg/L，T</w:t>
            </w:r>
            <w:r>
              <w:rPr>
                <w:rFonts w:hint="eastAsia" w:ascii="Times New Roman" w:hAnsi="Times New Roman" w:eastAsia="宋体" w:cs="Times New Roman"/>
                <w:color w:val="auto"/>
                <w:highlight w:val="none"/>
                <w:lang w:val="en-US" w:eastAsia="zh-CN"/>
              </w:rPr>
              <w:t>P</w:t>
            </w:r>
            <w:r>
              <w:rPr>
                <w:rFonts w:hint="default" w:ascii="Times New Roman" w:hAnsi="Times New Roman" w:eastAsia="宋体" w:cs="Times New Roman"/>
                <w:color w:val="auto"/>
                <w:highlight w:val="none"/>
              </w:rPr>
              <w:t>浓度为</w:t>
            </w:r>
            <w:r>
              <w:rPr>
                <w:rFonts w:hint="eastAsia" w:ascii="Times New Roman" w:hAnsi="Times New Roman" w:eastAsia="宋体" w:cs="Times New Roman"/>
                <w:color w:val="auto"/>
                <w:highlight w:val="none"/>
                <w:lang w:val="en-US" w:eastAsia="zh-CN"/>
              </w:rPr>
              <w:t>174.51</w:t>
            </w:r>
            <w:r>
              <w:rPr>
                <w:rFonts w:hint="default" w:ascii="Times New Roman" w:hAnsi="Times New Roman" w:eastAsia="宋体" w:cs="Times New Roman"/>
                <w:color w:val="auto"/>
                <w:highlight w:val="none"/>
              </w:rPr>
              <w:t>mg/L，</w:t>
            </w:r>
            <w:r>
              <w:rPr>
                <w:rFonts w:hint="eastAsia" w:ascii="Times New Roman" w:hAnsi="Times New Roman" w:eastAsia="宋体" w:cs="Times New Roman"/>
                <w:color w:val="auto"/>
                <w:highlight w:val="none"/>
                <w:lang w:val="en-US" w:eastAsia="zh-CN"/>
              </w:rPr>
              <w:t>TN</w:t>
            </w:r>
            <w:r>
              <w:rPr>
                <w:rFonts w:hint="default" w:ascii="Times New Roman" w:hAnsi="Times New Roman" w:eastAsia="宋体" w:cs="Times New Roman"/>
                <w:color w:val="auto"/>
                <w:highlight w:val="none"/>
              </w:rPr>
              <w:t>浓度为</w:t>
            </w:r>
            <w:r>
              <w:rPr>
                <w:rFonts w:hint="eastAsia" w:ascii="Times New Roman" w:hAnsi="Times New Roman" w:eastAsia="宋体" w:cs="Times New Roman"/>
                <w:color w:val="auto"/>
                <w:highlight w:val="none"/>
                <w:lang w:val="en-US" w:eastAsia="zh-CN"/>
              </w:rPr>
              <w:t>23.53</w:t>
            </w:r>
            <w:r>
              <w:rPr>
                <w:rFonts w:hint="default" w:ascii="Times New Roman" w:hAnsi="Times New Roman" w:eastAsia="宋体" w:cs="Times New Roman"/>
                <w:color w:val="auto"/>
                <w:highlight w:val="none"/>
              </w:rPr>
              <w:t>mg/L</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具体见下表</w:t>
            </w:r>
            <w:r>
              <w:rPr>
                <w:rFonts w:hint="eastAsia" w:ascii="Times New Roman" w:hAnsi="Times New Roman" w:eastAsia="宋体" w:cs="Times New Roman"/>
                <w:color w:val="auto"/>
                <w:highlight w:val="none"/>
                <w:lang w:eastAsia="zh-CN"/>
              </w:rPr>
              <w:t>。</w:t>
            </w:r>
          </w:p>
          <w:p w14:paraId="54CE4342">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屠宰废水源强一览表</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809"/>
              <w:gridCol w:w="812"/>
              <w:gridCol w:w="812"/>
              <w:gridCol w:w="812"/>
              <w:gridCol w:w="637"/>
              <w:gridCol w:w="889"/>
              <w:gridCol w:w="1371"/>
              <w:gridCol w:w="1371"/>
            </w:tblGrid>
            <w:tr w14:paraId="1CC1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7" w:type="pct"/>
                  <w:tcBorders>
                    <w:top w:val="single" w:color="auto" w:sz="12" w:space="0"/>
                    <w:left w:val="nil"/>
                    <w:bottom w:val="single" w:color="auto" w:sz="8" w:space="0"/>
                    <w:right w:val="single" w:color="auto" w:sz="8" w:space="0"/>
                  </w:tcBorders>
                  <w:vAlign w:val="center"/>
                </w:tcPr>
                <w:p w14:paraId="748F6BC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产品名称</w:t>
                  </w:r>
                </w:p>
              </w:tc>
              <w:tc>
                <w:tcPr>
                  <w:tcW w:w="481" w:type="pct"/>
                  <w:tcBorders>
                    <w:top w:val="single" w:color="auto" w:sz="12" w:space="0"/>
                    <w:left w:val="single" w:color="auto" w:sz="8" w:space="0"/>
                    <w:right w:val="single" w:color="auto" w:sz="8" w:space="0"/>
                  </w:tcBorders>
                  <w:vAlign w:val="center"/>
                </w:tcPr>
                <w:p w14:paraId="08A7365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原料名称</w:t>
                  </w:r>
                </w:p>
              </w:tc>
              <w:tc>
                <w:tcPr>
                  <w:tcW w:w="483" w:type="pct"/>
                  <w:tcBorders>
                    <w:top w:val="single" w:color="auto" w:sz="12" w:space="0"/>
                    <w:left w:val="single" w:color="auto" w:sz="8" w:space="0"/>
                    <w:right w:val="single" w:color="auto" w:sz="8" w:space="0"/>
                  </w:tcBorders>
                  <w:vAlign w:val="center"/>
                </w:tcPr>
                <w:p w14:paraId="3B79AD0D">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工艺名称</w:t>
                  </w:r>
                </w:p>
              </w:tc>
              <w:tc>
                <w:tcPr>
                  <w:tcW w:w="483" w:type="pct"/>
                  <w:tcBorders>
                    <w:top w:val="single" w:color="auto" w:sz="12" w:space="0"/>
                    <w:left w:val="single" w:color="auto" w:sz="8" w:space="0"/>
                    <w:bottom w:val="single" w:color="auto" w:sz="8" w:space="0"/>
                    <w:right w:val="single" w:color="auto" w:sz="8" w:space="0"/>
                  </w:tcBorders>
                  <w:vAlign w:val="center"/>
                </w:tcPr>
                <w:p w14:paraId="74B89AF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等级规模</w:t>
                  </w:r>
                </w:p>
              </w:tc>
              <w:tc>
                <w:tcPr>
                  <w:tcW w:w="483" w:type="pct"/>
                  <w:tcBorders>
                    <w:top w:val="single" w:color="auto" w:sz="12" w:space="0"/>
                    <w:left w:val="single" w:color="auto" w:sz="8" w:space="0"/>
                    <w:bottom w:val="single" w:color="auto" w:sz="8" w:space="0"/>
                    <w:right w:val="single" w:color="auto" w:sz="8" w:space="0"/>
                  </w:tcBorders>
                  <w:vAlign w:val="center"/>
                </w:tcPr>
                <w:p w14:paraId="365AA088">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污染物指标</w:t>
                  </w:r>
                </w:p>
              </w:tc>
              <w:tc>
                <w:tcPr>
                  <w:tcW w:w="908" w:type="pct"/>
                  <w:gridSpan w:val="2"/>
                  <w:tcBorders>
                    <w:top w:val="single" w:color="auto" w:sz="12" w:space="0"/>
                    <w:left w:val="single" w:color="auto" w:sz="8" w:space="0"/>
                    <w:bottom w:val="single" w:color="auto" w:sz="8" w:space="0"/>
                    <w:right w:val="nil"/>
                  </w:tcBorders>
                  <w:vAlign w:val="center"/>
                </w:tcPr>
                <w:p w14:paraId="11E590E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产污系数</w:t>
                  </w:r>
                </w:p>
              </w:tc>
              <w:tc>
                <w:tcPr>
                  <w:tcW w:w="815" w:type="pct"/>
                  <w:tcBorders>
                    <w:top w:val="single" w:color="auto" w:sz="12" w:space="0"/>
                    <w:left w:val="single" w:color="auto" w:sz="8" w:space="0"/>
                    <w:bottom w:val="single" w:color="auto" w:sz="8" w:space="0"/>
                    <w:right w:val="nil"/>
                  </w:tcBorders>
                  <w:vAlign w:val="center"/>
                </w:tcPr>
                <w:p w14:paraId="037DD9D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产生量（t/a）</w:t>
                  </w:r>
                </w:p>
              </w:tc>
              <w:tc>
                <w:tcPr>
                  <w:tcW w:w="815" w:type="pct"/>
                  <w:tcBorders>
                    <w:top w:val="single" w:color="auto" w:sz="12" w:space="0"/>
                    <w:left w:val="single" w:color="auto" w:sz="8" w:space="0"/>
                    <w:bottom w:val="single" w:color="auto" w:sz="8" w:space="0"/>
                    <w:right w:val="nil"/>
                  </w:tcBorders>
                  <w:vAlign w:val="center"/>
                </w:tcPr>
                <w:p w14:paraId="00FFF3E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产生浓度（mg/L）</w:t>
                  </w:r>
                </w:p>
              </w:tc>
            </w:tr>
            <w:tr w14:paraId="2AFA3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7" w:type="pct"/>
                  <w:vMerge w:val="restart"/>
                  <w:tcBorders>
                    <w:top w:val="single" w:color="auto" w:sz="8" w:space="0"/>
                    <w:left w:val="nil"/>
                    <w:bottom w:val="single" w:color="auto" w:sz="8" w:space="0"/>
                    <w:right w:val="single" w:color="auto" w:sz="8" w:space="0"/>
                  </w:tcBorders>
                  <w:vAlign w:val="center"/>
                </w:tcPr>
                <w:p w14:paraId="2CC786C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白条肉</w:t>
                  </w:r>
                </w:p>
              </w:tc>
              <w:tc>
                <w:tcPr>
                  <w:tcW w:w="481" w:type="pct"/>
                  <w:vMerge w:val="restart"/>
                  <w:tcBorders>
                    <w:top w:val="single" w:color="auto" w:sz="8" w:space="0"/>
                    <w:left w:val="single" w:color="auto" w:sz="8" w:space="0"/>
                    <w:right w:val="single" w:color="auto" w:sz="8" w:space="0"/>
                  </w:tcBorders>
                  <w:vAlign w:val="center"/>
                </w:tcPr>
                <w:p w14:paraId="6F35833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生猪</w:t>
                  </w:r>
                </w:p>
              </w:tc>
              <w:tc>
                <w:tcPr>
                  <w:tcW w:w="483" w:type="pct"/>
                  <w:vMerge w:val="restart"/>
                  <w:tcBorders>
                    <w:top w:val="single" w:color="auto" w:sz="8" w:space="0"/>
                    <w:left w:val="single" w:color="auto" w:sz="8" w:space="0"/>
                    <w:right w:val="single" w:color="auto" w:sz="8" w:space="0"/>
                  </w:tcBorders>
                  <w:vAlign w:val="center"/>
                </w:tcPr>
                <w:p w14:paraId="0593857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简单机械化屠宰</w:t>
                  </w:r>
                </w:p>
              </w:tc>
              <w:tc>
                <w:tcPr>
                  <w:tcW w:w="483" w:type="pct"/>
                  <w:vMerge w:val="restart"/>
                  <w:tcBorders>
                    <w:top w:val="single" w:color="auto" w:sz="8" w:space="0"/>
                    <w:left w:val="single" w:color="auto" w:sz="8" w:space="0"/>
                    <w:right w:val="single" w:color="auto" w:sz="8" w:space="0"/>
                  </w:tcBorders>
                  <w:vAlign w:val="center"/>
                </w:tcPr>
                <w:p w14:paraId="75DAB8D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&lt;70头/天</w:t>
                  </w:r>
                </w:p>
              </w:tc>
              <w:tc>
                <w:tcPr>
                  <w:tcW w:w="483" w:type="pct"/>
                  <w:tcBorders>
                    <w:top w:val="single" w:color="auto" w:sz="8" w:space="0"/>
                    <w:left w:val="single" w:color="auto" w:sz="8" w:space="0"/>
                    <w:bottom w:val="single" w:color="auto" w:sz="8" w:space="0"/>
                    <w:right w:val="single" w:color="auto" w:sz="8" w:space="0"/>
                  </w:tcBorders>
                  <w:shd w:val="clear" w:color="auto" w:fill="auto"/>
                  <w:vAlign w:val="center"/>
                </w:tcPr>
                <w:p w14:paraId="593894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COD</w:t>
                  </w:r>
                </w:p>
              </w:tc>
              <w:tc>
                <w:tcPr>
                  <w:tcW w:w="379" w:type="pct"/>
                  <w:tcBorders>
                    <w:top w:val="single" w:color="auto" w:sz="8" w:space="0"/>
                    <w:left w:val="single" w:color="auto" w:sz="8" w:space="0"/>
                    <w:bottom w:val="single" w:color="auto" w:sz="8" w:space="0"/>
                    <w:right w:val="single" w:color="auto" w:sz="8" w:space="0"/>
                  </w:tcBorders>
                  <w:shd w:val="clear" w:color="auto" w:fill="auto"/>
                  <w:vAlign w:val="center"/>
                </w:tcPr>
                <w:p w14:paraId="181EF7A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克/头</w:t>
                  </w:r>
                </w:p>
              </w:tc>
              <w:tc>
                <w:tcPr>
                  <w:tcW w:w="529" w:type="pct"/>
                  <w:tcBorders>
                    <w:top w:val="single" w:color="auto" w:sz="8" w:space="0"/>
                    <w:left w:val="single" w:color="auto" w:sz="8" w:space="0"/>
                    <w:bottom w:val="single" w:color="auto" w:sz="8" w:space="0"/>
                    <w:right w:val="nil"/>
                  </w:tcBorders>
                  <w:shd w:val="clear" w:color="auto" w:fill="auto"/>
                  <w:vAlign w:val="center"/>
                </w:tcPr>
                <w:p w14:paraId="223520B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1.16×10</w:t>
                  </w:r>
                  <w:r>
                    <w:rPr>
                      <w:rFonts w:hint="eastAsia" w:ascii="Times New Roman" w:hAnsi="Times New Roman" w:eastAsia="宋体" w:cs="Times New Roman"/>
                      <w:color w:val="auto"/>
                      <w:kern w:val="0"/>
                      <w:sz w:val="21"/>
                      <w:szCs w:val="21"/>
                      <w:highlight w:val="none"/>
                      <w:u w:val="none"/>
                      <w:vertAlign w:val="superscript"/>
                      <w:lang w:val="en-US" w:eastAsia="zh-CN" w:bidi="ar"/>
                    </w:rPr>
                    <w:t>3</w:t>
                  </w:r>
                </w:p>
              </w:tc>
              <w:tc>
                <w:tcPr>
                  <w:tcW w:w="815" w:type="pct"/>
                  <w:tcBorders>
                    <w:top w:val="single" w:color="auto" w:sz="8" w:space="0"/>
                    <w:left w:val="single" w:color="auto" w:sz="8" w:space="0"/>
                    <w:bottom w:val="single" w:color="auto" w:sz="8" w:space="0"/>
                    <w:right w:val="nil"/>
                  </w:tcBorders>
                  <w:shd w:val="clear" w:color="auto" w:fill="auto"/>
                  <w:vAlign w:val="center"/>
                </w:tcPr>
                <w:p w14:paraId="37044A8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8.468</w:t>
                  </w:r>
                  <w:r>
                    <w:rPr>
                      <w:rFonts w:hint="default" w:ascii="Times New Roman" w:hAnsi="Times New Roman" w:eastAsia="宋体" w:cs="Times New Roman"/>
                      <w:color w:val="auto"/>
                      <w:sz w:val="21"/>
                      <w:szCs w:val="21"/>
                      <w:highlight w:val="none"/>
                    </w:rPr>
                    <w:t>t</w:t>
                  </w:r>
                </w:p>
              </w:tc>
              <w:tc>
                <w:tcPr>
                  <w:tcW w:w="815" w:type="pct"/>
                  <w:tcBorders>
                    <w:top w:val="single" w:color="auto" w:sz="8" w:space="0"/>
                    <w:left w:val="single" w:color="auto" w:sz="8" w:space="0"/>
                    <w:bottom w:val="single" w:color="auto" w:sz="8" w:space="0"/>
                    <w:right w:val="nil"/>
                  </w:tcBorders>
                  <w:shd w:val="clear" w:color="auto" w:fill="auto"/>
                  <w:vAlign w:val="center"/>
                </w:tcPr>
                <w:p w14:paraId="1EF116F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2274.51</w:t>
                  </w:r>
                </w:p>
              </w:tc>
            </w:tr>
            <w:tr w14:paraId="28D20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7" w:type="pct"/>
                  <w:vMerge w:val="continue"/>
                  <w:tcBorders>
                    <w:top w:val="single" w:color="auto" w:sz="8" w:space="0"/>
                    <w:left w:val="nil"/>
                    <w:bottom w:val="single" w:color="auto" w:sz="8" w:space="0"/>
                    <w:right w:val="single" w:color="auto" w:sz="8" w:space="0"/>
                  </w:tcBorders>
                  <w:vAlign w:val="center"/>
                </w:tcPr>
                <w:p w14:paraId="537AF1A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1" w:type="pct"/>
                  <w:vMerge w:val="continue"/>
                  <w:tcBorders>
                    <w:left w:val="single" w:color="auto" w:sz="8" w:space="0"/>
                    <w:right w:val="single" w:color="auto" w:sz="8" w:space="0"/>
                  </w:tcBorders>
                  <w:vAlign w:val="center"/>
                </w:tcPr>
                <w:p w14:paraId="22D4208E">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3" w:type="pct"/>
                  <w:vMerge w:val="continue"/>
                  <w:tcBorders>
                    <w:left w:val="single" w:color="auto" w:sz="8" w:space="0"/>
                    <w:right w:val="single" w:color="auto" w:sz="8" w:space="0"/>
                  </w:tcBorders>
                  <w:vAlign w:val="center"/>
                </w:tcPr>
                <w:p w14:paraId="36DD3288">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3" w:type="pct"/>
                  <w:vMerge w:val="continue"/>
                  <w:tcBorders>
                    <w:left w:val="single" w:color="auto" w:sz="8" w:space="0"/>
                    <w:right w:val="single" w:color="auto" w:sz="8" w:space="0"/>
                  </w:tcBorders>
                  <w:vAlign w:val="center"/>
                </w:tcPr>
                <w:p w14:paraId="740D7A1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83" w:type="pct"/>
                  <w:tcBorders>
                    <w:top w:val="single" w:color="auto" w:sz="8" w:space="0"/>
                    <w:left w:val="single" w:color="auto" w:sz="8" w:space="0"/>
                    <w:bottom w:val="single" w:color="auto" w:sz="8" w:space="0"/>
                    <w:right w:val="single" w:color="auto" w:sz="8" w:space="0"/>
                  </w:tcBorders>
                  <w:shd w:val="clear" w:color="auto" w:fill="auto"/>
                  <w:vAlign w:val="center"/>
                </w:tcPr>
                <w:p w14:paraId="3CB55CA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氨氮</w:t>
                  </w:r>
                </w:p>
              </w:tc>
              <w:tc>
                <w:tcPr>
                  <w:tcW w:w="379" w:type="pct"/>
                  <w:tcBorders>
                    <w:top w:val="single" w:color="auto" w:sz="8" w:space="0"/>
                    <w:left w:val="single" w:color="auto" w:sz="8" w:space="0"/>
                    <w:bottom w:val="single" w:color="auto" w:sz="8" w:space="0"/>
                    <w:right w:val="single" w:color="auto" w:sz="8" w:space="0"/>
                  </w:tcBorders>
                  <w:shd w:val="clear" w:color="auto" w:fill="auto"/>
                  <w:vAlign w:val="center"/>
                </w:tcPr>
                <w:p w14:paraId="0BE2E99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克/头</w:t>
                  </w:r>
                </w:p>
              </w:tc>
              <w:tc>
                <w:tcPr>
                  <w:tcW w:w="529" w:type="pct"/>
                  <w:tcBorders>
                    <w:top w:val="single" w:color="auto" w:sz="8" w:space="0"/>
                    <w:left w:val="single" w:color="auto" w:sz="8" w:space="0"/>
                    <w:bottom w:val="single" w:color="auto" w:sz="8" w:space="0"/>
                    <w:right w:val="nil"/>
                  </w:tcBorders>
                  <w:shd w:val="clear" w:color="auto" w:fill="auto"/>
                  <w:vAlign w:val="center"/>
                </w:tcPr>
                <w:p w14:paraId="60DF715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35</w:t>
                  </w:r>
                </w:p>
              </w:tc>
              <w:tc>
                <w:tcPr>
                  <w:tcW w:w="815" w:type="pct"/>
                  <w:tcBorders>
                    <w:top w:val="single" w:color="auto" w:sz="8" w:space="0"/>
                    <w:left w:val="single" w:color="auto" w:sz="8" w:space="0"/>
                    <w:bottom w:val="single" w:color="auto" w:sz="8" w:space="0"/>
                    <w:right w:val="nil"/>
                  </w:tcBorders>
                  <w:shd w:val="clear" w:color="auto" w:fill="auto"/>
                  <w:vAlign w:val="center"/>
                </w:tcPr>
                <w:p w14:paraId="5D8D3882">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0.2555</w:t>
                  </w:r>
                </w:p>
              </w:tc>
              <w:tc>
                <w:tcPr>
                  <w:tcW w:w="815" w:type="pct"/>
                  <w:tcBorders>
                    <w:top w:val="single" w:color="auto" w:sz="8" w:space="0"/>
                    <w:left w:val="single" w:color="auto" w:sz="8" w:space="0"/>
                    <w:bottom w:val="single" w:color="auto" w:sz="8" w:space="0"/>
                    <w:right w:val="nil"/>
                  </w:tcBorders>
                  <w:shd w:val="clear" w:color="auto" w:fill="auto"/>
                  <w:vAlign w:val="center"/>
                </w:tcPr>
                <w:p w14:paraId="2E27B02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68.63</w:t>
                  </w:r>
                </w:p>
              </w:tc>
            </w:tr>
            <w:tr w14:paraId="7FE3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7" w:type="pct"/>
                  <w:vMerge w:val="continue"/>
                  <w:tcBorders>
                    <w:top w:val="single" w:color="auto" w:sz="8" w:space="0"/>
                    <w:left w:val="nil"/>
                    <w:bottom w:val="single" w:color="auto" w:sz="8" w:space="0"/>
                    <w:right w:val="single" w:color="auto" w:sz="8" w:space="0"/>
                  </w:tcBorders>
                  <w:vAlign w:val="center"/>
                </w:tcPr>
                <w:p w14:paraId="77CAC18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1" w:type="pct"/>
                  <w:vMerge w:val="continue"/>
                  <w:tcBorders>
                    <w:left w:val="single" w:color="auto" w:sz="8" w:space="0"/>
                    <w:right w:val="single" w:color="auto" w:sz="8" w:space="0"/>
                  </w:tcBorders>
                  <w:vAlign w:val="center"/>
                </w:tcPr>
                <w:p w14:paraId="4FD687CA">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3" w:type="pct"/>
                  <w:vMerge w:val="continue"/>
                  <w:tcBorders>
                    <w:left w:val="single" w:color="auto" w:sz="8" w:space="0"/>
                    <w:right w:val="single" w:color="auto" w:sz="8" w:space="0"/>
                  </w:tcBorders>
                  <w:vAlign w:val="center"/>
                </w:tcPr>
                <w:p w14:paraId="106AFCCC">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3" w:type="pct"/>
                  <w:vMerge w:val="continue"/>
                  <w:tcBorders>
                    <w:left w:val="single" w:color="auto" w:sz="8" w:space="0"/>
                    <w:right w:val="single" w:color="auto" w:sz="8" w:space="0"/>
                  </w:tcBorders>
                  <w:vAlign w:val="center"/>
                </w:tcPr>
                <w:p w14:paraId="1287EA1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83" w:type="pct"/>
                  <w:tcBorders>
                    <w:top w:val="single" w:color="auto" w:sz="8" w:space="0"/>
                    <w:left w:val="single" w:color="auto" w:sz="8" w:space="0"/>
                    <w:bottom w:val="single" w:color="auto" w:sz="8" w:space="0"/>
                    <w:right w:val="single" w:color="auto" w:sz="8" w:space="0"/>
                  </w:tcBorders>
                  <w:shd w:val="clear" w:color="auto" w:fill="auto"/>
                  <w:vAlign w:val="center"/>
                </w:tcPr>
                <w:p w14:paraId="665694D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总磷</w:t>
                  </w:r>
                </w:p>
              </w:tc>
              <w:tc>
                <w:tcPr>
                  <w:tcW w:w="379" w:type="pct"/>
                  <w:tcBorders>
                    <w:top w:val="single" w:color="auto" w:sz="8" w:space="0"/>
                    <w:left w:val="single" w:color="auto" w:sz="8" w:space="0"/>
                    <w:bottom w:val="single" w:color="auto" w:sz="8" w:space="0"/>
                    <w:right w:val="single" w:color="auto" w:sz="8" w:space="0"/>
                  </w:tcBorders>
                  <w:shd w:val="clear" w:color="auto" w:fill="auto"/>
                  <w:vAlign w:val="center"/>
                </w:tcPr>
                <w:p w14:paraId="6CBF957F">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克/头</w:t>
                  </w:r>
                </w:p>
              </w:tc>
              <w:tc>
                <w:tcPr>
                  <w:tcW w:w="529" w:type="pct"/>
                  <w:tcBorders>
                    <w:top w:val="single" w:color="auto" w:sz="8" w:space="0"/>
                    <w:left w:val="single" w:color="auto" w:sz="8" w:space="0"/>
                    <w:bottom w:val="single" w:color="auto" w:sz="8" w:space="0"/>
                    <w:right w:val="nil"/>
                  </w:tcBorders>
                  <w:shd w:val="clear" w:color="auto" w:fill="auto"/>
                  <w:vAlign w:val="center"/>
                </w:tcPr>
                <w:p w14:paraId="55733228">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89</w:t>
                  </w:r>
                </w:p>
              </w:tc>
              <w:tc>
                <w:tcPr>
                  <w:tcW w:w="815" w:type="pct"/>
                  <w:tcBorders>
                    <w:top w:val="single" w:color="auto" w:sz="8" w:space="0"/>
                    <w:left w:val="single" w:color="auto" w:sz="8" w:space="0"/>
                    <w:bottom w:val="single" w:color="auto" w:sz="8" w:space="0"/>
                    <w:right w:val="nil"/>
                  </w:tcBorders>
                  <w:shd w:val="clear" w:color="auto" w:fill="auto"/>
                  <w:vAlign w:val="center"/>
                </w:tcPr>
                <w:p w14:paraId="7F94EED0">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0.6497</w:t>
                  </w:r>
                  <w:r>
                    <w:rPr>
                      <w:rFonts w:hint="default" w:ascii="Times New Roman" w:hAnsi="Times New Roman" w:eastAsia="宋体" w:cs="Times New Roman"/>
                      <w:color w:val="auto"/>
                      <w:sz w:val="21"/>
                      <w:szCs w:val="21"/>
                      <w:highlight w:val="none"/>
                    </w:rPr>
                    <w:t>4</w:t>
                  </w:r>
                </w:p>
              </w:tc>
              <w:tc>
                <w:tcPr>
                  <w:tcW w:w="815" w:type="pct"/>
                  <w:tcBorders>
                    <w:top w:val="single" w:color="auto" w:sz="8" w:space="0"/>
                    <w:left w:val="single" w:color="auto" w:sz="8" w:space="0"/>
                    <w:bottom w:val="single" w:color="auto" w:sz="8" w:space="0"/>
                    <w:right w:val="nil"/>
                  </w:tcBorders>
                  <w:shd w:val="clear" w:color="auto" w:fill="auto"/>
                  <w:vAlign w:val="center"/>
                </w:tcPr>
                <w:p w14:paraId="68FD1EF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174.51</w:t>
                  </w:r>
                </w:p>
              </w:tc>
            </w:tr>
            <w:tr w14:paraId="2CD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7" w:type="pct"/>
                  <w:vMerge w:val="continue"/>
                  <w:tcBorders>
                    <w:top w:val="single" w:color="auto" w:sz="8" w:space="0"/>
                    <w:left w:val="nil"/>
                    <w:bottom w:val="single" w:color="auto" w:sz="8" w:space="0"/>
                    <w:right w:val="single" w:color="auto" w:sz="8" w:space="0"/>
                  </w:tcBorders>
                  <w:vAlign w:val="center"/>
                </w:tcPr>
                <w:p w14:paraId="0660B40D">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1" w:type="pct"/>
                  <w:vMerge w:val="continue"/>
                  <w:tcBorders>
                    <w:left w:val="single" w:color="auto" w:sz="8" w:space="0"/>
                    <w:right w:val="single" w:color="auto" w:sz="8" w:space="0"/>
                  </w:tcBorders>
                  <w:vAlign w:val="center"/>
                </w:tcPr>
                <w:p w14:paraId="68E4DEC9">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3" w:type="pct"/>
                  <w:vMerge w:val="continue"/>
                  <w:tcBorders>
                    <w:left w:val="single" w:color="auto" w:sz="8" w:space="0"/>
                    <w:right w:val="single" w:color="auto" w:sz="8" w:space="0"/>
                  </w:tcBorders>
                  <w:vAlign w:val="center"/>
                </w:tcPr>
                <w:p w14:paraId="3A27045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p>
              </w:tc>
              <w:tc>
                <w:tcPr>
                  <w:tcW w:w="483" w:type="pct"/>
                  <w:vMerge w:val="continue"/>
                  <w:tcBorders>
                    <w:left w:val="single" w:color="auto" w:sz="8" w:space="0"/>
                    <w:right w:val="single" w:color="auto" w:sz="8" w:space="0"/>
                  </w:tcBorders>
                  <w:vAlign w:val="center"/>
                </w:tcPr>
                <w:p w14:paraId="7000DBE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83" w:type="pct"/>
                  <w:tcBorders>
                    <w:top w:val="single" w:color="auto" w:sz="8" w:space="0"/>
                    <w:left w:val="single" w:color="auto" w:sz="8" w:space="0"/>
                    <w:bottom w:val="single" w:color="auto" w:sz="8" w:space="0"/>
                    <w:right w:val="single" w:color="auto" w:sz="8" w:space="0"/>
                  </w:tcBorders>
                  <w:shd w:val="clear" w:color="auto" w:fill="auto"/>
                  <w:vAlign w:val="center"/>
                </w:tcPr>
                <w:p w14:paraId="21D540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总氮</w:t>
                  </w:r>
                </w:p>
              </w:tc>
              <w:tc>
                <w:tcPr>
                  <w:tcW w:w="379" w:type="pct"/>
                  <w:tcBorders>
                    <w:top w:val="single" w:color="auto" w:sz="8" w:space="0"/>
                    <w:left w:val="single" w:color="auto" w:sz="8" w:space="0"/>
                    <w:bottom w:val="single" w:color="auto" w:sz="8" w:space="0"/>
                    <w:right w:val="single" w:color="auto" w:sz="8" w:space="0"/>
                  </w:tcBorders>
                  <w:shd w:val="clear" w:color="auto" w:fill="auto"/>
                  <w:vAlign w:val="center"/>
                </w:tcPr>
                <w:p w14:paraId="16AE80D4">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克/头</w:t>
                  </w:r>
                </w:p>
              </w:tc>
              <w:tc>
                <w:tcPr>
                  <w:tcW w:w="529" w:type="pct"/>
                  <w:tcBorders>
                    <w:top w:val="single" w:color="auto" w:sz="8" w:space="0"/>
                    <w:left w:val="single" w:color="auto" w:sz="8" w:space="0"/>
                    <w:bottom w:val="single" w:color="auto" w:sz="8" w:space="0"/>
                    <w:right w:val="nil"/>
                  </w:tcBorders>
                  <w:shd w:val="clear" w:color="auto" w:fill="auto"/>
                  <w:vAlign w:val="center"/>
                </w:tcPr>
                <w:p w14:paraId="2D73E97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12</w:t>
                  </w:r>
                </w:p>
              </w:tc>
              <w:tc>
                <w:tcPr>
                  <w:tcW w:w="815" w:type="pct"/>
                  <w:tcBorders>
                    <w:top w:val="single" w:color="auto" w:sz="8" w:space="0"/>
                    <w:left w:val="single" w:color="auto" w:sz="8" w:space="0"/>
                    <w:bottom w:val="single" w:color="auto" w:sz="8" w:space="0"/>
                    <w:right w:val="nil"/>
                  </w:tcBorders>
                  <w:shd w:val="clear" w:color="auto" w:fill="auto"/>
                  <w:vAlign w:val="center"/>
                </w:tcPr>
                <w:p w14:paraId="00CECE03">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0.0876</w:t>
                  </w:r>
                </w:p>
              </w:tc>
              <w:tc>
                <w:tcPr>
                  <w:tcW w:w="815" w:type="pct"/>
                  <w:tcBorders>
                    <w:top w:val="single" w:color="auto" w:sz="8" w:space="0"/>
                    <w:left w:val="single" w:color="auto" w:sz="8" w:space="0"/>
                    <w:bottom w:val="single" w:color="auto" w:sz="8" w:space="0"/>
                    <w:right w:val="nil"/>
                  </w:tcBorders>
                  <w:shd w:val="clear" w:color="auto" w:fill="auto"/>
                  <w:vAlign w:val="center"/>
                </w:tcPr>
                <w:p w14:paraId="09CDC8D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23.53</w:t>
                  </w:r>
                </w:p>
              </w:tc>
            </w:tr>
          </w:tbl>
          <w:p w14:paraId="0189C0C9">
            <w:pPr>
              <w:adjustRightInd w:val="0"/>
              <w:spacing w:line="360" w:lineRule="auto"/>
              <w:ind w:firstLine="480" w:firstLineChars="200"/>
              <w:contextualSpacing/>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本项目屠宰废水污染物产生情况见下表：</w:t>
            </w:r>
          </w:p>
          <w:p w14:paraId="4E466948">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本项目屠宰废水水质情况表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803"/>
              <w:gridCol w:w="620"/>
              <w:gridCol w:w="861"/>
              <w:gridCol w:w="786"/>
              <w:gridCol w:w="786"/>
              <w:gridCol w:w="662"/>
              <w:gridCol w:w="700"/>
              <w:gridCol w:w="638"/>
              <w:gridCol w:w="638"/>
              <w:gridCol w:w="970"/>
            </w:tblGrid>
            <w:tr w14:paraId="1F4AB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vMerge w:val="restart"/>
                  <w:tcBorders>
                    <w:top w:val="single" w:color="auto" w:sz="12" w:space="0"/>
                    <w:left w:val="nil"/>
                    <w:bottom w:val="single" w:color="auto" w:sz="8" w:space="0"/>
                    <w:right w:val="single" w:color="auto" w:sz="8" w:space="0"/>
                  </w:tcBorders>
                  <w:vAlign w:val="center"/>
                </w:tcPr>
                <w:p w14:paraId="251CEF08">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核算依据</w:t>
                  </w:r>
                </w:p>
              </w:tc>
              <w:tc>
                <w:tcPr>
                  <w:tcW w:w="803" w:type="dxa"/>
                  <w:vMerge w:val="restart"/>
                  <w:tcBorders>
                    <w:top w:val="single" w:color="auto" w:sz="12" w:space="0"/>
                    <w:left w:val="single" w:color="auto" w:sz="8" w:space="0"/>
                    <w:bottom w:val="single" w:color="auto" w:sz="8" w:space="0"/>
                    <w:right w:val="single" w:color="auto" w:sz="8" w:space="0"/>
                  </w:tcBorders>
                  <w:vAlign w:val="center"/>
                </w:tcPr>
                <w:p w14:paraId="22AB2602">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废水量（m</w:t>
                  </w:r>
                  <w:r>
                    <w:rPr>
                      <w:rFonts w:hint="default" w:ascii="Times New Roman" w:hAnsi="Times New Roman" w:eastAsia="宋体" w:cs="Times New Roman"/>
                      <w:b/>
                      <w:bCs/>
                      <w:color w:val="auto"/>
                      <w:kern w:val="0"/>
                      <w:sz w:val="18"/>
                      <w:szCs w:val="18"/>
                      <w:highlight w:val="none"/>
                      <w:u w:val="none"/>
                      <w:vertAlign w:val="superscript"/>
                      <w:lang w:val="en-US" w:eastAsia="zh-CN" w:bidi="ar"/>
                    </w:rPr>
                    <w:t>3</w:t>
                  </w:r>
                  <w:r>
                    <w:rPr>
                      <w:rFonts w:hint="default" w:ascii="Times New Roman" w:hAnsi="Times New Roman" w:eastAsia="宋体" w:cs="Times New Roman"/>
                      <w:b/>
                      <w:bCs/>
                      <w:color w:val="auto"/>
                      <w:kern w:val="0"/>
                      <w:sz w:val="18"/>
                      <w:szCs w:val="18"/>
                      <w:highlight w:val="none"/>
                      <w:u w:val="none"/>
                      <w:lang w:val="en-US" w:eastAsia="zh-CN" w:bidi="ar"/>
                    </w:rPr>
                    <w:t>/</w:t>
                  </w:r>
                  <w:r>
                    <w:rPr>
                      <w:rFonts w:hint="eastAsia" w:ascii="Times New Roman" w:hAnsi="Times New Roman" w:eastAsia="宋体" w:cs="Times New Roman"/>
                      <w:b/>
                      <w:bCs/>
                      <w:color w:val="auto"/>
                      <w:kern w:val="0"/>
                      <w:sz w:val="18"/>
                      <w:szCs w:val="18"/>
                      <w:highlight w:val="none"/>
                      <w:u w:val="none"/>
                      <w:lang w:val="en-US" w:eastAsia="zh-CN" w:bidi="ar"/>
                    </w:rPr>
                    <w:t>a</w:t>
                  </w:r>
                  <w:r>
                    <w:rPr>
                      <w:rFonts w:hint="default" w:ascii="Times New Roman" w:hAnsi="Times New Roman" w:eastAsia="宋体" w:cs="Times New Roman"/>
                      <w:b/>
                      <w:bCs/>
                      <w:color w:val="auto"/>
                      <w:kern w:val="0"/>
                      <w:sz w:val="18"/>
                      <w:szCs w:val="18"/>
                      <w:highlight w:val="none"/>
                      <w:u w:val="none"/>
                      <w:lang w:val="en-US" w:eastAsia="zh-CN" w:bidi="ar"/>
                    </w:rPr>
                    <w:t>）</w:t>
                  </w:r>
                </w:p>
              </w:tc>
              <w:tc>
                <w:tcPr>
                  <w:tcW w:w="6661" w:type="dxa"/>
                  <w:gridSpan w:val="9"/>
                  <w:tcBorders>
                    <w:top w:val="single" w:color="auto" w:sz="12" w:space="0"/>
                    <w:left w:val="single" w:color="auto" w:sz="8" w:space="0"/>
                    <w:bottom w:val="single" w:color="auto" w:sz="8" w:space="0"/>
                    <w:right w:val="nil"/>
                  </w:tcBorders>
                  <w:vAlign w:val="center"/>
                </w:tcPr>
                <w:p w14:paraId="117994DE">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污染因子</w:t>
                  </w:r>
                </w:p>
              </w:tc>
            </w:tr>
            <w:tr w14:paraId="04053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vMerge w:val="continue"/>
                  <w:tcBorders>
                    <w:top w:val="single" w:color="auto" w:sz="8" w:space="0"/>
                    <w:left w:val="nil"/>
                    <w:bottom w:val="single" w:color="auto" w:sz="8" w:space="0"/>
                    <w:right w:val="single" w:color="auto" w:sz="8" w:space="0"/>
                  </w:tcBorders>
                  <w:vAlign w:val="center"/>
                </w:tcPr>
                <w:p w14:paraId="56C7670F">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p>
              </w:tc>
              <w:tc>
                <w:tcPr>
                  <w:tcW w:w="803" w:type="dxa"/>
                  <w:vMerge w:val="continue"/>
                  <w:tcBorders>
                    <w:top w:val="single" w:color="auto" w:sz="8" w:space="0"/>
                    <w:left w:val="single" w:color="auto" w:sz="8" w:space="0"/>
                    <w:bottom w:val="single" w:color="auto" w:sz="8" w:space="0"/>
                    <w:right w:val="single" w:color="auto" w:sz="8" w:space="0"/>
                  </w:tcBorders>
                  <w:vAlign w:val="center"/>
                </w:tcPr>
                <w:p w14:paraId="07BE5B0A">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p>
              </w:tc>
              <w:tc>
                <w:tcPr>
                  <w:tcW w:w="620" w:type="dxa"/>
                  <w:tcBorders>
                    <w:top w:val="single" w:color="auto" w:sz="8" w:space="0"/>
                    <w:left w:val="single" w:color="auto" w:sz="8" w:space="0"/>
                    <w:bottom w:val="single" w:color="auto" w:sz="8" w:space="0"/>
                    <w:right w:val="single" w:color="auto" w:sz="8" w:space="0"/>
                  </w:tcBorders>
                  <w:vAlign w:val="center"/>
                </w:tcPr>
                <w:p w14:paraId="476BCD14">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pH</w:t>
                  </w:r>
                </w:p>
                <w:p w14:paraId="3C1304DF">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(无量纲</w:t>
                  </w:r>
                  <w:r>
                    <w:rPr>
                      <w:rFonts w:hint="eastAsia" w:cs="Times New Roman"/>
                      <w:b/>
                      <w:bCs/>
                      <w:color w:val="auto"/>
                      <w:kern w:val="0"/>
                      <w:sz w:val="18"/>
                      <w:szCs w:val="18"/>
                      <w:highlight w:val="none"/>
                      <w:u w:val="none"/>
                      <w:lang w:val="en-US" w:eastAsia="zh-CN" w:bidi="ar"/>
                    </w:rPr>
                    <w:t>）</w:t>
                  </w:r>
                </w:p>
              </w:tc>
              <w:tc>
                <w:tcPr>
                  <w:tcW w:w="861" w:type="dxa"/>
                  <w:tcBorders>
                    <w:top w:val="single" w:color="auto" w:sz="8" w:space="0"/>
                    <w:left w:val="single" w:color="auto" w:sz="8" w:space="0"/>
                    <w:bottom w:val="single" w:color="auto" w:sz="8" w:space="0"/>
                    <w:right w:val="single" w:color="auto" w:sz="8" w:space="0"/>
                  </w:tcBorders>
                  <w:vAlign w:val="center"/>
                </w:tcPr>
                <w:p w14:paraId="392EF05F">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COD</w:t>
                  </w:r>
                </w:p>
                <w:p w14:paraId="79C0055B">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(mg/L)</w:t>
                  </w:r>
                </w:p>
              </w:tc>
              <w:tc>
                <w:tcPr>
                  <w:tcW w:w="786" w:type="dxa"/>
                  <w:tcBorders>
                    <w:top w:val="single" w:color="auto" w:sz="8" w:space="0"/>
                    <w:left w:val="single" w:color="auto" w:sz="8" w:space="0"/>
                    <w:bottom w:val="single" w:color="auto" w:sz="8" w:space="0"/>
                    <w:right w:val="single" w:color="auto" w:sz="8" w:space="0"/>
                  </w:tcBorders>
                  <w:vAlign w:val="center"/>
                </w:tcPr>
                <w:p w14:paraId="25C7C72C">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BOD</w:t>
                  </w:r>
                  <w:r>
                    <w:rPr>
                      <w:rFonts w:hint="default" w:ascii="Times New Roman" w:hAnsi="Times New Roman" w:eastAsia="宋体" w:cs="Times New Roman"/>
                      <w:b/>
                      <w:bCs/>
                      <w:color w:val="auto"/>
                      <w:kern w:val="0"/>
                      <w:sz w:val="18"/>
                      <w:szCs w:val="18"/>
                      <w:highlight w:val="none"/>
                      <w:u w:val="none"/>
                      <w:vertAlign w:val="subscript"/>
                      <w:lang w:val="en-US" w:eastAsia="zh-CN" w:bidi="ar"/>
                    </w:rPr>
                    <w:t>5</w:t>
                  </w:r>
                </w:p>
                <w:p w14:paraId="6119B300">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(mg/L)</w:t>
                  </w:r>
                </w:p>
              </w:tc>
              <w:tc>
                <w:tcPr>
                  <w:tcW w:w="786" w:type="dxa"/>
                  <w:tcBorders>
                    <w:top w:val="single" w:color="auto" w:sz="8" w:space="0"/>
                    <w:left w:val="single" w:color="auto" w:sz="8" w:space="0"/>
                    <w:bottom w:val="single" w:color="auto" w:sz="8" w:space="0"/>
                    <w:right w:val="single" w:color="auto" w:sz="8" w:space="0"/>
                  </w:tcBorders>
                  <w:vAlign w:val="center"/>
                </w:tcPr>
                <w:p w14:paraId="75CF9A91">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SS</w:t>
                  </w:r>
                </w:p>
                <w:p w14:paraId="4554633F">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(mg/L)</w:t>
                  </w:r>
                </w:p>
              </w:tc>
              <w:tc>
                <w:tcPr>
                  <w:tcW w:w="662" w:type="dxa"/>
                  <w:tcBorders>
                    <w:top w:val="single" w:color="auto" w:sz="8" w:space="0"/>
                    <w:left w:val="single" w:color="auto" w:sz="8" w:space="0"/>
                    <w:bottom w:val="single" w:color="auto" w:sz="8" w:space="0"/>
                    <w:right w:val="single" w:color="auto" w:sz="8" w:space="0"/>
                  </w:tcBorders>
                  <w:vAlign w:val="center"/>
                </w:tcPr>
                <w:p w14:paraId="510D01C4">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NH3-N</w:t>
                  </w:r>
                </w:p>
                <w:p w14:paraId="0E04B729">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(mg/L)</w:t>
                  </w:r>
                </w:p>
              </w:tc>
              <w:tc>
                <w:tcPr>
                  <w:tcW w:w="700" w:type="dxa"/>
                  <w:tcBorders>
                    <w:top w:val="single" w:color="auto" w:sz="8" w:space="0"/>
                    <w:left w:val="single" w:color="auto" w:sz="8" w:space="0"/>
                    <w:bottom w:val="single" w:color="auto" w:sz="8" w:space="0"/>
                    <w:right w:val="single" w:color="auto" w:sz="8" w:space="0"/>
                  </w:tcBorders>
                  <w:vAlign w:val="center"/>
                </w:tcPr>
                <w:p w14:paraId="58408421">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TN</w:t>
                  </w:r>
                </w:p>
                <w:p w14:paraId="2680C2B2">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(mg/L)</w:t>
                  </w:r>
                </w:p>
              </w:tc>
              <w:tc>
                <w:tcPr>
                  <w:tcW w:w="638" w:type="dxa"/>
                  <w:tcBorders>
                    <w:top w:val="single" w:color="auto" w:sz="8" w:space="0"/>
                    <w:left w:val="single" w:color="auto" w:sz="8" w:space="0"/>
                    <w:bottom w:val="single" w:color="auto" w:sz="8" w:space="0"/>
                    <w:right w:val="single" w:color="auto" w:sz="8" w:space="0"/>
                  </w:tcBorders>
                  <w:vAlign w:val="center"/>
                </w:tcPr>
                <w:p w14:paraId="368D8A59">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TP</w:t>
                  </w:r>
                </w:p>
                <w:p w14:paraId="762FA2AB">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(mg/L)</w:t>
                  </w:r>
                </w:p>
              </w:tc>
              <w:tc>
                <w:tcPr>
                  <w:tcW w:w="638" w:type="dxa"/>
                  <w:tcBorders>
                    <w:top w:val="single" w:color="auto" w:sz="8" w:space="0"/>
                    <w:left w:val="single" w:color="auto" w:sz="8" w:space="0"/>
                    <w:bottom w:val="single" w:color="auto" w:sz="8" w:space="0"/>
                    <w:right w:val="single" w:color="auto" w:sz="8" w:space="0"/>
                  </w:tcBorders>
                  <w:vAlign w:val="center"/>
                </w:tcPr>
                <w:p w14:paraId="0D930331">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动植物油(mg/L</w:t>
                  </w:r>
                  <w:r>
                    <w:rPr>
                      <w:rFonts w:hint="eastAsia" w:cs="Times New Roman"/>
                      <w:b/>
                      <w:bCs/>
                      <w:color w:val="auto"/>
                      <w:kern w:val="0"/>
                      <w:sz w:val="18"/>
                      <w:szCs w:val="18"/>
                      <w:highlight w:val="none"/>
                      <w:u w:val="none"/>
                      <w:lang w:val="en-US" w:eastAsia="zh-CN" w:bidi="ar"/>
                    </w:rPr>
                    <w:t>）</w:t>
                  </w:r>
                </w:p>
              </w:tc>
              <w:tc>
                <w:tcPr>
                  <w:tcW w:w="970" w:type="dxa"/>
                  <w:tcBorders>
                    <w:top w:val="single" w:color="auto" w:sz="8" w:space="0"/>
                    <w:left w:val="single" w:color="auto" w:sz="8" w:space="0"/>
                    <w:bottom w:val="single" w:color="auto" w:sz="8" w:space="0"/>
                    <w:right w:val="nil"/>
                  </w:tcBorders>
                  <w:vAlign w:val="center"/>
                </w:tcPr>
                <w:p w14:paraId="25A67F4B">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粪大肠菌群（MPN/L）</w:t>
                  </w:r>
                </w:p>
              </w:tc>
            </w:tr>
            <w:tr w14:paraId="52C4B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26" w:type="dxa"/>
                  <w:tcBorders>
                    <w:top w:val="single" w:color="auto" w:sz="8" w:space="0"/>
                    <w:left w:val="nil"/>
                    <w:bottom w:val="single" w:color="auto" w:sz="8" w:space="0"/>
                    <w:right w:val="single" w:color="auto" w:sz="8" w:space="0"/>
                  </w:tcBorders>
                  <w:vAlign w:val="center"/>
                </w:tcPr>
                <w:p w14:paraId="50A7D003">
                  <w:pPr>
                    <w:jc w:val="center"/>
                    <w:rPr>
                      <w:rFonts w:hint="default"/>
                      <w:color w:val="auto"/>
                      <w:sz w:val="18"/>
                      <w:szCs w:val="18"/>
                      <w:highlight w:val="none"/>
                      <w:lang w:val="en-US" w:eastAsia="zh-CN"/>
                    </w:rPr>
                  </w:pPr>
                  <w:r>
                    <w:rPr>
                      <w:color w:val="auto"/>
                      <w:sz w:val="18"/>
                      <w:szCs w:val="18"/>
                      <w:highlight w:val="none"/>
                    </w:rPr>
                    <w:t>135屠宰及肉类加工行业系数手册</w:t>
                  </w:r>
                </w:p>
              </w:tc>
              <w:tc>
                <w:tcPr>
                  <w:tcW w:w="803" w:type="dxa"/>
                  <w:vMerge w:val="restart"/>
                  <w:tcBorders>
                    <w:top w:val="single" w:color="auto" w:sz="8" w:space="0"/>
                    <w:left w:val="single" w:color="auto" w:sz="8" w:space="0"/>
                    <w:right w:val="single" w:color="auto" w:sz="8" w:space="0"/>
                  </w:tcBorders>
                  <w:vAlign w:val="center"/>
                </w:tcPr>
                <w:p w14:paraId="108C21F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cs="Times New Roman"/>
                      <w:color w:val="auto"/>
                      <w:kern w:val="0"/>
                      <w:sz w:val="18"/>
                      <w:szCs w:val="18"/>
                      <w:highlight w:val="none"/>
                      <w:u w:val="none"/>
                      <w:lang w:val="en-US" w:eastAsia="zh-CN" w:bidi="ar"/>
                    </w:rPr>
                    <w:t>3723</w:t>
                  </w:r>
                </w:p>
              </w:tc>
              <w:tc>
                <w:tcPr>
                  <w:tcW w:w="620" w:type="dxa"/>
                  <w:tcBorders>
                    <w:top w:val="single" w:color="auto" w:sz="8" w:space="0"/>
                    <w:left w:val="single" w:color="auto" w:sz="8" w:space="0"/>
                    <w:bottom w:val="single" w:color="auto" w:sz="8" w:space="0"/>
                    <w:right w:val="single" w:color="auto" w:sz="8" w:space="0"/>
                  </w:tcBorders>
                  <w:vAlign w:val="center"/>
                </w:tcPr>
                <w:p w14:paraId="1116EFA9">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w:t>
                  </w:r>
                </w:p>
              </w:tc>
              <w:tc>
                <w:tcPr>
                  <w:tcW w:w="861" w:type="dxa"/>
                  <w:tcBorders>
                    <w:top w:val="single" w:color="auto" w:sz="8" w:space="0"/>
                    <w:left w:val="single" w:color="auto" w:sz="8" w:space="0"/>
                    <w:bottom w:val="single" w:color="auto" w:sz="8" w:space="0"/>
                    <w:right w:val="single" w:color="auto" w:sz="8" w:space="0"/>
                  </w:tcBorders>
                  <w:vAlign w:val="center"/>
                </w:tcPr>
                <w:p w14:paraId="02BDE85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2274.51</w:t>
                  </w:r>
                </w:p>
              </w:tc>
              <w:tc>
                <w:tcPr>
                  <w:tcW w:w="786" w:type="dxa"/>
                  <w:tcBorders>
                    <w:top w:val="single" w:color="auto" w:sz="8" w:space="0"/>
                    <w:left w:val="single" w:color="auto" w:sz="8" w:space="0"/>
                    <w:bottom w:val="single" w:color="auto" w:sz="8" w:space="0"/>
                    <w:right w:val="single" w:color="auto" w:sz="8" w:space="0"/>
                  </w:tcBorders>
                  <w:vAlign w:val="center"/>
                </w:tcPr>
                <w:p w14:paraId="397A1A0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786" w:type="dxa"/>
                  <w:tcBorders>
                    <w:top w:val="single" w:color="auto" w:sz="8" w:space="0"/>
                    <w:left w:val="single" w:color="auto" w:sz="8" w:space="0"/>
                    <w:bottom w:val="single" w:color="auto" w:sz="8" w:space="0"/>
                    <w:right w:val="single" w:color="auto" w:sz="8" w:space="0"/>
                  </w:tcBorders>
                  <w:vAlign w:val="center"/>
                </w:tcPr>
                <w:p w14:paraId="29EBD57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2" w:type="dxa"/>
                  <w:tcBorders>
                    <w:top w:val="single" w:color="auto" w:sz="8" w:space="0"/>
                    <w:left w:val="single" w:color="auto" w:sz="8" w:space="0"/>
                    <w:bottom w:val="single" w:color="auto" w:sz="8" w:space="0"/>
                    <w:right w:val="single" w:color="auto" w:sz="8" w:space="0"/>
                  </w:tcBorders>
                  <w:vAlign w:val="center"/>
                </w:tcPr>
                <w:p w14:paraId="4D9583A8">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68.63</w:t>
                  </w:r>
                </w:p>
              </w:tc>
              <w:tc>
                <w:tcPr>
                  <w:tcW w:w="700" w:type="dxa"/>
                  <w:tcBorders>
                    <w:top w:val="single" w:color="auto" w:sz="8" w:space="0"/>
                    <w:left w:val="single" w:color="auto" w:sz="8" w:space="0"/>
                    <w:bottom w:val="single" w:color="auto" w:sz="8" w:space="0"/>
                    <w:right w:val="single" w:color="auto" w:sz="8" w:space="0"/>
                  </w:tcBorders>
                  <w:vAlign w:val="center"/>
                </w:tcPr>
                <w:p w14:paraId="57C0D3C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174.51</w:t>
                  </w:r>
                </w:p>
              </w:tc>
              <w:tc>
                <w:tcPr>
                  <w:tcW w:w="638" w:type="dxa"/>
                  <w:tcBorders>
                    <w:top w:val="single" w:color="auto" w:sz="8" w:space="0"/>
                    <w:left w:val="single" w:color="auto" w:sz="8" w:space="0"/>
                    <w:bottom w:val="single" w:color="auto" w:sz="8" w:space="0"/>
                    <w:right w:val="single" w:color="auto" w:sz="8" w:space="0"/>
                  </w:tcBorders>
                  <w:vAlign w:val="center"/>
                </w:tcPr>
                <w:p w14:paraId="07A687D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23.53</w:t>
                  </w:r>
                </w:p>
              </w:tc>
              <w:tc>
                <w:tcPr>
                  <w:tcW w:w="638" w:type="dxa"/>
                  <w:tcBorders>
                    <w:top w:val="single" w:color="auto" w:sz="8" w:space="0"/>
                    <w:left w:val="single" w:color="auto" w:sz="8" w:space="0"/>
                    <w:bottom w:val="single" w:color="auto" w:sz="8" w:space="0"/>
                    <w:right w:val="single" w:color="auto" w:sz="8" w:space="0"/>
                  </w:tcBorders>
                  <w:vAlign w:val="center"/>
                </w:tcPr>
                <w:p w14:paraId="23659D84">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w:t>
                  </w:r>
                </w:p>
              </w:tc>
              <w:tc>
                <w:tcPr>
                  <w:tcW w:w="970" w:type="dxa"/>
                  <w:tcBorders>
                    <w:top w:val="single" w:color="auto" w:sz="8" w:space="0"/>
                    <w:left w:val="single" w:color="auto" w:sz="8" w:space="0"/>
                    <w:bottom w:val="single" w:color="auto" w:sz="8" w:space="0"/>
                    <w:right w:val="nil"/>
                  </w:tcBorders>
                  <w:vAlign w:val="center"/>
                </w:tcPr>
                <w:p w14:paraId="24C67FEF">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w:t>
                  </w:r>
                </w:p>
              </w:tc>
            </w:tr>
            <w:tr w14:paraId="3217D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Borders>
                    <w:top w:val="single" w:color="auto" w:sz="8" w:space="0"/>
                    <w:left w:val="nil"/>
                    <w:bottom w:val="single" w:color="auto" w:sz="8" w:space="0"/>
                    <w:right w:val="single" w:color="auto" w:sz="8" w:space="0"/>
                  </w:tcBorders>
                  <w:vAlign w:val="center"/>
                </w:tcPr>
                <w:p w14:paraId="406B1C32">
                  <w:pPr>
                    <w:jc w:val="center"/>
                    <w:rPr>
                      <w:rFonts w:hint="default"/>
                      <w:color w:val="auto"/>
                      <w:sz w:val="18"/>
                      <w:szCs w:val="18"/>
                      <w:highlight w:val="none"/>
                      <w:lang w:val="en-US" w:eastAsia="zh-CN"/>
                    </w:rPr>
                  </w:pPr>
                  <w:r>
                    <w:rPr>
                      <w:color w:val="auto"/>
                      <w:sz w:val="18"/>
                      <w:szCs w:val="18"/>
                      <w:highlight w:val="none"/>
                    </w:rPr>
                    <w:t>HJ2004-2010</w:t>
                  </w:r>
                </w:p>
              </w:tc>
              <w:tc>
                <w:tcPr>
                  <w:tcW w:w="803" w:type="dxa"/>
                  <w:vMerge w:val="continue"/>
                  <w:tcBorders>
                    <w:left w:val="single" w:color="auto" w:sz="8" w:space="0"/>
                    <w:right w:val="single" w:color="auto" w:sz="8" w:space="0"/>
                  </w:tcBorders>
                  <w:vAlign w:val="center"/>
                </w:tcPr>
                <w:p w14:paraId="544D4F4B">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620" w:type="dxa"/>
                  <w:tcBorders>
                    <w:top w:val="single" w:color="auto" w:sz="8" w:space="0"/>
                    <w:left w:val="single" w:color="auto" w:sz="8" w:space="0"/>
                    <w:bottom w:val="single" w:color="auto" w:sz="8" w:space="0"/>
                    <w:right w:val="single" w:color="auto" w:sz="8" w:space="0"/>
                  </w:tcBorders>
                  <w:vAlign w:val="center"/>
                </w:tcPr>
                <w:p w14:paraId="507018A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6.5</w:t>
                  </w:r>
                  <w:r>
                    <w:rPr>
                      <w:rFonts w:hint="default" w:ascii="Times New Roman" w:hAnsi="Times New Roman" w:eastAsia="宋体" w:cs="Times New Roman"/>
                      <w:color w:val="auto"/>
                      <w:kern w:val="0"/>
                      <w:sz w:val="18"/>
                      <w:szCs w:val="18"/>
                      <w:highlight w:val="none"/>
                      <w:u w:val="none"/>
                      <w:vertAlign w:val="subscript"/>
                      <w:lang w:val="en-US" w:eastAsia="zh-CN" w:bidi="ar"/>
                    </w:rPr>
                    <w:t>˜</w:t>
                  </w:r>
                  <w:r>
                    <w:rPr>
                      <w:rFonts w:hint="eastAsia" w:ascii="Times New Roman" w:hAnsi="Times New Roman" w:eastAsia="宋体" w:cs="Times New Roman"/>
                      <w:color w:val="auto"/>
                      <w:kern w:val="0"/>
                      <w:sz w:val="18"/>
                      <w:szCs w:val="18"/>
                      <w:highlight w:val="none"/>
                      <w:u w:val="none"/>
                      <w:lang w:val="en-US" w:eastAsia="zh-CN" w:bidi="ar"/>
                    </w:rPr>
                    <w:t>7.5</w:t>
                  </w:r>
                </w:p>
              </w:tc>
              <w:tc>
                <w:tcPr>
                  <w:tcW w:w="861" w:type="dxa"/>
                  <w:tcBorders>
                    <w:top w:val="single" w:color="auto" w:sz="8" w:space="0"/>
                    <w:left w:val="single" w:color="auto" w:sz="8" w:space="0"/>
                    <w:bottom w:val="single" w:color="auto" w:sz="8" w:space="0"/>
                    <w:right w:val="single" w:color="auto" w:sz="8" w:space="0"/>
                  </w:tcBorders>
                  <w:vAlign w:val="center"/>
                </w:tcPr>
                <w:p w14:paraId="1D7E343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1</w:t>
                  </w:r>
                  <w:r>
                    <w:rPr>
                      <w:rFonts w:hint="default" w:ascii="Times New Roman" w:hAnsi="Times New Roman" w:eastAsia="宋体" w:cs="Times New Roman"/>
                      <w:color w:val="auto"/>
                      <w:kern w:val="0"/>
                      <w:sz w:val="18"/>
                      <w:szCs w:val="18"/>
                      <w:highlight w:val="none"/>
                      <w:u w:val="none"/>
                      <w:lang w:val="en-US" w:eastAsia="zh-CN" w:bidi="ar"/>
                    </w:rPr>
                    <w:t>500</w:t>
                  </w:r>
                  <w:r>
                    <w:rPr>
                      <w:rFonts w:hint="eastAsia" w:ascii="Times New Roman" w:hAnsi="Times New Roman" w:eastAsia="宋体" w:cs="Times New Roman"/>
                      <w:color w:val="auto"/>
                      <w:kern w:val="0"/>
                      <w:sz w:val="18"/>
                      <w:szCs w:val="18"/>
                      <w:highlight w:val="none"/>
                      <w:u w:val="none"/>
                      <w:lang w:val="en-US" w:eastAsia="zh-CN" w:bidi="ar"/>
                    </w:rPr>
                    <w:t>-</w:t>
                  </w:r>
                  <w:r>
                    <w:rPr>
                      <w:rFonts w:hint="default" w:ascii="Times New Roman" w:hAnsi="Times New Roman" w:eastAsia="宋体" w:cs="Times New Roman"/>
                      <w:color w:val="auto"/>
                      <w:kern w:val="0"/>
                      <w:sz w:val="18"/>
                      <w:szCs w:val="18"/>
                      <w:highlight w:val="none"/>
                      <w:u w:val="none"/>
                      <w:lang w:val="en-US" w:eastAsia="zh-CN" w:bidi="ar"/>
                    </w:rPr>
                    <w:t>2000</w:t>
                  </w:r>
                </w:p>
              </w:tc>
              <w:tc>
                <w:tcPr>
                  <w:tcW w:w="786" w:type="dxa"/>
                  <w:tcBorders>
                    <w:top w:val="single" w:color="auto" w:sz="8" w:space="0"/>
                    <w:left w:val="single" w:color="auto" w:sz="8" w:space="0"/>
                    <w:bottom w:val="single" w:color="auto" w:sz="8" w:space="0"/>
                    <w:right w:val="single" w:color="auto" w:sz="8" w:space="0"/>
                  </w:tcBorders>
                  <w:vAlign w:val="center"/>
                </w:tcPr>
                <w:p w14:paraId="42306D3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750-1000</w:t>
                  </w:r>
                </w:p>
              </w:tc>
              <w:tc>
                <w:tcPr>
                  <w:tcW w:w="786" w:type="dxa"/>
                  <w:tcBorders>
                    <w:top w:val="single" w:color="auto" w:sz="8" w:space="0"/>
                    <w:left w:val="single" w:color="auto" w:sz="8" w:space="0"/>
                    <w:bottom w:val="single" w:color="auto" w:sz="8" w:space="0"/>
                    <w:right w:val="single" w:color="auto" w:sz="8" w:space="0"/>
                  </w:tcBorders>
                  <w:vAlign w:val="center"/>
                </w:tcPr>
                <w:p w14:paraId="3A25E45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750-1000</w:t>
                  </w:r>
                </w:p>
              </w:tc>
              <w:tc>
                <w:tcPr>
                  <w:tcW w:w="662" w:type="dxa"/>
                  <w:tcBorders>
                    <w:top w:val="single" w:color="auto" w:sz="8" w:space="0"/>
                    <w:left w:val="single" w:color="auto" w:sz="8" w:space="0"/>
                    <w:bottom w:val="single" w:color="auto" w:sz="8" w:space="0"/>
                    <w:right w:val="single" w:color="auto" w:sz="8" w:space="0"/>
                  </w:tcBorders>
                  <w:vAlign w:val="center"/>
                </w:tcPr>
                <w:p w14:paraId="6D522DF1">
                  <w:pPr>
                    <w:keepNext w:val="0"/>
                    <w:keepLines w:val="0"/>
                    <w:widowControl/>
                    <w:suppressLineNumbers w:val="0"/>
                    <w:jc w:val="center"/>
                    <w:textAlignment w:val="center"/>
                    <w:rPr>
                      <w:rFonts w:hint="eastAsia"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50-150</w:t>
                  </w:r>
                </w:p>
              </w:tc>
              <w:tc>
                <w:tcPr>
                  <w:tcW w:w="700" w:type="dxa"/>
                  <w:tcBorders>
                    <w:top w:val="single" w:color="auto" w:sz="8" w:space="0"/>
                    <w:left w:val="single" w:color="auto" w:sz="8" w:space="0"/>
                    <w:bottom w:val="single" w:color="auto" w:sz="8" w:space="0"/>
                    <w:right w:val="single" w:color="auto" w:sz="8" w:space="0"/>
                  </w:tcBorders>
                  <w:vAlign w:val="center"/>
                </w:tcPr>
                <w:p w14:paraId="708EAC9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w:t>
                  </w:r>
                </w:p>
              </w:tc>
              <w:tc>
                <w:tcPr>
                  <w:tcW w:w="638" w:type="dxa"/>
                  <w:tcBorders>
                    <w:top w:val="single" w:color="auto" w:sz="8" w:space="0"/>
                    <w:left w:val="single" w:color="auto" w:sz="8" w:space="0"/>
                    <w:bottom w:val="single" w:color="auto" w:sz="8" w:space="0"/>
                    <w:right w:val="single" w:color="auto" w:sz="8" w:space="0"/>
                  </w:tcBorders>
                  <w:vAlign w:val="center"/>
                </w:tcPr>
                <w:p w14:paraId="175290E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w:t>
                  </w:r>
                </w:p>
              </w:tc>
              <w:tc>
                <w:tcPr>
                  <w:tcW w:w="638" w:type="dxa"/>
                  <w:tcBorders>
                    <w:top w:val="single" w:color="auto" w:sz="8" w:space="0"/>
                    <w:left w:val="single" w:color="auto" w:sz="8" w:space="0"/>
                    <w:bottom w:val="single" w:color="auto" w:sz="8" w:space="0"/>
                    <w:right w:val="single" w:color="auto" w:sz="8" w:space="0"/>
                  </w:tcBorders>
                  <w:vAlign w:val="center"/>
                </w:tcPr>
                <w:p w14:paraId="5010BF7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50-200</w:t>
                  </w:r>
                </w:p>
              </w:tc>
              <w:tc>
                <w:tcPr>
                  <w:tcW w:w="970" w:type="dxa"/>
                  <w:tcBorders>
                    <w:top w:val="single" w:color="auto" w:sz="8" w:space="0"/>
                    <w:left w:val="single" w:color="auto" w:sz="8" w:space="0"/>
                    <w:bottom w:val="single" w:color="auto" w:sz="8" w:space="0"/>
                    <w:right w:val="nil"/>
                  </w:tcBorders>
                  <w:vAlign w:val="center"/>
                </w:tcPr>
                <w:p w14:paraId="064A768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w:t>
                  </w:r>
                </w:p>
              </w:tc>
            </w:tr>
            <w:tr w14:paraId="729D6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tcBorders>
                    <w:top w:val="single" w:color="auto" w:sz="8" w:space="0"/>
                    <w:left w:val="nil"/>
                    <w:bottom w:val="single" w:color="auto" w:sz="8" w:space="0"/>
                    <w:right w:val="single" w:color="auto" w:sz="8" w:space="0"/>
                  </w:tcBorders>
                  <w:vAlign w:val="center"/>
                </w:tcPr>
                <w:p w14:paraId="08EE7259">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本项目取值</w:t>
                  </w:r>
                </w:p>
              </w:tc>
              <w:tc>
                <w:tcPr>
                  <w:tcW w:w="803" w:type="dxa"/>
                  <w:vMerge w:val="continue"/>
                  <w:tcBorders>
                    <w:left w:val="single" w:color="auto" w:sz="8" w:space="0"/>
                    <w:right w:val="single" w:color="auto" w:sz="8" w:space="0"/>
                  </w:tcBorders>
                  <w:vAlign w:val="center"/>
                </w:tcPr>
                <w:p w14:paraId="31703755">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620" w:type="dxa"/>
                  <w:tcBorders>
                    <w:top w:val="single" w:color="auto" w:sz="8" w:space="0"/>
                    <w:left w:val="single" w:color="auto" w:sz="8" w:space="0"/>
                    <w:bottom w:val="single" w:color="auto" w:sz="8" w:space="0"/>
                    <w:right w:val="single" w:color="auto" w:sz="8" w:space="0"/>
                  </w:tcBorders>
                  <w:vAlign w:val="center"/>
                </w:tcPr>
                <w:p w14:paraId="2CF22EC9">
                  <w:pPr>
                    <w:keepNext w:val="0"/>
                    <w:keepLines w:val="0"/>
                    <w:widowControl/>
                    <w:suppressLineNumbers w:val="0"/>
                    <w:jc w:val="center"/>
                    <w:textAlignment w:val="center"/>
                    <w:rPr>
                      <w:rFonts w:hint="eastAsia"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6.5</w:t>
                  </w:r>
                  <w:r>
                    <w:rPr>
                      <w:rFonts w:hint="default" w:ascii="Times New Roman" w:hAnsi="Times New Roman" w:eastAsia="宋体" w:cs="Times New Roman"/>
                      <w:color w:val="auto"/>
                      <w:kern w:val="0"/>
                      <w:sz w:val="18"/>
                      <w:szCs w:val="18"/>
                      <w:highlight w:val="none"/>
                      <w:u w:val="none"/>
                      <w:vertAlign w:val="subscript"/>
                      <w:lang w:val="en-US" w:eastAsia="zh-CN" w:bidi="ar"/>
                    </w:rPr>
                    <w:t>˜</w:t>
                  </w:r>
                  <w:r>
                    <w:rPr>
                      <w:rFonts w:hint="eastAsia" w:ascii="Times New Roman" w:hAnsi="Times New Roman" w:eastAsia="宋体" w:cs="Times New Roman"/>
                      <w:color w:val="auto"/>
                      <w:kern w:val="0"/>
                      <w:sz w:val="18"/>
                      <w:szCs w:val="18"/>
                      <w:highlight w:val="none"/>
                      <w:u w:val="none"/>
                      <w:lang w:val="en-US" w:eastAsia="zh-CN" w:bidi="ar"/>
                    </w:rPr>
                    <w:t>7.5</w:t>
                  </w:r>
                </w:p>
              </w:tc>
              <w:tc>
                <w:tcPr>
                  <w:tcW w:w="861" w:type="dxa"/>
                  <w:tcBorders>
                    <w:top w:val="single" w:color="auto" w:sz="8" w:space="0"/>
                    <w:left w:val="single" w:color="auto" w:sz="8" w:space="0"/>
                    <w:bottom w:val="single" w:color="auto" w:sz="8" w:space="0"/>
                    <w:right w:val="single" w:color="auto" w:sz="8" w:space="0"/>
                  </w:tcBorders>
                  <w:vAlign w:val="center"/>
                </w:tcPr>
                <w:p w14:paraId="09B943EF">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2274.51*</w:t>
                  </w:r>
                </w:p>
              </w:tc>
              <w:tc>
                <w:tcPr>
                  <w:tcW w:w="786" w:type="dxa"/>
                  <w:tcBorders>
                    <w:top w:val="single" w:color="auto" w:sz="8" w:space="0"/>
                    <w:left w:val="single" w:color="auto" w:sz="8" w:space="0"/>
                    <w:bottom w:val="single" w:color="auto" w:sz="8" w:space="0"/>
                    <w:right w:val="single" w:color="auto" w:sz="8" w:space="0"/>
                  </w:tcBorders>
                  <w:vAlign w:val="center"/>
                </w:tcPr>
                <w:p w14:paraId="0A90DFC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cs="Times New Roman"/>
                      <w:color w:val="auto"/>
                      <w:kern w:val="0"/>
                      <w:sz w:val="18"/>
                      <w:szCs w:val="18"/>
                      <w:highlight w:val="none"/>
                      <w:u w:val="none"/>
                      <w:lang w:val="en-US" w:eastAsia="zh-CN" w:bidi="ar"/>
                    </w:rPr>
                    <w:t>1023.53</w:t>
                  </w:r>
                  <w:r>
                    <w:rPr>
                      <w:rFonts w:hint="eastAsia" w:ascii="Times New Roman" w:hAnsi="Times New Roman" w:eastAsia="宋体" w:cs="Times New Roman"/>
                      <w:color w:val="auto"/>
                      <w:kern w:val="0"/>
                      <w:sz w:val="18"/>
                      <w:szCs w:val="18"/>
                      <w:highlight w:val="none"/>
                      <w:u w:val="none"/>
                      <w:lang w:val="en-US" w:eastAsia="zh-CN" w:bidi="ar"/>
                    </w:rPr>
                    <w:t>*</w:t>
                  </w:r>
                </w:p>
              </w:tc>
              <w:tc>
                <w:tcPr>
                  <w:tcW w:w="786" w:type="dxa"/>
                  <w:tcBorders>
                    <w:top w:val="single" w:color="auto" w:sz="8" w:space="0"/>
                    <w:left w:val="single" w:color="auto" w:sz="8" w:space="0"/>
                    <w:bottom w:val="single" w:color="auto" w:sz="8" w:space="0"/>
                    <w:right w:val="single" w:color="auto" w:sz="8" w:space="0"/>
                  </w:tcBorders>
                  <w:vAlign w:val="center"/>
                </w:tcPr>
                <w:p w14:paraId="3C1ED67F">
                  <w:pPr>
                    <w:keepNext w:val="0"/>
                    <w:keepLines w:val="0"/>
                    <w:widowControl/>
                    <w:suppressLineNumbers w:val="0"/>
                    <w:jc w:val="center"/>
                    <w:textAlignment w:val="center"/>
                    <w:rPr>
                      <w:rFonts w:hint="eastAsia"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875*</w:t>
                  </w:r>
                </w:p>
              </w:tc>
              <w:tc>
                <w:tcPr>
                  <w:tcW w:w="662" w:type="dxa"/>
                  <w:tcBorders>
                    <w:top w:val="single" w:color="auto" w:sz="8" w:space="0"/>
                    <w:left w:val="single" w:color="auto" w:sz="8" w:space="0"/>
                    <w:bottom w:val="single" w:color="auto" w:sz="8" w:space="0"/>
                    <w:right w:val="single" w:color="auto" w:sz="8" w:space="0"/>
                  </w:tcBorders>
                  <w:vAlign w:val="center"/>
                </w:tcPr>
                <w:p w14:paraId="579F9BC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68.63*</w:t>
                  </w:r>
                </w:p>
              </w:tc>
              <w:tc>
                <w:tcPr>
                  <w:tcW w:w="700" w:type="dxa"/>
                  <w:tcBorders>
                    <w:top w:val="single" w:color="auto" w:sz="8" w:space="0"/>
                    <w:left w:val="single" w:color="auto" w:sz="8" w:space="0"/>
                    <w:bottom w:val="single" w:color="auto" w:sz="8" w:space="0"/>
                    <w:right w:val="single" w:color="auto" w:sz="8" w:space="0"/>
                  </w:tcBorders>
                  <w:vAlign w:val="center"/>
                </w:tcPr>
                <w:p w14:paraId="72590BE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174.51*</w:t>
                  </w:r>
                </w:p>
              </w:tc>
              <w:tc>
                <w:tcPr>
                  <w:tcW w:w="638" w:type="dxa"/>
                  <w:tcBorders>
                    <w:top w:val="single" w:color="auto" w:sz="8" w:space="0"/>
                    <w:left w:val="single" w:color="auto" w:sz="8" w:space="0"/>
                    <w:bottom w:val="single" w:color="auto" w:sz="8" w:space="0"/>
                    <w:right w:val="single" w:color="auto" w:sz="8" w:space="0"/>
                  </w:tcBorders>
                  <w:vAlign w:val="center"/>
                </w:tcPr>
                <w:p w14:paraId="10513E7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23.53*</w:t>
                  </w:r>
                </w:p>
              </w:tc>
              <w:tc>
                <w:tcPr>
                  <w:tcW w:w="638" w:type="dxa"/>
                  <w:tcBorders>
                    <w:top w:val="single" w:color="auto" w:sz="8" w:space="0"/>
                    <w:left w:val="single" w:color="auto" w:sz="8" w:space="0"/>
                    <w:bottom w:val="single" w:color="auto" w:sz="8" w:space="0"/>
                    <w:right w:val="single" w:color="auto" w:sz="8" w:space="0"/>
                  </w:tcBorders>
                  <w:vAlign w:val="center"/>
                </w:tcPr>
                <w:p w14:paraId="0A28C53B">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125*</w:t>
                  </w:r>
                </w:p>
              </w:tc>
              <w:tc>
                <w:tcPr>
                  <w:tcW w:w="970" w:type="dxa"/>
                  <w:tcBorders>
                    <w:top w:val="single" w:color="auto" w:sz="8" w:space="0"/>
                    <w:left w:val="single" w:color="auto" w:sz="8" w:space="0"/>
                    <w:bottom w:val="single" w:color="auto" w:sz="8" w:space="0"/>
                    <w:right w:val="nil"/>
                  </w:tcBorders>
                  <w:vAlign w:val="center"/>
                </w:tcPr>
                <w:p w14:paraId="5A2F904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eastAsia" w:ascii="Times New Roman" w:hAnsi="Times New Roman" w:eastAsia="宋体" w:cs="Times New Roman"/>
                      <w:color w:val="auto"/>
                      <w:kern w:val="0"/>
                      <w:sz w:val="18"/>
                      <w:szCs w:val="18"/>
                      <w:highlight w:val="none"/>
                      <w:u w:val="none"/>
                      <w:vertAlign w:val="superscript"/>
                      <w:lang w:val="en-US" w:eastAsia="zh-CN" w:bidi="ar"/>
                    </w:rPr>
                    <w:t>4</w:t>
                  </w:r>
                </w:p>
              </w:tc>
            </w:tr>
            <w:tr w14:paraId="568D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0" w:type="dxa"/>
                  <w:gridSpan w:val="11"/>
                  <w:tcBorders>
                    <w:top w:val="single" w:color="auto" w:sz="8" w:space="0"/>
                    <w:left w:val="nil"/>
                    <w:bottom w:val="single" w:color="auto" w:sz="12" w:space="0"/>
                    <w:right w:val="nil"/>
                  </w:tcBorders>
                  <w:vAlign w:val="center"/>
                </w:tcPr>
                <w:p w14:paraId="69F5724A">
                  <w:pPr>
                    <w:keepNext w:val="0"/>
                    <w:keepLines w:val="0"/>
                    <w:widowControl/>
                    <w:suppressLineNumbers w:val="0"/>
                    <w:jc w:val="left"/>
                    <w:textAlignment w:val="center"/>
                    <w:rPr>
                      <w:rFonts w:hint="eastAsia" w:ascii="Times New Roman" w:hAnsi="Times New Roman" w:eastAsia="宋体" w:cs="Times New Roman"/>
                      <w:color w:val="auto"/>
                      <w:kern w:val="0"/>
                      <w:sz w:val="18"/>
                      <w:szCs w:val="18"/>
                      <w:highlight w:val="none"/>
                      <w:u w:val="none"/>
                      <w:lang w:val="en-US" w:eastAsia="zh-CN" w:bidi="ar"/>
                    </w:rPr>
                  </w:pPr>
                  <w:r>
                    <w:rPr>
                      <w:rFonts w:hint="eastAsia" w:ascii="Times New Roman" w:hAnsi="Times New Roman" w:eastAsia="宋体" w:cs="Times New Roman"/>
                      <w:color w:val="auto"/>
                      <w:kern w:val="0"/>
                      <w:sz w:val="18"/>
                      <w:szCs w:val="18"/>
                      <w:highlight w:val="none"/>
                      <w:u w:val="none"/>
                      <w:lang w:val="en-US" w:eastAsia="zh-CN" w:bidi="ar"/>
                    </w:rPr>
                    <w:t>*浓度取《屠宰与肉类加工废水治理工程技术规范》（HJ2004-2010）废水浓度范围均值与《排放源统计调查产排污核算方法和系数手册》中“135 屠宰及肉类加工行业系数手册排污系数取值”核算浓度二者较大值</w:t>
                  </w:r>
                  <w:r>
                    <w:rPr>
                      <w:rFonts w:hint="eastAsia" w:cs="Times New Roman"/>
                      <w:color w:val="auto"/>
                      <w:kern w:val="0"/>
                      <w:sz w:val="18"/>
                      <w:szCs w:val="18"/>
                      <w:highlight w:val="none"/>
                      <w:u w:val="none"/>
                      <w:lang w:val="en-US" w:eastAsia="zh-CN" w:bidi="ar"/>
                    </w:rPr>
                    <w:t>，BOD取值按照CODd 45%取</w:t>
                  </w:r>
                  <w:r>
                    <w:rPr>
                      <w:rFonts w:hint="eastAsia" w:ascii="Times New Roman" w:hAnsi="Times New Roman" w:eastAsia="宋体" w:cs="Times New Roman"/>
                      <w:color w:val="auto"/>
                      <w:kern w:val="0"/>
                      <w:sz w:val="18"/>
                      <w:szCs w:val="18"/>
                      <w:highlight w:val="none"/>
                      <w:u w:val="none"/>
                      <w:lang w:val="en-US" w:eastAsia="zh-CN" w:bidi="ar"/>
                    </w:rPr>
                    <w:t>。</w:t>
                  </w:r>
                </w:p>
              </w:tc>
            </w:tr>
          </w:tbl>
          <w:p w14:paraId="60E62D94">
            <w:pPr>
              <w:spacing w:line="360" w:lineRule="auto"/>
              <w:ind w:firstLine="480" w:firstLineChars="20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②</w:t>
            </w:r>
            <w:r>
              <w:rPr>
                <w:rFonts w:hint="eastAsia" w:cs="Times New Roman"/>
                <w:color w:val="auto"/>
                <w:highlight w:val="none"/>
                <w:lang w:val="en-US" w:eastAsia="zh-CN"/>
              </w:rPr>
              <w:t>运输</w:t>
            </w:r>
            <w:r>
              <w:rPr>
                <w:rFonts w:hint="default" w:ascii="Times New Roman" w:hAnsi="Times New Roman" w:eastAsia="宋体" w:cs="Times New Roman"/>
                <w:color w:val="auto"/>
                <w:highlight w:val="none"/>
              </w:rPr>
              <w:t>车辆清洗废水</w:t>
            </w:r>
          </w:p>
          <w:p w14:paraId="182CB16A">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本项目</w:t>
            </w:r>
            <w:r>
              <w:rPr>
                <w:rFonts w:hint="eastAsia" w:cs="Times New Roman"/>
                <w:color w:val="auto"/>
                <w:highlight w:val="none"/>
                <w:lang w:val="en-US" w:eastAsia="zh-CN"/>
              </w:rPr>
              <w:t>运输</w:t>
            </w:r>
            <w:r>
              <w:rPr>
                <w:rFonts w:hint="default" w:ascii="Times New Roman" w:hAnsi="Times New Roman" w:eastAsia="宋体" w:cs="Times New Roman"/>
                <w:color w:val="auto"/>
                <w:highlight w:val="none"/>
                <w:lang w:val="en-US" w:eastAsia="zh-CN"/>
              </w:rPr>
              <w:t>车辆冲洗废水产生量为</w:t>
            </w:r>
            <w:r>
              <w:rPr>
                <w:rFonts w:hint="eastAsia" w:ascii="Times New Roman" w:hAnsi="Times New Roman" w:eastAsia="宋体" w:cs="Times New Roman"/>
                <w:color w:val="auto"/>
                <w:highlight w:val="none"/>
                <w:lang w:val="en-US" w:eastAsia="zh-CN"/>
              </w:rPr>
              <w:t>58.4</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主要污染物为 COD、BOD</w:t>
            </w:r>
            <w:r>
              <w:rPr>
                <w:rFonts w:hint="eastAsia" w:ascii="Times New Roman" w:hAnsi="Times New Roman" w:eastAsia="宋体" w:cs="Times New Roman"/>
                <w:color w:val="auto"/>
                <w:highlight w:val="none"/>
                <w:vertAlign w:val="subscript"/>
                <w:lang w:val="en-US" w:eastAsia="zh-CN"/>
              </w:rPr>
              <w:t>5</w:t>
            </w:r>
            <w:r>
              <w:rPr>
                <w:rFonts w:hint="eastAsia" w:ascii="Times New Roman" w:hAnsi="Times New Roman" w:eastAsia="宋体" w:cs="Times New Roman"/>
                <w:color w:val="auto"/>
                <w:highlight w:val="none"/>
                <w:lang w:val="en-US" w:eastAsia="zh-CN"/>
              </w:rPr>
              <w:t>、NH3-N、SS、TP、TN，</w:t>
            </w:r>
            <w:r>
              <w:rPr>
                <w:rFonts w:hint="default" w:ascii="Times New Roman" w:hAnsi="Times New Roman" w:eastAsia="宋体" w:cs="Times New Roman"/>
                <w:color w:val="auto"/>
                <w:highlight w:val="none"/>
              </w:rPr>
              <w:t>类比同类项目废水污染物情况</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浓度分别为300mg/L，250mg/L，20mg/L，300mg/L，50mg/L，80mg/L。</w:t>
            </w:r>
          </w:p>
          <w:p w14:paraId="6A505F7F">
            <w:pPr>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③喷淋塔更换废水</w:t>
            </w:r>
          </w:p>
          <w:p w14:paraId="7E8C37B7">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本项目废气处理设施配套建设有一级碱液喷淋塔，塔内有循环水，碱液喷淋塔中添加片碱，碱液喷淋塔每月更换一次，排放量为2</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次，排水量为24</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（0.066m</w:t>
            </w:r>
            <w:r>
              <w:rPr>
                <w:rFonts w:hint="eastAsia" w:ascii="Times New Roman" w:hAnsi="Times New Roman" w:eastAsia="宋体" w:cs="Times New Roman"/>
                <w:color w:val="auto"/>
                <w:highlight w:val="none"/>
                <w:vertAlign w:val="superscript"/>
                <w:lang w:val="en-US" w:eastAsia="zh-CN"/>
              </w:rPr>
              <w:t>3</w:t>
            </w:r>
            <w:r>
              <w:rPr>
                <w:rFonts w:hint="eastAsia" w:ascii="Times New Roman" w:hAnsi="Times New Roman" w:eastAsia="宋体" w:cs="Times New Roman"/>
                <w:color w:val="auto"/>
                <w:highlight w:val="none"/>
                <w:lang w:val="en-US" w:eastAsia="zh-CN"/>
              </w:rPr>
              <w:t>/d）。</w:t>
            </w:r>
            <w:r>
              <w:rPr>
                <w:rFonts w:ascii="宋体" w:hAnsi="宋体" w:eastAsia="宋体" w:cs="宋体"/>
                <w:color w:val="auto"/>
                <w:spacing w:val="-5"/>
                <w:sz w:val="24"/>
                <w:szCs w:val="24"/>
                <w:highlight w:val="none"/>
              </w:rPr>
              <w:t>类比同</w:t>
            </w:r>
            <w:r>
              <w:rPr>
                <w:rFonts w:ascii="宋体" w:hAnsi="宋体" w:eastAsia="宋体" w:cs="宋体"/>
                <w:color w:val="auto"/>
                <w:spacing w:val="-3"/>
                <w:sz w:val="24"/>
                <w:szCs w:val="24"/>
                <w:highlight w:val="none"/>
              </w:rPr>
              <w:t>类型企业，</w:t>
            </w:r>
            <w:r>
              <w:rPr>
                <w:rFonts w:ascii="Times New Roman" w:hAnsi="Times New Roman" w:eastAsia="Times New Roman" w:cs="Times New Roman"/>
                <w:color w:val="auto"/>
                <w:spacing w:val="-3"/>
                <w:sz w:val="24"/>
                <w:szCs w:val="24"/>
                <w:highlight w:val="none"/>
              </w:rPr>
              <w:t>pH</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6-9</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COD</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400mg/L</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BOD</w:t>
            </w:r>
            <w:r>
              <w:rPr>
                <w:rFonts w:ascii="Times New Roman" w:hAnsi="Times New Roman" w:eastAsia="Times New Roman" w:cs="Times New Roman"/>
                <w:color w:val="auto"/>
                <w:spacing w:val="-3"/>
                <w:position w:val="-1"/>
                <w:sz w:val="15"/>
                <w:szCs w:val="15"/>
                <w:highlight w:val="none"/>
              </w:rPr>
              <w:t>5</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80mg/L</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SS</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100mg/L</w:t>
            </w:r>
            <w:r>
              <w:rPr>
                <w:rFonts w:ascii="宋体" w:hAnsi="宋体" w:eastAsia="宋体" w:cs="宋体"/>
                <w:color w:val="auto"/>
                <w:spacing w:val="-3"/>
                <w:sz w:val="24"/>
                <w:szCs w:val="24"/>
                <w:highlight w:val="none"/>
              </w:rPr>
              <w:t>、</w:t>
            </w:r>
            <w:r>
              <w:rPr>
                <w:rFonts w:ascii="Times New Roman" w:hAnsi="Times New Roman" w:eastAsia="Times New Roman" w:cs="Times New Roman"/>
                <w:color w:val="auto"/>
                <w:spacing w:val="-3"/>
                <w:sz w:val="24"/>
                <w:szCs w:val="24"/>
                <w:highlight w:val="none"/>
              </w:rPr>
              <w:t>NH</w:t>
            </w:r>
            <w:r>
              <w:rPr>
                <w:rFonts w:ascii="Times New Roman" w:hAnsi="Times New Roman" w:eastAsia="Times New Roman" w:cs="Times New Roman"/>
                <w:color w:val="auto"/>
                <w:spacing w:val="-3"/>
                <w:position w:val="-1"/>
                <w:sz w:val="15"/>
                <w:szCs w:val="15"/>
                <w:highlight w:val="none"/>
              </w:rPr>
              <w:t>3</w:t>
            </w:r>
            <w:r>
              <w:rPr>
                <w:rFonts w:ascii="Times New Roman" w:hAnsi="Times New Roman" w:eastAsia="Times New Roman" w:cs="Times New Roman"/>
                <w:color w:val="auto"/>
                <w:spacing w:val="-3"/>
                <w:sz w:val="24"/>
                <w:szCs w:val="24"/>
                <w:highlight w:val="none"/>
              </w:rPr>
              <w:t>-</w:t>
            </w:r>
            <w:r>
              <w:rPr>
                <w:rFonts w:ascii="Times New Roman" w:hAnsi="Times New Roman" w:eastAsia="Times New Roman" w:cs="Times New Roman"/>
                <w:color w:val="auto"/>
                <w:sz w:val="24"/>
                <w:szCs w:val="24"/>
                <w:highlight w:val="none"/>
              </w:rPr>
              <w:t>N</w:t>
            </w:r>
            <w:r>
              <w:rPr>
                <w:rFonts w:ascii="宋体" w:hAnsi="宋体" w:eastAsia="宋体" w:cs="宋体"/>
                <w:color w:val="auto"/>
                <w:sz w:val="24"/>
                <w:szCs w:val="24"/>
                <w:highlight w:val="none"/>
              </w:rPr>
              <w:t>：</w:t>
            </w:r>
            <w:r>
              <w:rPr>
                <w:rFonts w:ascii="Times New Roman" w:hAnsi="Times New Roman" w:eastAsia="Times New Roman" w:cs="Times New Roman"/>
                <w:color w:val="auto"/>
                <w:sz w:val="24"/>
                <w:szCs w:val="24"/>
                <w:highlight w:val="none"/>
              </w:rPr>
              <w:t>5mg/L</w:t>
            </w:r>
          </w:p>
          <w:p w14:paraId="4BC7CE60">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④检疫废水</w:t>
            </w:r>
          </w:p>
          <w:p w14:paraId="2B9F039B">
            <w:p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设有检疫室，对内脏及胴体等进行检疫。根据业主提供资料，检疫主要对内脏、胴体切片进行显微观察，检疫以视检为主，不涉及细菌培养，理化检验。检疫室用水由地面清洁用水和显微镜玻片清洗组成，耗水量约0.5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（182.5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），产污率以</w:t>
            </w:r>
            <w:r>
              <w:rPr>
                <w:rFonts w:hint="default" w:ascii="Times New Roman" w:hAnsi="Times New Roman" w:eastAsia="宋体" w:cs="Times New Roman"/>
                <w:color w:val="auto"/>
                <w:highlight w:val="none"/>
                <w:lang w:val="en-US" w:eastAsia="zh-CN"/>
              </w:rPr>
              <w:t>0.9</w:t>
            </w:r>
            <w:r>
              <w:rPr>
                <w:rFonts w:hint="eastAsia" w:ascii="Times New Roman" w:hAnsi="Times New Roman" w:eastAsia="宋体" w:cs="Times New Roman"/>
                <w:color w:val="auto"/>
                <w:highlight w:val="none"/>
                <w:lang w:val="en-US" w:eastAsia="zh-CN"/>
              </w:rPr>
              <w:t>计，则废水产生量为0.45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（164.25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/a</w:t>
            </w:r>
            <w:r>
              <w:rPr>
                <w:rFonts w:hint="eastAsia" w:ascii="Times New Roman" w:hAnsi="Times New Roman" w:eastAsia="宋体" w:cs="Times New Roman"/>
                <w:color w:val="auto"/>
                <w:highlight w:val="none"/>
                <w:lang w:val="en-US" w:eastAsia="zh-CN"/>
              </w:rPr>
              <w:t>）。主要污染物为</w:t>
            </w:r>
            <w:r>
              <w:rPr>
                <w:rFonts w:hint="default" w:ascii="Times New Roman" w:hAnsi="Times New Roman" w:eastAsia="宋体" w:cs="Times New Roman"/>
                <w:color w:val="auto"/>
                <w:highlight w:val="none"/>
                <w:lang w:val="en-US" w:eastAsia="zh-CN"/>
              </w:rPr>
              <w:t>COD</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BOD5</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SS</w:t>
            </w:r>
            <w:r>
              <w:rPr>
                <w:rFonts w:hint="eastAsia" w:ascii="Times New Roman" w:hAnsi="Times New Roman" w:eastAsia="宋体" w:cs="Times New Roman"/>
                <w:color w:val="auto"/>
                <w:highlight w:val="none"/>
                <w:lang w:val="en-US" w:eastAsia="zh-CN"/>
              </w:rPr>
              <w:t>、氨氮、总氮等，</w:t>
            </w:r>
            <w:r>
              <w:rPr>
                <w:rFonts w:hint="default" w:ascii="Times New Roman" w:hAnsi="Times New Roman" w:eastAsia="宋体" w:cs="Times New Roman"/>
                <w:color w:val="auto"/>
                <w:highlight w:val="none"/>
              </w:rPr>
              <w:t>类比同类项目废水污染物情况</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浓度分别为300mg/L，250mg/L，200mg/L，20mg/L，50mg/L。</w:t>
            </w:r>
          </w:p>
          <w:p w14:paraId="3D0D706C">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本项目全厂废水产生情况汇总如下表：</w:t>
            </w:r>
          </w:p>
          <w:p w14:paraId="5E94C1D4">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本项目全厂废水产生情况表</w:t>
            </w:r>
          </w:p>
          <w:tbl>
            <w:tblPr>
              <w:tblStyle w:val="33"/>
              <w:tblW w:w="496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
              <w:gridCol w:w="762"/>
              <w:gridCol w:w="1017"/>
              <w:gridCol w:w="697"/>
              <w:gridCol w:w="828"/>
              <w:gridCol w:w="828"/>
              <w:gridCol w:w="692"/>
              <w:gridCol w:w="735"/>
              <w:gridCol w:w="668"/>
              <w:gridCol w:w="711"/>
              <w:gridCol w:w="1006"/>
            </w:tblGrid>
            <w:tr w14:paraId="644E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 w:type="pct"/>
                  <w:vMerge w:val="restart"/>
                  <w:tcBorders>
                    <w:top w:val="single" w:color="auto" w:sz="12" w:space="0"/>
                    <w:left w:val="nil"/>
                    <w:bottom w:val="single" w:color="auto" w:sz="8" w:space="0"/>
                    <w:right w:val="single" w:color="auto" w:sz="8" w:space="0"/>
                  </w:tcBorders>
                  <w:vAlign w:val="center"/>
                </w:tcPr>
                <w:p w14:paraId="5566B77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废水种类</w:t>
                  </w:r>
                </w:p>
              </w:tc>
              <w:tc>
                <w:tcPr>
                  <w:tcW w:w="457" w:type="pct"/>
                  <w:vMerge w:val="restart"/>
                  <w:tcBorders>
                    <w:top w:val="single" w:color="auto" w:sz="12" w:space="0"/>
                    <w:left w:val="single" w:color="auto" w:sz="8" w:space="0"/>
                    <w:bottom w:val="single" w:color="auto" w:sz="8" w:space="0"/>
                    <w:right w:val="single" w:color="auto" w:sz="8" w:space="0"/>
                  </w:tcBorders>
                  <w:vAlign w:val="center"/>
                </w:tcPr>
                <w:p w14:paraId="078BD51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废水量（m</w:t>
                  </w:r>
                  <w:r>
                    <w:rPr>
                      <w:rFonts w:hint="default" w:ascii="Times New Roman" w:hAnsi="Times New Roman" w:eastAsia="宋体" w:cs="Times New Roman"/>
                      <w:b/>
                      <w:bCs/>
                      <w:color w:val="auto"/>
                      <w:kern w:val="0"/>
                      <w:sz w:val="21"/>
                      <w:szCs w:val="21"/>
                      <w:highlight w:val="none"/>
                      <w:u w:val="none"/>
                      <w:vertAlign w:val="superscript"/>
                      <w:lang w:val="en-US" w:eastAsia="zh-CN" w:bidi="ar"/>
                    </w:rPr>
                    <w:t>3</w:t>
                  </w:r>
                  <w:r>
                    <w:rPr>
                      <w:rFonts w:hint="default" w:ascii="Times New Roman" w:hAnsi="Times New Roman" w:eastAsia="宋体" w:cs="Times New Roman"/>
                      <w:b/>
                      <w:bCs/>
                      <w:color w:val="auto"/>
                      <w:kern w:val="0"/>
                      <w:sz w:val="21"/>
                      <w:szCs w:val="21"/>
                      <w:highlight w:val="none"/>
                      <w:u w:val="none"/>
                      <w:lang w:val="en-US" w:eastAsia="zh-CN" w:bidi="ar"/>
                    </w:rPr>
                    <w:t>/a）</w:t>
                  </w:r>
                </w:p>
              </w:tc>
              <w:tc>
                <w:tcPr>
                  <w:tcW w:w="609" w:type="pct"/>
                  <w:vMerge w:val="restart"/>
                  <w:tcBorders>
                    <w:top w:val="single" w:color="auto" w:sz="12" w:space="0"/>
                    <w:left w:val="single" w:color="auto" w:sz="8" w:space="0"/>
                    <w:bottom w:val="single" w:color="auto" w:sz="8" w:space="0"/>
                    <w:right w:val="single" w:color="auto" w:sz="8" w:space="0"/>
                  </w:tcBorders>
                  <w:vAlign w:val="center"/>
                </w:tcPr>
                <w:p w14:paraId="4A1E46F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产生情况</w:t>
                  </w:r>
                </w:p>
              </w:tc>
              <w:tc>
                <w:tcPr>
                  <w:tcW w:w="3694" w:type="pct"/>
                  <w:gridSpan w:val="8"/>
                  <w:tcBorders>
                    <w:top w:val="single" w:color="auto" w:sz="12" w:space="0"/>
                    <w:left w:val="single" w:color="auto" w:sz="8" w:space="0"/>
                    <w:bottom w:val="single" w:color="auto" w:sz="8" w:space="0"/>
                    <w:right w:val="nil"/>
                  </w:tcBorders>
                  <w:vAlign w:val="center"/>
                </w:tcPr>
                <w:p w14:paraId="4A4A315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污染因子</w:t>
                  </w:r>
                </w:p>
              </w:tc>
            </w:tr>
            <w:tr w14:paraId="00802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 w:type="pct"/>
                  <w:vMerge w:val="continue"/>
                  <w:tcBorders>
                    <w:top w:val="single" w:color="auto" w:sz="8" w:space="0"/>
                    <w:left w:val="nil"/>
                    <w:bottom w:val="single" w:color="auto" w:sz="8" w:space="0"/>
                    <w:right w:val="single" w:color="auto" w:sz="8" w:space="0"/>
                  </w:tcBorders>
                  <w:vAlign w:val="center"/>
                </w:tcPr>
                <w:p w14:paraId="0485C559">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8" w:space="0"/>
                    <w:right w:val="single" w:color="auto" w:sz="8" w:space="0"/>
                  </w:tcBorders>
                  <w:vAlign w:val="center"/>
                </w:tcPr>
                <w:p w14:paraId="0EA4288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609" w:type="pct"/>
                  <w:vMerge w:val="continue"/>
                  <w:tcBorders>
                    <w:top w:val="single" w:color="auto" w:sz="8" w:space="0"/>
                    <w:left w:val="single" w:color="auto" w:sz="8" w:space="0"/>
                    <w:bottom w:val="single" w:color="auto" w:sz="8" w:space="0"/>
                    <w:right w:val="single" w:color="auto" w:sz="8" w:space="0"/>
                  </w:tcBorders>
                  <w:vAlign w:val="center"/>
                </w:tcPr>
                <w:p w14:paraId="44B85B59">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p>
              </w:tc>
              <w:tc>
                <w:tcPr>
                  <w:tcW w:w="418" w:type="pct"/>
                  <w:tcBorders>
                    <w:top w:val="single" w:color="auto" w:sz="8" w:space="0"/>
                    <w:left w:val="single" w:color="auto" w:sz="8" w:space="0"/>
                    <w:bottom w:val="single" w:color="auto" w:sz="8" w:space="0"/>
                    <w:right w:val="single" w:color="auto" w:sz="8" w:space="0"/>
                  </w:tcBorders>
                  <w:vAlign w:val="center"/>
                </w:tcPr>
                <w:p w14:paraId="0AA909D0">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COD</w:t>
                  </w:r>
                </w:p>
              </w:tc>
              <w:tc>
                <w:tcPr>
                  <w:tcW w:w="496" w:type="pct"/>
                  <w:tcBorders>
                    <w:top w:val="single" w:color="auto" w:sz="8" w:space="0"/>
                    <w:left w:val="single" w:color="auto" w:sz="8" w:space="0"/>
                    <w:bottom w:val="single" w:color="auto" w:sz="8" w:space="0"/>
                    <w:right w:val="single" w:color="auto" w:sz="8" w:space="0"/>
                  </w:tcBorders>
                  <w:vAlign w:val="center"/>
                </w:tcPr>
                <w:p w14:paraId="625FFA9E">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BOD</w:t>
                  </w:r>
                  <w:r>
                    <w:rPr>
                      <w:rFonts w:hint="default" w:ascii="Times New Roman" w:hAnsi="Times New Roman" w:eastAsia="宋体" w:cs="Times New Roman"/>
                      <w:b/>
                      <w:bCs/>
                      <w:color w:val="auto"/>
                      <w:kern w:val="0"/>
                      <w:sz w:val="21"/>
                      <w:szCs w:val="21"/>
                      <w:highlight w:val="none"/>
                      <w:u w:val="none"/>
                      <w:vertAlign w:val="subscript"/>
                      <w:lang w:val="en-US" w:eastAsia="zh-CN" w:bidi="ar"/>
                    </w:rPr>
                    <w:t>5</w:t>
                  </w:r>
                </w:p>
              </w:tc>
              <w:tc>
                <w:tcPr>
                  <w:tcW w:w="496" w:type="pct"/>
                  <w:tcBorders>
                    <w:top w:val="single" w:color="auto" w:sz="8" w:space="0"/>
                    <w:left w:val="single" w:color="auto" w:sz="8" w:space="0"/>
                    <w:bottom w:val="single" w:color="auto" w:sz="8" w:space="0"/>
                    <w:right w:val="single" w:color="auto" w:sz="8" w:space="0"/>
                  </w:tcBorders>
                  <w:vAlign w:val="center"/>
                </w:tcPr>
                <w:p w14:paraId="739E0F39">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SS</w:t>
                  </w:r>
                </w:p>
              </w:tc>
              <w:tc>
                <w:tcPr>
                  <w:tcW w:w="415" w:type="pct"/>
                  <w:tcBorders>
                    <w:top w:val="single" w:color="auto" w:sz="8" w:space="0"/>
                    <w:left w:val="single" w:color="auto" w:sz="8" w:space="0"/>
                    <w:bottom w:val="single" w:color="auto" w:sz="8" w:space="0"/>
                    <w:right w:val="single" w:color="auto" w:sz="8" w:space="0"/>
                  </w:tcBorders>
                  <w:vAlign w:val="center"/>
                </w:tcPr>
                <w:p w14:paraId="2FAC667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NH3-N</w:t>
                  </w:r>
                </w:p>
              </w:tc>
              <w:tc>
                <w:tcPr>
                  <w:tcW w:w="440" w:type="pct"/>
                  <w:tcBorders>
                    <w:top w:val="single" w:color="auto" w:sz="8" w:space="0"/>
                    <w:left w:val="single" w:color="auto" w:sz="8" w:space="0"/>
                    <w:bottom w:val="single" w:color="auto" w:sz="8" w:space="0"/>
                    <w:right w:val="single" w:color="auto" w:sz="8" w:space="0"/>
                  </w:tcBorders>
                  <w:vAlign w:val="center"/>
                </w:tcPr>
                <w:p w14:paraId="391D39D3">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TN</w:t>
                  </w:r>
                </w:p>
              </w:tc>
              <w:tc>
                <w:tcPr>
                  <w:tcW w:w="400" w:type="pct"/>
                  <w:tcBorders>
                    <w:top w:val="single" w:color="auto" w:sz="8" w:space="0"/>
                    <w:left w:val="single" w:color="auto" w:sz="8" w:space="0"/>
                    <w:bottom w:val="single" w:color="auto" w:sz="8" w:space="0"/>
                    <w:right w:val="single" w:color="auto" w:sz="8" w:space="0"/>
                  </w:tcBorders>
                  <w:vAlign w:val="center"/>
                </w:tcPr>
                <w:p w14:paraId="53D2E2D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TP</w:t>
                  </w:r>
                </w:p>
              </w:tc>
              <w:tc>
                <w:tcPr>
                  <w:tcW w:w="426" w:type="pct"/>
                  <w:tcBorders>
                    <w:top w:val="single" w:color="auto" w:sz="8" w:space="0"/>
                    <w:left w:val="single" w:color="auto" w:sz="8" w:space="0"/>
                    <w:bottom w:val="single" w:color="auto" w:sz="8" w:space="0"/>
                    <w:right w:val="single" w:color="auto" w:sz="8" w:space="0"/>
                  </w:tcBorders>
                  <w:vAlign w:val="center"/>
                </w:tcPr>
                <w:p w14:paraId="76E80BD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动植物油</w:t>
                  </w:r>
                </w:p>
              </w:tc>
              <w:tc>
                <w:tcPr>
                  <w:tcW w:w="597" w:type="pct"/>
                  <w:tcBorders>
                    <w:top w:val="single" w:color="auto" w:sz="8" w:space="0"/>
                    <w:left w:val="single" w:color="auto" w:sz="8" w:space="0"/>
                    <w:bottom w:val="single" w:color="auto" w:sz="8" w:space="0"/>
                    <w:right w:val="nil"/>
                  </w:tcBorders>
                  <w:vAlign w:val="center"/>
                </w:tcPr>
                <w:p w14:paraId="66B0E0D4">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粪大肠菌群（MPN/L）</w:t>
                  </w:r>
                </w:p>
              </w:tc>
            </w:tr>
            <w:tr w14:paraId="27FB5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39" w:type="pct"/>
                  <w:vMerge w:val="restart"/>
                  <w:tcBorders>
                    <w:top w:val="single" w:color="auto" w:sz="8" w:space="0"/>
                    <w:left w:val="nil"/>
                    <w:bottom w:val="single" w:color="auto" w:sz="8" w:space="0"/>
                    <w:right w:val="single" w:color="auto" w:sz="8" w:space="0"/>
                  </w:tcBorders>
                  <w:shd w:val="clear" w:color="auto" w:fill="auto"/>
                  <w:vAlign w:val="center"/>
                </w:tcPr>
                <w:p w14:paraId="6202926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屠宰</w:t>
                  </w:r>
                  <w:r>
                    <w:rPr>
                      <w:rFonts w:hint="eastAsia" w:ascii="Times New Roman" w:hAnsi="Times New Roman" w:eastAsia="宋体" w:cs="Times New Roman"/>
                      <w:color w:val="auto"/>
                      <w:kern w:val="0"/>
                      <w:sz w:val="21"/>
                      <w:szCs w:val="21"/>
                      <w:highlight w:val="none"/>
                      <w:u w:val="none"/>
                      <w:lang w:val="en-US" w:eastAsia="zh-CN" w:bidi="ar"/>
                    </w:rPr>
                    <w:t>废</w:t>
                  </w:r>
                  <w:r>
                    <w:rPr>
                      <w:rFonts w:hint="default" w:ascii="Times New Roman" w:hAnsi="Times New Roman" w:eastAsia="宋体" w:cs="Times New Roman"/>
                      <w:color w:val="auto"/>
                      <w:kern w:val="0"/>
                      <w:sz w:val="21"/>
                      <w:szCs w:val="21"/>
                      <w:highlight w:val="none"/>
                      <w:u w:val="none"/>
                      <w:lang w:val="en-US" w:eastAsia="zh-CN" w:bidi="ar"/>
                    </w:rPr>
                    <w:t>水</w:t>
                  </w:r>
                </w:p>
              </w:tc>
              <w:tc>
                <w:tcPr>
                  <w:tcW w:w="457" w:type="pct"/>
                  <w:vMerge w:val="restart"/>
                  <w:tcBorders>
                    <w:top w:val="single" w:color="auto" w:sz="8" w:space="0"/>
                    <w:left w:val="single" w:color="auto" w:sz="8" w:space="0"/>
                    <w:bottom w:val="single" w:color="auto" w:sz="8" w:space="0"/>
                    <w:right w:val="single" w:color="auto" w:sz="8" w:space="0"/>
                  </w:tcBorders>
                  <w:vAlign w:val="center"/>
                </w:tcPr>
                <w:p w14:paraId="114EC66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3723</w:t>
                  </w:r>
                </w:p>
              </w:tc>
              <w:tc>
                <w:tcPr>
                  <w:tcW w:w="609" w:type="pct"/>
                  <w:tcBorders>
                    <w:top w:val="single" w:color="auto" w:sz="8" w:space="0"/>
                    <w:left w:val="single" w:color="auto" w:sz="8" w:space="0"/>
                    <w:bottom w:val="single" w:color="auto" w:sz="8" w:space="0"/>
                    <w:right w:val="single" w:color="auto" w:sz="8" w:space="0"/>
                  </w:tcBorders>
                  <w:vAlign w:val="center"/>
                </w:tcPr>
                <w:p w14:paraId="5E10189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418" w:type="pct"/>
                  <w:tcBorders>
                    <w:top w:val="single" w:color="auto" w:sz="8" w:space="0"/>
                    <w:left w:val="single" w:color="auto" w:sz="8" w:space="0"/>
                    <w:bottom w:val="single" w:color="auto" w:sz="8" w:space="0"/>
                    <w:right w:val="single" w:color="auto" w:sz="8" w:space="0"/>
                  </w:tcBorders>
                  <w:vAlign w:val="center"/>
                </w:tcPr>
                <w:p w14:paraId="472955F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2274.51</w:t>
                  </w:r>
                </w:p>
              </w:tc>
              <w:tc>
                <w:tcPr>
                  <w:tcW w:w="496" w:type="pct"/>
                  <w:tcBorders>
                    <w:top w:val="single" w:color="auto" w:sz="8" w:space="0"/>
                    <w:left w:val="single" w:color="auto" w:sz="8" w:space="0"/>
                    <w:bottom w:val="single" w:color="auto" w:sz="8" w:space="0"/>
                    <w:right w:val="single" w:color="auto" w:sz="8" w:space="0"/>
                  </w:tcBorders>
                  <w:vAlign w:val="center"/>
                </w:tcPr>
                <w:p w14:paraId="0B93322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cs="Times New Roman"/>
                      <w:color w:val="auto"/>
                      <w:kern w:val="0"/>
                      <w:sz w:val="21"/>
                      <w:szCs w:val="21"/>
                      <w:highlight w:val="none"/>
                      <w:u w:val="none"/>
                      <w:lang w:val="en-US" w:eastAsia="zh-CN" w:bidi="ar"/>
                    </w:rPr>
                    <w:t>1023.53</w:t>
                  </w:r>
                </w:p>
              </w:tc>
              <w:tc>
                <w:tcPr>
                  <w:tcW w:w="496" w:type="pct"/>
                  <w:tcBorders>
                    <w:top w:val="single" w:color="auto" w:sz="8" w:space="0"/>
                    <w:left w:val="single" w:color="auto" w:sz="8" w:space="0"/>
                    <w:bottom w:val="single" w:color="auto" w:sz="8" w:space="0"/>
                    <w:right w:val="single" w:color="auto" w:sz="8" w:space="0"/>
                  </w:tcBorders>
                  <w:vAlign w:val="center"/>
                </w:tcPr>
                <w:p w14:paraId="42EB586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875</w:t>
                  </w:r>
                </w:p>
              </w:tc>
              <w:tc>
                <w:tcPr>
                  <w:tcW w:w="415" w:type="pct"/>
                  <w:tcBorders>
                    <w:top w:val="single" w:color="auto" w:sz="8" w:space="0"/>
                    <w:left w:val="single" w:color="auto" w:sz="8" w:space="0"/>
                    <w:bottom w:val="single" w:color="auto" w:sz="8" w:space="0"/>
                    <w:right w:val="single" w:color="auto" w:sz="8" w:space="0"/>
                  </w:tcBorders>
                  <w:vAlign w:val="center"/>
                </w:tcPr>
                <w:p w14:paraId="382AFF3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68.63</w:t>
                  </w:r>
                </w:p>
              </w:tc>
              <w:tc>
                <w:tcPr>
                  <w:tcW w:w="440" w:type="pct"/>
                  <w:tcBorders>
                    <w:top w:val="single" w:color="auto" w:sz="8" w:space="0"/>
                    <w:left w:val="single" w:color="auto" w:sz="8" w:space="0"/>
                    <w:bottom w:val="single" w:color="auto" w:sz="8" w:space="0"/>
                    <w:right w:val="single" w:color="auto" w:sz="8" w:space="0"/>
                  </w:tcBorders>
                  <w:vAlign w:val="center"/>
                </w:tcPr>
                <w:p w14:paraId="7B3606C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174.51</w:t>
                  </w:r>
                </w:p>
              </w:tc>
              <w:tc>
                <w:tcPr>
                  <w:tcW w:w="400" w:type="pct"/>
                  <w:tcBorders>
                    <w:top w:val="single" w:color="auto" w:sz="8" w:space="0"/>
                    <w:left w:val="single" w:color="auto" w:sz="8" w:space="0"/>
                    <w:bottom w:val="single" w:color="auto" w:sz="8" w:space="0"/>
                    <w:right w:val="single" w:color="auto" w:sz="8" w:space="0"/>
                  </w:tcBorders>
                  <w:vAlign w:val="center"/>
                </w:tcPr>
                <w:p w14:paraId="6BE6A51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23.53</w:t>
                  </w:r>
                </w:p>
              </w:tc>
              <w:tc>
                <w:tcPr>
                  <w:tcW w:w="426" w:type="pct"/>
                  <w:tcBorders>
                    <w:top w:val="single" w:color="auto" w:sz="8" w:space="0"/>
                    <w:left w:val="single" w:color="auto" w:sz="8" w:space="0"/>
                    <w:bottom w:val="single" w:color="auto" w:sz="8" w:space="0"/>
                    <w:right w:val="single" w:color="auto" w:sz="8" w:space="0"/>
                  </w:tcBorders>
                  <w:vAlign w:val="center"/>
                </w:tcPr>
                <w:p w14:paraId="74F3139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125</w:t>
                  </w:r>
                </w:p>
              </w:tc>
              <w:tc>
                <w:tcPr>
                  <w:tcW w:w="597" w:type="pct"/>
                  <w:tcBorders>
                    <w:top w:val="single" w:color="auto" w:sz="8" w:space="0"/>
                    <w:left w:val="single" w:color="auto" w:sz="8" w:space="0"/>
                    <w:bottom w:val="single" w:color="auto" w:sz="8" w:space="0"/>
                    <w:right w:val="nil"/>
                  </w:tcBorders>
                  <w:vAlign w:val="center"/>
                </w:tcPr>
                <w:p w14:paraId="5A236FD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＞2.4×10</w:t>
                  </w:r>
                  <w:r>
                    <w:rPr>
                      <w:rFonts w:hint="default" w:ascii="Times New Roman" w:hAnsi="Times New Roman" w:eastAsia="宋体" w:cs="Times New Roman"/>
                      <w:color w:val="auto"/>
                      <w:kern w:val="0"/>
                      <w:sz w:val="21"/>
                      <w:szCs w:val="21"/>
                      <w:highlight w:val="none"/>
                      <w:u w:val="none"/>
                      <w:vertAlign w:val="superscript"/>
                      <w:lang w:val="en-US" w:eastAsia="zh-CN" w:bidi="ar"/>
                    </w:rPr>
                    <w:t>4</w:t>
                  </w:r>
                </w:p>
              </w:tc>
            </w:tr>
            <w:tr w14:paraId="4D946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39" w:type="pct"/>
                  <w:vMerge w:val="continue"/>
                  <w:tcBorders>
                    <w:top w:val="single" w:color="auto" w:sz="8" w:space="0"/>
                    <w:left w:val="nil"/>
                    <w:bottom w:val="single" w:color="auto" w:sz="8" w:space="0"/>
                    <w:right w:val="single" w:color="auto" w:sz="8" w:space="0"/>
                  </w:tcBorders>
                  <w:shd w:val="clear" w:color="auto" w:fill="auto"/>
                  <w:vAlign w:val="center"/>
                </w:tcPr>
                <w:p w14:paraId="38068C1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8" w:space="0"/>
                    <w:right w:val="single" w:color="auto" w:sz="8" w:space="0"/>
                  </w:tcBorders>
                  <w:vAlign w:val="center"/>
                </w:tcPr>
                <w:p w14:paraId="217A0ED7">
                  <w:pPr>
                    <w:jc w:val="center"/>
                    <w:rPr>
                      <w:rFonts w:hint="default" w:ascii="Times New Roman" w:hAnsi="Times New Roman" w:cs="Times New Roman"/>
                      <w:color w:val="auto"/>
                      <w:sz w:val="21"/>
                      <w:szCs w:val="21"/>
                      <w:highlight w:val="none"/>
                    </w:rPr>
                  </w:pPr>
                </w:p>
              </w:tc>
              <w:tc>
                <w:tcPr>
                  <w:tcW w:w="609" w:type="pct"/>
                  <w:tcBorders>
                    <w:top w:val="single" w:color="auto" w:sz="8" w:space="0"/>
                    <w:left w:val="single" w:color="auto" w:sz="8" w:space="0"/>
                    <w:bottom w:val="single" w:color="auto" w:sz="8" w:space="0"/>
                    <w:right w:val="single" w:color="auto" w:sz="8" w:space="0"/>
                  </w:tcBorders>
                  <w:vAlign w:val="center"/>
                </w:tcPr>
                <w:p w14:paraId="3BE41D8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产生量（t/a）</w:t>
                  </w:r>
                </w:p>
              </w:tc>
              <w:tc>
                <w:tcPr>
                  <w:tcW w:w="418" w:type="pct"/>
                  <w:tcBorders>
                    <w:top w:val="single" w:color="auto" w:sz="8" w:space="0"/>
                    <w:left w:val="single" w:color="auto" w:sz="8" w:space="0"/>
                    <w:bottom w:val="single" w:color="auto" w:sz="8" w:space="0"/>
                    <w:right w:val="single" w:color="auto" w:sz="8" w:space="0"/>
                  </w:tcBorders>
                  <w:vAlign w:val="center"/>
                </w:tcPr>
                <w:p w14:paraId="6687EA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8.468</w:t>
                  </w:r>
                </w:p>
              </w:tc>
              <w:tc>
                <w:tcPr>
                  <w:tcW w:w="496" w:type="pct"/>
                  <w:tcBorders>
                    <w:top w:val="single" w:color="auto" w:sz="8" w:space="0"/>
                    <w:left w:val="single" w:color="auto" w:sz="8" w:space="0"/>
                    <w:bottom w:val="single" w:color="auto" w:sz="8" w:space="0"/>
                    <w:right w:val="single" w:color="auto" w:sz="8" w:space="0"/>
                  </w:tcBorders>
                  <w:vAlign w:val="center"/>
                </w:tcPr>
                <w:p w14:paraId="5774A6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3.811</w:t>
                  </w:r>
                </w:p>
              </w:tc>
              <w:tc>
                <w:tcPr>
                  <w:tcW w:w="496" w:type="pct"/>
                  <w:tcBorders>
                    <w:top w:val="single" w:color="auto" w:sz="8" w:space="0"/>
                    <w:left w:val="single" w:color="auto" w:sz="8" w:space="0"/>
                    <w:bottom w:val="single" w:color="auto" w:sz="8" w:space="0"/>
                    <w:right w:val="single" w:color="auto" w:sz="8" w:space="0"/>
                  </w:tcBorders>
                  <w:vAlign w:val="center"/>
                </w:tcPr>
                <w:p w14:paraId="3DBBEB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3.258</w:t>
                  </w:r>
                </w:p>
              </w:tc>
              <w:tc>
                <w:tcPr>
                  <w:tcW w:w="415" w:type="pct"/>
                  <w:tcBorders>
                    <w:top w:val="single" w:color="auto" w:sz="8" w:space="0"/>
                    <w:left w:val="single" w:color="auto" w:sz="8" w:space="0"/>
                    <w:bottom w:val="single" w:color="auto" w:sz="8" w:space="0"/>
                    <w:right w:val="single" w:color="auto" w:sz="8" w:space="0"/>
                  </w:tcBorders>
                  <w:vAlign w:val="center"/>
                </w:tcPr>
                <w:p w14:paraId="0E750C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0.256</w:t>
                  </w:r>
                </w:p>
              </w:tc>
              <w:tc>
                <w:tcPr>
                  <w:tcW w:w="440" w:type="pct"/>
                  <w:tcBorders>
                    <w:top w:val="single" w:color="auto" w:sz="8" w:space="0"/>
                    <w:left w:val="single" w:color="auto" w:sz="8" w:space="0"/>
                    <w:bottom w:val="single" w:color="auto" w:sz="8" w:space="0"/>
                    <w:right w:val="single" w:color="auto" w:sz="8" w:space="0"/>
                  </w:tcBorders>
                  <w:vAlign w:val="center"/>
                </w:tcPr>
                <w:p w14:paraId="4595258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0.650</w:t>
                  </w:r>
                </w:p>
              </w:tc>
              <w:tc>
                <w:tcPr>
                  <w:tcW w:w="400" w:type="pct"/>
                  <w:tcBorders>
                    <w:top w:val="single" w:color="auto" w:sz="8" w:space="0"/>
                    <w:left w:val="single" w:color="auto" w:sz="8" w:space="0"/>
                    <w:bottom w:val="single" w:color="auto" w:sz="8" w:space="0"/>
                    <w:right w:val="single" w:color="auto" w:sz="8" w:space="0"/>
                  </w:tcBorders>
                  <w:vAlign w:val="center"/>
                </w:tcPr>
                <w:p w14:paraId="25BA8FE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0.088</w:t>
                  </w:r>
                </w:p>
              </w:tc>
              <w:tc>
                <w:tcPr>
                  <w:tcW w:w="426" w:type="pct"/>
                  <w:tcBorders>
                    <w:top w:val="single" w:color="auto" w:sz="8" w:space="0"/>
                    <w:left w:val="single" w:color="auto" w:sz="8" w:space="0"/>
                    <w:bottom w:val="single" w:color="auto" w:sz="8" w:space="0"/>
                    <w:right w:val="single" w:color="auto" w:sz="8" w:space="0"/>
                  </w:tcBorders>
                  <w:vAlign w:val="center"/>
                </w:tcPr>
                <w:p w14:paraId="54EE3C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0.465</w:t>
                  </w:r>
                </w:p>
              </w:tc>
              <w:tc>
                <w:tcPr>
                  <w:tcW w:w="597" w:type="pct"/>
                  <w:tcBorders>
                    <w:top w:val="single" w:color="auto" w:sz="8" w:space="0"/>
                    <w:left w:val="single" w:color="auto" w:sz="8" w:space="0"/>
                    <w:bottom w:val="single" w:color="auto" w:sz="8" w:space="0"/>
                    <w:right w:val="nil"/>
                  </w:tcBorders>
                  <w:vAlign w:val="center"/>
                </w:tcPr>
                <w:p w14:paraId="0F06440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89.352</w:t>
                  </w:r>
                </w:p>
              </w:tc>
            </w:tr>
            <w:tr w14:paraId="6A7E2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39" w:type="pct"/>
                  <w:vMerge w:val="restart"/>
                  <w:tcBorders>
                    <w:top w:val="single" w:color="auto" w:sz="8" w:space="0"/>
                    <w:left w:val="nil"/>
                    <w:bottom w:val="single" w:color="auto" w:sz="8" w:space="0"/>
                    <w:right w:val="single" w:color="auto" w:sz="8" w:space="0"/>
                  </w:tcBorders>
                  <w:shd w:val="clear" w:color="auto" w:fill="auto"/>
                  <w:vAlign w:val="center"/>
                </w:tcPr>
                <w:p w14:paraId="4819B4E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车辆清洗</w:t>
                  </w:r>
                  <w:r>
                    <w:rPr>
                      <w:rFonts w:hint="eastAsia" w:ascii="Times New Roman" w:hAnsi="Times New Roman" w:eastAsia="宋体" w:cs="Times New Roman"/>
                      <w:color w:val="auto"/>
                      <w:kern w:val="0"/>
                      <w:sz w:val="21"/>
                      <w:szCs w:val="21"/>
                      <w:highlight w:val="none"/>
                      <w:u w:val="none"/>
                      <w:lang w:val="en-US" w:eastAsia="zh-CN" w:bidi="ar"/>
                    </w:rPr>
                    <w:t>废</w:t>
                  </w:r>
                  <w:r>
                    <w:rPr>
                      <w:rFonts w:hint="default" w:ascii="Times New Roman" w:hAnsi="Times New Roman" w:eastAsia="宋体" w:cs="Times New Roman"/>
                      <w:color w:val="auto"/>
                      <w:kern w:val="0"/>
                      <w:sz w:val="21"/>
                      <w:szCs w:val="21"/>
                      <w:highlight w:val="none"/>
                      <w:u w:val="none"/>
                      <w:lang w:val="en-US" w:eastAsia="zh-CN" w:bidi="ar"/>
                    </w:rPr>
                    <w:t>水</w:t>
                  </w:r>
                </w:p>
              </w:tc>
              <w:tc>
                <w:tcPr>
                  <w:tcW w:w="457" w:type="pct"/>
                  <w:vMerge w:val="restart"/>
                  <w:tcBorders>
                    <w:top w:val="single" w:color="auto" w:sz="8" w:space="0"/>
                    <w:left w:val="single" w:color="auto" w:sz="8" w:space="0"/>
                    <w:bottom w:val="single" w:color="auto" w:sz="8" w:space="0"/>
                    <w:right w:val="single" w:color="auto" w:sz="8" w:space="0"/>
                  </w:tcBorders>
                  <w:vAlign w:val="center"/>
                </w:tcPr>
                <w:p w14:paraId="0EBE36F1">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58.4</w:t>
                  </w:r>
                </w:p>
              </w:tc>
              <w:tc>
                <w:tcPr>
                  <w:tcW w:w="609" w:type="pct"/>
                  <w:tcBorders>
                    <w:top w:val="single" w:color="auto" w:sz="8" w:space="0"/>
                    <w:left w:val="single" w:color="auto" w:sz="8" w:space="0"/>
                    <w:bottom w:val="single" w:color="auto" w:sz="8" w:space="0"/>
                    <w:right w:val="single" w:color="auto" w:sz="8" w:space="0"/>
                  </w:tcBorders>
                  <w:vAlign w:val="center"/>
                </w:tcPr>
                <w:p w14:paraId="792E062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418" w:type="pct"/>
                  <w:tcBorders>
                    <w:top w:val="single" w:color="auto" w:sz="8" w:space="0"/>
                    <w:left w:val="single" w:color="auto" w:sz="8" w:space="0"/>
                    <w:bottom w:val="single" w:color="auto" w:sz="8" w:space="0"/>
                    <w:right w:val="single" w:color="auto" w:sz="8" w:space="0"/>
                  </w:tcBorders>
                  <w:vAlign w:val="center"/>
                </w:tcPr>
                <w:p w14:paraId="684B0E3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300</w:t>
                  </w:r>
                </w:p>
              </w:tc>
              <w:tc>
                <w:tcPr>
                  <w:tcW w:w="496" w:type="pct"/>
                  <w:tcBorders>
                    <w:top w:val="single" w:color="auto" w:sz="8" w:space="0"/>
                    <w:left w:val="single" w:color="auto" w:sz="8" w:space="0"/>
                    <w:bottom w:val="single" w:color="auto" w:sz="8" w:space="0"/>
                    <w:right w:val="single" w:color="auto" w:sz="8" w:space="0"/>
                  </w:tcBorders>
                  <w:vAlign w:val="center"/>
                </w:tcPr>
                <w:p w14:paraId="0423515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250</w:t>
                  </w:r>
                </w:p>
              </w:tc>
              <w:tc>
                <w:tcPr>
                  <w:tcW w:w="496" w:type="pct"/>
                  <w:tcBorders>
                    <w:top w:val="single" w:color="auto" w:sz="8" w:space="0"/>
                    <w:left w:val="single" w:color="auto" w:sz="8" w:space="0"/>
                    <w:bottom w:val="single" w:color="auto" w:sz="8" w:space="0"/>
                    <w:right w:val="single" w:color="auto" w:sz="8" w:space="0"/>
                  </w:tcBorders>
                  <w:vAlign w:val="center"/>
                </w:tcPr>
                <w:p w14:paraId="1F781E1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300</w:t>
                  </w:r>
                </w:p>
              </w:tc>
              <w:tc>
                <w:tcPr>
                  <w:tcW w:w="415" w:type="pct"/>
                  <w:tcBorders>
                    <w:top w:val="single" w:color="auto" w:sz="8" w:space="0"/>
                    <w:left w:val="single" w:color="auto" w:sz="8" w:space="0"/>
                    <w:bottom w:val="single" w:color="auto" w:sz="8" w:space="0"/>
                    <w:right w:val="single" w:color="auto" w:sz="8" w:space="0"/>
                  </w:tcBorders>
                  <w:vAlign w:val="center"/>
                </w:tcPr>
                <w:p w14:paraId="6A81890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20</w:t>
                  </w:r>
                </w:p>
              </w:tc>
              <w:tc>
                <w:tcPr>
                  <w:tcW w:w="440" w:type="pct"/>
                  <w:tcBorders>
                    <w:top w:val="single" w:color="auto" w:sz="8" w:space="0"/>
                    <w:left w:val="single" w:color="auto" w:sz="8" w:space="0"/>
                    <w:bottom w:val="single" w:color="auto" w:sz="8" w:space="0"/>
                    <w:right w:val="single" w:color="auto" w:sz="8" w:space="0"/>
                  </w:tcBorders>
                  <w:vAlign w:val="center"/>
                </w:tcPr>
                <w:p w14:paraId="6C9BD0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80</w:t>
                  </w:r>
                </w:p>
              </w:tc>
              <w:tc>
                <w:tcPr>
                  <w:tcW w:w="400" w:type="pct"/>
                  <w:tcBorders>
                    <w:top w:val="single" w:color="auto" w:sz="8" w:space="0"/>
                    <w:left w:val="single" w:color="auto" w:sz="8" w:space="0"/>
                    <w:bottom w:val="single" w:color="auto" w:sz="8" w:space="0"/>
                    <w:right w:val="single" w:color="auto" w:sz="8" w:space="0"/>
                  </w:tcBorders>
                  <w:vAlign w:val="center"/>
                </w:tcPr>
                <w:p w14:paraId="707286F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50</w:t>
                  </w:r>
                </w:p>
              </w:tc>
              <w:tc>
                <w:tcPr>
                  <w:tcW w:w="426" w:type="pct"/>
                  <w:tcBorders>
                    <w:top w:val="single" w:color="auto" w:sz="8" w:space="0"/>
                    <w:left w:val="single" w:color="auto" w:sz="8" w:space="0"/>
                    <w:bottom w:val="single" w:color="auto" w:sz="8" w:space="0"/>
                    <w:right w:val="single" w:color="auto" w:sz="8" w:space="0"/>
                  </w:tcBorders>
                  <w:vAlign w:val="center"/>
                </w:tcPr>
                <w:p w14:paraId="347E9F4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7FA587C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38EF2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9" w:type="pct"/>
                  <w:vMerge w:val="continue"/>
                  <w:tcBorders>
                    <w:top w:val="single" w:color="auto" w:sz="8" w:space="0"/>
                    <w:left w:val="nil"/>
                    <w:bottom w:val="single" w:color="auto" w:sz="8" w:space="0"/>
                    <w:right w:val="single" w:color="auto" w:sz="8" w:space="0"/>
                  </w:tcBorders>
                  <w:shd w:val="clear" w:color="auto" w:fill="auto"/>
                  <w:vAlign w:val="center"/>
                </w:tcPr>
                <w:p w14:paraId="522D35F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8" w:space="0"/>
                    <w:right w:val="single" w:color="auto" w:sz="8" w:space="0"/>
                  </w:tcBorders>
                  <w:vAlign w:val="center"/>
                </w:tcPr>
                <w:p w14:paraId="3420A46C">
                  <w:pPr>
                    <w:jc w:val="center"/>
                    <w:rPr>
                      <w:rFonts w:hint="default" w:ascii="Times New Roman" w:hAnsi="Times New Roman" w:cs="Times New Roman"/>
                      <w:color w:val="auto"/>
                      <w:sz w:val="21"/>
                      <w:szCs w:val="21"/>
                      <w:highlight w:val="none"/>
                    </w:rPr>
                  </w:pPr>
                </w:p>
              </w:tc>
              <w:tc>
                <w:tcPr>
                  <w:tcW w:w="609" w:type="pct"/>
                  <w:tcBorders>
                    <w:top w:val="single" w:color="auto" w:sz="8" w:space="0"/>
                    <w:left w:val="single" w:color="auto" w:sz="8" w:space="0"/>
                    <w:bottom w:val="single" w:color="auto" w:sz="8" w:space="0"/>
                    <w:right w:val="single" w:color="auto" w:sz="8" w:space="0"/>
                  </w:tcBorders>
                  <w:vAlign w:val="center"/>
                </w:tcPr>
                <w:p w14:paraId="0441C01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产生量（t/a）</w:t>
                  </w:r>
                </w:p>
              </w:tc>
              <w:tc>
                <w:tcPr>
                  <w:tcW w:w="418" w:type="pct"/>
                  <w:tcBorders>
                    <w:top w:val="single" w:color="auto" w:sz="8" w:space="0"/>
                    <w:left w:val="single" w:color="auto" w:sz="8" w:space="0"/>
                    <w:bottom w:val="single" w:color="auto" w:sz="8" w:space="0"/>
                    <w:right w:val="single" w:color="auto" w:sz="8" w:space="0"/>
                  </w:tcBorders>
                  <w:vAlign w:val="center"/>
                </w:tcPr>
                <w:p w14:paraId="3FF4990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0.018</w:t>
                  </w:r>
                </w:p>
              </w:tc>
              <w:tc>
                <w:tcPr>
                  <w:tcW w:w="496" w:type="pct"/>
                  <w:tcBorders>
                    <w:top w:val="single" w:color="auto" w:sz="8" w:space="0"/>
                    <w:left w:val="single" w:color="auto" w:sz="8" w:space="0"/>
                    <w:bottom w:val="single" w:color="auto" w:sz="8" w:space="0"/>
                    <w:right w:val="single" w:color="auto" w:sz="8" w:space="0"/>
                  </w:tcBorders>
                  <w:vAlign w:val="center"/>
                </w:tcPr>
                <w:p w14:paraId="420AA66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0.015</w:t>
                  </w:r>
                </w:p>
              </w:tc>
              <w:tc>
                <w:tcPr>
                  <w:tcW w:w="496" w:type="pct"/>
                  <w:tcBorders>
                    <w:top w:val="single" w:color="auto" w:sz="8" w:space="0"/>
                    <w:left w:val="single" w:color="auto" w:sz="8" w:space="0"/>
                    <w:bottom w:val="single" w:color="auto" w:sz="8" w:space="0"/>
                    <w:right w:val="single" w:color="auto" w:sz="8" w:space="0"/>
                  </w:tcBorders>
                  <w:vAlign w:val="center"/>
                </w:tcPr>
                <w:p w14:paraId="4A0940B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0.018</w:t>
                  </w:r>
                </w:p>
              </w:tc>
              <w:tc>
                <w:tcPr>
                  <w:tcW w:w="415" w:type="pct"/>
                  <w:tcBorders>
                    <w:top w:val="single" w:color="auto" w:sz="8" w:space="0"/>
                    <w:left w:val="single" w:color="auto" w:sz="8" w:space="0"/>
                    <w:bottom w:val="single" w:color="auto" w:sz="8" w:space="0"/>
                    <w:right w:val="single" w:color="auto" w:sz="8" w:space="0"/>
                  </w:tcBorders>
                  <w:vAlign w:val="center"/>
                </w:tcPr>
                <w:p w14:paraId="77830B5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440" w:type="pct"/>
                  <w:tcBorders>
                    <w:top w:val="single" w:color="auto" w:sz="8" w:space="0"/>
                    <w:left w:val="single" w:color="auto" w:sz="8" w:space="0"/>
                    <w:bottom w:val="single" w:color="auto" w:sz="8" w:space="0"/>
                    <w:right w:val="single" w:color="auto" w:sz="8" w:space="0"/>
                  </w:tcBorders>
                  <w:vAlign w:val="center"/>
                </w:tcPr>
                <w:p w14:paraId="3C1865C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0.005</w:t>
                  </w:r>
                </w:p>
              </w:tc>
              <w:tc>
                <w:tcPr>
                  <w:tcW w:w="400" w:type="pct"/>
                  <w:tcBorders>
                    <w:top w:val="single" w:color="auto" w:sz="8" w:space="0"/>
                    <w:left w:val="single" w:color="auto" w:sz="8" w:space="0"/>
                    <w:bottom w:val="single" w:color="auto" w:sz="8" w:space="0"/>
                    <w:right w:val="single" w:color="auto" w:sz="8" w:space="0"/>
                  </w:tcBorders>
                  <w:vAlign w:val="center"/>
                </w:tcPr>
                <w:p w14:paraId="5FF310C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0.003</w:t>
                  </w:r>
                </w:p>
              </w:tc>
              <w:tc>
                <w:tcPr>
                  <w:tcW w:w="426" w:type="pct"/>
                  <w:tcBorders>
                    <w:top w:val="single" w:color="auto" w:sz="8" w:space="0"/>
                    <w:left w:val="single" w:color="auto" w:sz="8" w:space="0"/>
                    <w:bottom w:val="single" w:color="auto" w:sz="8" w:space="0"/>
                    <w:right w:val="single" w:color="auto" w:sz="8" w:space="0"/>
                  </w:tcBorders>
                  <w:vAlign w:val="center"/>
                </w:tcPr>
                <w:p w14:paraId="2372EA5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6DCA733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1F5C9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39" w:type="pct"/>
                  <w:vMerge w:val="restart"/>
                  <w:tcBorders>
                    <w:top w:val="single" w:color="auto" w:sz="8" w:space="0"/>
                    <w:left w:val="nil"/>
                    <w:bottom w:val="single" w:color="auto" w:sz="8" w:space="0"/>
                    <w:right w:val="single" w:color="auto" w:sz="8" w:space="0"/>
                  </w:tcBorders>
                  <w:shd w:val="clear" w:color="auto" w:fill="auto"/>
                  <w:vAlign w:val="center"/>
                </w:tcPr>
                <w:p w14:paraId="500D425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喷淋塔</w:t>
                  </w:r>
                  <w:r>
                    <w:rPr>
                      <w:rFonts w:hint="eastAsia" w:ascii="Times New Roman" w:hAnsi="Times New Roman" w:eastAsia="宋体" w:cs="Times New Roman"/>
                      <w:color w:val="auto"/>
                      <w:kern w:val="0"/>
                      <w:sz w:val="21"/>
                      <w:szCs w:val="21"/>
                      <w:highlight w:val="none"/>
                      <w:u w:val="none"/>
                      <w:lang w:val="en-US" w:eastAsia="zh-CN" w:bidi="ar"/>
                    </w:rPr>
                    <w:t>排</w:t>
                  </w:r>
                  <w:r>
                    <w:rPr>
                      <w:rFonts w:hint="default" w:ascii="Times New Roman" w:hAnsi="Times New Roman" w:eastAsia="宋体" w:cs="Times New Roman"/>
                      <w:color w:val="auto"/>
                      <w:kern w:val="0"/>
                      <w:sz w:val="21"/>
                      <w:szCs w:val="21"/>
                      <w:highlight w:val="none"/>
                      <w:u w:val="none"/>
                      <w:lang w:val="en-US" w:eastAsia="zh-CN" w:bidi="ar"/>
                    </w:rPr>
                    <w:t>水</w:t>
                  </w:r>
                </w:p>
              </w:tc>
              <w:tc>
                <w:tcPr>
                  <w:tcW w:w="457" w:type="pct"/>
                  <w:vMerge w:val="restart"/>
                  <w:tcBorders>
                    <w:top w:val="single" w:color="auto" w:sz="8" w:space="0"/>
                    <w:left w:val="single" w:color="auto" w:sz="8" w:space="0"/>
                    <w:bottom w:val="single" w:color="auto" w:sz="8" w:space="0"/>
                    <w:right w:val="single" w:color="auto" w:sz="8" w:space="0"/>
                  </w:tcBorders>
                  <w:vAlign w:val="center"/>
                </w:tcPr>
                <w:p w14:paraId="2D67E50F">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24</w:t>
                  </w:r>
                </w:p>
              </w:tc>
              <w:tc>
                <w:tcPr>
                  <w:tcW w:w="609" w:type="pct"/>
                  <w:tcBorders>
                    <w:top w:val="single" w:color="auto" w:sz="8" w:space="0"/>
                    <w:left w:val="single" w:color="auto" w:sz="8" w:space="0"/>
                    <w:bottom w:val="single" w:color="auto" w:sz="8" w:space="0"/>
                    <w:right w:val="single" w:color="auto" w:sz="8" w:space="0"/>
                  </w:tcBorders>
                  <w:vAlign w:val="center"/>
                </w:tcPr>
                <w:p w14:paraId="51F7D6C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418" w:type="pct"/>
                  <w:tcBorders>
                    <w:top w:val="single" w:color="auto" w:sz="8" w:space="0"/>
                    <w:left w:val="single" w:color="auto" w:sz="8" w:space="0"/>
                    <w:bottom w:val="single" w:color="auto" w:sz="8" w:space="0"/>
                    <w:right w:val="single" w:color="auto" w:sz="8" w:space="0"/>
                  </w:tcBorders>
                  <w:vAlign w:val="center"/>
                </w:tcPr>
                <w:p w14:paraId="43CEB4C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400</w:t>
                  </w:r>
                </w:p>
              </w:tc>
              <w:tc>
                <w:tcPr>
                  <w:tcW w:w="496" w:type="pct"/>
                  <w:tcBorders>
                    <w:top w:val="single" w:color="auto" w:sz="8" w:space="0"/>
                    <w:left w:val="single" w:color="auto" w:sz="8" w:space="0"/>
                    <w:bottom w:val="single" w:color="auto" w:sz="8" w:space="0"/>
                    <w:right w:val="single" w:color="auto" w:sz="8" w:space="0"/>
                  </w:tcBorders>
                  <w:vAlign w:val="center"/>
                </w:tcPr>
                <w:p w14:paraId="50E2D6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80</w:t>
                  </w:r>
                </w:p>
              </w:tc>
              <w:tc>
                <w:tcPr>
                  <w:tcW w:w="496" w:type="pct"/>
                  <w:tcBorders>
                    <w:top w:val="single" w:color="auto" w:sz="8" w:space="0"/>
                    <w:left w:val="single" w:color="auto" w:sz="8" w:space="0"/>
                    <w:bottom w:val="single" w:color="auto" w:sz="8" w:space="0"/>
                    <w:right w:val="single" w:color="auto" w:sz="8" w:space="0"/>
                  </w:tcBorders>
                  <w:vAlign w:val="center"/>
                </w:tcPr>
                <w:p w14:paraId="4CB3B7B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100</w:t>
                  </w:r>
                </w:p>
              </w:tc>
              <w:tc>
                <w:tcPr>
                  <w:tcW w:w="415" w:type="pct"/>
                  <w:tcBorders>
                    <w:top w:val="single" w:color="auto" w:sz="8" w:space="0"/>
                    <w:left w:val="single" w:color="auto" w:sz="8" w:space="0"/>
                    <w:bottom w:val="single" w:color="auto" w:sz="8" w:space="0"/>
                    <w:right w:val="single" w:color="auto" w:sz="8" w:space="0"/>
                  </w:tcBorders>
                  <w:vAlign w:val="center"/>
                </w:tcPr>
                <w:p w14:paraId="46FE19D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5</w:t>
                  </w:r>
                </w:p>
              </w:tc>
              <w:tc>
                <w:tcPr>
                  <w:tcW w:w="440" w:type="pct"/>
                  <w:tcBorders>
                    <w:top w:val="single" w:color="auto" w:sz="8" w:space="0"/>
                    <w:left w:val="single" w:color="auto" w:sz="8" w:space="0"/>
                    <w:bottom w:val="single" w:color="auto" w:sz="8" w:space="0"/>
                    <w:right w:val="single" w:color="auto" w:sz="8" w:space="0"/>
                  </w:tcBorders>
                  <w:vAlign w:val="center"/>
                </w:tcPr>
                <w:p w14:paraId="042377B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400" w:type="pct"/>
                  <w:tcBorders>
                    <w:top w:val="single" w:color="auto" w:sz="8" w:space="0"/>
                    <w:left w:val="single" w:color="auto" w:sz="8" w:space="0"/>
                    <w:bottom w:val="single" w:color="auto" w:sz="8" w:space="0"/>
                    <w:right w:val="single" w:color="auto" w:sz="8" w:space="0"/>
                  </w:tcBorders>
                  <w:vAlign w:val="center"/>
                </w:tcPr>
                <w:p w14:paraId="66B82FA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426" w:type="pct"/>
                  <w:tcBorders>
                    <w:top w:val="single" w:color="auto" w:sz="8" w:space="0"/>
                    <w:left w:val="single" w:color="auto" w:sz="8" w:space="0"/>
                    <w:bottom w:val="single" w:color="auto" w:sz="8" w:space="0"/>
                    <w:right w:val="single" w:color="auto" w:sz="8" w:space="0"/>
                  </w:tcBorders>
                  <w:vAlign w:val="center"/>
                </w:tcPr>
                <w:p w14:paraId="0C9F494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3C72894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142E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239" w:type="pct"/>
                  <w:vMerge w:val="continue"/>
                  <w:tcBorders>
                    <w:top w:val="single" w:color="auto" w:sz="8" w:space="0"/>
                    <w:left w:val="nil"/>
                    <w:bottom w:val="single" w:color="auto" w:sz="8" w:space="0"/>
                    <w:right w:val="single" w:color="auto" w:sz="8" w:space="0"/>
                  </w:tcBorders>
                  <w:shd w:val="clear" w:color="auto" w:fill="auto"/>
                  <w:vAlign w:val="center"/>
                </w:tcPr>
                <w:p w14:paraId="28E29E8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8" w:space="0"/>
                    <w:right w:val="single" w:color="auto" w:sz="8" w:space="0"/>
                  </w:tcBorders>
                  <w:vAlign w:val="center"/>
                </w:tcPr>
                <w:p w14:paraId="29606367">
                  <w:pPr>
                    <w:jc w:val="center"/>
                    <w:rPr>
                      <w:rFonts w:hint="default" w:ascii="Times New Roman" w:hAnsi="Times New Roman" w:cs="Times New Roman"/>
                      <w:color w:val="auto"/>
                      <w:sz w:val="21"/>
                      <w:szCs w:val="21"/>
                      <w:highlight w:val="none"/>
                      <w:lang w:val="en-US" w:eastAsia="zh-CN"/>
                    </w:rPr>
                  </w:pPr>
                </w:p>
              </w:tc>
              <w:tc>
                <w:tcPr>
                  <w:tcW w:w="609" w:type="pct"/>
                  <w:tcBorders>
                    <w:top w:val="single" w:color="auto" w:sz="8" w:space="0"/>
                    <w:left w:val="single" w:color="auto" w:sz="8" w:space="0"/>
                    <w:bottom w:val="single" w:color="auto" w:sz="8" w:space="0"/>
                    <w:right w:val="single" w:color="auto" w:sz="8" w:space="0"/>
                  </w:tcBorders>
                  <w:vAlign w:val="center"/>
                </w:tcPr>
                <w:p w14:paraId="4B7C4A8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产生量（t/a）</w:t>
                  </w:r>
                </w:p>
              </w:tc>
              <w:tc>
                <w:tcPr>
                  <w:tcW w:w="418" w:type="pct"/>
                  <w:tcBorders>
                    <w:top w:val="single" w:color="auto" w:sz="8" w:space="0"/>
                    <w:left w:val="single" w:color="auto" w:sz="8" w:space="0"/>
                    <w:bottom w:val="single" w:color="auto" w:sz="8" w:space="0"/>
                    <w:right w:val="single" w:color="auto" w:sz="8" w:space="0"/>
                  </w:tcBorders>
                  <w:vAlign w:val="center"/>
                </w:tcPr>
                <w:p w14:paraId="0384F49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0.010</w:t>
                  </w:r>
                </w:p>
              </w:tc>
              <w:tc>
                <w:tcPr>
                  <w:tcW w:w="496" w:type="pct"/>
                  <w:tcBorders>
                    <w:top w:val="single" w:color="auto" w:sz="8" w:space="0"/>
                    <w:left w:val="single" w:color="auto" w:sz="8" w:space="0"/>
                    <w:bottom w:val="single" w:color="auto" w:sz="8" w:space="0"/>
                    <w:right w:val="single" w:color="auto" w:sz="8" w:space="0"/>
                  </w:tcBorders>
                  <w:vAlign w:val="center"/>
                </w:tcPr>
                <w:p w14:paraId="5133CA3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496" w:type="pct"/>
                  <w:tcBorders>
                    <w:top w:val="single" w:color="auto" w:sz="8" w:space="0"/>
                    <w:left w:val="single" w:color="auto" w:sz="8" w:space="0"/>
                    <w:bottom w:val="single" w:color="auto" w:sz="8" w:space="0"/>
                    <w:right w:val="single" w:color="auto" w:sz="8" w:space="0"/>
                  </w:tcBorders>
                  <w:vAlign w:val="center"/>
                </w:tcPr>
                <w:p w14:paraId="161CB44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c>
                <w:tcPr>
                  <w:tcW w:w="415" w:type="pct"/>
                  <w:tcBorders>
                    <w:top w:val="single" w:color="auto" w:sz="8" w:space="0"/>
                    <w:left w:val="single" w:color="auto" w:sz="8" w:space="0"/>
                    <w:bottom w:val="single" w:color="auto" w:sz="8" w:space="0"/>
                    <w:right w:val="single" w:color="auto" w:sz="8" w:space="0"/>
                  </w:tcBorders>
                  <w:vAlign w:val="center"/>
                </w:tcPr>
                <w:p w14:paraId="6E30F8C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1.200E-04</w:t>
                  </w:r>
                </w:p>
              </w:tc>
              <w:tc>
                <w:tcPr>
                  <w:tcW w:w="440" w:type="pct"/>
                  <w:tcBorders>
                    <w:top w:val="single" w:color="auto" w:sz="8" w:space="0"/>
                    <w:left w:val="single" w:color="auto" w:sz="8" w:space="0"/>
                    <w:bottom w:val="single" w:color="auto" w:sz="8" w:space="0"/>
                    <w:right w:val="single" w:color="auto" w:sz="8" w:space="0"/>
                  </w:tcBorders>
                  <w:vAlign w:val="center"/>
                </w:tcPr>
                <w:p w14:paraId="04F59C9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400" w:type="pct"/>
                  <w:tcBorders>
                    <w:top w:val="single" w:color="auto" w:sz="8" w:space="0"/>
                    <w:left w:val="single" w:color="auto" w:sz="8" w:space="0"/>
                    <w:bottom w:val="single" w:color="auto" w:sz="8" w:space="0"/>
                    <w:right w:val="single" w:color="auto" w:sz="8" w:space="0"/>
                  </w:tcBorders>
                  <w:vAlign w:val="center"/>
                </w:tcPr>
                <w:p w14:paraId="0B15192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426" w:type="pct"/>
                  <w:tcBorders>
                    <w:top w:val="single" w:color="auto" w:sz="8" w:space="0"/>
                    <w:left w:val="single" w:color="auto" w:sz="8" w:space="0"/>
                    <w:bottom w:val="single" w:color="auto" w:sz="8" w:space="0"/>
                    <w:right w:val="single" w:color="auto" w:sz="8" w:space="0"/>
                  </w:tcBorders>
                  <w:vAlign w:val="center"/>
                </w:tcPr>
                <w:p w14:paraId="0E55102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060E83C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6B1CB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9" w:type="pct"/>
                  <w:vMerge w:val="restart"/>
                  <w:tcBorders>
                    <w:top w:val="single" w:color="auto" w:sz="8" w:space="0"/>
                    <w:left w:val="nil"/>
                    <w:bottom w:val="single" w:color="auto" w:sz="8" w:space="0"/>
                    <w:right w:val="single" w:color="auto" w:sz="8" w:space="0"/>
                  </w:tcBorders>
                  <w:shd w:val="clear" w:color="auto" w:fill="auto"/>
                  <w:vAlign w:val="center"/>
                </w:tcPr>
                <w:p w14:paraId="6F0A6C4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检疫</w:t>
                  </w:r>
                  <w:r>
                    <w:rPr>
                      <w:rFonts w:hint="eastAsia" w:ascii="Times New Roman" w:hAnsi="Times New Roman" w:eastAsia="宋体" w:cs="Times New Roman"/>
                      <w:color w:val="auto"/>
                      <w:kern w:val="0"/>
                      <w:sz w:val="21"/>
                      <w:szCs w:val="21"/>
                      <w:highlight w:val="none"/>
                      <w:u w:val="none"/>
                      <w:lang w:val="en-US" w:eastAsia="zh-CN" w:bidi="ar"/>
                    </w:rPr>
                    <w:t>废</w:t>
                  </w:r>
                  <w:r>
                    <w:rPr>
                      <w:rFonts w:hint="default" w:ascii="Times New Roman" w:hAnsi="Times New Roman" w:eastAsia="宋体" w:cs="Times New Roman"/>
                      <w:color w:val="auto"/>
                      <w:kern w:val="0"/>
                      <w:sz w:val="21"/>
                      <w:szCs w:val="21"/>
                      <w:highlight w:val="none"/>
                      <w:u w:val="none"/>
                      <w:lang w:val="en-US" w:eastAsia="zh-CN" w:bidi="ar"/>
                    </w:rPr>
                    <w:t>水</w:t>
                  </w:r>
                </w:p>
              </w:tc>
              <w:tc>
                <w:tcPr>
                  <w:tcW w:w="457" w:type="pct"/>
                  <w:vMerge w:val="restart"/>
                  <w:tcBorders>
                    <w:top w:val="single" w:color="auto" w:sz="8" w:space="0"/>
                    <w:left w:val="single" w:color="auto" w:sz="8" w:space="0"/>
                    <w:bottom w:val="single" w:color="auto" w:sz="8" w:space="0"/>
                    <w:right w:val="single" w:color="auto" w:sz="8" w:space="0"/>
                  </w:tcBorders>
                  <w:vAlign w:val="center"/>
                </w:tcPr>
                <w:p w14:paraId="38C7BC85">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164.25</w:t>
                  </w:r>
                </w:p>
              </w:tc>
              <w:tc>
                <w:tcPr>
                  <w:tcW w:w="609" w:type="pct"/>
                  <w:tcBorders>
                    <w:top w:val="single" w:color="auto" w:sz="8" w:space="0"/>
                    <w:left w:val="single" w:color="auto" w:sz="8" w:space="0"/>
                    <w:bottom w:val="single" w:color="auto" w:sz="8" w:space="0"/>
                    <w:right w:val="single" w:color="auto" w:sz="8" w:space="0"/>
                  </w:tcBorders>
                  <w:vAlign w:val="center"/>
                </w:tcPr>
                <w:p w14:paraId="48101B4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418" w:type="pct"/>
                  <w:tcBorders>
                    <w:top w:val="single" w:color="auto" w:sz="8" w:space="0"/>
                    <w:left w:val="single" w:color="auto" w:sz="8" w:space="0"/>
                    <w:bottom w:val="single" w:color="auto" w:sz="8" w:space="0"/>
                    <w:right w:val="single" w:color="auto" w:sz="8" w:space="0"/>
                  </w:tcBorders>
                  <w:vAlign w:val="center"/>
                </w:tcPr>
                <w:p w14:paraId="40B75D7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300</w:t>
                  </w:r>
                </w:p>
              </w:tc>
              <w:tc>
                <w:tcPr>
                  <w:tcW w:w="496" w:type="pct"/>
                  <w:tcBorders>
                    <w:top w:val="single" w:color="auto" w:sz="8" w:space="0"/>
                    <w:left w:val="single" w:color="auto" w:sz="8" w:space="0"/>
                    <w:bottom w:val="single" w:color="auto" w:sz="8" w:space="0"/>
                    <w:right w:val="single" w:color="auto" w:sz="8" w:space="0"/>
                  </w:tcBorders>
                  <w:vAlign w:val="center"/>
                </w:tcPr>
                <w:p w14:paraId="249CD77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250</w:t>
                  </w:r>
                </w:p>
              </w:tc>
              <w:tc>
                <w:tcPr>
                  <w:tcW w:w="496" w:type="pct"/>
                  <w:tcBorders>
                    <w:top w:val="single" w:color="auto" w:sz="8" w:space="0"/>
                    <w:left w:val="single" w:color="auto" w:sz="8" w:space="0"/>
                    <w:bottom w:val="single" w:color="auto" w:sz="8" w:space="0"/>
                    <w:right w:val="single" w:color="auto" w:sz="8" w:space="0"/>
                  </w:tcBorders>
                  <w:vAlign w:val="center"/>
                </w:tcPr>
                <w:p w14:paraId="5C582F3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200</w:t>
                  </w:r>
                </w:p>
              </w:tc>
              <w:tc>
                <w:tcPr>
                  <w:tcW w:w="415" w:type="pct"/>
                  <w:tcBorders>
                    <w:top w:val="single" w:color="auto" w:sz="8" w:space="0"/>
                    <w:left w:val="single" w:color="auto" w:sz="8" w:space="0"/>
                    <w:bottom w:val="single" w:color="auto" w:sz="8" w:space="0"/>
                    <w:right w:val="single" w:color="auto" w:sz="8" w:space="0"/>
                  </w:tcBorders>
                  <w:vAlign w:val="center"/>
                </w:tcPr>
                <w:p w14:paraId="4F99D13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20</w:t>
                  </w:r>
                </w:p>
              </w:tc>
              <w:tc>
                <w:tcPr>
                  <w:tcW w:w="440" w:type="pct"/>
                  <w:tcBorders>
                    <w:top w:val="single" w:color="auto" w:sz="8" w:space="0"/>
                    <w:left w:val="single" w:color="auto" w:sz="8" w:space="0"/>
                    <w:bottom w:val="single" w:color="auto" w:sz="8" w:space="0"/>
                    <w:right w:val="single" w:color="auto" w:sz="8" w:space="0"/>
                  </w:tcBorders>
                  <w:vAlign w:val="center"/>
                </w:tcPr>
                <w:p w14:paraId="6561A02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50</w:t>
                  </w:r>
                </w:p>
              </w:tc>
              <w:tc>
                <w:tcPr>
                  <w:tcW w:w="400" w:type="pct"/>
                  <w:tcBorders>
                    <w:top w:val="single" w:color="auto" w:sz="8" w:space="0"/>
                    <w:left w:val="single" w:color="auto" w:sz="8" w:space="0"/>
                    <w:bottom w:val="single" w:color="auto" w:sz="8" w:space="0"/>
                    <w:right w:val="single" w:color="auto" w:sz="8" w:space="0"/>
                  </w:tcBorders>
                  <w:vAlign w:val="center"/>
                </w:tcPr>
                <w:p w14:paraId="5C50ADE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426" w:type="pct"/>
                  <w:tcBorders>
                    <w:top w:val="single" w:color="auto" w:sz="8" w:space="0"/>
                    <w:left w:val="single" w:color="auto" w:sz="8" w:space="0"/>
                    <w:bottom w:val="single" w:color="auto" w:sz="8" w:space="0"/>
                    <w:right w:val="single" w:color="auto" w:sz="8" w:space="0"/>
                  </w:tcBorders>
                  <w:vAlign w:val="center"/>
                </w:tcPr>
                <w:p w14:paraId="445BF01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2E61436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r>
            <w:tr w14:paraId="606C5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39" w:type="pct"/>
                  <w:vMerge w:val="continue"/>
                  <w:tcBorders>
                    <w:top w:val="single" w:color="auto" w:sz="8" w:space="0"/>
                    <w:left w:val="nil"/>
                    <w:bottom w:val="single" w:color="auto" w:sz="8" w:space="0"/>
                    <w:right w:val="single" w:color="auto" w:sz="8" w:space="0"/>
                  </w:tcBorders>
                  <w:shd w:val="clear" w:color="auto" w:fill="auto"/>
                  <w:vAlign w:val="center"/>
                </w:tcPr>
                <w:p w14:paraId="1CCE8AD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8" w:space="0"/>
                    <w:right w:val="single" w:color="auto" w:sz="8" w:space="0"/>
                  </w:tcBorders>
                  <w:vAlign w:val="center"/>
                </w:tcPr>
                <w:p w14:paraId="337005FA">
                  <w:pPr>
                    <w:jc w:val="center"/>
                    <w:rPr>
                      <w:rFonts w:hint="default" w:ascii="Times New Roman" w:hAnsi="Times New Roman" w:cs="Times New Roman"/>
                      <w:color w:val="auto"/>
                      <w:sz w:val="21"/>
                      <w:szCs w:val="21"/>
                      <w:highlight w:val="none"/>
                      <w:lang w:val="en-US" w:eastAsia="zh-CN"/>
                    </w:rPr>
                  </w:pPr>
                </w:p>
              </w:tc>
              <w:tc>
                <w:tcPr>
                  <w:tcW w:w="609" w:type="pct"/>
                  <w:tcBorders>
                    <w:top w:val="single" w:color="auto" w:sz="8" w:space="0"/>
                    <w:left w:val="single" w:color="auto" w:sz="8" w:space="0"/>
                    <w:bottom w:val="single" w:color="auto" w:sz="8" w:space="0"/>
                    <w:right w:val="single" w:color="auto" w:sz="8" w:space="0"/>
                  </w:tcBorders>
                  <w:vAlign w:val="center"/>
                </w:tcPr>
                <w:p w14:paraId="1AABE08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产生量（t/a）</w:t>
                  </w:r>
                </w:p>
              </w:tc>
              <w:tc>
                <w:tcPr>
                  <w:tcW w:w="418" w:type="pct"/>
                  <w:tcBorders>
                    <w:top w:val="single" w:color="auto" w:sz="8" w:space="0"/>
                    <w:left w:val="single" w:color="auto" w:sz="8" w:space="0"/>
                    <w:bottom w:val="single" w:color="auto" w:sz="8" w:space="0"/>
                    <w:right w:val="single" w:color="auto" w:sz="8" w:space="0"/>
                  </w:tcBorders>
                  <w:vAlign w:val="center"/>
                </w:tcPr>
                <w:p w14:paraId="35CABE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0.049</w:t>
                  </w:r>
                </w:p>
              </w:tc>
              <w:tc>
                <w:tcPr>
                  <w:tcW w:w="496" w:type="pct"/>
                  <w:tcBorders>
                    <w:top w:val="single" w:color="auto" w:sz="8" w:space="0"/>
                    <w:left w:val="single" w:color="auto" w:sz="8" w:space="0"/>
                    <w:bottom w:val="single" w:color="auto" w:sz="8" w:space="0"/>
                    <w:right w:val="single" w:color="auto" w:sz="8" w:space="0"/>
                  </w:tcBorders>
                  <w:vAlign w:val="center"/>
                </w:tcPr>
                <w:p w14:paraId="44C2648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0.041</w:t>
                  </w:r>
                </w:p>
              </w:tc>
              <w:tc>
                <w:tcPr>
                  <w:tcW w:w="496" w:type="pct"/>
                  <w:tcBorders>
                    <w:top w:val="single" w:color="auto" w:sz="8" w:space="0"/>
                    <w:left w:val="single" w:color="auto" w:sz="8" w:space="0"/>
                    <w:bottom w:val="single" w:color="auto" w:sz="8" w:space="0"/>
                    <w:right w:val="single" w:color="auto" w:sz="8" w:space="0"/>
                  </w:tcBorders>
                  <w:vAlign w:val="center"/>
                </w:tcPr>
                <w:p w14:paraId="0E73AF9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0.033</w:t>
                  </w:r>
                </w:p>
              </w:tc>
              <w:tc>
                <w:tcPr>
                  <w:tcW w:w="415" w:type="pct"/>
                  <w:tcBorders>
                    <w:top w:val="single" w:color="auto" w:sz="8" w:space="0"/>
                    <w:left w:val="single" w:color="auto" w:sz="8" w:space="0"/>
                    <w:bottom w:val="single" w:color="auto" w:sz="8" w:space="0"/>
                    <w:right w:val="single" w:color="auto" w:sz="8" w:space="0"/>
                  </w:tcBorders>
                  <w:vAlign w:val="center"/>
                </w:tcPr>
                <w:p w14:paraId="7125850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0.003</w:t>
                  </w:r>
                </w:p>
              </w:tc>
              <w:tc>
                <w:tcPr>
                  <w:tcW w:w="440" w:type="pct"/>
                  <w:tcBorders>
                    <w:top w:val="single" w:color="auto" w:sz="8" w:space="0"/>
                    <w:left w:val="single" w:color="auto" w:sz="8" w:space="0"/>
                    <w:bottom w:val="single" w:color="auto" w:sz="8" w:space="0"/>
                    <w:right w:val="single" w:color="auto" w:sz="8" w:space="0"/>
                  </w:tcBorders>
                  <w:vAlign w:val="center"/>
                </w:tcPr>
                <w:p w14:paraId="313A6C3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0.008</w:t>
                  </w:r>
                </w:p>
              </w:tc>
              <w:tc>
                <w:tcPr>
                  <w:tcW w:w="400" w:type="pct"/>
                  <w:tcBorders>
                    <w:top w:val="single" w:color="auto" w:sz="8" w:space="0"/>
                    <w:left w:val="single" w:color="auto" w:sz="8" w:space="0"/>
                    <w:bottom w:val="single" w:color="auto" w:sz="8" w:space="0"/>
                    <w:right w:val="single" w:color="auto" w:sz="8" w:space="0"/>
                  </w:tcBorders>
                  <w:vAlign w:val="center"/>
                </w:tcPr>
                <w:p w14:paraId="4CD8565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426" w:type="pct"/>
                  <w:tcBorders>
                    <w:top w:val="single" w:color="auto" w:sz="8" w:space="0"/>
                    <w:left w:val="single" w:color="auto" w:sz="8" w:space="0"/>
                    <w:bottom w:val="single" w:color="auto" w:sz="8" w:space="0"/>
                    <w:right w:val="single" w:color="auto" w:sz="8" w:space="0"/>
                  </w:tcBorders>
                  <w:vAlign w:val="center"/>
                </w:tcPr>
                <w:p w14:paraId="4B16FBA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5471ABA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36186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39" w:type="pct"/>
                  <w:vMerge w:val="restart"/>
                  <w:tcBorders>
                    <w:top w:val="single" w:color="auto" w:sz="8" w:space="0"/>
                    <w:left w:val="nil"/>
                    <w:bottom w:val="single" w:color="auto" w:sz="8" w:space="0"/>
                    <w:right w:val="single" w:color="auto" w:sz="8" w:space="0"/>
                  </w:tcBorders>
                  <w:shd w:val="clear" w:color="auto" w:fill="auto"/>
                  <w:vAlign w:val="center"/>
                </w:tcPr>
                <w:p w14:paraId="75AF60C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生活</w:t>
                  </w:r>
                  <w:r>
                    <w:rPr>
                      <w:rFonts w:hint="eastAsia" w:ascii="Times New Roman" w:hAnsi="Times New Roman" w:eastAsia="宋体" w:cs="Times New Roman"/>
                      <w:color w:val="auto"/>
                      <w:kern w:val="0"/>
                      <w:sz w:val="21"/>
                      <w:szCs w:val="21"/>
                      <w:highlight w:val="none"/>
                      <w:u w:val="none"/>
                      <w:lang w:val="en-US" w:eastAsia="zh-CN" w:bidi="ar"/>
                    </w:rPr>
                    <w:t>废</w:t>
                  </w:r>
                  <w:r>
                    <w:rPr>
                      <w:rFonts w:hint="default" w:ascii="Times New Roman" w:hAnsi="Times New Roman" w:eastAsia="宋体" w:cs="Times New Roman"/>
                      <w:color w:val="auto"/>
                      <w:kern w:val="0"/>
                      <w:sz w:val="21"/>
                      <w:szCs w:val="21"/>
                      <w:highlight w:val="none"/>
                      <w:u w:val="none"/>
                      <w:lang w:val="en-US" w:eastAsia="zh-CN" w:bidi="ar"/>
                    </w:rPr>
                    <w:t>水</w:t>
                  </w:r>
                </w:p>
              </w:tc>
              <w:tc>
                <w:tcPr>
                  <w:tcW w:w="457" w:type="pct"/>
                  <w:vMerge w:val="restart"/>
                  <w:tcBorders>
                    <w:top w:val="single" w:color="auto" w:sz="8" w:space="0"/>
                    <w:left w:val="single" w:color="auto" w:sz="8" w:space="0"/>
                    <w:bottom w:val="single" w:color="auto" w:sz="8" w:space="0"/>
                    <w:right w:val="single" w:color="auto" w:sz="8" w:space="0"/>
                  </w:tcBorders>
                  <w:vAlign w:val="center"/>
                </w:tcPr>
                <w:p w14:paraId="4805C272">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186.15</w:t>
                  </w:r>
                </w:p>
              </w:tc>
              <w:tc>
                <w:tcPr>
                  <w:tcW w:w="609" w:type="pct"/>
                  <w:tcBorders>
                    <w:top w:val="single" w:color="auto" w:sz="8" w:space="0"/>
                    <w:left w:val="single" w:color="auto" w:sz="8" w:space="0"/>
                    <w:bottom w:val="single" w:color="auto" w:sz="8" w:space="0"/>
                    <w:right w:val="single" w:color="auto" w:sz="8" w:space="0"/>
                  </w:tcBorders>
                  <w:vAlign w:val="center"/>
                </w:tcPr>
                <w:p w14:paraId="298442B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418" w:type="pct"/>
                  <w:tcBorders>
                    <w:top w:val="single" w:color="auto" w:sz="8" w:space="0"/>
                    <w:left w:val="single" w:color="auto" w:sz="8" w:space="0"/>
                    <w:bottom w:val="single" w:color="auto" w:sz="8" w:space="0"/>
                    <w:right w:val="single" w:color="auto" w:sz="8" w:space="0"/>
                  </w:tcBorders>
                  <w:vAlign w:val="center"/>
                </w:tcPr>
                <w:p w14:paraId="7E8C234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325</w:t>
                  </w:r>
                </w:p>
              </w:tc>
              <w:tc>
                <w:tcPr>
                  <w:tcW w:w="496" w:type="pct"/>
                  <w:tcBorders>
                    <w:top w:val="single" w:color="auto" w:sz="8" w:space="0"/>
                    <w:left w:val="single" w:color="auto" w:sz="8" w:space="0"/>
                    <w:bottom w:val="single" w:color="auto" w:sz="8" w:space="0"/>
                    <w:right w:val="single" w:color="auto" w:sz="8" w:space="0"/>
                  </w:tcBorders>
                  <w:vAlign w:val="center"/>
                </w:tcPr>
                <w:p w14:paraId="7597449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200</w:t>
                  </w:r>
                </w:p>
              </w:tc>
              <w:tc>
                <w:tcPr>
                  <w:tcW w:w="496" w:type="pct"/>
                  <w:tcBorders>
                    <w:top w:val="single" w:color="auto" w:sz="8" w:space="0"/>
                    <w:left w:val="single" w:color="auto" w:sz="8" w:space="0"/>
                    <w:bottom w:val="single" w:color="auto" w:sz="8" w:space="0"/>
                    <w:right w:val="single" w:color="auto" w:sz="8" w:space="0"/>
                  </w:tcBorders>
                  <w:vAlign w:val="center"/>
                </w:tcPr>
                <w:p w14:paraId="208F87D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300</w:t>
                  </w:r>
                </w:p>
              </w:tc>
              <w:tc>
                <w:tcPr>
                  <w:tcW w:w="415" w:type="pct"/>
                  <w:tcBorders>
                    <w:top w:val="single" w:color="auto" w:sz="8" w:space="0"/>
                    <w:left w:val="single" w:color="auto" w:sz="8" w:space="0"/>
                    <w:bottom w:val="single" w:color="auto" w:sz="8" w:space="0"/>
                    <w:right w:val="single" w:color="auto" w:sz="8" w:space="0"/>
                  </w:tcBorders>
                  <w:vAlign w:val="center"/>
                </w:tcPr>
                <w:p w14:paraId="496F26C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37.7</w:t>
                  </w:r>
                </w:p>
              </w:tc>
              <w:tc>
                <w:tcPr>
                  <w:tcW w:w="440" w:type="pct"/>
                  <w:tcBorders>
                    <w:top w:val="single" w:color="auto" w:sz="8" w:space="0"/>
                    <w:left w:val="single" w:color="auto" w:sz="8" w:space="0"/>
                    <w:bottom w:val="single" w:color="auto" w:sz="8" w:space="0"/>
                    <w:right w:val="single" w:color="auto" w:sz="8" w:space="0"/>
                  </w:tcBorders>
                  <w:vAlign w:val="center"/>
                </w:tcPr>
                <w:p w14:paraId="1E48912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49.8</w:t>
                  </w:r>
                </w:p>
              </w:tc>
              <w:tc>
                <w:tcPr>
                  <w:tcW w:w="400" w:type="pct"/>
                  <w:tcBorders>
                    <w:top w:val="single" w:color="auto" w:sz="8" w:space="0"/>
                    <w:left w:val="single" w:color="auto" w:sz="8" w:space="0"/>
                    <w:bottom w:val="single" w:color="auto" w:sz="8" w:space="0"/>
                    <w:right w:val="single" w:color="auto" w:sz="8" w:space="0"/>
                  </w:tcBorders>
                  <w:vAlign w:val="center"/>
                </w:tcPr>
                <w:p w14:paraId="6B54A71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4.28</w:t>
                  </w:r>
                </w:p>
              </w:tc>
              <w:tc>
                <w:tcPr>
                  <w:tcW w:w="426" w:type="pct"/>
                  <w:tcBorders>
                    <w:top w:val="single" w:color="auto" w:sz="8" w:space="0"/>
                    <w:left w:val="single" w:color="auto" w:sz="8" w:space="0"/>
                    <w:bottom w:val="single" w:color="auto" w:sz="8" w:space="0"/>
                    <w:right w:val="single" w:color="auto" w:sz="8" w:space="0"/>
                  </w:tcBorders>
                  <w:vAlign w:val="center"/>
                </w:tcPr>
                <w:p w14:paraId="13F6089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3F0E266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13615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39" w:type="pct"/>
                  <w:vMerge w:val="continue"/>
                  <w:tcBorders>
                    <w:top w:val="single" w:color="auto" w:sz="8" w:space="0"/>
                    <w:left w:val="nil"/>
                    <w:bottom w:val="single" w:color="auto" w:sz="8" w:space="0"/>
                    <w:right w:val="single" w:color="auto" w:sz="8" w:space="0"/>
                  </w:tcBorders>
                  <w:shd w:val="clear" w:color="auto" w:fill="auto"/>
                  <w:vAlign w:val="center"/>
                </w:tcPr>
                <w:p w14:paraId="2644297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8" w:space="0"/>
                    <w:right w:val="single" w:color="auto" w:sz="8" w:space="0"/>
                  </w:tcBorders>
                  <w:vAlign w:val="center"/>
                </w:tcPr>
                <w:p w14:paraId="4F654470">
                  <w:pPr>
                    <w:jc w:val="center"/>
                    <w:rPr>
                      <w:rFonts w:hint="default" w:ascii="Times New Roman" w:hAnsi="Times New Roman" w:cs="Times New Roman"/>
                      <w:color w:val="auto"/>
                      <w:sz w:val="21"/>
                      <w:szCs w:val="21"/>
                      <w:highlight w:val="none"/>
                      <w:lang w:val="en-US" w:eastAsia="zh-CN"/>
                    </w:rPr>
                  </w:pPr>
                </w:p>
              </w:tc>
              <w:tc>
                <w:tcPr>
                  <w:tcW w:w="609" w:type="pct"/>
                  <w:tcBorders>
                    <w:top w:val="single" w:color="auto" w:sz="8" w:space="0"/>
                    <w:left w:val="single" w:color="auto" w:sz="8" w:space="0"/>
                    <w:bottom w:val="single" w:color="auto" w:sz="8" w:space="0"/>
                    <w:right w:val="single" w:color="auto" w:sz="8" w:space="0"/>
                  </w:tcBorders>
                  <w:vAlign w:val="center"/>
                </w:tcPr>
                <w:p w14:paraId="6FB8E65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产生量（t/a）</w:t>
                  </w:r>
                </w:p>
              </w:tc>
              <w:tc>
                <w:tcPr>
                  <w:tcW w:w="418" w:type="pct"/>
                  <w:tcBorders>
                    <w:top w:val="single" w:color="auto" w:sz="8" w:space="0"/>
                    <w:left w:val="single" w:color="auto" w:sz="8" w:space="0"/>
                    <w:bottom w:val="single" w:color="auto" w:sz="8" w:space="0"/>
                    <w:right w:val="single" w:color="auto" w:sz="8" w:space="0"/>
                  </w:tcBorders>
                  <w:vAlign w:val="center"/>
                </w:tcPr>
                <w:p w14:paraId="2BD5B5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0.060</w:t>
                  </w:r>
                </w:p>
              </w:tc>
              <w:tc>
                <w:tcPr>
                  <w:tcW w:w="496" w:type="pct"/>
                  <w:tcBorders>
                    <w:top w:val="single" w:color="auto" w:sz="8" w:space="0"/>
                    <w:left w:val="single" w:color="auto" w:sz="8" w:space="0"/>
                    <w:bottom w:val="single" w:color="auto" w:sz="8" w:space="0"/>
                    <w:right w:val="single" w:color="auto" w:sz="8" w:space="0"/>
                  </w:tcBorders>
                  <w:vAlign w:val="center"/>
                </w:tcPr>
                <w:p w14:paraId="66736FD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0.037</w:t>
                  </w:r>
                </w:p>
              </w:tc>
              <w:tc>
                <w:tcPr>
                  <w:tcW w:w="496" w:type="pct"/>
                  <w:tcBorders>
                    <w:top w:val="single" w:color="auto" w:sz="8" w:space="0"/>
                    <w:left w:val="single" w:color="auto" w:sz="8" w:space="0"/>
                    <w:bottom w:val="single" w:color="auto" w:sz="8" w:space="0"/>
                    <w:right w:val="single" w:color="auto" w:sz="8" w:space="0"/>
                  </w:tcBorders>
                  <w:vAlign w:val="center"/>
                </w:tcPr>
                <w:p w14:paraId="26FBDC6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0.056</w:t>
                  </w:r>
                </w:p>
              </w:tc>
              <w:tc>
                <w:tcPr>
                  <w:tcW w:w="415" w:type="pct"/>
                  <w:tcBorders>
                    <w:top w:val="single" w:color="auto" w:sz="8" w:space="0"/>
                    <w:left w:val="single" w:color="auto" w:sz="8" w:space="0"/>
                    <w:bottom w:val="single" w:color="auto" w:sz="8" w:space="0"/>
                    <w:right w:val="single" w:color="auto" w:sz="8" w:space="0"/>
                  </w:tcBorders>
                  <w:vAlign w:val="center"/>
                </w:tcPr>
                <w:p w14:paraId="195F4C9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0.007</w:t>
                  </w:r>
                </w:p>
              </w:tc>
              <w:tc>
                <w:tcPr>
                  <w:tcW w:w="440" w:type="pct"/>
                  <w:tcBorders>
                    <w:top w:val="single" w:color="auto" w:sz="8" w:space="0"/>
                    <w:left w:val="single" w:color="auto" w:sz="8" w:space="0"/>
                    <w:bottom w:val="single" w:color="auto" w:sz="8" w:space="0"/>
                    <w:right w:val="single" w:color="auto" w:sz="8" w:space="0"/>
                  </w:tcBorders>
                  <w:vAlign w:val="center"/>
                </w:tcPr>
                <w:p w14:paraId="5833868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0.009</w:t>
                  </w:r>
                </w:p>
              </w:tc>
              <w:tc>
                <w:tcPr>
                  <w:tcW w:w="400" w:type="pct"/>
                  <w:tcBorders>
                    <w:top w:val="single" w:color="auto" w:sz="8" w:space="0"/>
                    <w:left w:val="single" w:color="auto" w:sz="8" w:space="0"/>
                    <w:bottom w:val="single" w:color="auto" w:sz="8" w:space="0"/>
                    <w:right w:val="single" w:color="auto" w:sz="8" w:space="0"/>
                  </w:tcBorders>
                  <w:vAlign w:val="center"/>
                </w:tcPr>
                <w:p w14:paraId="70534AA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0.001</w:t>
                  </w:r>
                </w:p>
              </w:tc>
              <w:tc>
                <w:tcPr>
                  <w:tcW w:w="426" w:type="pct"/>
                  <w:tcBorders>
                    <w:top w:val="single" w:color="auto" w:sz="8" w:space="0"/>
                    <w:left w:val="single" w:color="auto" w:sz="8" w:space="0"/>
                    <w:bottom w:val="single" w:color="auto" w:sz="8" w:space="0"/>
                    <w:right w:val="single" w:color="auto" w:sz="8" w:space="0"/>
                  </w:tcBorders>
                  <w:vAlign w:val="center"/>
                </w:tcPr>
                <w:p w14:paraId="75A105A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597" w:type="pct"/>
                  <w:tcBorders>
                    <w:top w:val="single" w:color="auto" w:sz="8" w:space="0"/>
                    <w:left w:val="single" w:color="auto" w:sz="8" w:space="0"/>
                    <w:bottom w:val="single" w:color="auto" w:sz="8" w:space="0"/>
                    <w:right w:val="nil"/>
                  </w:tcBorders>
                  <w:vAlign w:val="center"/>
                </w:tcPr>
                <w:p w14:paraId="32A80FB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4858C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39" w:type="pct"/>
                  <w:vMerge w:val="restart"/>
                  <w:tcBorders>
                    <w:top w:val="single" w:color="auto" w:sz="8" w:space="0"/>
                    <w:left w:val="nil"/>
                    <w:bottom w:val="single" w:color="auto" w:sz="8" w:space="0"/>
                    <w:right w:val="single" w:color="auto" w:sz="8" w:space="0"/>
                  </w:tcBorders>
                  <w:shd w:val="clear" w:color="auto" w:fill="auto"/>
                  <w:vAlign w:val="center"/>
                </w:tcPr>
                <w:p w14:paraId="3B89CE3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混合废水</w:t>
                  </w:r>
                </w:p>
              </w:tc>
              <w:tc>
                <w:tcPr>
                  <w:tcW w:w="457" w:type="pct"/>
                  <w:vMerge w:val="restart"/>
                  <w:tcBorders>
                    <w:top w:val="single" w:color="auto" w:sz="8" w:space="0"/>
                    <w:left w:val="single" w:color="auto" w:sz="8" w:space="0"/>
                    <w:bottom w:val="single" w:color="auto" w:sz="8" w:space="0"/>
                    <w:right w:val="single" w:color="auto" w:sz="8" w:space="0"/>
                  </w:tcBorders>
                  <w:vAlign w:val="center"/>
                </w:tcPr>
                <w:p w14:paraId="3FDC1CD8">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4155.8</w:t>
                  </w:r>
                </w:p>
              </w:tc>
              <w:tc>
                <w:tcPr>
                  <w:tcW w:w="609" w:type="pct"/>
                  <w:tcBorders>
                    <w:top w:val="single" w:color="auto" w:sz="8" w:space="0"/>
                    <w:left w:val="single" w:color="auto" w:sz="8" w:space="0"/>
                    <w:bottom w:val="single" w:color="auto" w:sz="8" w:space="0"/>
                    <w:right w:val="single" w:color="auto" w:sz="8" w:space="0"/>
                  </w:tcBorders>
                  <w:vAlign w:val="center"/>
                </w:tcPr>
                <w:p w14:paraId="01E6C5A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418" w:type="pct"/>
                  <w:tcBorders>
                    <w:top w:val="single" w:color="auto" w:sz="8" w:space="0"/>
                    <w:left w:val="single" w:color="auto" w:sz="8" w:space="0"/>
                    <w:bottom w:val="single" w:color="auto" w:sz="8" w:space="0"/>
                    <w:right w:val="single" w:color="auto" w:sz="8" w:space="0"/>
                  </w:tcBorders>
                  <w:vAlign w:val="center"/>
                </w:tcPr>
                <w:p w14:paraId="1AAA334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2070.57</w:t>
                  </w:r>
                </w:p>
              </w:tc>
              <w:tc>
                <w:tcPr>
                  <w:tcW w:w="496" w:type="pct"/>
                  <w:tcBorders>
                    <w:top w:val="single" w:color="auto" w:sz="8" w:space="0"/>
                    <w:left w:val="single" w:color="auto" w:sz="8" w:space="0"/>
                    <w:bottom w:val="single" w:color="auto" w:sz="8" w:space="0"/>
                    <w:right w:val="single" w:color="auto" w:sz="8" w:space="0"/>
                  </w:tcBorders>
                  <w:vAlign w:val="center"/>
                </w:tcPr>
                <w:p w14:paraId="5C88174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939.75</w:t>
                  </w:r>
                </w:p>
              </w:tc>
              <w:tc>
                <w:tcPr>
                  <w:tcW w:w="496" w:type="pct"/>
                  <w:tcBorders>
                    <w:top w:val="single" w:color="auto" w:sz="8" w:space="0"/>
                    <w:left w:val="single" w:color="auto" w:sz="8" w:space="0"/>
                    <w:bottom w:val="single" w:color="auto" w:sz="8" w:space="0"/>
                    <w:right w:val="single" w:color="auto" w:sz="8" w:space="0"/>
                  </w:tcBorders>
                  <w:vAlign w:val="center"/>
                </w:tcPr>
                <w:p w14:paraId="7A389F4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810.01</w:t>
                  </w:r>
                </w:p>
              </w:tc>
              <w:tc>
                <w:tcPr>
                  <w:tcW w:w="415" w:type="pct"/>
                  <w:tcBorders>
                    <w:top w:val="single" w:color="auto" w:sz="8" w:space="0"/>
                    <w:left w:val="single" w:color="auto" w:sz="8" w:space="0"/>
                    <w:bottom w:val="single" w:color="auto" w:sz="8" w:space="0"/>
                    <w:right w:val="single" w:color="auto" w:sz="8" w:space="0"/>
                  </w:tcBorders>
                  <w:vAlign w:val="center"/>
                </w:tcPr>
                <w:p w14:paraId="44F4AF3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64.27</w:t>
                  </w:r>
                </w:p>
              </w:tc>
              <w:tc>
                <w:tcPr>
                  <w:tcW w:w="440" w:type="pct"/>
                  <w:tcBorders>
                    <w:top w:val="single" w:color="auto" w:sz="8" w:space="0"/>
                    <w:left w:val="single" w:color="auto" w:sz="8" w:space="0"/>
                    <w:bottom w:val="single" w:color="auto" w:sz="8" w:space="0"/>
                    <w:right w:val="single" w:color="auto" w:sz="8" w:space="0"/>
                  </w:tcBorders>
                  <w:vAlign w:val="center"/>
                </w:tcPr>
                <w:p w14:paraId="01C00EA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161.67</w:t>
                  </w:r>
                </w:p>
              </w:tc>
              <w:tc>
                <w:tcPr>
                  <w:tcW w:w="400" w:type="pct"/>
                  <w:tcBorders>
                    <w:top w:val="single" w:color="auto" w:sz="8" w:space="0"/>
                    <w:left w:val="single" w:color="auto" w:sz="8" w:space="0"/>
                    <w:bottom w:val="single" w:color="auto" w:sz="8" w:space="0"/>
                    <w:right w:val="single" w:color="auto" w:sz="8" w:space="0"/>
                  </w:tcBorders>
                  <w:vAlign w:val="center"/>
                </w:tcPr>
                <w:p w14:paraId="45E0383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21.97</w:t>
                  </w:r>
                </w:p>
              </w:tc>
              <w:tc>
                <w:tcPr>
                  <w:tcW w:w="426" w:type="pct"/>
                  <w:tcBorders>
                    <w:top w:val="single" w:color="auto" w:sz="8" w:space="0"/>
                    <w:left w:val="single" w:color="auto" w:sz="8" w:space="0"/>
                    <w:bottom w:val="single" w:color="auto" w:sz="8" w:space="0"/>
                    <w:right w:val="single" w:color="auto" w:sz="8" w:space="0"/>
                  </w:tcBorders>
                  <w:vAlign w:val="center"/>
                </w:tcPr>
                <w:p w14:paraId="1596047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111.98</w:t>
                  </w:r>
                </w:p>
              </w:tc>
              <w:tc>
                <w:tcPr>
                  <w:tcW w:w="597" w:type="pct"/>
                  <w:tcBorders>
                    <w:top w:val="single" w:color="auto" w:sz="8" w:space="0"/>
                    <w:left w:val="single" w:color="auto" w:sz="8" w:space="0"/>
                    <w:bottom w:val="single" w:color="auto" w:sz="8" w:space="0"/>
                    <w:right w:val="nil"/>
                  </w:tcBorders>
                  <w:vAlign w:val="center"/>
                </w:tcPr>
                <w:p w14:paraId="52B86EF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＞2.4×10</w:t>
                  </w:r>
                  <w:r>
                    <w:rPr>
                      <w:rFonts w:hint="default" w:ascii="Times New Roman" w:hAnsi="Times New Roman" w:eastAsia="宋体" w:cs="Times New Roman"/>
                      <w:color w:val="auto"/>
                      <w:kern w:val="0"/>
                      <w:sz w:val="21"/>
                      <w:szCs w:val="21"/>
                      <w:highlight w:val="none"/>
                      <w:u w:val="none"/>
                      <w:vertAlign w:val="superscript"/>
                      <w:lang w:val="en-US" w:eastAsia="zh-CN" w:bidi="ar"/>
                    </w:rPr>
                    <w:t>4</w:t>
                  </w:r>
                </w:p>
              </w:tc>
            </w:tr>
            <w:tr w14:paraId="39E1B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39" w:type="pct"/>
                  <w:vMerge w:val="continue"/>
                  <w:tcBorders>
                    <w:top w:val="single" w:color="auto" w:sz="8" w:space="0"/>
                    <w:left w:val="nil"/>
                    <w:bottom w:val="single" w:color="auto" w:sz="12" w:space="0"/>
                    <w:right w:val="single" w:color="auto" w:sz="8" w:space="0"/>
                  </w:tcBorders>
                  <w:shd w:val="clear" w:color="auto" w:fill="auto"/>
                  <w:vAlign w:val="center"/>
                </w:tcPr>
                <w:p w14:paraId="69A8EA7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p>
              </w:tc>
              <w:tc>
                <w:tcPr>
                  <w:tcW w:w="457" w:type="pct"/>
                  <w:vMerge w:val="continue"/>
                  <w:tcBorders>
                    <w:top w:val="single" w:color="auto" w:sz="8" w:space="0"/>
                    <w:left w:val="single" w:color="auto" w:sz="8" w:space="0"/>
                    <w:bottom w:val="single" w:color="auto" w:sz="12" w:space="0"/>
                    <w:right w:val="single" w:color="auto" w:sz="8" w:space="0"/>
                  </w:tcBorders>
                  <w:vAlign w:val="center"/>
                </w:tcPr>
                <w:p w14:paraId="11D06F51">
                  <w:pPr>
                    <w:jc w:val="center"/>
                    <w:rPr>
                      <w:rFonts w:hint="default" w:ascii="Times New Roman" w:hAnsi="Times New Roman" w:cs="Times New Roman"/>
                      <w:color w:val="auto"/>
                      <w:sz w:val="21"/>
                      <w:szCs w:val="21"/>
                      <w:highlight w:val="none"/>
                      <w:lang w:val="en-US" w:eastAsia="zh-CN"/>
                    </w:rPr>
                  </w:pPr>
                </w:p>
              </w:tc>
              <w:tc>
                <w:tcPr>
                  <w:tcW w:w="609" w:type="pct"/>
                  <w:tcBorders>
                    <w:top w:val="single" w:color="auto" w:sz="8" w:space="0"/>
                    <w:left w:val="single" w:color="auto" w:sz="8" w:space="0"/>
                    <w:bottom w:val="single" w:color="auto" w:sz="12" w:space="0"/>
                    <w:right w:val="single" w:color="auto" w:sz="8" w:space="0"/>
                  </w:tcBorders>
                  <w:vAlign w:val="center"/>
                </w:tcPr>
                <w:p w14:paraId="4E435A7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产生量（t/a）</w:t>
                  </w:r>
                </w:p>
              </w:tc>
              <w:tc>
                <w:tcPr>
                  <w:tcW w:w="418" w:type="pct"/>
                  <w:tcBorders>
                    <w:top w:val="single" w:color="auto" w:sz="8" w:space="0"/>
                    <w:left w:val="single" w:color="auto" w:sz="8" w:space="0"/>
                    <w:bottom w:val="single" w:color="auto" w:sz="12" w:space="0"/>
                    <w:right w:val="single" w:color="auto" w:sz="8" w:space="0"/>
                  </w:tcBorders>
                  <w:vAlign w:val="center"/>
                </w:tcPr>
                <w:p w14:paraId="21727BA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8.605</w:t>
                  </w:r>
                </w:p>
              </w:tc>
              <w:tc>
                <w:tcPr>
                  <w:tcW w:w="496" w:type="pct"/>
                  <w:tcBorders>
                    <w:top w:val="single" w:color="auto" w:sz="8" w:space="0"/>
                    <w:left w:val="single" w:color="auto" w:sz="8" w:space="0"/>
                    <w:bottom w:val="single" w:color="auto" w:sz="12" w:space="0"/>
                    <w:right w:val="single" w:color="auto" w:sz="8" w:space="0"/>
                  </w:tcBorders>
                  <w:vAlign w:val="center"/>
                </w:tcPr>
                <w:p w14:paraId="10EE4CE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w:t>
                  </w:r>
                  <w:r>
                    <w:rPr>
                      <w:rFonts w:hint="eastAsia" w:cs="Times New Roman"/>
                      <w:color w:val="auto"/>
                      <w:kern w:val="0"/>
                      <w:sz w:val="21"/>
                      <w:szCs w:val="21"/>
                      <w:highlight w:val="none"/>
                      <w:u w:val="none"/>
                      <w:lang w:val="en-US" w:eastAsia="zh-CN" w:bidi="ar"/>
                    </w:rPr>
                    <w:t>905</w:t>
                  </w:r>
                </w:p>
              </w:tc>
              <w:tc>
                <w:tcPr>
                  <w:tcW w:w="496" w:type="pct"/>
                  <w:tcBorders>
                    <w:top w:val="single" w:color="auto" w:sz="8" w:space="0"/>
                    <w:left w:val="single" w:color="auto" w:sz="8" w:space="0"/>
                    <w:bottom w:val="single" w:color="auto" w:sz="12" w:space="0"/>
                    <w:right w:val="single" w:color="auto" w:sz="8" w:space="0"/>
                  </w:tcBorders>
                  <w:vAlign w:val="center"/>
                </w:tcPr>
                <w:p w14:paraId="6D6FDB1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3.366</w:t>
                  </w:r>
                </w:p>
              </w:tc>
              <w:tc>
                <w:tcPr>
                  <w:tcW w:w="415" w:type="pct"/>
                  <w:tcBorders>
                    <w:top w:val="single" w:color="auto" w:sz="8" w:space="0"/>
                    <w:left w:val="single" w:color="auto" w:sz="8" w:space="0"/>
                    <w:bottom w:val="single" w:color="auto" w:sz="12" w:space="0"/>
                    <w:right w:val="single" w:color="auto" w:sz="8" w:space="0"/>
                  </w:tcBorders>
                  <w:vAlign w:val="center"/>
                </w:tcPr>
                <w:p w14:paraId="1BD416C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0.267</w:t>
                  </w:r>
                </w:p>
              </w:tc>
              <w:tc>
                <w:tcPr>
                  <w:tcW w:w="440" w:type="pct"/>
                  <w:tcBorders>
                    <w:top w:val="single" w:color="auto" w:sz="8" w:space="0"/>
                    <w:left w:val="single" w:color="auto" w:sz="8" w:space="0"/>
                    <w:bottom w:val="single" w:color="auto" w:sz="12" w:space="0"/>
                    <w:right w:val="single" w:color="auto" w:sz="8" w:space="0"/>
                  </w:tcBorders>
                  <w:vAlign w:val="center"/>
                </w:tcPr>
                <w:p w14:paraId="52C286A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0.672</w:t>
                  </w:r>
                </w:p>
              </w:tc>
              <w:tc>
                <w:tcPr>
                  <w:tcW w:w="400" w:type="pct"/>
                  <w:tcBorders>
                    <w:top w:val="single" w:color="auto" w:sz="8" w:space="0"/>
                    <w:left w:val="single" w:color="auto" w:sz="8" w:space="0"/>
                    <w:bottom w:val="single" w:color="auto" w:sz="12" w:space="0"/>
                    <w:right w:val="single" w:color="auto" w:sz="8" w:space="0"/>
                  </w:tcBorders>
                  <w:vAlign w:val="center"/>
                </w:tcPr>
                <w:p w14:paraId="7D9884B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0.091</w:t>
                  </w:r>
                </w:p>
              </w:tc>
              <w:tc>
                <w:tcPr>
                  <w:tcW w:w="426" w:type="pct"/>
                  <w:tcBorders>
                    <w:top w:val="single" w:color="auto" w:sz="8" w:space="0"/>
                    <w:left w:val="single" w:color="auto" w:sz="8" w:space="0"/>
                    <w:bottom w:val="single" w:color="auto" w:sz="12" w:space="0"/>
                    <w:right w:val="single" w:color="auto" w:sz="8" w:space="0"/>
                  </w:tcBorders>
                  <w:vAlign w:val="center"/>
                </w:tcPr>
                <w:p w14:paraId="633807F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0.465</w:t>
                  </w:r>
                </w:p>
              </w:tc>
              <w:tc>
                <w:tcPr>
                  <w:tcW w:w="597" w:type="pct"/>
                  <w:tcBorders>
                    <w:top w:val="single" w:color="auto" w:sz="8" w:space="0"/>
                    <w:left w:val="single" w:color="auto" w:sz="8" w:space="0"/>
                    <w:bottom w:val="single" w:color="auto" w:sz="12" w:space="0"/>
                    <w:right w:val="nil"/>
                  </w:tcBorders>
                  <w:vAlign w:val="center"/>
                </w:tcPr>
                <w:p w14:paraId="5CCFD57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r>
          </w:tbl>
          <w:p w14:paraId="09AE755E">
            <w:pPr>
              <w:spacing w:line="360" w:lineRule="auto"/>
              <w:ind w:firstLine="48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（二）</w:t>
            </w:r>
            <w:r>
              <w:rPr>
                <w:rFonts w:hint="default" w:ascii="Times New Roman" w:hAnsi="Times New Roman" w:eastAsia="宋体" w:cs="Times New Roman"/>
                <w:b/>
                <w:bCs/>
                <w:color w:val="auto"/>
                <w:highlight w:val="none"/>
                <w:lang w:val="en-US" w:eastAsia="zh-CN"/>
              </w:rPr>
              <w:t>污水处理措施</w:t>
            </w:r>
            <w:r>
              <w:rPr>
                <w:rFonts w:hint="eastAsia" w:ascii="Times New Roman" w:hAnsi="Times New Roman" w:eastAsia="宋体" w:cs="Times New Roman"/>
                <w:b/>
                <w:bCs/>
                <w:color w:val="auto"/>
                <w:highlight w:val="none"/>
                <w:lang w:val="en-US" w:eastAsia="zh-CN"/>
              </w:rPr>
              <w:t>可行性</w:t>
            </w:r>
            <w:r>
              <w:rPr>
                <w:rFonts w:hint="default" w:ascii="Times New Roman" w:hAnsi="Times New Roman" w:eastAsia="宋体" w:cs="Times New Roman"/>
                <w:b/>
                <w:bCs/>
                <w:color w:val="auto"/>
                <w:highlight w:val="none"/>
                <w:lang w:val="en-US" w:eastAsia="zh-CN"/>
              </w:rPr>
              <w:t>分析</w:t>
            </w:r>
          </w:p>
          <w:p w14:paraId="0B938DB8">
            <w:pPr>
              <w:spacing w:line="360" w:lineRule="auto"/>
              <w:ind w:firstLine="482" w:firstLineChars="200"/>
              <w:rPr>
                <w:rFonts w:hint="default"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lang w:val="en-US" w:eastAsia="zh-CN"/>
              </w:rPr>
              <w:t xml:space="preserve">1）污水处理站处理工艺 </w:t>
            </w:r>
          </w:p>
          <w:p w14:paraId="11F72F84">
            <w:pPr>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项目在厂区建设污水处理站</w:t>
            </w: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座，设计规模15</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/d</w:t>
            </w:r>
            <w:r>
              <w:rPr>
                <w:rFonts w:hint="eastAsia" w:ascii="Times New Roman" w:hAnsi="Times New Roman" w:eastAsia="宋体" w:cs="Times New Roman"/>
                <w:color w:val="auto"/>
                <w:highlight w:val="none"/>
                <w:lang w:val="en-US" w:eastAsia="zh-CN"/>
              </w:rPr>
              <w:t>，用于生产废水、生活污水的处理，根据《屠宰与肉类加工废水治理工程技术规范》（</w:t>
            </w:r>
            <w:r>
              <w:rPr>
                <w:rFonts w:hint="default" w:ascii="Times New Roman" w:hAnsi="Times New Roman" w:eastAsia="宋体" w:cs="Times New Roman"/>
                <w:color w:val="auto"/>
                <w:highlight w:val="none"/>
                <w:lang w:val="en-US" w:eastAsia="zh-CN"/>
              </w:rPr>
              <w:t>HJ2004-2010</w:t>
            </w:r>
            <w:r>
              <w:rPr>
                <w:rFonts w:hint="eastAsia" w:ascii="Times New Roman" w:hAnsi="Times New Roman" w:eastAsia="宋体" w:cs="Times New Roman"/>
                <w:color w:val="auto"/>
                <w:highlight w:val="none"/>
                <w:lang w:val="en-US" w:eastAsia="zh-CN"/>
              </w:rPr>
              <w:t>），屠宰与肉类加工废水处理工艺应采用生化法为主、物化处理为辅的组合处理工艺，同时参考《屠宰及肉类加工业污染防治可行技术指南》（</w:t>
            </w:r>
            <w:r>
              <w:rPr>
                <w:rFonts w:hint="default" w:ascii="Times New Roman" w:hAnsi="Times New Roman" w:eastAsia="宋体" w:cs="Times New Roman"/>
                <w:color w:val="auto"/>
                <w:highlight w:val="none"/>
                <w:lang w:val="en-US" w:eastAsia="zh-CN"/>
              </w:rPr>
              <w:t>HJ1285-2023</w:t>
            </w:r>
            <w:r>
              <w:rPr>
                <w:rFonts w:hint="eastAsia" w:ascii="Times New Roman" w:hAnsi="Times New Roman" w:eastAsia="宋体" w:cs="Times New Roman"/>
                <w:color w:val="auto"/>
                <w:highlight w:val="none"/>
                <w:lang w:val="en-US" w:eastAsia="zh-CN"/>
              </w:rPr>
              <w:t>）中表</w:t>
            </w: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屠宰废水可行技术，本项目污水处理站采用</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格栅</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隔油沉淀</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调节池</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一体化污水处理设施（厌氧+好氧+沉淀+消毒）</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工艺处理后达标排放，满足规范要求。</w:t>
            </w:r>
          </w:p>
          <w:p w14:paraId="0AF1F5B1">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object>
                <v:shape id="_x0000_i1033" o:spt="75" type="#_x0000_t75" style="height:168.1pt;width:386.45pt;" o:ole="t" filled="f" o:preferrelative="t" stroked="f" coordsize="21600,21600">
                  <v:path/>
                  <v:fill on="f" focussize="0,0"/>
                  <v:stroke on="f"/>
                  <v:imagedata r:id="rId38" o:title=""/>
                  <o:lock v:ext="edit" aspectratio="f"/>
                  <w10:wrap type="none"/>
                  <w10:anchorlock/>
                </v:shape>
                <o:OLEObject Type="Embed" ProgID="Visio.Drawing.11" ShapeID="_x0000_i1033" DrawAspect="Content" ObjectID="_1468075732" r:id="rId37">
                  <o:LockedField>false</o:LockedField>
                </o:OLEObject>
              </w:object>
            </w:r>
          </w:p>
          <w:p w14:paraId="643DCD49">
            <w:pPr>
              <w:numPr>
                <w:ilvl w:val="0"/>
                <w:numId w:val="21"/>
              </w:numPr>
              <w:spacing w:line="360" w:lineRule="auto"/>
              <w:ind w:left="425" w:leftChars="0" w:hanging="425" w:firstLineChars="0"/>
              <w:jc w:val="center"/>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本项目污水处理站工艺流程图</w:t>
            </w:r>
          </w:p>
          <w:p w14:paraId="0DA38F84">
            <w:pPr>
              <w:spacing w:line="360" w:lineRule="auto"/>
              <w:ind w:firstLine="48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工艺流程说明</w:t>
            </w:r>
          </w:p>
          <w:p w14:paraId="74D3E577">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、屠宰车间生产污水进入集水隔渣池后，经格栅机除去大部分粗颗粒物质，分离的杂质与剩余污泥一并外运处理。</w:t>
            </w:r>
          </w:p>
          <w:p w14:paraId="1D7E2317">
            <w:pPr>
              <w:spacing w:line="360" w:lineRule="auto"/>
              <w:ind w:firstLine="480" w:firstLineChars="2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、格栅分离的污水通过重力流流入隔油沉渣池，经隔油沉渣池隔离沉淀等措施去除大部分油脂、猪毛等杂质后再进入调节应急处理池。</w:t>
            </w:r>
          </w:p>
          <w:p w14:paraId="6382794C">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、隔油沉渣池的污水通过重力流流入进入调节池进行水质、水量调节。</w:t>
            </w:r>
          </w:p>
          <w:p w14:paraId="63644DA9">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eastAsia" w:ascii="Times New Roman" w:hAnsi="Times New Roman" w:eastAsia="宋体" w:cs="Times New Roman"/>
                <w:color w:val="auto"/>
                <w:highlight w:val="none"/>
                <w:lang w:val="en-US" w:eastAsia="zh-CN"/>
              </w:rPr>
              <w:t>、调节池设置提升泵</w:t>
            </w: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台（含控制箱）。调节池内污水提升泵将污水提升至一体化</w:t>
            </w:r>
            <w:r>
              <w:rPr>
                <w:rFonts w:hint="eastAsia" w:cs="Times New Roman"/>
                <w:color w:val="auto"/>
                <w:highlight w:val="none"/>
                <w:lang w:val="en-US" w:eastAsia="zh-CN"/>
              </w:rPr>
              <w:t>污水处理</w:t>
            </w:r>
            <w:r>
              <w:rPr>
                <w:rFonts w:hint="eastAsia" w:ascii="Times New Roman" w:hAnsi="Times New Roman" w:eastAsia="宋体" w:cs="Times New Roman"/>
                <w:color w:val="auto"/>
                <w:highlight w:val="none"/>
                <w:lang w:val="en-US" w:eastAsia="zh-CN"/>
              </w:rPr>
              <w:t>设施内，进行生化处理。</w:t>
            </w:r>
          </w:p>
          <w:p w14:paraId="49AC5231">
            <w:pPr>
              <w:spacing w:line="360" w:lineRule="auto"/>
              <w:ind w:firstLine="480" w:firstLineChars="2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sz w:val="24"/>
                <w:szCs w:val="24"/>
                <w:highlight w:val="none"/>
                <w:lang w:val="en-US" w:eastAsia="zh-CN" w:bidi="ar"/>
              </w:rPr>
              <w:t>5</w:t>
            </w:r>
            <w:r>
              <w:rPr>
                <w:rFonts w:hint="eastAsia" w:ascii="Times New Roman" w:hAnsi="Times New Roman" w:eastAsia="宋体" w:cs="Times New Roman"/>
                <w:color w:val="auto"/>
                <w:highlight w:val="none"/>
                <w:lang w:val="en-US" w:eastAsia="zh-CN"/>
              </w:rPr>
              <w:t>、一体化污水处理设施采用厌氧+好氧+沉淀+消毒工艺，即活性污泥法。</w:t>
            </w:r>
          </w:p>
          <w:p w14:paraId="21F2E94B">
            <w:pPr>
              <w:tabs>
                <w:tab w:val="left" w:pos="2580"/>
                <w:tab w:val="left" w:pos="7560"/>
              </w:tabs>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厌氧池：在厌氧池无氧条件下，高分子有机物经过厌氧降解四个阶段，即水解阶段、发酵</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或酸化</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阶段、产乙酸阶段和产甲烷阶段，经厌氧微生物分解，大量的有机物转化成小分子有机物及CO</w:t>
            </w:r>
            <w:r>
              <w:rPr>
                <w:rFonts w:hint="default" w:ascii="Times New Roman" w:hAnsi="Times New Roman" w:eastAsia="宋体" w:cs="Times New Roman"/>
                <w:color w:val="auto"/>
                <w:highlight w:val="none"/>
                <w:vertAlign w:val="subscript"/>
                <w:lang w:val="en-US" w:eastAsia="zh-CN"/>
              </w:rPr>
              <w:t>2</w:t>
            </w:r>
            <w:r>
              <w:rPr>
                <w:rFonts w:hint="default" w:ascii="Times New Roman" w:hAnsi="Times New Roman" w:eastAsia="宋体" w:cs="Times New Roman"/>
                <w:color w:val="auto"/>
                <w:highlight w:val="none"/>
                <w:lang w:val="en-US" w:eastAsia="zh-CN"/>
              </w:rPr>
              <w:t>、H</w:t>
            </w:r>
            <w:r>
              <w:rPr>
                <w:rFonts w:hint="default" w:ascii="Times New Roman" w:hAnsi="Times New Roman" w:eastAsia="宋体" w:cs="Times New Roman"/>
                <w:color w:val="auto"/>
                <w:highlight w:val="none"/>
                <w:vertAlign w:val="subscript"/>
                <w:lang w:val="en-US" w:eastAsia="zh-CN"/>
              </w:rPr>
              <w:t>2</w:t>
            </w:r>
            <w:r>
              <w:rPr>
                <w:rFonts w:hint="default" w:ascii="Times New Roman" w:hAnsi="Times New Roman" w:eastAsia="宋体" w:cs="Times New Roman"/>
                <w:color w:val="auto"/>
                <w:highlight w:val="none"/>
                <w:lang w:val="en-US" w:eastAsia="zh-CN"/>
              </w:rPr>
              <w:t>O等无害物质，废水经过初步净化。</w:t>
            </w:r>
          </w:p>
          <w:p w14:paraId="285588F6">
            <w:pPr>
              <w:tabs>
                <w:tab w:val="left" w:pos="2580"/>
                <w:tab w:val="left" w:pos="7560"/>
              </w:tabs>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好氧池：废水经过前面</w:t>
            </w:r>
            <w:r>
              <w:rPr>
                <w:rFonts w:hint="eastAsia" w:ascii="Times New Roman" w:hAnsi="Times New Roman" w:eastAsia="宋体" w:cs="Times New Roman"/>
                <w:color w:val="auto"/>
                <w:highlight w:val="none"/>
                <w:lang w:val="en-US" w:eastAsia="zh-CN"/>
              </w:rPr>
              <w:t>厌氧处理后进入</w:t>
            </w:r>
            <w:r>
              <w:rPr>
                <w:rFonts w:hint="default" w:ascii="Times New Roman" w:hAnsi="Times New Roman" w:eastAsia="宋体" w:cs="Times New Roman"/>
                <w:color w:val="auto"/>
                <w:highlight w:val="none"/>
                <w:lang w:val="en-US" w:eastAsia="zh-CN"/>
              </w:rPr>
              <w:t>好氧池，在充足的溶解氧条件下，好氧微生物利用废水中的小颗粒有机物进行自身增殖，同时分解掉有机物、氨氮等物质，并吸收大量磷酸盐降低废水中总磷含量。</w:t>
            </w:r>
          </w:p>
          <w:p w14:paraId="74DC4CA4">
            <w:pPr>
              <w:tabs>
                <w:tab w:val="left" w:pos="2580"/>
                <w:tab w:val="left" w:pos="7560"/>
              </w:tabs>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highlight w:val="none"/>
                <w:lang w:val="en-US" w:eastAsia="zh-CN"/>
              </w:rPr>
              <w:t>絮凝沉淀</w:t>
            </w:r>
            <w:r>
              <w:rPr>
                <w:rFonts w:hint="default" w:ascii="Times New Roman" w:hAnsi="Times New Roman" w:eastAsia="宋体" w:cs="Times New Roman"/>
                <w:color w:val="auto"/>
                <w:highlight w:val="none"/>
                <w:lang w:val="en-US" w:eastAsia="zh-CN"/>
              </w:rPr>
              <w:t>池：好氧池出水经过</w:t>
            </w:r>
            <w:r>
              <w:rPr>
                <w:rFonts w:hint="eastAsia" w:ascii="Times New Roman" w:hAnsi="Times New Roman" w:eastAsia="宋体" w:cs="Times New Roman"/>
                <w:color w:val="auto"/>
                <w:highlight w:val="none"/>
                <w:lang w:val="en-US" w:eastAsia="zh-CN"/>
              </w:rPr>
              <w:t>沉淀池</w:t>
            </w:r>
            <w:r>
              <w:rPr>
                <w:rFonts w:hint="default" w:ascii="Times New Roman" w:hAnsi="Times New Roman" w:eastAsia="宋体" w:cs="Times New Roman"/>
                <w:color w:val="auto"/>
                <w:highlight w:val="none"/>
                <w:lang w:val="en-US" w:eastAsia="zh-CN"/>
              </w:rPr>
              <w:t>进行泥水分离作用，</w:t>
            </w:r>
            <w:r>
              <w:rPr>
                <w:rFonts w:hint="default" w:ascii="Times New Roman" w:hAnsi="Times New Roman" w:eastAsia="宋体" w:cs="Times New Roman"/>
                <w:color w:val="auto"/>
                <w:kern w:val="2"/>
                <w:sz w:val="24"/>
                <w:szCs w:val="24"/>
                <w:highlight w:val="none"/>
                <w:lang w:val="en-US" w:eastAsia="zh-CN" w:bidi="ar-SA"/>
              </w:rPr>
              <w:t>在</w:t>
            </w:r>
            <w:r>
              <w:rPr>
                <w:rFonts w:hint="eastAsia" w:ascii="Times New Roman" w:hAnsi="Times New Roman" w:eastAsia="宋体" w:cs="Times New Roman"/>
                <w:color w:val="auto"/>
                <w:kern w:val="2"/>
                <w:sz w:val="24"/>
                <w:szCs w:val="24"/>
                <w:highlight w:val="none"/>
                <w:lang w:val="en-US" w:eastAsia="zh-CN" w:bidi="ar-SA"/>
              </w:rPr>
              <w:t>沉淀</w:t>
            </w:r>
            <w:r>
              <w:rPr>
                <w:rFonts w:hint="default" w:ascii="Times New Roman" w:hAnsi="Times New Roman" w:eastAsia="宋体" w:cs="Times New Roman"/>
                <w:color w:val="auto"/>
                <w:kern w:val="2"/>
                <w:sz w:val="24"/>
                <w:szCs w:val="24"/>
                <w:highlight w:val="none"/>
                <w:lang w:val="en-US" w:eastAsia="zh-CN" w:bidi="ar-SA"/>
              </w:rPr>
              <w:t>池投加混凝剂，使沉淀物得到有效沉淀去除，完成脱色的反应。</w:t>
            </w:r>
          </w:p>
          <w:p w14:paraId="4AFD9A5D">
            <w:pPr>
              <w:spacing w:line="360" w:lineRule="auto"/>
              <w:ind w:firstLine="480" w:firstLineChars="200"/>
              <w:rPr>
                <w:rFonts w:hint="eastAsia"/>
                <w:color w:val="auto"/>
                <w:sz w:val="24"/>
                <w:highlight w:val="none"/>
              </w:rPr>
            </w:pPr>
            <w:r>
              <w:rPr>
                <w:rFonts w:hint="default" w:ascii="Times New Roman" w:hAnsi="Times New Roman" w:eastAsia="宋体" w:cs="Times New Roman"/>
                <w:color w:val="auto"/>
                <w:kern w:val="2"/>
                <w:sz w:val="24"/>
                <w:szCs w:val="24"/>
                <w:highlight w:val="none"/>
                <w:lang w:val="en-US" w:eastAsia="zh-CN" w:bidi="ar-SA"/>
              </w:rPr>
              <w:t>消毒池</w:t>
            </w:r>
            <w:r>
              <w:rPr>
                <w:rFonts w:hint="eastAsia" w:ascii="Times New Roman" w:hAnsi="Times New Roman" w:eastAsia="宋体" w:cs="Times New Roman"/>
                <w:color w:val="auto"/>
                <w:kern w:val="2"/>
                <w:sz w:val="24"/>
                <w:szCs w:val="24"/>
                <w:highlight w:val="none"/>
                <w:lang w:val="en-US" w:eastAsia="zh-CN" w:bidi="ar-SA"/>
              </w:rPr>
              <w:t>：屠宰</w:t>
            </w:r>
            <w:r>
              <w:rPr>
                <w:rFonts w:hint="default" w:ascii="Times New Roman" w:hAnsi="Times New Roman" w:eastAsia="宋体" w:cs="Times New Roman"/>
                <w:color w:val="auto"/>
                <w:kern w:val="2"/>
                <w:sz w:val="24"/>
                <w:szCs w:val="24"/>
                <w:highlight w:val="none"/>
                <w:lang w:val="en-US" w:eastAsia="zh-CN" w:bidi="ar-SA"/>
              </w:rPr>
              <w:t>废水中含有许多细菌、微生物等，在经过前段的生化处理后，微生物指标可能达不到排放要求，因此，必须在末端消毒池中投加</w:t>
            </w:r>
            <w:r>
              <w:rPr>
                <w:rFonts w:hint="eastAsia" w:ascii="Times New Roman" w:hAnsi="Times New Roman" w:eastAsia="宋体" w:cs="Times New Roman"/>
                <w:color w:val="auto"/>
                <w:kern w:val="2"/>
                <w:sz w:val="24"/>
                <w:szCs w:val="24"/>
                <w:highlight w:val="none"/>
                <w:lang w:val="en-US" w:eastAsia="zh-CN" w:bidi="ar-SA"/>
              </w:rPr>
              <w:t>次氯酸钠</w:t>
            </w:r>
            <w:r>
              <w:rPr>
                <w:rFonts w:hint="default" w:ascii="Times New Roman" w:hAnsi="Times New Roman" w:eastAsia="宋体" w:cs="Times New Roman"/>
                <w:color w:val="auto"/>
                <w:kern w:val="2"/>
                <w:sz w:val="24"/>
                <w:szCs w:val="24"/>
                <w:highlight w:val="none"/>
                <w:lang w:val="en-US" w:eastAsia="zh-CN" w:bidi="ar-SA"/>
              </w:rPr>
              <w:t>进行消毒，去除水中的大肠菌群等病菌，同时进一步氧化废水中有机污染物，更稳妥保障污水达标排放。</w:t>
            </w:r>
          </w:p>
          <w:p w14:paraId="561F41B7">
            <w:pPr>
              <w:numPr>
                <w:ilvl w:val="0"/>
                <w:numId w:val="22"/>
              </w:numPr>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设置污泥浓缩池一座，污水处理站的污泥排入污泥浓缩池。</w:t>
            </w:r>
          </w:p>
          <w:p w14:paraId="38E53D07">
            <w:pPr>
              <w:spacing w:line="360" w:lineRule="auto"/>
              <w:ind w:firstLine="476" w:firstLineChars="200"/>
              <w:rPr>
                <w:rFonts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根据本项目污水处理站设计，各处理单元处理效率及出水指标如下表：</w:t>
            </w:r>
          </w:p>
          <w:p w14:paraId="63BA63B1">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本项目污水站各单元处理效率及出水指标表</w:t>
            </w:r>
          </w:p>
          <w:tbl>
            <w:tblPr>
              <w:tblStyle w:val="33"/>
              <w:tblW w:w="49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30"/>
              <w:gridCol w:w="817"/>
              <w:gridCol w:w="759"/>
              <w:gridCol w:w="922"/>
              <w:gridCol w:w="789"/>
              <w:gridCol w:w="743"/>
              <w:gridCol w:w="847"/>
              <w:gridCol w:w="774"/>
              <w:gridCol w:w="1248"/>
            </w:tblGrid>
            <w:tr w14:paraId="2B839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pct"/>
                  <w:tcBorders>
                    <w:top w:val="single" w:color="auto" w:sz="12" w:space="0"/>
                    <w:left w:val="single" w:color="auto" w:sz="8" w:space="0"/>
                    <w:bottom w:val="single" w:color="auto" w:sz="8" w:space="0"/>
                    <w:right w:val="single" w:color="auto" w:sz="8" w:space="0"/>
                  </w:tcBorders>
                  <w:vAlign w:val="center"/>
                </w:tcPr>
                <w:p w14:paraId="1BAD960F">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工艺阶段</w:t>
                  </w:r>
                </w:p>
              </w:tc>
              <w:tc>
                <w:tcPr>
                  <w:tcW w:w="436" w:type="pct"/>
                  <w:tcBorders>
                    <w:top w:val="single" w:color="auto" w:sz="12" w:space="0"/>
                    <w:left w:val="single" w:color="auto" w:sz="8" w:space="0"/>
                    <w:bottom w:val="single" w:color="auto" w:sz="8" w:space="0"/>
                    <w:right w:val="single" w:color="auto" w:sz="8" w:space="0"/>
                  </w:tcBorders>
                  <w:vAlign w:val="center"/>
                </w:tcPr>
                <w:p w14:paraId="789C8F8D">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项目</w:t>
                  </w:r>
                </w:p>
              </w:tc>
              <w:tc>
                <w:tcPr>
                  <w:tcW w:w="489" w:type="pct"/>
                  <w:tcBorders>
                    <w:top w:val="single" w:color="auto" w:sz="12" w:space="0"/>
                    <w:left w:val="single" w:color="auto" w:sz="8" w:space="0"/>
                    <w:bottom w:val="single" w:color="auto" w:sz="8" w:space="0"/>
                    <w:right w:val="single" w:color="auto" w:sz="8" w:space="0"/>
                  </w:tcBorders>
                  <w:vAlign w:val="center"/>
                </w:tcPr>
                <w:p w14:paraId="6937BD90">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COD</w:t>
                  </w:r>
                </w:p>
              </w:tc>
              <w:tc>
                <w:tcPr>
                  <w:tcW w:w="454" w:type="pct"/>
                  <w:tcBorders>
                    <w:top w:val="single" w:color="auto" w:sz="12" w:space="0"/>
                    <w:left w:val="single" w:color="auto" w:sz="8" w:space="0"/>
                    <w:bottom w:val="single" w:color="auto" w:sz="8" w:space="0"/>
                    <w:right w:val="single" w:color="auto" w:sz="8" w:space="0"/>
                  </w:tcBorders>
                  <w:vAlign w:val="center"/>
                </w:tcPr>
                <w:p w14:paraId="3B0F9575">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BOD</w:t>
                  </w:r>
                  <w:r>
                    <w:rPr>
                      <w:rFonts w:hint="default" w:ascii="Times New Roman" w:hAnsi="Times New Roman" w:eastAsia="宋体" w:cs="Times New Roman"/>
                      <w:b/>
                      <w:bCs/>
                      <w:color w:val="auto"/>
                      <w:kern w:val="0"/>
                      <w:sz w:val="18"/>
                      <w:szCs w:val="18"/>
                      <w:highlight w:val="none"/>
                      <w:u w:val="none"/>
                      <w:vertAlign w:val="subscript"/>
                      <w:lang w:val="en-US" w:eastAsia="zh-CN" w:bidi="ar"/>
                    </w:rPr>
                    <w:t>5</w:t>
                  </w:r>
                </w:p>
              </w:tc>
              <w:tc>
                <w:tcPr>
                  <w:tcW w:w="552" w:type="pct"/>
                  <w:tcBorders>
                    <w:top w:val="single" w:color="auto" w:sz="12" w:space="0"/>
                    <w:left w:val="single" w:color="auto" w:sz="8" w:space="0"/>
                    <w:bottom w:val="single" w:color="auto" w:sz="8" w:space="0"/>
                    <w:right w:val="single" w:color="auto" w:sz="8" w:space="0"/>
                  </w:tcBorders>
                  <w:vAlign w:val="center"/>
                </w:tcPr>
                <w:p w14:paraId="090EFF81">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SS</w:t>
                  </w:r>
                </w:p>
              </w:tc>
              <w:tc>
                <w:tcPr>
                  <w:tcW w:w="472" w:type="pct"/>
                  <w:tcBorders>
                    <w:top w:val="single" w:color="auto" w:sz="12" w:space="0"/>
                    <w:left w:val="single" w:color="auto" w:sz="8" w:space="0"/>
                    <w:bottom w:val="single" w:color="auto" w:sz="8" w:space="0"/>
                    <w:right w:val="single" w:color="auto" w:sz="8" w:space="0"/>
                  </w:tcBorders>
                  <w:vAlign w:val="center"/>
                </w:tcPr>
                <w:p w14:paraId="64E73778">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NH3-N</w:t>
                  </w:r>
                </w:p>
              </w:tc>
              <w:tc>
                <w:tcPr>
                  <w:tcW w:w="445" w:type="pct"/>
                  <w:tcBorders>
                    <w:top w:val="single" w:color="auto" w:sz="12" w:space="0"/>
                    <w:left w:val="single" w:color="auto" w:sz="8" w:space="0"/>
                    <w:bottom w:val="single" w:color="auto" w:sz="8" w:space="0"/>
                    <w:right w:val="single" w:color="auto" w:sz="8" w:space="0"/>
                  </w:tcBorders>
                  <w:vAlign w:val="center"/>
                </w:tcPr>
                <w:p w14:paraId="5FE7BBAC">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TN</w:t>
                  </w:r>
                </w:p>
              </w:tc>
              <w:tc>
                <w:tcPr>
                  <w:tcW w:w="507" w:type="pct"/>
                  <w:tcBorders>
                    <w:top w:val="single" w:color="auto" w:sz="12" w:space="0"/>
                    <w:left w:val="single" w:color="auto" w:sz="8" w:space="0"/>
                    <w:bottom w:val="single" w:color="auto" w:sz="8" w:space="0"/>
                    <w:right w:val="single" w:color="auto" w:sz="8" w:space="0"/>
                  </w:tcBorders>
                  <w:vAlign w:val="center"/>
                </w:tcPr>
                <w:p w14:paraId="7E5388CD">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TP</w:t>
                  </w:r>
                </w:p>
              </w:tc>
              <w:tc>
                <w:tcPr>
                  <w:tcW w:w="463" w:type="pct"/>
                  <w:tcBorders>
                    <w:top w:val="single" w:color="auto" w:sz="12" w:space="0"/>
                    <w:left w:val="single" w:color="auto" w:sz="8" w:space="0"/>
                    <w:bottom w:val="single" w:color="auto" w:sz="8" w:space="0"/>
                    <w:right w:val="nil"/>
                  </w:tcBorders>
                  <w:vAlign w:val="center"/>
                </w:tcPr>
                <w:p w14:paraId="73DFA11C">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动植物油</w:t>
                  </w:r>
                </w:p>
              </w:tc>
              <w:tc>
                <w:tcPr>
                  <w:tcW w:w="746" w:type="pct"/>
                  <w:tcBorders>
                    <w:top w:val="single" w:color="auto" w:sz="12" w:space="0"/>
                    <w:left w:val="single" w:color="auto" w:sz="8" w:space="0"/>
                    <w:bottom w:val="single" w:color="auto" w:sz="8" w:space="0"/>
                    <w:right w:val="nil"/>
                  </w:tcBorders>
                  <w:vAlign w:val="center"/>
                </w:tcPr>
                <w:p w14:paraId="48A4255A">
                  <w:pPr>
                    <w:keepNext w:val="0"/>
                    <w:keepLines w:val="0"/>
                    <w:widowControl/>
                    <w:suppressLineNumbers w:val="0"/>
                    <w:jc w:val="center"/>
                    <w:textAlignment w:val="center"/>
                    <w:rPr>
                      <w:rFonts w:hint="default" w:ascii="Times New Roman" w:hAnsi="Times New Roman" w:eastAsia="宋体" w:cs="Times New Roman"/>
                      <w:b/>
                      <w:bCs/>
                      <w:color w:val="auto"/>
                      <w:kern w:val="0"/>
                      <w:sz w:val="18"/>
                      <w:szCs w:val="18"/>
                      <w:highlight w:val="none"/>
                      <w:u w:val="none"/>
                      <w:lang w:val="en-US" w:eastAsia="zh-CN" w:bidi="ar"/>
                    </w:rPr>
                  </w:pPr>
                  <w:r>
                    <w:rPr>
                      <w:rFonts w:hint="default" w:ascii="Times New Roman" w:hAnsi="Times New Roman" w:eastAsia="宋体" w:cs="Times New Roman"/>
                      <w:b/>
                      <w:bCs/>
                      <w:color w:val="auto"/>
                      <w:kern w:val="0"/>
                      <w:sz w:val="18"/>
                      <w:szCs w:val="18"/>
                      <w:highlight w:val="none"/>
                      <w:u w:val="none"/>
                      <w:lang w:val="en-US" w:eastAsia="zh-CN" w:bidi="ar"/>
                    </w:rPr>
                    <w:t>大肠菌群数（MPN/L）</w:t>
                  </w:r>
                </w:p>
              </w:tc>
            </w:tr>
            <w:tr w14:paraId="237F1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431" w:type="pct"/>
                  <w:vMerge w:val="restart"/>
                  <w:tcBorders>
                    <w:top w:val="single" w:color="auto" w:sz="8" w:space="0"/>
                    <w:left w:val="nil"/>
                    <w:right w:val="single" w:color="auto" w:sz="8" w:space="0"/>
                  </w:tcBorders>
                  <w:vAlign w:val="center"/>
                </w:tcPr>
                <w:p w14:paraId="0291B3C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粗细格栅</w:t>
                  </w:r>
                </w:p>
              </w:tc>
              <w:tc>
                <w:tcPr>
                  <w:tcW w:w="436" w:type="pct"/>
                  <w:tcBorders>
                    <w:top w:val="single" w:color="auto" w:sz="8" w:space="0"/>
                    <w:left w:val="single" w:color="auto" w:sz="8" w:space="0"/>
                    <w:bottom w:val="single" w:color="auto" w:sz="4" w:space="0"/>
                    <w:right w:val="single" w:color="auto" w:sz="8" w:space="0"/>
                  </w:tcBorders>
                  <w:vAlign w:val="center"/>
                </w:tcPr>
                <w:p w14:paraId="29D71E6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8" w:space="0"/>
                    <w:left w:val="single" w:color="auto" w:sz="8" w:space="0"/>
                    <w:bottom w:val="single" w:color="auto" w:sz="4" w:space="0"/>
                    <w:right w:val="single" w:color="auto" w:sz="8" w:space="0"/>
                  </w:tcBorders>
                  <w:vAlign w:val="center"/>
                </w:tcPr>
                <w:p w14:paraId="4A06B4E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2070.57</w:t>
                  </w:r>
                </w:p>
              </w:tc>
              <w:tc>
                <w:tcPr>
                  <w:tcW w:w="454" w:type="pct"/>
                  <w:tcBorders>
                    <w:top w:val="single" w:color="auto" w:sz="8" w:space="0"/>
                    <w:left w:val="single" w:color="auto" w:sz="8" w:space="0"/>
                    <w:bottom w:val="single" w:color="auto" w:sz="4" w:space="0"/>
                    <w:right w:val="single" w:color="auto" w:sz="8" w:space="0"/>
                  </w:tcBorders>
                  <w:vAlign w:val="center"/>
                </w:tcPr>
                <w:p w14:paraId="0106BA4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939.75</w:t>
                  </w:r>
                </w:p>
              </w:tc>
              <w:tc>
                <w:tcPr>
                  <w:tcW w:w="552" w:type="pct"/>
                  <w:tcBorders>
                    <w:top w:val="single" w:color="auto" w:sz="8" w:space="0"/>
                    <w:left w:val="single" w:color="auto" w:sz="8" w:space="0"/>
                    <w:bottom w:val="single" w:color="auto" w:sz="4" w:space="0"/>
                    <w:right w:val="single" w:color="auto" w:sz="8" w:space="0"/>
                  </w:tcBorders>
                  <w:vAlign w:val="center"/>
                </w:tcPr>
                <w:p w14:paraId="009B519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810.01</w:t>
                  </w:r>
                </w:p>
              </w:tc>
              <w:tc>
                <w:tcPr>
                  <w:tcW w:w="472" w:type="pct"/>
                  <w:tcBorders>
                    <w:top w:val="single" w:color="auto" w:sz="8" w:space="0"/>
                    <w:left w:val="single" w:color="auto" w:sz="8" w:space="0"/>
                    <w:bottom w:val="single" w:color="auto" w:sz="4" w:space="0"/>
                    <w:right w:val="single" w:color="auto" w:sz="8" w:space="0"/>
                  </w:tcBorders>
                  <w:vAlign w:val="center"/>
                </w:tcPr>
                <w:p w14:paraId="58FD502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64.27</w:t>
                  </w:r>
                </w:p>
              </w:tc>
              <w:tc>
                <w:tcPr>
                  <w:tcW w:w="445" w:type="pct"/>
                  <w:tcBorders>
                    <w:top w:val="single" w:color="auto" w:sz="8" w:space="0"/>
                    <w:left w:val="single" w:color="auto" w:sz="8" w:space="0"/>
                    <w:bottom w:val="single" w:color="auto" w:sz="4" w:space="0"/>
                    <w:right w:val="single" w:color="auto" w:sz="8" w:space="0"/>
                  </w:tcBorders>
                  <w:vAlign w:val="center"/>
                </w:tcPr>
                <w:p w14:paraId="4CA58FB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161.67</w:t>
                  </w:r>
                </w:p>
              </w:tc>
              <w:tc>
                <w:tcPr>
                  <w:tcW w:w="507" w:type="pct"/>
                  <w:tcBorders>
                    <w:top w:val="single" w:color="auto" w:sz="8" w:space="0"/>
                    <w:left w:val="single" w:color="auto" w:sz="8" w:space="0"/>
                    <w:bottom w:val="single" w:color="auto" w:sz="4" w:space="0"/>
                    <w:right w:val="single" w:color="auto" w:sz="8" w:space="0"/>
                  </w:tcBorders>
                  <w:vAlign w:val="center"/>
                </w:tcPr>
                <w:p w14:paraId="074A7C1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21.97</w:t>
                  </w:r>
                </w:p>
              </w:tc>
              <w:tc>
                <w:tcPr>
                  <w:tcW w:w="463" w:type="pct"/>
                  <w:tcBorders>
                    <w:top w:val="single" w:color="auto" w:sz="8" w:space="0"/>
                    <w:left w:val="single" w:color="auto" w:sz="8" w:space="0"/>
                    <w:bottom w:val="single" w:color="auto" w:sz="4" w:space="0"/>
                    <w:right w:val="nil"/>
                  </w:tcBorders>
                  <w:vAlign w:val="center"/>
                </w:tcPr>
                <w:p w14:paraId="0B4CB8BC">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111.98</w:t>
                  </w:r>
                </w:p>
              </w:tc>
              <w:tc>
                <w:tcPr>
                  <w:tcW w:w="746" w:type="pct"/>
                  <w:tcBorders>
                    <w:top w:val="single" w:color="auto" w:sz="8" w:space="0"/>
                    <w:left w:val="single" w:color="auto" w:sz="8" w:space="0"/>
                    <w:bottom w:val="single" w:color="auto" w:sz="4" w:space="0"/>
                    <w:right w:val="nil"/>
                  </w:tcBorders>
                  <w:vAlign w:val="center"/>
                </w:tcPr>
                <w:p w14:paraId="196616C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09ADB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431" w:type="pct"/>
                  <w:vMerge w:val="continue"/>
                  <w:tcBorders>
                    <w:left w:val="nil"/>
                    <w:bottom w:val="single" w:color="auto" w:sz="8" w:space="0"/>
                    <w:right w:val="single" w:color="auto" w:sz="8" w:space="0"/>
                  </w:tcBorders>
                  <w:vAlign w:val="center"/>
                </w:tcPr>
                <w:p w14:paraId="0C23627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4" w:space="0"/>
                    <w:right w:val="single" w:color="auto" w:sz="8" w:space="0"/>
                  </w:tcBorders>
                  <w:vAlign w:val="center"/>
                </w:tcPr>
                <w:p w14:paraId="60D51CE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4" w:space="0"/>
                    <w:right w:val="single" w:color="auto" w:sz="8" w:space="0"/>
                  </w:tcBorders>
                  <w:vAlign w:val="center"/>
                </w:tcPr>
                <w:p w14:paraId="256A55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54" w:type="pct"/>
                  <w:tcBorders>
                    <w:top w:val="single" w:color="auto" w:sz="4" w:space="0"/>
                    <w:left w:val="single" w:color="auto" w:sz="8" w:space="0"/>
                    <w:bottom w:val="single" w:color="auto" w:sz="4" w:space="0"/>
                    <w:right w:val="single" w:color="auto" w:sz="8" w:space="0"/>
                  </w:tcBorders>
                  <w:vAlign w:val="center"/>
                </w:tcPr>
                <w:p w14:paraId="24BAD76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52" w:type="pct"/>
                  <w:tcBorders>
                    <w:top w:val="single" w:color="auto" w:sz="4" w:space="0"/>
                    <w:left w:val="single" w:color="auto" w:sz="8" w:space="0"/>
                    <w:bottom w:val="single" w:color="auto" w:sz="4" w:space="0"/>
                    <w:right w:val="single" w:color="auto" w:sz="8" w:space="0"/>
                  </w:tcBorders>
                  <w:vAlign w:val="center"/>
                </w:tcPr>
                <w:p w14:paraId="22A17DC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30%</w:t>
                  </w:r>
                </w:p>
              </w:tc>
              <w:tc>
                <w:tcPr>
                  <w:tcW w:w="472" w:type="pct"/>
                  <w:tcBorders>
                    <w:top w:val="single" w:color="auto" w:sz="4" w:space="0"/>
                    <w:left w:val="single" w:color="auto" w:sz="8" w:space="0"/>
                    <w:bottom w:val="single" w:color="auto" w:sz="4" w:space="0"/>
                    <w:right w:val="single" w:color="auto" w:sz="8" w:space="0"/>
                  </w:tcBorders>
                  <w:vAlign w:val="center"/>
                </w:tcPr>
                <w:p w14:paraId="77EF0B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5" w:type="pct"/>
                  <w:tcBorders>
                    <w:top w:val="single" w:color="auto" w:sz="4" w:space="0"/>
                    <w:left w:val="single" w:color="auto" w:sz="8" w:space="0"/>
                    <w:bottom w:val="single" w:color="auto" w:sz="4" w:space="0"/>
                    <w:right w:val="single" w:color="auto" w:sz="8" w:space="0"/>
                  </w:tcBorders>
                  <w:vAlign w:val="center"/>
                </w:tcPr>
                <w:p w14:paraId="703A7C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07" w:type="pct"/>
                  <w:tcBorders>
                    <w:top w:val="single" w:color="auto" w:sz="4" w:space="0"/>
                    <w:left w:val="single" w:color="auto" w:sz="8" w:space="0"/>
                    <w:bottom w:val="single" w:color="auto" w:sz="4" w:space="0"/>
                    <w:right w:val="single" w:color="auto" w:sz="8" w:space="0"/>
                  </w:tcBorders>
                  <w:vAlign w:val="center"/>
                </w:tcPr>
                <w:p w14:paraId="633BC37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63" w:type="pct"/>
                  <w:tcBorders>
                    <w:top w:val="single" w:color="auto" w:sz="4" w:space="0"/>
                    <w:left w:val="single" w:color="auto" w:sz="8" w:space="0"/>
                    <w:bottom w:val="single" w:color="auto" w:sz="4" w:space="0"/>
                    <w:right w:val="nil"/>
                  </w:tcBorders>
                  <w:vAlign w:val="center"/>
                </w:tcPr>
                <w:p w14:paraId="7801A8C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746" w:type="pct"/>
                  <w:tcBorders>
                    <w:top w:val="single" w:color="auto" w:sz="4" w:space="0"/>
                    <w:left w:val="single" w:color="auto" w:sz="8" w:space="0"/>
                    <w:bottom w:val="single" w:color="auto" w:sz="4" w:space="0"/>
                    <w:right w:val="nil"/>
                  </w:tcBorders>
                  <w:vAlign w:val="center"/>
                </w:tcPr>
                <w:p w14:paraId="4D91DA8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r>
            <w:tr w14:paraId="298F8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431" w:type="pct"/>
                  <w:vMerge w:val="continue"/>
                  <w:tcBorders>
                    <w:left w:val="nil"/>
                    <w:bottom w:val="single" w:color="auto" w:sz="8" w:space="0"/>
                    <w:right w:val="single" w:color="auto" w:sz="8" w:space="0"/>
                  </w:tcBorders>
                  <w:vAlign w:val="center"/>
                </w:tcPr>
                <w:p w14:paraId="1AE4D1AC">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30CC6BA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7AE461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2070.57</w:t>
                  </w:r>
                </w:p>
              </w:tc>
              <w:tc>
                <w:tcPr>
                  <w:tcW w:w="454" w:type="pct"/>
                  <w:tcBorders>
                    <w:top w:val="single" w:color="auto" w:sz="4" w:space="0"/>
                    <w:left w:val="single" w:color="auto" w:sz="8" w:space="0"/>
                    <w:bottom w:val="single" w:color="auto" w:sz="8" w:space="0"/>
                    <w:right w:val="single" w:color="auto" w:sz="8" w:space="0"/>
                  </w:tcBorders>
                  <w:vAlign w:val="center"/>
                </w:tcPr>
                <w:p w14:paraId="674254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939.75</w:t>
                  </w:r>
                </w:p>
              </w:tc>
              <w:tc>
                <w:tcPr>
                  <w:tcW w:w="552" w:type="pct"/>
                  <w:tcBorders>
                    <w:top w:val="single" w:color="auto" w:sz="4" w:space="0"/>
                    <w:left w:val="single" w:color="auto" w:sz="8" w:space="0"/>
                    <w:bottom w:val="single" w:color="auto" w:sz="8" w:space="0"/>
                    <w:right w:val="single" w:color="auto" w:sz="8" w:space="0"/>
                  </w:tcBorders>
                  <w:vAlign w:val="center"/>
                </w:tcPr>
                <w:p w14:paraId="31FC1F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567.007</w:t>
                  </w:r>
                </w:p>
              </w:tc>
              <w:tc>
                <w:tcPr>
                  <w:tcW w:w="472" w:type="pct"/>
                  <w:tcBorders>
                    <w:top w:val="single" w:color="auto" w:sz="4" w:space="0"/>
                    <w:left w:val="single" w:color="auto" w:sz="8" w:space="0"/>
                    <w:bottom w:val="single" w:color="auto" w:sz="8" w:space="0"/>
                    <w:right w:val="single" w:color="auto" w:sz="8" w:space="0"/>
                  </w:tcBorders>
                  <w:vAlign w:val="center"/>
                </w:tcPr>
                <w:p w14:paraId="537401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4" w:space="0"/>
                    <w:left w:val="single" w:color="auto" w:sz="8" w:space="0"/>
                    <w:bottom w:val="single" w:color="auto" w:sz="8" w:space="0"/>
                    <w:right w:val="single" w:color="auto" w:sz="8" w:space="0"/>
                  </w:tcBorders>
                  <w:vAlign w:val="center"/>
                </w:tcPr>
                <w:p w14:paraId="277EDA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4" w:space="0"/>
                    <w:left w:val="single" w:color="auto" w:sz="8" w:space="0"/>
                    <w:bottom w:val="single" w:color="auto" w:sz="8" w:space="0"/>
                    <w:right w:val="single" w:color="auto" w:sz="8" w:space="0"/>
                  </w:tcBorders>
                  <w:vAlign w:val="center"/>
                </w:tcPr>
                <w:p w14:paraId="21BDF35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21.97</w:t>
                  </w:r>
                </w:p>
              </w:tc>
              <w:tc>
                <w:tcPr>
                  <w:tcW w:w="463" w:type="pct"/>
                  <w:tcBorders>
                    <w:top w:val="single" w:color="auto" w:sz="4" w:space="0"/>
                    <w:left w:val="single" w:color="auto" w:sz="8" w:space="0"/>
                    <w:bottom w:val="single" w:color="auto" w:sz="8" w:space="0"/>
                    <w:right w:val="nil"/>
                  </w:tcBorders>
                  <w:vAlign w:val="center"/>
                </w:tcPr>
                <w:p w14:paraId="063604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111.98</w:t>
                  </w:r>
                </w:p>
              </w:tc>
              <w:tc>
                <w:tcPr>
                  <w:tcW w:w="746" w:type="pct"/>
                  <w:tcBorders>
                    <w:top w:val="single" w:color="auto" w:sz="4" w:space="0"/>
                    <w:left w:val="single" w:color="auto" w:sz="8" w:space="0"/>
                    <w:bottom w:val="single" w:color="auto" w:sz="8" w:space="0"/>
                    <w:right w:val="nil"/>
                  </w:tcBorders>
                  <w:vAlign w:val="center"/>
                </w:tcPr>
                <w:p w14:paraId="7B47E4B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10F07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31" w:type="pct"/>
                  <w:vMerge w:val="restart"/>
                  <w:tcBorders>
                    <w:top w:val="single" w:color="auto" w:sz="8" w:space="0"/>
                    <w:left w:val="nil"/>
                    <w:right w:val="single" w:color="auto" w:sz="8" w:space="0"/>
                  </w:tcBorders>
                  <w:vAlign w:val="center"/>
                </w:tcPr>
                <w:p w14:paraId="4D103BB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隔油沉淀</w:t>
                  </w:r>
                </w:p>
              </w:tc>
              <w:tc>
                <w:tcPr>
                  <w:tcW w:w="436" w:type="pct"/>
                  <w:tcBorders>
                    <w:top w:val="single" w:color="auto" w:sz="8" w:space="0"/>
                    <w:left w:val="single" w:color="auto" w:sz="8" w:space="0"/>
                    <w:bottom w:val="single" w:color="auto" w:sz="4" w:space="0"/>
                    <w:right w:val="single" w:color="auto" w:sz="8" w:space="0"/>
                  </w:tcBorders>
                  <w:vAlign w:val="center"/>
                </w:tcPr>
                <w:p w14:paraId="065550D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8" w:space="0"/>
                    <w:left w:val="single" w:color="auto" w:sz="8" w:space="0"/>
                    <w:bottom w:val="single" w:color="auto" w:sz="4" w:space="0"/>
                    <w:right w:val="single" w:color="auto" w:sz="8" w:space="0"/>
                  </w:tcBorders>
                  <w:vAlign w:val="center"/>
                </w:tcPr>
                <w:p w14:paraId="7216946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2070.57</w:t>
                  </w:r>
                </w:p>
              </w:tc>
              <w:tc>
                <w:tcPr>
                  <w:tcW w:w="454" w:type="pct"/>
                  <w:tcBorders>
                    <w:top w:val="single" w:color="auto" w:sz="8" w:space="0"/>
                    <w:left w:val="single" w:color="auto" w:sz="8" w:space="0"/>
                    <w:bottom w:val="single" w:color="auto" w:sz="4" w:space="0"/>
                    <w:right w:val="single" w:color="auto" w:sz="8" w:space="0"/>
                  </w:tcBorders>
                  <w:vAlign w:val="center"/>
                </w:tcPr>
                <w:p w14:paraId="20C17F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939.75</w:t>
                  </w:r>
                </w:p>
              </w:tc>
              <w:tc>
                <w:tcPr>
                  <w:tcW w:w="552" w:type="pct"/>
                  <w:tcBorders>
                    <w:top w:val="single" w:color="auto" w:sz="8" w:space="0"/>
                    <w:left w:val="single" w:color="auto" w:sz="8" w:space="0"/>
                    <w:bottom w:val="single" w:color="auto" w:sz="4" w:space="0"/>
                    <w:right w:val="single" w:color="auto" w:sz="8" w:space="0"/>
                  </w:tcBorders>
                  <w:vAlign w:val="center"/>
                </w:tcPr>
                <w:p w14:paraId="417D18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567.007</w:t>
                  </w:r>
                </w:p>
              </w:tc>
              <w:tc>
                <w:tcPr>
                  <w:tcW w:w="472" w:type="pct"/>
                  <w:tcBorders>
                    <w:top w:val="single" w:color="auto" w:sz="8" w:space="0"/>
                    <w:left w:val="single" w:color="auto" w:sz="8" w:space="0"/>
                    <w:bottom w:val="single" w:color="auto" w:sz="4" w:space="0"/>
                    <w:right w:val="single" w:color="auto" w:sz="8" w:space="0"/>
                  </w:tcBorders>
                  <w:vAlign w:val="center"/>
                </w:tcPr>
                <w:p w14:paraId="58FC336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8" w:space="0"/>
                    <w:left w:val="single" w:color="auto" w:sz="8" w:space="0"/>
                    <w:bottom w:val="single" w:color="auto" w:sz="4" w:space="0"/>
                    <w:right w:val="single" w:color="auto" w:sz="8" w:space="0"/>
                  </w:tcBorders>
                  <w:vAlign w:val="center"/>
                </w:tcPr>
                <w:p w14:paraId="402693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8" w:space="0"/>
                    <w:left w:val="single" w:color="auto" w:sz="8" w:space="0"/>
                    <w:bottom w:val="single" w:color="auto" w:sz="4" w:space="0"/>
                    <w:right w:val="single" w:color="auto" w:sz="8" w:space="0"/>
                  </w:tcBorders>
                  <w:vAlign w:val="center"/>
                </w:tcPr>
                <w:p w14:paraId="1D12A4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21.97</w:t>
                  </w:r>
                </w:p>
              </w:tc>
              <w:tc>
                <w:tcPr>
                  <w:tcW w:w="463" w:type="pct"/>
                  <w:tcBorders>
                    <w:top w:val="single" w:color="auto" w:sz="8" w:space="0"/>
                    <w:left w:val="single" w:color="auto" w:sz="8" w:space="0"/>
                    <w:bottom w:val="single" w:color="auto" w:sz="4" w:space="0"/>
                    <w:right w:val="nil"/>
                  </w:tcBorders>
                  <w:vAlign w:val="center"/>
                </w:tcPr>
                <w:p w14:paraId="2829E1F5">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111.98</w:t>
                  </w:r>
                </w:p>
              </w:tc>
              <w:tc>
                <w:tcPr>
                  <w:tcW w:w="746" w:type="pct"/>
                  <w:tcBorders>
                    <w:top w:val="single" w:color="auto" w:sz="8" w:space="0"/>
                    <w:left w:val="single" w:color="auto" w:sz="8" w:space="0"/>
                    <w:bottom w:val="single" w:color="auto" w:sz="4" w:space="0"/>
                    <w:right w:val="nil"/>
                  </w:tcBorders>
                  <w:vAlign w:val="center"/>
                </w:tcPr>
                <w:p w14:paraId="711A513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5DB9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31" w:type="pct"/>
                  <w:vMerge w:val="continue"/>
                  <w:tcBorders>
                    <w:left w:val="nil"/>
                    <w:bottom w:val="single" w:color="auto" w:sz="8" w:space="0"/>
                    <w:right w:val="single" w:color="auto" w:sz="8" w:space="0"/>
                  </w:tcBorders>
                  <w:vAlign w:val="center"/>
                </w:tcPr>
                <w:p w14:paraId="2C9D485F">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4" w:space="0"/>
                    <w:right w:val="single" w:color="auto" w:sz="8" w:space="0"/>
                  </w:tcBorders>
                  <w:vAlign w:val="center"/>
                </w:tcPr>
                <w:p w14:paraId="2FE0041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4" w:space="0"/>
                    <w:right w:val="single" w:color="auto" w:sz="8" w:space="0"/>
                  </w:tcBorders>
                  <w:vAlign w:val="center"/>
                </w:tcPr>
                <w:p w14:paraId="7DB8F22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10%</w:t>
                  </w:r>
                </w:p>
              </w:tc>
              <w:tc>
                <w:tcPr>
                  <w:tcW w:w="454" w:type="pct"/>
                  <w:tcBorders>
                    <w:top w:val="single" w:color="auto" w:sz="4" w:space="0"/>
                    <w:left w:val="single" w:color="auto" w:sz="8" w:space="0"/>
                    <w:bottom w:val="single" w:color="auto" w:sz="4" w:space="0"/>
                    <w:right w:val="single" w:color="auto" w:sz="8" w:space="0"/>
                  </w:tcBorders>
                  <w:vAlign w:val="center"/>
                </w:tcPr>
                <w:p w14:paraId="60FB15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10%</w:t>
                  </w:r>
                </w:p>
              </w:tc>
              <w:tc>
                <w:tcPr>
                  <w:tcW w:w="552" w:type="pct"/>
                  <w:tcBorders>
                    <w:top w:val="single" w:color="auto" w:sz="4" w:space="0"/>
                    <w:left w:val="single" w:color="auto" w:sz="8" w:space="0"/>
                    <w:bottom w:val="single" w:color="auto" w:sz="4" w:space="0"/>
                    <w:right w:val="single" w:color="auto" w:sz="8" w:space="0"/>
                  </w:tcBorders>
                  <w:vAlign w:val="center"/>
                </w:tcPr>
                <w:p w14:paraId="5146DE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w:t>
                  </w:r>
                </w:p>
              </w:tc>
              <w:tc>
                <w:tcPr>
                  <w:tcW w:w="472" w:type="pct"/>
                  <w:tcBorders>
                    <w:top w:val="single" w:color="auto" w:sz="4" w:space="0"/>
                    <w:left w:val="single" w:color="auto" w:sz="8" w:space="0"/>
                    <w:bottom w:val="single" w:color="auto" w:sz="4" w:space="0"/>
                    <w:right w:val="single" w:color="auto" w:sz="8" w:space="0"/>
                  </w:tcBorders>
                  <w:vAlign w:val="center"/>
                </w:tcPr>
                <w:p w14:paraId="446451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5" w:type="pct"/>
                  <w:tcBorders>
                    <w:top w:val="single" w:color="auto" w:sz="4" w:space="0"/>
                    <w:left w:val="single" w:color="auto" w:sz="8" w:space="0"/>
                    <w:bottom w:val="single" w:color="auto" w:sz="4" w:space="0"/>
                    <w:right w:val="single" w:color="auto" w:sz="8" w:space="0"/>
                  </w:tcBorders>
                  <w:vAlign w:val="center"/>
                </w:tcPr>
                <w:p w14:paraId="7FD45F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07" w:type="pct"/>
                  <w:tcBorders>
                    <w:top w:val="single" w:color="auto" w:sz="4" w:space="0"/>
                    <w:left w:val="single" w:color="auto" w:sz="8" w:space="0"/>
                    <w:bottom w:val="single" w:color="auto" w:sz="4" w:space="0"/>
                    <w:right w:val="single" w:color="auto" w:sz="8" w:space="0"/>
                  </w:tcBorders>
                  <w:vAlign w:val="center"/>
                </w:tcPr>
                <w:p w14:paraId="6E6308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63" w:type="pct"/>
                  <w:tcBorders>
                    <w:top w:val="single" w:color="auto" w:sz="4" w:space="0"/>
                    <w:left w:val="single" w:color="auto" w:sz="8" w:space="0"/>
                    <w:bottom w:val="single" w:color="auto" w:sz="4" w:space="0"/>
                    <w:right w:val="nil"/>
                  </w:tcBorders>
                  <w:vAlign w:val="center"/>
                </w:tcPr>
                <w:p w14:paraId="714114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90%</w:t>
                  </w:r>
                </w:p>
              </w:tc>
              <w:tc>
                <w:tcPr>
                  <w:tcW w:w="746" w:type="pct"/>
                  <w:tcBorders>
                    <w:top w:val="single" w:color="auto" w:sz="4" w:space="0"/>
                    <w:left w:val="single" w:color="auto" w:sz="8" w:space="0"/>
                    <w:bottom w:val="single" w:color="auto" w:sz="4" w:space="0"/>
                    <w:right w:val="nil"/>
                  </w:tcBorders>
                  <w:vAlign w:val="center"/>
                </w:tcPr>
                <w:p w14:paraId="1258C1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0</w:t>
                  </w:r>
                </w:p>
              </w:tc>
            </w:tr>
            <w:tr w14:paraId="430D6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431" w:type="pct"/>
                  <w:vMerge w:val="continue"/>
                  <w:tcBorders>
                    <w:left w:val="nil"/>
                    <w:bottom w:val="single" w:color="auto" w:sz="8" w:space="0"/>
                    <w:right w:val="single" w:color="auto" w:sz="8" w:space="0"/>
                  </w:tcBorders>
                  <w:vAlign w:val="center"/>
                </w:tcPr>
                <w:p w14:paraId="3E8D9549">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7A43E1D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7BEAF0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1863.51</w:t>
                  </w:r>
                </w:p>
              </w:tc>
              <w:tc>
                <w:tcPr>
                  <w:tcW w:w="454" w:type="pct"/>
                  <w:tcBorders>
                    <w:top w:val="single" w:color="auto" w:sz="4" w:space="0"/>
                    <w:left w:val="single" w:color="auto" w:sz="8" w:space="0"/>
                    <w:bottom w:val="single" w:color="auto" w:sz="8" w:space="0"/>
                    <w:right w:val="single" w:color="auto" w:sz="8" w:space="0"/>
                  </w:tcBorders>
                  <w:vAlign w:val="center"/>
                </w:tcPr>
                <w:p w14:paraId="1B8259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845.78</w:t>
                  </w:r>
                </w:p>
              </w:tc>
              <w:tc>
                <w:tcPr>
                  <w:tcW w:w="552" w:type="pct"/>
                  <w:tcBorders>
                    <w:top w:val="single" w:color="auto" w:sz="4" w:space="0"/>
                    <w:left w:val="single" w:color="auto" w:sz="8" w:space="0"/>
                    <w:bottom w:val="single" w:color="auto" w:sz="8" w:space="0"/>
                    <w:right w:val="single" w:color="auto" w:sz="8" w:space="0"/>
                  </w:tcBorders>
                  <w:vAlign w:val="center"/>
                </w:tcPr>
                <w:p w14:paraId="0AC620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340.20</w:t>
                  </w:r>
                </w:p>
              </w:tc>
              <w:tc>
                <w:tcPr>
                  <w:tcW w:w="472" w:type="pct"/>
                  <w:tcBorders>
                    <w:top w:val="single" w:color="auto" w:sz="4" w:space="0"/>
                    <w:left w:val="single" w:color="auto" w:sz="8" w:space="0"/>
                    <w:bottom w:val="single" w:color="auto" w:sz="8" w:space="0"/>
                    <w:right w:val="single" w:color="auto" w:sz="8" w:space="0"/>
                  </w:tcBorders>
                  <w:vAlign w:val="center"/>
                </w:tcPr>
                <w:p w14:paraId="1E7DE4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4" w:space="0"/>
                    <w:left w:val="single" w:color="auto" w:sz="8" w:space="0"/>
                    <w:bottom w:val="single" w:color="auto" w:sz="8" w:space="0"/>
                    <w:right w:val="single" w:color="auto" w:sz="8" w:space="0"/>
                  </w:tcBorders>
                  <w:vAlign w:val="center"/>
                </w:tcPr>
                <w:p w14:paraId="5F2E0C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4" w:space="0"/>
                    <w:left w:val="single" w:color="auto" w:sz="8" w:space="0"/>
                    <w:bottom w:val="single" w:color="auto" w:sz="8" w:space="0"/>
                    <w:right w:val="single" w:color="auto" w:sz="8" w:space="0"/>
                  </w:tcBorders>
                  <w:vAlign w:val="center"/>
                </w:tcPr>
                <w:p w14:paraId="09122E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21.97</w:t>
                  </w:r>
                </w:p>
              </w:tc>
              <w:tc>
                <w:tcPr>
                  <w:tcW w:w="463" w:type="pct"/>
                  <w:tcBorders>
                    <w:top w:val="single" w:color="auto" w:sz="4" w:space="0"/>
                    <w:left w:val="single" w:color="auto" w:sz="8" w:space="0"/>
                    <w:bottom w:val="single" w:color="auto" w:sz="8" w:space="0"/>
                    <w:right w:val="nil"/>
                  </w:tcBorders>
                  <w:vAlign w:val="center"/>
                </w:tcPr>
                <w:p w14:paraId="33C5A0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71E6F4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5C21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31" w:type="pct"/>
                  <w:vMerge w:val="restart"/>
                  <w:tcBorders>
                    <w:top w:val="single" w:color="auto" w:sz="8" w:space="0"/>
                    <w:left w:val="nil"/>
                    <w:right w:val="single" w:color="auto" w:sz="8" w:space="0"/>
                  </w:tcBorders>
                  <w:vAlign w:val="center"/>
                </w:tcPr>
                <w:p w14:paraId="2AEF8F4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调节池</w:t>
                  </w:r>
                </w:p>
              </w:tc>
              <w:tc>
                <w:tcPr>
                  <w:tcW w:w="436" w:type="pct"/>
                  <w:tcBorders>
                    <w:top w:val="single" w:color="auto" w:sz="8" w:space="0"/>
                    <w:left w:val="single" w:color="auto" w:sz="8" w:space="0"/>
                    <w:bottom w:val="single" w:color="auto" w:sz="4" w:space="0"/>
                    <w:right w:val="single" w:color="auto" w:sz="8" w:space="0"/>
                  </w:tcBorders>
                  <w:vAlign w:val="center"/>
                </w:tcPr>
                <w:p w14:paraId="63B694B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8" w:space="0"/>
                    <w:left w:val="single" w:color="auto" w:sz="8" w:space="0"/>
                    <w:bottom w:val="single" w:color="auto" w:sz="4" w:space="0"/>
                    <w:right w:val="single" w:color="auto" w:sz="8" w:space="0"/>
                  </w:tcBorders>
                  <w:vAlign w:val="center"/>
                </w:tcPr>
                <w:p w14:paraId="728FAF5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1863.51</w:t>
                  </w:r>
                </w:p>
              </w:tc>
              <w:tc>
                <w:tcPr>
                  <w:tcW w:w="454" w:type="pct"/>
                  <w:tcBorders>
                    <w:top w:val="single" w:color="auto" w:sz="8" w:space="0"/>
                    <w:left w:val="single" w:color="auto" w:sz="8" w:space="0"/>
                    <w:bottom w:val="single" w:color="auto" w:sz="4" w:space="0"/>
                    <w:right w:val="single" w:color="auto" w:sz="8" w:space="0"/>
                  </w:tcBorders>
                  <w:vAlign w:val="center"/>
                </w:tcPr>
                <w:p w14:paraId="0432084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845.78</w:t>
                  </w:r>
                </w:p>
              </w:tc>
              <w:tc>
                <w:tcPr>
                  <w:tcW w:w="552" w:type="pct"/>
                  <w:tcBorders>
                    <w:top w:val="single" w:color="auto" w:sz="8" w:space="0"/>
                    <w:left w:val="single" w:color="auto" w:sz="8" w:space="0"/>
                    <w:bottom w:val="single" w:color="auto" w:sz="4" w:space="0"/>
                    <w:right w:val="single" w:color="auto" w:sz="8" w:space="0"/>
                  </w:tcBorders>
                  <w:vAlign w:val="center"/>
                </w:tcPr>
                <w:p w14:paraId="08F038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340.20</w:t>
                  </w:r>
                </w:p>
              </w:tc>
              <w:tc>
                <w:tcPr>
                  <w:tcW w:w="472" w:type="pct"/>
                  <w:tcBorders>
                    <w:top w:val="single" w:color="auto" w:sz="8" w:space="0"/>
                    <w:left w:val="single" w:color="auto" w:sz="8" w:space="0"/>
                    <w:bottom w:val="single" w:color="auto" w:sz="4" w:space="0"/>
                    <w:right w:val="single" w:color="auto" w:sz="8" w:space="0"/>
                  </w:tcBorders>
                  <w:vAlign w:val="center"/>
                </w:tcPr>
                <w:p w14:paraId="7DCE6F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8" w:space="0"/>
                    <w:left w:val="single" w:color="auto" w:sz="8" w:space="0"/>
                    <w:bottom w:val="single" w:color="auto" w:sz="4" w:space="0"/>
                    <w:right w:val="single" w:color="auto" w:sz="8" w:space="0"/>
                  </w:tcBorders>
                  <w:vAlign w:val="center"/>
                </w:tcPr>
                <w:p w14:paraId="4B49D7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8" w:space="0"/>
                    <w:left w:val="single" w:color="auto" w:sz="8" w:space="0"/>
                    <w:bottom w:val="single" w:color="auto" w:sz="4" w:space="0"/>
                    <w:right w:val="single" w:color="auto" w:sz="8" w:space="0"/>
                  </w:tcBorders>
                  <w:vAlign w:val="center"/>
                </w:tcPr>
                <w:p w14:paraId="039B75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21.97</w:t>
                  </w:r>
                </w:p>
              </w:tc>
              <w:tc>
                <w:tcPr>
                  <w:tcW w:w="463" w:type="pct"/>
                  <w:tcBorders>
                    <w:top w:val="single" w:color="auto" w:sz="8" w:space="0"/>
                    <w:left w:val="single" w:color="auto" w:sz="8" w:space="0"/>
                    <w:bottom w:val="single" w:color="auto" w:sz="4" w:space="0"/>
                    <w:right w:val="nil"/>
                  </w:tcBorders>
                  <w:vAlign w:val="center"/>
                </w:tcPr>
                <w:p w14:paraId="35EE809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8" w:space="0"/>
                    <w:left w:val="single" w:color="auto" w:sz="8" w:space="0"/>
                    <w:bottom w:val="single" w:color="auto" w:sz="4" w:space="0"/>
                    <w:right w:val="nil"/>
                  </w:tcBorders>
                  <w:vAlign w:val="center"/>
                </w:tcPr>
                <w:p w14:paraId="2F845F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0</w:t>
                  </w:r>
                </w:p>
              </w:tc>
            </w:tr>
            <w:tr w14:paraId="6F0AD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31" w:type="pct"/>
                  <w:vMerge w:val="continue"/>
                  <w:tcBorders>
                    <w:left w:val="nil"/>
                    <w:bottom w:val="single" w:color="auto" w:sz="8" w:space="0"/>
                    <w:right w:val="single" w:color="auto" w:sz="8" w:space="0"/>
                  </w:tcBorders>
                  <w:vAlign w:val="center"/>
                </w:tcPr>
                <w:p w14:paraId="78FAB7B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4" w:space="0"/>
                    <w:right w:val="single" w:color="auto" w:sz="8" w:space="0"/>
                  </w:tcBorders>
                  <w:vAlign w:val="center"/>
                </w:tcPr>
                <w:p w14:paraId="2F580F7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4" w:space="0"/>
                    <w:right w:val="single" w:color="auto" w:sz="8" w:space="0"/>
                  </w:tcBorders>
                  <w:vAlign w:val="center"/>
                </w:tcPr>
                <w:p w14:paraId="3EBC7E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54" w:type="pct"/>
                  <w:tcBorders>
                    <w:top w:val="single" w:color="auto" w:sz="4" w:space="0"/>
                    <w:left w:val="single" w:color="auto" w:sz="8" w:space="0"/>
                    <w:bottom w:val="single" w:color="auto" w:sz="4" w:space="0"/>
                    <w:right w:val="single" w:color="auto" w:sz="8" w:space="0"/>
                  </w:tcBorders>
                  <w:vAlign w:val="center"/>
                </w:tcPr>
                <w:p w14:paraId="129D848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w:t>
                  </w:r>
                </w:p>
              </w:tc>
              <w:tc>
                <w:tcPr>
                  <w:tcW w:w="552" w:type="pct"/>
                  <w:tcBorders>
                    <w:top w:val="single" w:color="auto" w:sz="4" w:space="0"/>
                    <w:left w:val="single" w:color="auto" w:sz="8" w:space="0"/>
                    <w:bottom w:val="single" w:color="auto" w:sz="4" w:space="0"/>
                    <w:right w:val="single" w:color="auto" w:sz="8" w:space="0"/>
                  </w:tcBorders>
                  <w:vAlign w:val="center"/>
                </w:tcPr>
                <w:p w14:paraId="008F81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w:t>
                  </w:r>
                </w:p>
              </w:tc>
              <w:tc>
                <w:tcPr>
                  <w:tcW w:w="472" w:type="pct"/>
                  <w:tcBorders>
                    <w:top w:val="single" w:color="auto" w:sz="4" w:space="0"/>
                    <w:left w:val="single" w:color="auto" w:sz="8" w:space="0"/>
                    <w:bottom w:val="single" w:color="auto" w:sz="4" w:space="0"/>
                    <w:right w:val="single" w:color="auto" w:sz="8" w:space="0"/>
                  </w:tcBorders>
                  <w:vAlign w:val="center"/>
                </w:tcPr>
                <w:p w14:paraId="67BD56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5" w:type="pct"/>
                  <w:tcBorders>
                    <w:top w:val="single" w:color="auto" w:sz="4" w:space="0"/>
                    <w:left w:val="single" w:color="auto" w:sz="8" w:space="0"/>
                    <w:bottom w:val="single" w:color="auto" w:sz="4" w:space="0"/>
                    <w:right w:val="single" w:color="auto" w:sz="8" w:space="0"/>
                  </w:tcBorders>
                  <w:vAlign w:val="center"/>
                </w:tcPr>
                <w:p w14:paraId="1BD5B82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07" w:type="pct"/>
                  <w:tcBorders>
                    <w:top w:val="single" w:color="auto" w:sz="4" w:space="0"/>
                    <w:left w:val="single" w:color="auto" w:sz="8" w:space="0"/>
                    <w:bottom w:val="single" w:color="auto" w:sz="4" w:space="0"/>
                    <w:right w:val="single" w:color="auto" w:sz="8" w:space="0"/>
                  </w:tcBorders>
                  <w:vAlign w:val="center"/>
                </w:tcPr>
                <w:p w14:paraId="4C84A8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63" w:type="pct"/>
                  <w:tcBorders>
                    <w:top w:val="single" w:color="auto" w:sz="4" w:space="0"/>
                    <w:left w:val="single" w:color="auto" w:sz="8" w:space="0"/>
                    <w:bottom w:val="single" w:color="auto" w:sz="4" w:space="0"/>
                    <w:right w:val="nil"/>
                  </w:tcBorders>
                  <w:vAlign w:val="center"/>
                </w:tcPr>
                <w:p w14:paraId="3F64E4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746" w:type="pct"/>
                  <w:tcBorders>
                    <w:top w:val="single" w:color="auto" w:sz="4" w:space="0"/>
                    <w:left w:val="single" w:color="auto" w:sz="8" w:space="0"/>
                    <w:bottom w:val="single" w:color="auto" w:sz="4" w:space="0"/>
                    <w:right w:val="nil"/>
                  </w:tcBorders>
                  <w:vAlign w:val="center"/>
                </w:tcPr>
                <w:p w14:paraId="3223014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0</w:t>
                  </w:r>
                </w:p>
              </w:tc>
            </w:tr>
            <w:tr w14:paraId="1298F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431" w:type="pct"/>
                  <w:vMerge w:val="continue"/>
                  <w:tcBorders>
                    <w:left w:val="nil"/>
                    <w:bottom w:val="single" w:color="auto" w:sz="8" w:space="0"/>
                    <w:right w:val="single" w:color="auto" w:sz="8" w:space="0"/>
                  </w:tcBorders>
                  <w:vAlign w:val="center"/>
                </w:tcPr>
                <w:p w14:paraId="5EA3CF6C">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5961B0D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624643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1863.51</w:t>
                  </w:r>
                </w:p>
              </w:tc>
              <w:tc>
                <w:tcPr>
                  <w:tcW w:w="454" w:type="pct"/>
                  <w:tcBorders>
                    <w:top w:val="single" w:color="auto" w:sz="4" w:space="0"/>
                    <w:left w:val="single" w:color="auto" w:sz="8" w:space="0"/>
                    <w:bottom w:val="single" w:color="auto" w:sz="8" w:space="0"/>
                    <w:right w:val="single" w:color="auto" w:sz="8" w:space="0"/>
                  </w:tcBorders>
                  <w:vAlign w:val="center"/>
                </w:tcPr>
                <w:p w14:paraId="491297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845.78</w:t>
                  </w:r>
                </w:p>
              </w:tc>
              <w:tc>
                <w:tcPr>
                  <w:tcW w:w="552" w:type="pct"/>
                  <w:tcBorders>
                    <w:top w:val="single" w:color="auto" w:sz="4" w:space="0"/>
                    <w:left w:val="single" w:color="auto" w:sz="8" w:space="0"/>
                    <w:bottom w:val="single" w:color="auto" w:sz="8" w:space="0"/>
                    <w:right w:val="single" w:color="auto" w:sz="8" w:space="0"/>
                  </w:tcBorders>
                  <w:vAlign w:val="center"/>
                </w:tcPr>
                <w:p w14:paraId="251BEB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340.20</w:t>
                  </w:r>
                </w:p>
              </w:tc>
              <w:tc>
                <w:tcPr>
                  <w:tcW w:w="472" w:type="pct"/>
                  <w:tcBorders>
                    <w:top w:val="single" w:color="auto" w:sz="4" w:space="0"/>
                    <w:left w:val="single" w:color="auto" w:sz="8" w:space="0"/>
                    <w:bottom w:val="single" w:color="auto" w:sz="8" w:space="0"/>
                    <w:right w:val="single" w:color="auto" w:sz="8" w:space="0"/>
                  </w:tcBorders>
                  <w:vAlign w:val="center"/>
                </w:tcPr>
                <w:p w14:paraId="517565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4" w:space="0"/>
                    <w:left w:val="single" w:color="auto" w:sz="8" w:space="0"/>
                    <w:bottom w:val="single" w:color="auto" w:sz="8" w:space="0"/>
                    <w:right w:val="single" w:color="auto" w:sz="8" w:space="0"/>
                  </w:tcBorders>
                  <w:vAlign w:val="center"/>
                </w:tcPr>
                <w:p w14:paraId="22FA2C3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4" w:space="0"/>
                    <w:left w:val="single" w:color="auto" w:sz="8" w:space="0"/>
                    <w:bottom w:val="single" w:color="auto" w:sz="8" w:space="0"/>
                    <w:right w:val="single" w:color="auto" w:sz="8" w:space="0"/>
                  </w:tcBorders>
                  <w:vAlign w:val="center"/>
                </w:tcPr>
                <w:p w14:paraId="7D2545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21.97</w:t>
                  </w:r>
                </w:p>
              </w:tc>
              <w:tc>
                <w:tcPr>
                  <w:tcW w:w="463" w:type="pct"/>
                  <w:tcBorders>
                    <w:top w:val="single" w:color="auto" w:sz="4" w:space="0"/>
                    <w:left w:val="single" w:color="auto" w:sz="8" w:space="0"/>
                    <w:bottom w:val="single" w:color="auto" w:sz="8" w:space="0"/>
                    <w:right w:val="nil"/>
                  </w:tcBorders>
                  <w:vAlign w:val="center"/>
                </w:tcPr>
                <w:p w14:paraId="46D6B8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3D861C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32AB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31" w:type="pct"/>
                  <w:vMerge w:val="restart"/>
                  <w:tcBorders>
                    <w:top w:val="single" w:color="auto" w:sz="8" w:space="0"/>
                    <w:left w:val="nil"/>
                    <w:right w:val="single" w:color="auto" w:sz="8" w:space="0"/>
                  </w:tcBorders>
                  <w:vAlign w:val="center"/>
                </w:tcPr>
                <w:p w14:paraId="5B23E7F4">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一体化设备（A池）</w:t>
                  </w:r>
                </w:p>
              </w:tc>
              <w:tc>
                <w:tcPr>
                  <w:tcW w:w="436" w:type="pct"/>
                  <w:tcBorders>
                    <w:top w:val="single" w:color="auto" w:sz="8" w:space="0"/>
                    <w:left w:val="single" w:color="auto" w:sz="8" w:space="0"/>
                    <w:bottom w:val="single" w:color="auto" w:sz="4" w:space="0"/>
                    <w:right w:val="single" w:color="auto" w:sz="8" w:space="0"/>
                  </w:tcBorders>
                  <w:vAlign w:val="center"/>
                </w:tcPr>
                <w:p w14:paraId="7A207DE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8" w:space="0"/>
                    <w:left w:val="single" w:color="auto" w:sz="8" w:space="0"/>
                    <w:bottom w:val="single" w:color="auto" w:sz="4" w:space="0"/>
                    <w:right w:val="single" w:color="auto" w:sz="8" w:space="0"/>
                  </w:tcBorders>
                  <w:vAlign w:val="center"/>
                </w:tcPr>
                <w:p w14:paraId="73E5AD24">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1863.51</w:t>
                  </w:r>
                </w:p>
              </w:tc>
              <w:tc>
                <w:tcPr>
                  <w:tcW w:w="454" w:type="pct"/>
                  <w:tcBorders>
                    <w:top w:val="single" w:color="auto" w:sz="8" w:space="0"/>
                    <w:left w:val="single" w:color="auto" w:sz="8" w:space="0"/>
                    <w:bottom w:val="single" w:color="auto" w:sz="4" w:space="0"/>
                    <w:right w:val="single" w:color="auto" w:sz="8" w:space="0"/>
                  </w:tcBorders>
                  <w:vAlign w:val="center"/>
                </w:tcPr>
                <w:p w14:paraId="167B36F4">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845.78</w:t>
                  </w:r>
                </w:p>
              </w:tc>
              <w:tc>
                <w:tcPr>
                  <w:tcW w:w="552" w:type="pct"/>
                  <w:tcBorders>
                    <w:top w:val="single" w:color="auto" w:sz="8" w:space="0"/>
                    <w:left w:val="single" w:color="auto" w:sz="8" w:space="0"/>
                    <w:bottom w:val="single" w:color="auto" w:sz="4" w:space="0"/>
                    <w:right w:val="single" w:color="auto" w:sz="8" w:space="0"/>
                  </w:tcBorders>
                  <w:vAlign w:val="center"/>
                </w:tcPr>
                <w:p w14:paraId="0141E6A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340.20</w:t>
                  </w:r>
                </w:p>
              </w:tc>
              <w:tc>
                <w:tcPr>
                  <w:tcW w:w="472" w:type="pct"/>
                  <w:tcBorders>
                    <w:top w:val="single" w:color="auto" w:sz="8" w:space="0"/>
                    <w:left w:val="single" w:color="auto" w:sz="8" w:space="0"/>
                    <w:bottom w:val="single" w:color="auto" w:sz="4" w:space="0"/>
                    <w:right w:val="single" w:color="auto" w:sz="8" w:space="0"/>
                  </w:tcBorders>
                  <w:vAlign w:val="center"/>
                </w:tcPr>
                <w:p w14:paraId="39948C7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8" w:space="0"/>
                    <w:left w:val="single" w:color="auto" w:sz="8" w:space="0"/>
                    <w:bottom w:val="single" w:color="auto" w:sz="4" w:space="0"/>
                    <w:right w:val="single" w:color="auto" w:sz="8" w:space="0"/>
                  </w:tcBorders>
                  <w:vAlign w:val="center"/>
                </w:tcPr>
                <w:p w14:paraId="15E64AC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8" w:space="0"/>
                    <w:left w:val="single" w:color="auto" w:sz="8" w:space="0"/>
                    <w:bottom w:val="single" w:color="auto" w:sz="4" w:space="0"/>
                    <w:right w:val="single" w:color="auto" w:sz="8" w:space="0"/>
                  </w:tcBorders>
                  <w:vAlign w:val="center"/>
                </w:tcPr>
                <w:p w14:paraId="72BD81DB">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21.97</w:t>
                  </w:r>
                </w:p>
              </w:tc>
              <w:tc>
                <w:tcPr>
                  <w:tcW w:w="463" w:type="pct"/>
                  <w:tcBorders>
                    <w:top w:val="single" w:color="auto" w:sz="8" w:space="0"/>
                    <w:left w:val="single" w:color="auto" w:sz="8" w:space="0"/>
                    <w:bottom w:val="single" w:color="auto" w:sz="4" w:space="0"/>
                    <w:right w:val="nil"/>
                  </w:tcBorders>
                  <w:vAlign w:val="center"/>
                </w:tcPr>
                <w:p w14:paraId="3874CE6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8" w:space="0"/>
                    <w:left w:val="single" w:color="auto" w:sz="8" w:space="0"/>
                    <w:bottom w:val="single" w:color="auto" w:sz="4" w:space="0"/>
                    <w:right w:val="nil"/>
                  </w:tcBorders>
                  <w:vAlign w:val="center"/>
                </w:tcPr>
                <w:p w14:paraId="7C4EEE6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69B82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431" w:type="pct"/>
                  <w:vMerge w:val="continue"/>
                  <w:tcBorders>
                    <w:left w:val="nil"/>
                    <w:right w:val="single" w:color="auto" w:sz="8" w:space="0"/>
                  </w:tcBorders>
                  <w:vAlign w:val="center"/>
                </w:tcPr>
                <w:p w14:paraId="262EE4A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4" w:space="0"/>
                    <w:right w:val="single" w:color="auto" w:sz="8" w:space="0"/>
                  </w:tcBorders>
                  <w:vAlign w:val="center"/>
                </w:tcPr>
                <w:p w14:paraId="66FB139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4" w:space="0"/>
                    <w:right w:val="single" w:color="auto" w:sz="8" w:space="0"/>
                  </w:tcBorders>
                  <w:vAlign w:val="center"/>
                </w:tcPr>
                <w:p w14:paraId="7B82707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60%</w:t>
                  </w:r>
                </w:p>
              </w:tc>
              <w:tc>
                <w:tcPr>
                  <w:tcW w:w="454" w:type="pct"/>
                  <w:tcBorders>
                    <w:top w:val="single" w:color="auto" w:sz="4" w:space="0"/>
                    <w:left w:val="single" w:color="auto" w:sz="8" w:space="0"/>
                    <w:bottom w:val="single" w:color="auto" w:sz="4" w:space="0"/>
                    <w:right w:val="single" w:color="auto" w:sz="8" w:space="0"/>
                  </w:tcBorders>
                  <w:vAlign w:val="center"/>
                </w:tcPr>
                <w:p w14:paraId="12CB35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2</w:t>
                  </w:r>
                  <w:r>
                    <w:rPr>
                      <w:rFonts w:hint="default" w:ascii="Times New Roman" w:hAnsi="Times New Roman" w:eastAsia="宋体" w:cs="Times New Roman"/>
                      <w:i w:val="0"/>
                      <w:iCs w:val="0"/>
                      <w:color w:val="auto"/>
                      <w:kern w:val="0"/>
                      <w:sz w:val="18"/>
                      <w:szCs w:val="18"/>
                      <w:u w:val="none"/>
                      <w:lang w:val="en-US" w:eastAsia="zh-CN" w:bidi="ar"/>
                    </w:rPr>
                    <w:t>0%</w:t>
                  </w:r>
                </w:p>
              </w:tc>
              <w:tc>
                <w:tcPr>
                  <w:tcW w:w="552" w:type="pct"/>
                  <w:tcBorders>
                    <w:top w:val="single" w:color="auto" w:sz="4" w:space="0"/>
                    <w:left w:val="single" w:color="auto" w:sz="8" w:space="0"/>
                    <w:bottom w:val="single" w:color="auto" w:sz="4" w:space="0"/>
                    <w:right w:val="single" w:color="auto" w:sz="8" w:space="0"/>
                  </w:tcBorders>
                  <w:vAlign w:val="center"/>
                </w:tcPr>
                <w:p w14:paraId="280031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50%</w:t>
                  </w:r>
                </w:p>
              </w:tc>
              <w:tc>
                <w:tcPr>
                  <w:tcW w:w="472" w:type="pct"/>
                  <w:tcBorders>
                    <w:top w:val="single" w:color="auto" w:sz="4" w:space="0"/>
                    <w:left w:val="single" w:color="auto" w:sz="8" w:space="0"/>
                    <w:bottom w:val="single" w:color="auto" w:sz="4" w:space="0"/>
                    <w:right w:val="single" w:color="auto" w:sz="8" w:space="0"/>
                  </w:tcBorders>
                  <w:vAlign w:val="center"/>
                </w:tcPr>
                <w:p w14:paraId="5E7394E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w:t>
                  </w:r>
                </w:p>
              </w:tc>
              <w:tc>
                <w:tcPr>
                  <w:tcW w:w="445" w:type="pct"/>
                  <w:tcBorders>
                    <w:top w:val="single" w:color="auto" w:sz="4" w:space="0"/>
                    <w:left w:val="single" w:color="auto" w:sz="8" w:space="0"/>
                    <w:bottom w:val="single" w:color="auto" w:sz="4" w:space="0"/>
                    <w:right w:val="single" w:color="auto" w:sz="8" w:space="0"/>
                  </w:tcBorders>
                  <w:vAlign w:val="center"/>
                </w:tcPr>
                <w:p w14:paraId="06936CB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u w:val="none"/>
                      <w:lang w:val="en-US" w:eastAsia="zh-CN" w:bidi="ar"/>
                    </w:rPr>
                    <w:t>0</w:t>
                  </w:r>
                </w:p>
              </w:tc>
              <w:tc>
                <w:tcPr>
                  <w:tcW w:w="507" w:type="pct"/>
                  <w:tcBorders>
                    <w:top w:val="single" w:color="auto" w:sz="4" w:space="0"/>
                    <w:left w:val="single" w:color="auto" w:sz="8" w:space="0"/>
                    <w:bottom w:val="single" w:color="auto" w:sz="4" w:space="0"/>
                    <w:right w:val="single" w:color="auto" w:sz="8" w:space="0"/>
                  </w:tcBorders>
                  <w:vAlign w:val="center"/>
                </w:tcPr>
                <w:p w14:paraId="2D4C3E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w:t>
                  </w:r>
                </w:p>
              </w:tc>
              <w:tc>
                <w:tcPr>
                  <w:tcW w:w="463" w:type="pct"/>
                  <w:tcBorders>
                    <w:top w:val="single" w:color="auto" w:sz="4" w:space="0"/>
                    <w:left w:val="single" w:color="auto" w:sz="8" w:space="0"/>
                    <w:bottom w:val="single" w:color="auto" w:sz="4" w:space="0"/>
                    <w:right w:val="nil"/>
                  </w:tcBorders>
                  <w:vAlign w:val="center"/>
                </w:tcPr>
                <w:p w14:paraId="6F996DA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746" w:type="pct"/>
                  <w:tcBorders>
                    <w:top w:val="single" w:color="auto" w:sz="4" w:space="0"/>
                    <w:left w:val="single" w:color="auto" w:sz="8" w:space="0"/>
                    <w:bottom w:val="single" w:color="auto" w:sz="4" w:space="0"/>
                    <w:right w:val="nil"/>
                  </w:tcBorders>
                  <w:vAlign w:val="center"/>
                </w:tcPr>
                <w:p w14:paraId="33AEF4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0</w:t>
                  </w:r>
                </w:p>
              </w:tc>
            </w:tr>
            <w:tr w14:paraId="314B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bottom w:val="single" w:color="auto" w:sz="8" w:space="0"/>
                    <w:right w:val="single" w:color="auto" w:sz="8" w:space="0"/>
                  </w:tcBorders>
                  <w:vAlign w:val="center"/>
                </w:tcPr>
                <w:p w14:paraId="0A86F4A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7E6DA41F">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51E19B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745.41</w:t>
                  </w:r>
                </w:p>
              </w:tc>
              <w:tc>
                <w:tcPr>
                  <w:tcW w:w="771" w:type="dxa"/>
                  <w:tcBorders>
                    <w:top w:val="single" w:color="auto" w:sz="4" w:space="0"/>
                    <w:left w:val="single" w:color="auto" w:sz="8" w:space="0"/>
                    <w:bottom w:val="single" w:color="auto" w:sz="8" w:space="0"/>
                    <w:right w:val="single" w:color="auto" w:sz="8" w:space="0"/>
                  </w:tcBorders>
                  <w:vAlign w:val="center"/>
                </w:tcPr>
                <w:p w14:paraId="7FCD637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676.62</w:t>
                  </w:r>
                </w:p>
              </w:tc>
              <w:tc>
                <w:tcPr>
                  <w:tcW w:w="552" w:type="pct"/>
                  <w:tcBorders>
                    <w:top w:val="single" w:color="auto" w:sz="4" w:space="0"/>
                    <w:left w:val="single" w:color="auto" w:sz="8" w:space="0"/>
                    <w:bottom w:val="single" w:color="auto" w:sz="8" w:space="0"/>
                    <w:right w:val="single" w:color="auto" w:sz="8" w:space="0"/>
                  </w:tcBorders>
                  <w:vAlign w:val="center"/>
                </w:tcPr>
                <w:p w14:paraId="3D589C7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170.10</w:t>
                  </w:r>
                </w:p>
              </w:tc>
              <w:tc>
                <w:tcPr>
                  <w:tcW w:w="472" w:type="pct"/>
                  <w:tcBorders>
                    <w:top w:val="single" w:color="auto" w:sz="4" w:space="0"/>
                    <w:left w:val="single" w:color="auto" w:sz="8" w:space="0"/>
                    <w:bottom w:val="single" w:color="auto" w:sz="8" w:space="0"/>
                    <w:right w:val="single" w:color="auto" w:sz="8" w:space="0"/>
                  </w:tcBorders>
                  <w:vAlign w:val="center"/>
                </w:tcPr>
                <w:p w14:paraId="00DFD8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4" w:space="0"/>
                    <w:left w:val="single" w:color="auto" w:sz="8" w:space="0"/>
                    <w:bottom w:val="single" w:color="auto" w:sz="8" w:space="0"/>
                    <w:right w:val="single" w:color="auto" w:sz="8" w:space="0"/>
                  </w:tcBorders>
                  <w:vAlign w:val="center"/>
                </w:tcPr>
                <w:p w14:paraId="292297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4" w:space="0"/>
                    <w:left w:val="single" w:color="auto" w:sz="8" w:space="0"/>
                    <w:bottom w:val="single" w:color="auto" w:sz="8" w:space="0"/>
                    <w:right w:val="single" w:color="auto" w:sz="8" w:space="0"/>
                  </w:tcBorders>
                  <w:vAlign w:val="center"/>
                </w:tcPr>
                <w:p w14:paraId="05A684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13.18</w:t>
                  </w:r>
                </w:p>
              </w:tc>
              <w:tc>
                <w:tcPr>
                  <w:tcW w:w="463" w:type="pct"/>
                  <w:tcBorders>
                    <w:top w:val="single" w:color="auto" w:sz="4" w:space="0"/>
                    <w:left w:val="single" w:color="auto" w:sz="8" w:space="0"/>
                    <w:bottom w:val="single" w:color="auto" w:sz="8" w:space="0"/>
                    <w:right w:val="nil"/>
                  </w:tcBorders>
                  <w:vAlign w:val="center"/>
                </w:tcPr>
                <w:p w14:paraId="29FCDFA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27C892B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1B0FB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restart"/>
                  <w:tcBorders>
                    <w:left w:val="nil"/>
                    <w:right w:val="single" w:color="auto" w:sz="8" w:space="0"/>
                  </w:tcBorders>
                  <w:vAlign w:val="center"/>
                </w:tcPr>
                <w:p w14:paraId="069CB90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一体化设备（O池）</w:t>
                  </w:r>
                </w:p>
              </w:tc>
              <w:tc>
                <w:tcPr>
                  <w:tcW w:w="436" w:type="pct"/>
                  <w:tcBorders>
                    <w:top w:val="single" w:color="auto" w:sz="4" w:space="0"/>
                    <w:left w:val="single" w:color="auto" w:sz="8" w:space="0"/>
                    <w:bottom w:val="single" w:color="auto" w:sz="8" w:space="0"/>
                    <w:right w:val="single" w:color="auto" w:sz="8" w:space="0"/>
                  </w:tcBorders>
                  <w:vAlign w:val="center"/>
                </w:tcPr>
                <w:p w14:paraId="1ACC316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4" w:space="0"/>
                    <w:left w:val="single" w:color="auto" w:sz="8" w:space="0"/>
                    <w:bottom w:val="single" w:color="auto" w:sz="8" w:space="0"/>
                    <w:right w:val="single" w:color="auto" w:sz="8" w:space="0"/>
                  </w:tcBorders>
                  <w:vAlign w:val="center"/>
                </w:tcPr>
                <w:p w14:paraId="5978BE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745.41</w:t>
                  </w:r>
                </w:p>
              </w:tc>
              <w:tc>
                <w:tcPr>
                  <w:tcW w:w="771" w:type="dxa"/>
                  <w:tcBorders>
                    <w:top w:val="single" w:color="auto" w:sz="4" w:space="0"/>
                    <w:left w:val="single" w:color="auto" w:sz="8" w:space="0"/>
                    <w:bottom w:val="single" w:color="auto" w:sz="8" w:space="0"/>
                    <w:right w:val="single" w:color="auto" w:sz="8" w:space="0"/>
                  </w:tcBorders>
                  <w:vAlign w:val="center"/>
                </w:tcPr>
                <w:p w14:paraId="24E203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676.62</w:t>
                  </w:r>
                </w:p>
              </w:tc>
              <w:tc>
                <w:tcPr>
                  <w:tcW w:w="552" w:type="pct"/>
                  <w:tcBorders>
                    <w:top w:val="single" w:color="auto" w:sz="4" w:space="0"/>
                    <w:left w:val="single" w:color="auto" w:sz="8" w:space="0"/>
                    <w:bottom w:val="single" w:color="auto" w:sz="8" w:space="0"/>
                    <w:right w:val="single" w:color="auto" w:sz="8" w:space="0"/>
                  </w:tcBorders>
                  <w:vAlign w:val="center"/>
                </w:tcPr>
                <w:p w14:paraId="10578B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170.10</w:t>
                  </w:r>
                </w:p>
              </w:tc>
              <w:tc>
                <w:tcPr>
                  <w:tcW w:w="472" w:type="pct"/>
                  <w:tcBorders>
                    <w:top w:val="single" w:color="auto" w:sz="4" w:space="0"/>
                    <w:left w:val="single" w:color="auto" w:sz="8" w:space="0"/>
                    <w:bottom w:val="single" w:color="auto" w:sz="8" w:space="0"/>
                    <w:right w:val="single" w:color="auto" w:sz="8" w:space="0"/>
                  </w:tcBorders>
                  <w:vAlign w:val="center"/>
                </w:tcPr>
                <w:p w14:paraId="7661C50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64.27</w:t>
                  </w:r>
                </w:p>
              </w:tc>
              <w:tc>
                <w:tcPr>
                  <w:tcW w:w="445" w:type="pct"/>
                  <w:tcBorders>
                    <w:top w:val="single" w:color="auto" w:sz="4" w:space="0"/>
                    <w:left w:val="single" w:color="auto" w:sz="8" w:space="0"/>
                    <w:bottom w:val="single" w:color="auto" w:sz="8" w:space="0"/>
                    <w:right w:val="single" w:color="auto" w:sz="8" w:space="0"/>
                  </w:tcBorders>
                  <w:vAlign w:val="center"/>
                </w:tcPr>
                <w:p w14:paraId="0E1A9D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161.67</w:t>
                  </w:r>
                </w:p>
              </w:tc>
              <w:tc>
                <w:tcPr>
                  <w:tcW w:w="507" w:type="pct"/>
                  <w:tcBorders>
                    <w:top w:val="single" w:color="auto" w:sz="4" w:space="0"/>
                    <w:left w:val="single" w:color="auto" w:sz="8" w:space="0"/>
                    <w:bottom w:val="single" w:color="auto" w:sz="8" w:space="0"/>
                    <w:right w:val="single" w:color="auto" w:sz="8" w:space="0"/>
                  </w:tcBorders>
                  <w:vAlign w:val="center"/>
                </w:tcPr>
                <w:p w14:paraId="797DCD2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13.18</w:t>
                  </w:r>
                </w:p>
              </w:tc>
              <w:tc>
                <w:tcPr>
                  <w:tcW w:w="463" w:type="pct"/>
                  <w:tcBorders>
                    <w:top w:val="single" w:color="auto" w:sz="4" w:space="0"/>
                    <w:left w:val="single" w:color="auto" w:sz="8" w:space="0"/>
                    <w:bottom w:val="single" w:color="auto" w:sz="8" w:space="0"/>
                    <w:right w:val="nil"/>
                  </w:tcBorders>
                  <w:vAlign w:val="center"/>
                </w:tcPr>
                <w:p w14:paraId="65F303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2D73D4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7BEDF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right w:val="single" w:color="auto" w:sz="8" w:space="0"/>
                  </w:tcBorders>
                  <w:vAlign w:val="center"/>
                </w:tcPr>
                <w:p w14:paraId="70DDDC5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21A1153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8" w:space="0"/>
                    <w:right w:val="single" w:color="auto" w:sz="8" w:space="0"/>
                  </w:tcBorders>
                  <w:vAlign w:val="center"/>
                </w:tcPr>
                <w:p w14:paraId="6540EC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60%</w:t>
                  </w:r>
                </w:p>
              </w:tc>
              <w:tc>
                <w:tcPr>
                  <w:tcW w:w="771" w:type="dxa"/>
                  <w:tcBorders>
                    <w:top w:val="single" w:color="auto" w:sz="4" w:space="0"/>
                    <w:left w:val="single" w:color="auto" w:sz="8" w:space="0"/>
                    <w:bottom w:val="single" w:color="auto" w:sz="8" w:space="0"/>
                    <w:right w:val="single" w:color="auto" w:sz="8" w:space="0"/>
                  </w:tcBorders>
                  <w:vAlign w:val="center"/>
                </w:tcPr>
                <w:p w14:paraId="11E33D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80%</w:t>
                  </w:r>
                </w:p>
              </w:tc>
              <w:tc>
                <w:tcPr>
                  <w:tcW w:w="552" w:type="pct"/>
                  <w:tcBorders>
                    <w:top w:val="single" w:color="auto" w:sz="4" w:space="0"/>
                    <w:left w:val="single" w:color="auto" w:sz="8" w:space="0"/>
                    <w:bottom w:val="single" w:color="auto" w:sz="8" w:space="0"/>
                    <w:right w:val="single" w:color="auto" w:sz="8" w:space="0"/>
                  </w:tcBorders>
                  <w:vAlign w:val="center"/>
                </w:tcPr>
                <w:p w14:paraId="14C8D7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50%</w:t>
                  </w:r>
                </w:p>
              </w:tc>
              <w:tc>
                <w:tcPr>
                  <w:tcW w:w="472" w:type="pct"/>
                  <w:tcBorders>
                    <w:top w:val="single" w:color="auto" w:sz="4" w:space="0"/>
                    <w:left w:val="single" w:color="auto" w:sz="8" w:space="0"/>
                    <w:bottom w:val="single" w:color="auto" w:sz="8" w:space="0"/>
                    <w:right w:val="single" w:color="auto" w:sz="8" w:space="0"/>
                  </w:tcBorders>
                  <w:vAlign w:val="center"/>
                </w:tcPr>
                <w:p w14:paraId="45F4D54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70%</w:t>
                  </w:r>
                </w:p>
              </w:tc>
              <w:tc>
                <w:tcPr>
                  <w:tcW w:w="445" w:type="pct"/>
                  <w:tcBorders>
                    <w:top w:val="single" w:color="auto" w:sz="4" w:space="0"/>
                    <w:left w:val="single" w:color="auto" w:sz="8" w:space="0"/>
                    <w:bottom w:val="single" w:color="auto" w:sz="8" w:space="0"/>
                    <w:right w:val="single" w:color="auto" w:sz="8" w:space="0"/>
                  </w:tcBorders>
                  <w:vAlign w:val="center"/>
                </w:tcPr>
                <w:p w14:paraId="6970CA1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75%</w:t>
                  </w:r>
                </w:p>
              </w:tc>
              <w:tc>
                <w:tcPr>
                  <w:tcW w:w="507" w:type="pct"/>
                  <w:tcBorders>
                    <w:top w:val="single" w:color="auto" w:sz="4" w:space="0"/>
                    <w:left w:val="single" w:color="auto" w:sz="8" w:space="0"/>
                    <w:bottom w:val="single" w:color="auto" w:sz="8" w:space="0"/>
                    <w:right w:val="single" w:color="auto" w:sz="8" w:space="0"/>
                  </w:tcBorders>
                  <w:vAlign w:val="center"/>
                </w:tcPr>
                <w:p w14:paraId="323C42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75%</w:t>
                  </w:r>
                </w:p>
              </w:tc>
              <w:tc>
                <w:tcPr>
                  <w:tcW w:w="463" w:type="pct"/>
                  <w:tcBorders>
                    <w:top w:val="single" w:color="auto" w:sz="4" w:space="0"/>
                    <w:left w:val="single" w:color="auto" w:sz="8" w:space="0"/>
                    <w:bottom w:val="single" w:color="auto" w:sz="8" w:space="0"/>
                    <w:right w:val="nil"/>
                  </w:tcBorders>
                  <w:vAlign w:val="center"/>
                </w:tcPr>
                <w:p w14:paraId="7F98F6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746" w:type="pct"/>
                  <w:tcBorders>
                    <w:top w:val="single" w:color="auto" w:sz="4" w:space="0"/>
                    <w:left w:val="single" w:color="auto" w:sz="8" w:space="0"/>
                    <w:bottom w:val="single" w:color="auto" w:sz="8" w:space="0"/>
                    <w:right w:val="nil"/>
                  </w:tcBorders>
                  <w:vAlign w:val="center"/>
                </w:tcPr>
                <w:p w14:paraId="3814C08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0</w:t>
                  </w:r>
                </w:p>
              </w:tc>
            </w:tr>
            <w:tr w14:paraId="5E08C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bottom w:val="single" w:color="auto" w:sz="8" w:space="0"/>
                    <w:right w:val="single" w:color="auto" w:sz="8" w:space="0"/>
                  </w:tcBorders>
                  <w:vAlign w:val="center"/>
                </w:tcPr>
                <w:p w14:paraId="3A4BC868">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2DE4ED6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6E6406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298.16</w:t>
                  </w:r>
                </w:p>
              </w:tc>
              <w:tc>
                <w:tcPr>
                  <w:tcW w:w="771" w:type="dxa"/>
                  <w:tcBorders>
                    <w:top w:val="single" w:color="auto" w:sz="4" w:space="0"/>
                    <w:left w:val="single" w:color="auto" w:sz="8" w:space="0"/>
                    <w:bottom w:val="single" w:color="auto" w:sz="8" w:space="0"/>
                    <w:right w:val="single" w:color="auto" w:sz="8" w:space="0"/>
                  </w:tcBorders>
                  <w:vAlign w:val="center"/>
                </w:tcPr>
                <w:p w14:paraId="62AD6E9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135.32</w:t>
                  </w:r>
                </w:p>
              </w:tc>
              <w:tc>
                <w:tcPr>
                  <w:tcW w:w="552" w:type="pct"/>
                  <w:tcBorders>
                    <w:top w:val="single" w:color="auto" w:sz="4" w:space="0"/>
                    <w:left w:val="single" w:color="auto" w:sz="8" w:space="0"/>
                    <w:bottom w:val="single" w:color="auto" w:sz="8" w:space="0"/>
                    <w:right w:val="single" w:color="auto" w:sz="8" w:space="0"/>
                  </w:tcBorders>
                  <w:vAlign w:val="center"/>
                </w:tcPr>
                <w:p w14:paraId="22D428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85.05</w:t>
                  </w:r>
                </w:p>
              </w:tc>
              <w:tc>
                <w:tcPr>
                  <w:tcW w:w="472" w:type="pct"/>
                  <w:tcBorders>
                    <w:top w:val="single" w:color="auto" w:sz="4" w:space="0"/>
                    <w:left w:val="single" w:color="auto" w:sz="8" w:space="0"/>
                    <w:bottom w:val="single" w:color="auto" w:sz="8" w:space="0"/>
                    <w:right w:val="single" w:color="auto" w:sz="8" w:space="0"/>
                  </w:tcBorders>
                  <w:vAlign w:val="center"/>
                </w:tcPr>
                <w:p w14:paraId="3C0617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19.28</w:t>
                  </w:r>
                </w:p>
              </w:tc>
              <w:tc>
                <w:tcPr>
                  <w:tcW w:w="445" w:type="pct"/>
                  <w:tcBorders>
                    <w:top w:val="single" w:color="auto" w:sz="4" w:space="0"/>
                    <w:left w:val="single" w:color="auto" w:sz="8" w:space="0"/>
                    <w:bottom w:val="single" w:color="auto" w:sz="8" w:space="0"/>
                    <w:right w:val="single" w:color="auto" w:sz="8" w:space="0"/>
                  </w:tcBorders>
                  <w:vAlign w:val="center"/>
                </w:tcPr>
                <w:p w14:paraId="1925489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40.42</w:t>
                  </w:r>
                </w:p>
              </w:tc>
              <w:tc>
                <w:tcPr>
                  <w:tcW w:w="507" w:type="pct"/>
                  <w:tcBorders>
                    <w:top w:val="single" w:color="auto" w:sz="4" w:space="0"/>
                    <w:left w:val="single" w:color="auto" w:sz="8" w:space="0"/>
                    <w:bottom w:val="single" w:color="auto" w:sz="8" w:space="0"/>
                    <w:right w:val="single" w:color="auto" w:sz="8" w:space="0"/>
                  </w:tcBorders>
                  <w:vAlign w:val="center"/>
                </w:tcPr>
                <w:p w14:paraId="4F42E85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3.30</w:t>
                  </w:r>
                </w:p>
              </w:tc>
              <w:tc>
                <w:tcPr>
                  <w:tcW w:w="463" w:type="pct"/>
                  <w:tcBorders>
                    <w:top w:val="single" w:color="auto" w:sz="4" w:space="0"/>
                    <w:left w:val="single" w:color="auto" w:sz="8" w:space="0"/>
                    <w:bottom w:val="single" w:color="auto" w:sz="8" w:space="0"/>
                    <w:right w:val="nil"/>
                  </w:tcBorders>
                  <w:vAlign w:val="center"/>
                </w:tcPr>
                <w:p w14:paraId="7E2BB0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51D613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7A2F0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restart"/>
                  <w:tcBorders>
                    <w:left w:val="nil"/>
                    <w:right w:val="single" w:color="auto" w:sz="8" w:space="0"/>
                  </w:tcBorders>
                  <w:vAlign w:val="center"/>
                </w:tcPr>
                <w:p w14:paraId="1C636C80">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一体化设备（沉淀池）</w:t>
                  </w:r>
                </w:p>
              </w:tc>
              <w:tc>
                <w:tcPr>
                  <w:tcW w:w="436" w:type="pct"/>
                  <w:tcBorders>
                    <w:top w:val="single" w:color="auto" w:sz="4" w:space="0"/>
                    <w:left w:val="single" w:color="auto" w:sz="8" w:space="0"/>
                    <w:bottom w:val="single" w:color="auto" w:sz="8" w:space="0"/>
                    <w:right w:val="single" w:color="auto" w:sz="8" w:space="0"/>
                  </w:tcBorders>
                  <w:vAlign w:val="center"/>
                </w:tcPr>
                <w:p w14:paraId="34AFAFDA">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4" w:space="0"/>
                    <w:left w:val="single" w:color="auto" w:sz="8" w:space="0"/>
                    <w:bottom w:val="single" w:color="auto" w:sz="8" w:space="0"/>
                    <w:right w:val="single" w:color="auto" w:sz="8" w:space="0"/>
                  </w:tcBorders>
                  <w:vAlign w:val="center"/>
                </w:tcPr>
                <w:p w14:paraId="0EDB3F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298.16</w:t>
                  </w:r>
                </w:p>
              </w:tc>
              <w:tc>
                <w:tcPr>
                  <w:tcW w:w="771" w:type="dxa"/>
                  <w:tcBorders>
                    <w:top w:val="single" w:color="auto" w:sz="4" w:space="0"/>
                    <w:left w:val="single" w:color="auto" w:sz="8" w:space="0"/>
                    <w:bottom w:val="single" w:color="auto" w:sz="8" w:space="0"/>
                    <w:right w:val="single" w:color="auto" w:sz="8" w:space="0"/>
                  </w:tcBorders>
                  <w:vAlign w:val="center"/>
                </w:tcPr>
                <w:p w14:paraId="19975A0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135.32</w:t>
                  </w:r>
                </w:p>
              </w:tc>
              <w:tc>
                <w:tcPr>
                  <w:tcW w:w="552" w:type="pct"/>
                  <w:tcBorders>
                    <w:top w:val="single" w:color="auto" w:sz="4" w:space="0"/>
                    <w:left w:val="single" w:color="auto" w:sz="8" w:space="0"/>
                    <w:bottom w:val="single" w:color="auto" w:sz="8" w:space="0"/>
                    <w:right w:val="single" w:color="auto" w:sz="8" w:space="0"/>
                  </w:tcBorders>
                  <w:vAlign w:val="center"/>
                </w:tcPr>
                <w:p w14:paraId="3CEF01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85.05</w:t>
                  </w:r>
                </w:p>
              </w:tc>
              <w:tc>
                <w:tcPr>
                  <w:tcW w:w="472" w:type="pct"/>
                  <w:tcBorders>
                    <w:top w:val="single" w:color="auto" w:sz="4" w:space="0"/>
                    <w:left w:val="single" w:color="auto" w:sz="8" w:space="0"/>
                    <w:bottom w:val="single" w:color="auto" w:sz="8" w:space="0"/>
                    <w:right w:val="single" w:color="auto" w:sz="8" w:space="0"/>
                  </w:tcBorders>
                  <w:vAlign w:val="center"/>
                </w:tcPr>
                <w:p w14:paraId="2B0AE73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19.28</w:t>
                  </w:r>
                </w:p>
              </w:tc>
              <w:tc>
                <w:tcPr>
                  <w:tcW w:w="445" w:type="pct"/>
                  <w:tcBorders>
                    <w:top w:val="single" w:color="auto" w:sz="4" w:space="0"/>
                    <w:left w:val="single" w:color="auto" w:sz="8" w:space="0"/>
                    <w:bottom w:val="single" w:color="auto" w:sz="8" w:space="0"/>
                    <w:right w:val="single" w:color="auto" w:sz="8" w:space="0"/>
                  </w:tcBorders>
                  <w:vAlign w:val="center"/>
                </w:tcPr>
                <w:p w14:paraId="72D67DD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40.42</w:t>
                  </w:r>
                </w:p>
              </w:tc>
              <w:tc>
                <w:tcPr>
                  <w:tcW w:w="507" w:type="pct"/>
                  <w:tcBorders>
                    <w:top w:val="single" w:color="auto" w:sz="4" w:space="0"/>
                    <w:left w:val="single" w:color="auto" w:sz="8" w:space="0"/>
                    <w:bottom w:val="single" w:color="auto" w:sz="8" w:space="0"/>
                    <w:right w:val="single" w:color="auto" w:sz="8" w:space="0"/>
                  </w:tcBorders>
                  <w:vAlign w:val="center"/>
                </w:tcPr>
                <w:p w14:paraId="797739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3.30</w:t>
                  </w:r>
                </w:p>
              </w:tc>
              <w:tc>
                <w:tcPr>
                  <w:tcW w:w="463" w:type="pct"/>
                  <w:tcBorders>
                    <w:top w:val="single" w:color="auto" w:sz="4" w:space="0"/>
                    <w:left w:val="single" w:color="auto" w:sz="8" w:space="0"/>
                    <w:bottom w:val="single" w:color="auto" w:sz="8" w:space="0"/>
                    <w:right w:val="nil"/>
                  </w:tcBorders>
                  <w:vAlign w:val="center"/>
                </w:tcPr>
                <w:p w14:paraId="193C3F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2E5DFD7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575B0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right w:val="single" w:color="auto" w:sz="8" w:space="0"/>
                  </w:tcBorders>
                  <w:vAlign w:val="center"/>
                </w:tcPr>
                <w:p w14:paraId="5E0E751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57A661A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8" w:space="0"/>
                    <w:right w:val="single" w:color="auto" w:sz="8" w:space="0"/>
                  </w:tcBorders>
                  <w:vAlign w:val="center"/>
                </w:tcPr>
                <w:p w14:paraId="61077F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54" w:type="pct"/>
                  <w:tcBorders>
                    <w:top w:val="single" w:color="auto" w:sz="4" w:space="0"/>
                    <w:left w:val="single" w:color="auto" w:sz="8" w:space="0"/>
                    <w:bottom w:val="single" w:color="auto" w:sz="8" w:space="0"/>
                    <w:right w:val="single" w:color="auto" w:sz="8" w:space="0"/>
                  </w:tcBorders>
                  <w:vAlign w:val="center"/>
                </w:tcPr>
                <w:p w14:paraId="3C9C32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52" w:type="pct"/>
                  <w:tcBorders>
                    <w:top w:val="single" w:color="auto" w:sz="4" w:space="0"/>
                    <w:left w:val="single" w:color="auto" w:sz="8" w:space="0"/>
                    <w:bottom w:val="single" w:color="auto" w:sz="8" w:space="0"/>
                    <w:right w:val="single" w:color="auto" w:sz="8" w:space="0"/>
                  </w:tcBorders>
                  <w:vAlign w:val="center"/>
                </w:tcPr>
                <w:p w14:paraId="7EB7BB4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60%</w:t>
                  </w:r>
                </w:p>
              </w:tc>
              <w:tc>
                <w:tcPr>
                  <w:tcW w:w="472" w:type="pct"/>
                  <w:tcBorders>
                    <w:top w:val="single" w:color="auto" w:sz="4" w:space="0"/>
                    <w:left w:val="single" w:color="auto" w:sz="8" w:space="0"/>
                    <w:bottom w:val="single" w:color="auto" w:sz="8" w:space="0"/>
                    <w:right w:val="single" w:color="auto" w:sz="8" w:space="0"/>
                  </w:tcBorders>
                  <w:vAlign w:val="center"/>
                </w:tcPr>
                <w:p w14:paraId="5D04C1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5" w:type="pct"/>
                  <w:tcBorders>
                    <w:top w:val="single" w:color="auto" w:sz="4" w:space="0"/>
                    <w:left w:val="single" w:color="auto" w:sz="8" w:space="0"/>
                    <w:bottom w:val="single" w:color="auto" w:sz="8" w:space="0"/>
                    <w:right w:val="single" w:color="auto" w:sz="8" w:space="0"/>
                  </w:tcBorders>
                  <w:vAlign w:val="center"/>
                </w:tcPr>
                <w:p w14:paraId="5E07BDF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07" w:type="pct"/>
                  <w:tcBorders>
                    <w:top w:val="single" w:color="auto" w:sz="4" w:space="0"/>
                    <w:left w:val="single" w:color="auto" w:sz="8" w:space="0"/>
                    <w:bottom w:val="single" w:color="auto" w:sz="8" w:space="0"/>
                    <w:right w:val="single" w:color="auto" w:sz="8" w:space="0"/>
                  </w:tcBorders>
                  <w:vAlign w:val="center"/>
                </w:tcPr>
                <w:p w14:paraId="5E25BA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63" w:type="pct"/>
                  <w:tcBorders>
                    <w:top w:val="single" w:color="auto" w:sz="4" w:space="0"/>
                    <w:left w:val="single" w:color="auto" w:sz="8" w:space="0"/>
                    <w:bottom w:val="single" w:color="auto" w:sz="8" w:space="0"/>
                    <w:right w:val="nil"/>
                  </w:tcBorders>
                  <w:vAlign w:val="center"/>
                </w:tcPr>
                <w:p w14:paraId="3AB3E13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746" w:type="pct"/>
                  <w:tcBorders>
                    <w:top w:val="single" w:color="auto" w:sz="4" w:space="0"/>
                    <w:left w:val="single" w:color="auto" w:sz="8" w:space="0"/>
                    <w:bottom w:val="single" w:color="auto" w:sz="8" w:space="0"/>
                    <w:right w:val="nil"/>
                  </w:tcBorders>
                  <w:vAlign w:val="center"/>
                </w:tcPr>
                <w:p w14:paraId="4F03ED3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6580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bottom w:val="single" w:color="auto" w:sz="8" w:space="0"/>
                    <w:right w:val="single" w:color="auto" w:sz="8" w:space="0"/>
                  </w:tcBorders>
                  <w:vAlign w:val="center"/>
                </w:tcPr>
                <w:p w14:paraId="09F4C62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71FB0188">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4B2832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298.16</w:t>
                  </w:r>
                </w:p>
              </w:tc>
              <w:tc>
                <w:tcPr>
                  <w:tcW w:w="767" w:type="dxa"/>
                  <w:tcBorders>
                    <w:top w:val="single" w:color="auto" w:sz="4" w:space="0"/>
                    <w:left w:val="single" w:color="auto" w:sz="8" w:space="0"/>
                    <w:bottom w:val="single" w:color="auto" w:sz="8" w:space="0"/>
                    <w:right w:val="single" w:color="auto" w:sz="8" w:space="0"/>
                  </w:tcBorders>
                  <w:vAlign w:val="center"/>
                </w:tcPr>
                <w:p w14:paraId="77956A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135.32</w:t>
                  </w:r>
                </w:p>
              </w:tc>
              <w:tc>
                <w:tcPr>
                  <w:tcW w:w="552" w:type="pct"/>
                  <w:tcBorders>
                    <w:top w:val="single" w:color="auto" w:sz="4" w:space="0"/>
                    <w:left w:val="single" w:color="auto" w:sz="8" w:space="0"/>
                    <w:bottom w:val="single" w:color="auto" w:sz="8" w:space="0"/>
                    <w:right w:val="single" w:color="auto" w:sz="8" w:space="0"/>
                  </w:tcBorders>
                  <w:vAlign w:val="center"/>
                </w:tcPr>
                <w:p w14:paraId="592951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w:t>
                  </w:r>
                </w:p>
              </w:tc>
              <w:tc>
                <w:tcPr>
                  <w:tcW w:w="472" w:type="pct"/>
                  <w:tcBorders>
                    <w:top w:val="single" w:color="auto" w:sz="4" w:space="0"/>
                    <w:left w:val="single" w:color="auto" w:sz="8" w:space="0"/>
                    <w:bottom w:val="single" w:color="auto" w:sz="8" w:space="0"/>
                    <w:right w:val="single" w:color="auto" w:sz="8" w:space="0"/>
                  </w:tcBorders>
                  <w:vAlign w:val="center"/>
                </w:tcPr>
                <w:p w14:paraId="6A668D8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19.28</w:t>
                  </w:r>
                </w:p>
              </w:tc>
              <w:tc>
                <w:tcPr>
                  <w:tcW w:w="445" w:type="pct"/>
                  <w:tcBorders>
                    <w:top w:val="single" w:color="auto" w:sz="4" w:space="0"/>
                    <w:left w:val="single" w:color="auto" w:sz="8" w:space="0"/>
                    <w:bottom w:val="single" w:color="auto" w:sz="8" w:space="0"/>
                    <w:right w:val="single" w:color="auto" w:sz="8" w:space="0"/>
                  </w:tcBorders>
                  <w:vAlign w:val="center"/>
                </w:tcPr>
                <w:p w14:paraId="0E9346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40.42</w:t>
                  </w:r>
                </w:p>
              </w:tc>
              <w:tc>
                <w:tcPr>
                  <w:tcW w:w="507" w:type="pct"/>
                  <w:tcBorders>
                    <w:top w:val="single" w:color="auto" w:sz="4" w:space="0"/>
                    <w:left w:val="single" w:color="auto" w:sz="8" w:space="0"/>
                    <w:bottom w:val="single" w:color="auto" w:sz="8" w:space="0"/>
                    <w:right w:val="single" w:color="auto" w:sz="8" w:space="0"/>
                  </w:tcBorders>
                  <w:vAlign w:val="center"/>
                </w:tcPr>
                <w:p w14:paraId="13BC599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3.30</w:t>
                  </w:r>
                </w:p>
              </w:tc>
              <w:tc>
                <w:tcPr>
                  <w:tcW w:w="463" w:type="pct"/>
                  <w:tcBorders>
                    <w:top w:val="single" w:color="auto" w:sz="4" w:space="0"/>
                    <w:left w:val="single" w:color="auto" w:sz="8" w:space="0"/>
                    <w:bottom w:val="single" w:color="auto" w:sz="8" w:space="0"/>
                    <w:right w:val="nil"/>
                  </w:tcBorders>
                  <w:vAlign w:val="center"/>
                </w:tcPr>
                <w:p w14:paraId="77396A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3D83B20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0</w:t>
                  </w:r>
                </w:p>
              </w:tc>
            </w:tr>
            <w:tr w14:paraId="7C71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restart"/>
                  <w:tcBorders>
                    <w:left w:val="nil"/>
                    <w:right w:val="single" w:color="auto" w:sz="8" w:space="0"/>
                  </w:tcBorders>
                  <w:vAlign w:val="center"/>
                </w:tcPr>
                <w:p w14:paraId="6DFA1C0C">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一体化设备（消毒池）</w:t>
                  </w:r>
                </w:p>
              </w:tc>
              <w:tc>
                <w:tcPr>
                  <w:tcW w:w="436" w:type="pct"/>
                  <w:tcBorders>
                    <w:top w:val="single" w:color="auto" w:sz="4" w:space="0"/>
                    <w:left w:val="single" w:color="auto" w:sz="8" w:space="0"/>
                    <w:bottom w:val="single" w:color="auto" w:sz="8" w:space="0"/>
                    <w:right w:val="single" w:color="auto" w:sz="8" w:space="0"/>
                  </w:tcBorders>
                  <w:vAlign w:val="center"/>
                </w:tcPr>
                <w:p w14:paraId="1ADCF92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进水</w:t>
                  </w:r>
                </w:p>
              </w:tc>
              <w:tc>
                <w:tcPr>
                  <w:tcW w:w="489" w:type="pct"/>
                  <w:tcBorders>
                    <w:top w:val="single" w:color="auto" w:sz="4" w:space="0"/>
                    <w:left w:val="single" w:color="auto" w:sz="8" w:space="0"/>
                    <w:bottom w:val="single" w:color="auto" w:sz="8" w:space="0"/>
                    <w:right w:val="single" w:color="auto" w:sz="8" w:space="0"/>
                  </w:tcBorders>
                  <w:vAlign w:val="center"/>
                </w:tcPr>
                <w:p w14:paraId="6AE41B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298.16</w:t>
                  </w:r>
                </w:p>
              </w:tc>
              <w:tc>
                <w:tcPr>
                  <w:tcW w:w="767" w:type="dxa"/>
                  <w:tcBorders>
                    <w:top w:val="single" w:color="auto" w:sz="4" w:space="0"/>
                    <w:left w:val="single" w:color="auto" w:sz="8" w:space="0"/>
                    <w:bottom w:val="single" w:color="auto" w:sz="8" w:space="0"/>
                    <w:right w:val="single" w:color="auto" w:sz="8" w:space="0"/>
                  </w:tcBorders>
                  <w:vAlign w:val="center"/>
                </w:tcPr>
                <w:p w14:paraId="0523A44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135.32</w:t>
                  </w:r>
                </w:p>
              </w:tc>
              <w:tc>
                <w:tcPr>
                  <w:tcW w:w="552" w:type="pct"/>
                  <w:tcBorders>
                    <w:top w:val="single" w:color="auto" w:sz="4" w:space="0"/>
                    <w:left w:val="single" w:color="auto" w:sz="8" w:space="0"/>
                    <w:bottom w:val="single" w:color="auto" w:sz="8" w:space="0"/>
                    <w:right w:val="single" w:color="auto" w:sz="8" w:space="0"/>
                  </w:tcBorders>
                  <w:vAlign w:val="center"/>
                </w:tcPr>
                <w:p w14:paraId="471146C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w:t>
                  </w:r>
                </w:p>
              </w:tc>
              <w:tc>
                <w:tcPr>
                  <w:tcW w:w="472" w:type="pct"/>
                  <w:tcBorders>
                    <w:top w:val="single" w:color="auto" w:sz="4" w:space="0"/>
                    <w:left w:val="single" w:color="auto" w:sz="8" w:space="0"/>
                    <w:bottom w:val="single" w:color="auto" w:sz="8" w:space="0"/>
                    <w:right w:val="single" w:color="auto" w:sz="8" w:space="0"/>
                  </w:tcBorders>
                  <w:vAlign w:val="center"/>
                </w:tcPr>
                <w:p w14:paraId="3DEEED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19.28</w:t>
                  </w:r>
                </w:p>
              </w:tc>
              <w:tc>
                <w:tcPr>
                  <w:tcW w:w="445" w:type="pct"/>
                  <w:tcBorders>
                    <w:top w:val="single" w:color="auto" w:sz="4" w:space="0"/>
                    <w:left w:val="single" w:color="auto" w:sz="8" w:space="0"/>
                    <w:bottom w:val="single" w:color="auto" w:sz="8" w:space="0"/>
                    <w:right w:val="single" w:color="auto" w:sz="8" w:space="0"/>
                  </w:tcBorders>
                  <w:vAlign w:val="center"/>
                </w:tcPr>
                <w:p w14:paraId="51A0BD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40.42</w:t>
                  </w:r>
                </w:p>
              </w:tc>
              <w:tc>
                <w:tcPr>
                  <w:tcW w:w="507" w:type="pct"/>
                  <w:tcBorders>
                    <w:top w:val="single" w:color="auto" w:sz="4" w:space="0"/>
                    <w:left w:val="single" w:color="auto" w:sz="8" w:space="0"/>
                    <w:bottom w:val="single" w:color="auto" w:sz="8" w:space="0"/>
                    <w:right w:val="single" w:color="auto" w:sz="8" w:space="0"/>
                  </w:tcBorders>
                  <w:vAlign w:val="center"/>
                </w:tcPr>
                <w:p w14:paraId="333E32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3.30</w:t>
                  </w:r>
                </w:p>
              </w:tc>
              <w:tc>
                <w:tcPr>
                  <w:tcW w:w="463" w:type="pct"/>
                  <w:tcBorders>
                    <w:top w:val="single" w:color="auto" w:sz="4" w:space="0"/>
                    <w:left w:val="single" w:color="auto" w:sz="8" w:space="0"/>
                    <w:bottom w:val="single" w:color="auto" w:sz="8" w:space="0"/>
                    <w:right w:val="nil"/>
                  </w:tcBorders>
                  <w:vAlign w:val="center"/>
                </w:tcPr>
                <w:p w14:paraId="626541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64D947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＞2.4×10</w:t>
                  </w:r>
                  <w:r>
                    <w:rPr>
                      <w:rFonts w:hint="default" w:ascii="Times New Roman" w:hAnsi="Times New Roman" w:eastAsia="宋体" w:cs="Times New Roman"/>
                      <w:color w:val="auto"/>
                      <w:kern w:val="0"/>
                      <w:sz w:val="18"/>
                      <w:szCs w:val="18"/>
                      <w:highlight w:val="none"/>
                      <w:u w:val="none"/>
                      <w:vertAlign w:val="superscript"/>
                      <w:lang w:val="en-US" w:eastAsia="zh-CN" w:bidi="ar"/>
                    </w:rPr>
                    <w:t>4</w:t>
                  </w:r>
                </w:p>
              </w:tc>
            </w:tr>
            <w:tr w14:paraId="1C174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right w:val="single" w:color="auto" w:sz="8" w:space="0"/>
                  </w:tcBorders>
                  <w:vAlign w:val="center"/>
                </w:tcPr>
                <w:p w14:paraId="0F41366F">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408FBC4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去除率</w:t>
                  </w:r>
                </w:p>
              </w:tc>
              <w:tc>
                <w:tcPr>
                  <w:tcW w:w="489" w:type="pct"/>
                  <w:tcBorders>
                    <w:top w:val="single" w:color="auto" w:sz="4" w:space="0"/>
                    <w:left w:val="single" w:color="auto" w:sz="8" w:space="0"/>
                    <w:bottom w:val="single" w:color="auto" w:sz="8" w:space="0"/>
                    <w:right w:val="single" w:color="auto" w:sz="8" w:space="0"/>
                  </w:tcBorders>
                  <w:vAlign w:val="center"/>
                </w:tcPr>
                <w:p w14:paraId="6D7FF63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54" w:type="pct"/>
                  <w:tcBorders>
                    <w:top w:val="single" w:color="auto" w:sz="4" w:space="0"/>
                    <w:left w:val="single" w:color="auto" w:sz="8" w:space="0"/>
                    <w:bottom w:val="single" w:color="auto" w:sz="8" w:space="0"/>
                    <w:right w:val="single" w:color="auto" w:sz="8" w:space="0"/>
                  </w:tcBorders>
                  <w:vAlign w:val="center"/>
                </w:tcPr>
                <w:p w14:paraId="7847D7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52" w:type="pct"/>
                  <w:tcBorders>
                    <w:top w:val="single" w:color="auto" w:sz="4" w:space="0"/>
                    <w:left w:val="single" w:color="auto" w:sz="8" w:space="0"/>
                    <w:bottom w:val="single" w:color="auto" w:sz="8" w:space="0"/>
                    <w:right w:val="single" w:color="auto" w:sz="8" w:space="0"/>
                  </w:tcBorders>
                  <w:vAlign w:val="center"/>
                </w:tcPr>
                <w:p w14:paraId="1BE3284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72" w:type="pct"/>
                  <w:tcBorders>
                    <w:top w:val="single" w:color="auto" w:sz="4" w:space="0"/>
                    <w:left w:val="single" w:color="auto" w:sz="8" w:space="0"/>
                    <w:bottom w:val="single" w:color="auto" w:sz="8" w:space="0"/>
                    <w:right w:val="single" w:color="auto" w:sz="8" w:space="0"/>
                  </w:tcBorders>
                  <w:vAlign w:val="center"/>
                </w:tcPr>
                <w:p w14:paraId="7D667C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45" w:type="pct"/>
                  <w:tcBorders>
                    <w:top w:val="single" w:color="auto" w:sz="4" w:space="0"/>
                    <w:left w:val="single" w:color="auto" w:sz="8" w:space="0"/>
                    <w:bottom w:val="single" w:color="auto" w:sz="8" w:space="0"/>
                    <w:right w:val="single" w:color="auto" w:sz="8" w:space="0"/>
                  </w:tcBorders>
                  <w:vAlign w:val="center"/>
                </w:tcPr>
                <w:p w14:paraId="56076E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507" w:type="pct"/>
                  <w:tcBorders>
                    <w:top w:val="single" w:color="auto" w:sz="4" w:space="0"/>
                    <w:left w:val="single" w:color="auto" w:sz="8" w:space="0"/>
                    <w:bottom w:val="single" w:color="auto" w:sz="8" w:space="0"/>
                    <w:right w:val="single" w:color="auto" w:sz="8" w:space="0"/>
                  </w:tcBorders>
                  <w:vAlign w:val="center"/>
                </w:tcPr>
                <w:p w14:paraId="471BD0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463" w:type="pct"/>
                  <w:tcBorders>
                    <w:top w:val="single" w:color="auto" w:sz="4" w:space="0"/>
                    <w:left w:val="single" w:color="auto" w:sz="8" w:space="0"/>
                    <w:bottom w:val="single" w:color="auto" w:sz="8" w:space="0"/>
                    <w:right w:val="nil"/>
                  </w:tcBorders>
                  <w:vAlign w:val="center"/>
                </w:tcPr>
                <w:p w14:paraId="374C46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0</w:t>
                  </w:r>
                </w:p>
              </w:tc>
              <w:tc>
                <w:tcPr>
                  <w:tcW w:w="746" w:type="pct"/>
                  <w:tcBorders>
                    <w:top w:val="single" w:color="auto" w:sz="4" w:space="0"/>
                    <w:left w:val="single" w:color="auto" w:sz="8" w:space="0"/>
                    <w:bottom w:val="single" w:color="auto" w:sz="8" w:space="0"/>
                    <w:right w:val="nil"/>
                  </w:tcBorders>
                  <w:vAlign w:val="center"/>
                </w:tcPr>
                <w:p w14:paraId="0E9C59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99.99%</w:t>
                  </w:r>
                </w:p>
              </w:tc>
            </w:tr>
            <w:tr w14:paraId="6C5F4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31" w:type="pct"/>
                  <w:vMerge w:val="continue"/>
                  <w:tcBorders>
                    <w:left w:val="nil"/>
                    <w:bottom w:val="single" w:color="auto" w:sz="8" w:space="0"/>
                    <w:right w:val="single" w:color="auto" w:sz="8" w:space="0"/>
                  </w:tcBorders>
                  <w:vAlign w:val="center"/>
                </w:tcPr>
                <w:p w14:paraId="35057105">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6522A84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出水</w:t>
                  </w:r>
                </w:p>
              </w:tc>
              <w:tc>
                <w:tcPr>
                  <w:tcW w:w="489" w:type="pct"/>
                  <w:tcBorders>
                    <w:top w:val="single" w:color="auto" w:sz="4" w:space="0"/>
                    <w:left w:val="single" w:color="auto" w:sz="8" w:space="0"/>
                    <w:bottom w:val="single" w:color="auto" w:sz="8" w:space="0"/>
                    <w:right w:val="single" w:color="auto" w:sz="8" w:space="0"/>
                  </w:tcBorders>
                  <w:vAlign w:val="center"/>
                </w:tcPr>
                <w:p w14:paraId="265100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298.16</w:t>
                  </w:r>
                </w:p>
              </w:tc>
              <w:tc>
                <w:tcPr>
                  <w:tcW w:w="767" w:type="dxa"/>
                  <w:tcBorders>
                    <w:top w:val="single" w:color="auto" w:sz="4" w:space="0"/>
                    <w:left w:val="single" w:color="auto" w:sz="8" w:space="0"/>
                    <w:bottom w:val="single" w:color="auto" w:sz="8" w:space="0"/>
                    <w:right w:val="single" w:color="auto" w:sz="8" w:space="0"/>
                  </w:tcBorders>
                  <w:vAlign w:val="center"/>
                </w:tcPr>
                <w:p w14:paraId="0CC2294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135.32</w:t>
                  </w:r>
                </w:p>
              </w:tc>
              <w:tc>
                <w:tcPr>
                  <w:tcW w:w="552" w:type="pct"/>
                  <w:tcBorders>
                    <w:top w:val="single" w:color="auto" w:sz="4" w:space="0"/>
                    <w:left w:val="single" w:color="auto" w:sz="8" w:space="0"/>
                    <w:bottom w:val="single" w:color="auto" w:sz="8" w:space="0"/>
                    <w:right w:val="single" w:color="auto" w:sz="8" w:space="0"/>
                  </w:tcBorders>
                  <w:vAlign w:val="center"/>
                </w:tcPr>
                <w:p w14:paraId="1AFFFE8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w:t>
                  </w:r>
                </w:p>
              </w:tc>
              <w:tc>
                <w:tcPr>
                  <w:tcW w:w="472" w:type="pct"/>
                  <w:tcBorders>
                    <w:top w:val="single" w:color="auto" w:sz="4" w:space="0"/>
                    <w:left w:val="single" w:color="auto" w:sz="8" w:space="0"/>
                    <w:bottom w:val="single" w:color="auto" w:sz="8" w:space="0"/>
                    <w:right w:val="single" w:color="auto" w:sz="8" w:space="0"/>
                  </w:tcBorders>
                  <w:vAlign w:val="center"/>
                </w:tcPr>
                <w:p w14:paraId="314FBC2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19.28</w:t>
                  </w:r>
                </w:p>
              </w:tc>
              <w:tc>
                <w:tcPr>
                  <w:tcW w:w="445" w:type="pct"/>
                  <w:tcBorders>
                    <w:top w:val="single" w:color="auto" w:sz="4" w:space="0"/>
                    <w:left w:val="single" w:color="auto" w:sz="8" w:space="0"/>
                    <w:bottom w:val="single" w:color="auto" w:sz="8" w:space="0"/>
                    <w:right w:val="single" w:color="auto" w:sz="8" w:space="0"/>
                  </w:tcBorders>
                  <w:vAlign w:val="center"/>
                </w:tcPr>
                <w:p w14:paraId="0742D81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40.42</w:t>
                  </w:r>
                </w:p>
              </w:tc>
              <w:tc>
                <w:tcPr>
                  <w:tcW w:w="507" w:type="pct"/>
                  <w:tcBorders>
                    <w:top w:val="single" w:color="auto" w:sz="4" w:space="0"/>
                    <w:left w:val="single" w:color="auto" w:sz="8" w:space="0"/>
                    <w:bottom w:val="single" w:color="auto" w:sz="8" w:space="0"/>
                    <w:right w:val="single" w:color="auto" w:sz="8" w:space="0"/>
                  </w:tcBorders>
                  <w:vAlign w:val="center"/>
                </w:tcPr>
                <w:p w14:paraId="0A1095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3.30</w:t>
                  </w:r>
                </w:p>
              </w:tc>
              <w:tc>
                <w:tcPr>
                  <w:tcW w:w="463" w:type="pct"/>
                  <w:tcBorders>
                    <w:top w:val="single" w:color="auto" w:sz="4" w:space="0"/>
                    <w:left w:val="single" w:color="auto" w:sz="8" w:space="0"/>
                    <w:bottom w:val="single" w:color="auto" w:sz="8" w:space="0"/>
                    <w:right w:val="nil"/>
                  </w:tcBorders>
                  <w:vAlign w:val="center"/>
                </w:tcPr>
                <w:p w14:paraId="3169F9D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4" w:space="0"/>
                    <w:left w:val="single" w:color="auto" w:sz="8" w:space="0"/>
                    <w:bottom w:val="single" w:color="auto" w:sz="8" w:space="0"/>
                    <w:right w:val="nil"/>
                  </w:tcBorders>
                  <w:vAlign w:val="center"/>
                </w:tcPr>
                <w:p w14:paraId="31C0CA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&lt;3个/L</w:t>
                  </w:r>
                </w:p>
              </w:tc>
            </w:tr>
            <w:tr w14:paraId="55A88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31" w:type="pct"/>
                  <w:vMerge w:val="restart"/>
                  <w:tcBorders>
                    <w:top w:val="single" w:color="auto" w:sz="8" w:space="0"/>
                    <w:left w:val="nil"/>
                    <w:right w:val="single" w:color="auto" w:sz="8" w:space="0"/>
                  </w:tcBorders>
                  <w:vAlign w:val="center"/>
                </w:tcPr>
                <w:p w14:paraId="1EB1F55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废水处理系统出水</w:t>
                  </w:r>
                </w:p>
              </w:tc>
              <w:tc>
                <w:tcPr>
                  <w:tcW w:w="436" w:type="pct"/>
                  <w:tcBorders>
                    <w:top w:val="single" w:color="auto" w:sz="8" w:space="0"/>
                    <w:left w:val="single" w:color="auto" w:sz="8" w:space="0"/>
                    <w:bottom w:val="single" w:color="auto" w:sz="4" w:space="0"/>
                    <w:right w:val="single" w:color="auto" w:sz="8" w:space="0"/>
                  </w:tcBorders>
                  <w:vAlign w:val="center"/>
                </w:tcPr>
                <w:p w14:paraId="601120F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系统出水</w:t>
                  </w:r>
                </w:p>
              </w:tc>
              <w:tc>
                <w:tcPr>
                  <w:tcW w:w="489" w:type="pct"/>
                  <w:tcBorders>
                    <w:top w:val="single" w:color="auto" w:sz="8" w:space="0"/>
                    <w:left w:val="single" w:color="auto" w:sz="8" w:space="0"/>
                    <w:bottom w:val="single" w:color="auto" w:sz="4" w:space="0"/>
                    <w:right w:val="single" w:color="auto" w:sz="8" w:space="0"/>
                  </w:tcBorders>
                  <w:vAlign w:val="center"/>
                </w:tcPr>
                <w:p w14:paraId="3736A26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298.16</w:t>
                  </w:r>
                </w:p>
              </w:tc>
              <w:tc>
                <w:tcPr>
                  <w:tcW w:w="767" w:type="dxa"/>
                  <w:tcBorders>
                    <w:top w:val="single" w:color="auto" w:sz="8" w:space="0"/>
                    <w:left w:val="single" w:color="auto" w:sz="8" w:space="0"/>
                    <w:bottom w:val="single" w:color="auto" w:sz="4" w:space="0"/>
                    <w:right w:val="single" w:color="auto" w:sz="8" w:space="0"/>
                  </w:tcBorders>
                  <w:vAlign w:val="center"/>
                </w:tcPr>
                <w:p w14:paraId="0276080C">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135.32</w:t>
                  </w:r>
                </w:p>
              </w:tc>
              <w:tc>
                <w:tcPr>
                  <w:tcW w:w="552" w:type="pct"/>
                  <w:tcBorders>
                    <w:top w:val="single" w:color="auto" w:sz="8" w:space="0"/>
                    <w:left w:val="single" w:color="auto" w:sz="8" w:space="0"/>
                    <w:bottom w:val="single" w:color="auto" w:sz="4" w:space="0"/>
                    <w:right w:val="single" w:color="auto" w:sz="8" w:space="0"/>
                  </w:tcBorders>
                  <w:vAlign w:val="center"/>
                </w:tcPr>
                <w:p w14:paraId="15B7E73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34.02</w:t>
                  </w:r>
                </w:p>
              </w:tc>
              <w:tc>
                <w:tcPr>
                  <w:tcW w:w="472" w:type="pct"/>
                  <w:tcBorders>
                    <w:top w:val="single" w:color="auto" w:sz="8" w:space="0"/>
                    <w:left w:val="single" w:color="auto" w:sz="8" w:space="0"/>
                    <w:bottom w:val="single" w:color="auto" w:sz="4" w:space="0"/>
                    <w:right w:val="single" w:color="auto" w:sz="8" w:space="0"/>
                  </w:tcBorders>
                  <w:vAlign w:val="center"/>
                </w:tcPr>
                <w:p w14:paraId="44D8D37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19.28</w:t>
                  </w:r>
                </w:p>
              </w:tc>
              <w:tc>
                <w:tcPr>
                  <w:tcW w:w="445" w:type="pct"/>
                  <w:tcBorders>
                    <w:top w:val="single" w:color="auto" w:sz="8" w:space="0"/>
                    <w:left w:val="single" w:color="auto" w:sz="8" w:space="0"/>
                    <w:bottom w:val="single" w:color="auto" w:sz="4" w:space="0"/>
                    <w:right w:val="single" w:color="auto" w:sz="8" w:space="0"/>
                  </w:tcBorders>
                  <w:vAlign w:val="center"/>
                </w:tcPr>
                <w:p w14:paraId="6204BB64">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40.42</w:t>
                  </w:r>
                </w:p>
              </w:tc>
              <w:tc>
                <w:tcPr>
                  <w:tcW w:w="507" w:type="pct"/>
                  <w:tcBorders>
                    <w:top w:val="single" w:color="auto" w:sz="8" w:space="0"/>
                    <w:left w:val="single" w:color="auto" w:sz="8" w:space="0"/>
                    <w:bottom w:val="single" w:color="auto" w:sz="4" w:space="0"/>
                    <w:right w:val="single" w:color="auto" w:sz="8" w:space="0"/>
                  </w:tcBorders>
                  <w:vAlign w:val="center"/>
                </w:tcPr>
                <w:p w14:paraId="4F0F1B6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3.30</w:t>
                  </w:r>
                </w:p>
              </w:tc>
              <w:tc>
                <w:tcPr>
                  <w:tcW w:w="463" w:type="pct"/>
                  <w:tcBorders>
                    <w:top w:val="single" w:color="auto" w:sz="8" w:space="0"/>
                    <w:left w:val="single" w:color="auto" w:sz="8" w:space="0"/>
                    <w:bottom w:val="single" w:color="auto" w:sz="4" w:space="0"/>
                    <w:right w:val="nil"/>
                  </w:tcBorders>
                  <w:vAlign w:val="center"/>
                </w:tcPr>
                <w:p w14:paraId="7725AC53">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11.20</w:t>
                  </w:r>
                </w:p>
              </w:tc>
              <w:tc>
                <w:tcPr>
                  <w:tcW w:w="746" w:type="pct"/>
                  <w:tcBorders>
                    <w:top w:val="single" w:color="auto" w:sz="8" w:space="0"/>
                    <w:left w:val="single" w:color="auto" w:sz="8" w:space="0"/>
                    <w:bottom w:val="single" w:color="auto" w:sz="4" w:space="0"/>
                    <w:right w:val="nil"/>
                  </w:tcBorders>
                  <w:vAlign w:val="center"/>
                </w:tcPr>
                <w:p w14:paraId="43883208">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&lt;3个/L</w:t>
                  </w:r>
                </w:p>
              </w:tc>
            </w:tr>
            <w:tr w14:paraId="4B08F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431" w:type="pct"/>
                  <w:vMerge w:val="continue"/>
                  <w:tcBorders>
                    <w:left w:val="nil"/>
                    <w:bottom w:val="single" w:color="auto" w:sz="8" w:space="0"/>
                    <w:right w:val="single" w:color="auto" w:sz="8" w:space="0"/>
                  </w:tcBorders>
                  <w:vAlign w:val="center"/>
                </w:tcPr>
                <w:p w14:paraId="4EC1D3A7">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p>
              </w:tc>
              <w:tc>
                <w:tcPr>
                  <w:tcW w:w="436" w:type="pct"/>
                  <w:tcBorders>
                    <w:top w:val="single" w:color="auto" w:sz="4" w:space="0"/>
                    <w:left w:val="single" w:color="auto" w:sz="8" w:space="0"/>
                    <w:bottom w:val="single" w:color="auto" w:sz="8" w:space="0"/>
                    <w:right w:val="single" w:color="auto" w:sz="8" w:space="0"/>
                  </w:tcBorders>
                  <w:vAlign w:val="center"/>
                </w:tcPr>
                <w:p w14:paraId="3BD77F7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国家标准</w:t>
                  </w:r>
                </w:p>
              </w:tc>
              <w:tc>
                <w:tcPr>
                  <w:tcW w:w="489" w:type="pct"/>
                  <w:tcBorders>
                    <w:top w:val="single" w:color="auto" w:sz="4" w:space="0"/>
                    <w:left w:val="single" w:color="auto" w:sz="8" w:space="0"/>
                    <w:bottom w:val="single" w:color="auto" w:sz="8" w:space="0"/>
                    <w:right w:val="single" w:color="auto" w:sz="8" w:space="0"/>
                  </w:tcBorders>
                  <w:shd w:val="clear" w:color="auto" w:fill="auto"/>
                  <w:vAlign w:val="center"/>
                </w:tcPr>
                <w:p w14:paraId="227010D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cs="Times New Roman"/>
                      <w:color w:val="auto"/>
                      <w:sz w:val="21"/>
                      <w:szCs w:val="21"/>
                      <w:highlight w:val="none"/>
                      <w:lang w:val="en-US" w:eastAsia="zh-CN" w:bidi="ar"/>
                    </w:rPr>
                    <w:t>500</w:t>
                  </w:r>
                </w:p>
              </w:tc>
              <w:tc>
                <w:tcPr>
                  <w:tcW w:w="454" w:type="pct"/>
                  <w:tcBorders>
                    <w:top w:val="single" w:color="auto" w:sz="4" w:space="0"/>
                    <w:left w:val="single" w:color="auto" w:sz="8" w:space="0"/>
                    <w:bottom w:val="single" w:color="auto" w:sz="8" w:space="0"/>
                    <w:right w:val="single" w:color="auto" w:sz="8" w:space="0"/>
                  </w:tcBorders>
                  <w:shd w:val="clear" w:color="auto" w:fill="auto"/>
                  <w:vAlign w:val="center"/>
                </w:tcPr>
                <w:p w14:paraId="0CF7DE3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cs="Times New Roman"/>
                      <w:color w:val="auto"/>
                      <w:sz w:val="21"/>
                      <w:szCs w:val="21"/>
                      <w:highlight w:val="none"/>
                      <w:lang w:val="en-US" w:eastAsia="zh-CN" w:bidi="ar"/>
                    </w:rPr>
                    <w:t>300</w:t>
                  </w:r>
                </w:p>
              </w:tc>
              <w:tc>
                <w:tcPr>
                  <w:tcW w:w="552" w:type="pct"/>
                  <w:tcBorders>
                    <w:top w:val="single" w:color="auto" w:sz="4" w:space="0"/>
                    <w:left w:val="single" w:color="auto" w:sz="8" w:space="0"/>
                    <w:bottom w:val="single" w:color="auto" w:sz="8" w:space="0"/>
                    <w:right w:val="single" w:color="auto" w:sz="8" w:space="0"/>
                  </w:tcBorders>
                  <w:shd w:val="clear" w:color="auto" w:fill="auto"/>
                  <w:vAlign w:val="center"/>
                </w:tcPr>
                <w:p w14:paraId="4EFAD55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cs="Times New Roman"/>
                      <w:color w:val="auto"/>
                      <w:sz w:val="21"/>
                      <w:szCs w:val="21"/>
                      <w:highlight w:val="none"/>
                      <w:lang w:val="en-US" w:eastAsia="zh-CN" w:bidi="ar"/>
                    </w:rPr>
                    <w:t>400</w:t>
                  </w:r>
                </w:p>
              </w:tc>
              <w:tc>
                <w:tcPr>
                  <w:tcW w:w="472" w:type="pct"/>
                  <w:tcBorders>
                    <w:top w:val="single" w:color="auto" w:sz="4" w:space="0"/>
                    <w:left w:val="single" w:color="auto" w:sz="8" w:space="0"/>
                    <w:bottom w:val="single" w:color="auto" w:sz="8" w:space="0"/>
                    <w:right w:val="single" w:color="auto" w:sz="8" w:space="0"/>
                  </w:tcBorders>
                  <w:shd w:val="clear" w:color="auto" w:fill="auto"/>
                  <w:vAlign w:val="center"/>
                </w:tcPr>
                <w:p w14:paraId="155DF5F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445" w:type="pct"/>
                  <w:tcBorders>
                    <w:top w:val="single" w:color="auto" w:sz="4" w:space="0"/>
                    <w:left w:val="single" w:color="auto" w:sz="8" w:space="0"/>
                    <w:bottom w:val="single" w:color="auto" w:sz="8" w:space="0"/>
                    <w:right w:val="single" w:color="auto" w:sz="8" w:space="0"/>
                  </w:tcBorders>
                  <w:shd w:val="clear" w:color="auto" w:fill="auto"/>
                  <w:vAlign w:val="center"/>
                </w:tcPr>
                <w:p w14:paraId="5F3D35F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507" w:type="pct"/>
                  <w:tcBorders>
                    <w:top w:val="single" w:color="auto" w:sz="4" w:space="0"/>
                    <w:left w:val="single" w:color="auto" w:sz="8" w:space="0"/>
                    <w:bottom w:val="single" w:color="auto" w:sz="8" w:space="0"/>
                    <w:right w:val="single" w:color="auto" w:sz="8" w:space="0"/>
                  </w:tcBorders>
                  <w:shd w:val="clear" w:color="auto" w:fill="auto"/>
                  <w:vAlign w:val="center"/>
                </w:tcPr>
                <w:p w14:paraId="54B1312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w:t>
                  </w:r>
                </w:p>
              </w:tc>
              <w:tc>
                <w:tcPr>
                  <w:tcW w:w="463" w:type="pct"/>
                  <w:tcBorders>
                    <w:top w:val="single" w:color="auto" w:sz="4" w:space="0"/>
                    <w:left w:val="single" w:color="auto" w:sz="8" w:space="0"/>
                    <w:bottom w:val="single" w:color="auto" w:sz="8" w:space="0"/>
                    <w:right w:val="nil"/>
                  </w:tcBorders>
                  <w:shd w:val="clear" w:color="auto" w:fill="auto"/>
                  <w:vAlign w:val="center"/>
                </w:tcPr>
                <w:p w14:paraId="47766FC8">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cs="Times New Roman"/>
                      <w:color w:val="auto"/>
                      <w:sz w:val="21"/>
                      <w:szCs w:val="21"/>
                      <w:highlight w:val="none"/>
                      <w:lang w:val="en-US" w:eastAsia="zh-CN" w:bidi="ar"/>
                    </w:rPr>
                    <w:t>60</w:t>
                  </w:r>
                </w:p>
              </w:tc>
              <w:tc>
                <w:tcPr>
                  <w:tcW w:w="746" w:type="pct"/>
                  <w:tcBorders>
                    <w:top w:val="single" w:color="auto" w:sz="4" w:space="0"/>
                    <w:left w:val="single" w:color="auto" w:sz="8" w:space="0"/>
                    <w:bottom w:val="single" w:color="auto" w:sz="8" w:space="0"/>
                    <w:right w:val="nil"/>
                  </w:tcBorders>
                  <w:shd w:val="clear" w:color="auto" w:fill="auto"/>
                  <w:vAlign w:val="center"/>
                </w:tcPr>
                <w:p w14:paraId="6DDA3A92">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u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w:t>
                  </w:r>
                </w:p>
              </w:tc>
            </w:tr>
            <w:tr w14:paraId="6630B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68" w:type="pct"/>
                  <w:gridSpan w:val="2"/>
                  <w:tcBorders>
                    <w:top w:val="single" w:color="auto" w:sz="8" w:space="0"/>
                    <w:left w:val="nil"/>
                    <w:bottom w:val="single" w:color="auto" w:sz="12" w:space="0"/>
                    <w:right w:val="single" w:color="auto" w:sz="8" w:space="0"/>
                  </w:tcBorders>
                  <w:vAlign w:val="center"/>
                </w:tcPr>
                <w:p w14:paraId="19407154">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达标情况</w:t>
                  </w:r>
                </w:p>
              </w:tc>
              <w:tc>
                <w:tcPr>
                  <w:tcW w:w="489" w:type="pct"/>
                  <w:tcBorders>
                    <w:top w:val="single" w:color="auto" w:sz="8" w:space="0"/>
                    <w:left w:val="single" w:color="auto" w:sz="8" w:space="0"/>
                    <w:bottom w:val="single" w:color="auto" w:sz="12" w:space="0"/>
                    <w:right w:val="single" w:color="auto" w:sz="8" w:space="0"/>
                  </w:tcBorders>
                  <w:vAlign w:val="center"/>
                </w:tcPr>
                <w:p w14:paraId="7774035B">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454" w:type="pct"/>
                  <w:tcBorders>
                    <w:top w:val="single" w:color="auto" w:sz="8" w:space="0"/>
                    <w:left w:val="single" w:color="auto" w:sz="8" w:space="0"/>
                    <w:bottom w:val="single" w:color="auto" w:sz="12" w:space="0"/>
                    <w:right w:val="single" w:color="auto" w:sz="8" w:space="0"/>
                  </w:tcBorders>
                  <w:vAlign w:val="center"/>
                </w:tcPr>
                <w:p w14:paraId="6B49D73F">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552" w:type="pct"/>
                  <w:tcBorders>
                    <w:top w:val="single" w:color="auto" w:sz="8" w:space="0"/>
                    <w:left w:val="single" w:color="auto" w:sz="8" w:space="0"/>
                    <w:bottom w:val="single" w:color="auto" w:sz="12" w:space="0"/>
                    <w:right w:val="single" w:color="auto" w:sz="8" w:space="0"/>
                  </w:tcBorders>
                  <w:vAlign w:val="center"/>
                </w:tcPr>
                <w:p w14:paraId="218B88F6">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472" w:type="pct"/>
                  <w:tcBorders>
                    <w:top w:val="single" w:color="auto" w:sz="8" w:space="0"/>
                    <w:left w:val="single" w:color="auto" w:sz="8" w:space="0"/>
                    <w:bottom w:val="single" w:color="auto" w:sz="12" w:space="0"/>
                    <w:right w:val="single" w:color="auto" w:sz="8" w:space="0"/>
                  </w:tcBorders>
                  <w:vAlign w:val="center"/>
                </w:tcPr>
                <w:p w14:paraId="36CB714E">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445" w:type="pct"/>
                  <w:tcBorders>
                    <w:top w:val="single" w:color="auto" w:sz="8" w:space="0"/>
                    <w:left w:val="single" w:color="auto" w:sz="8" w:space="0"/>
                    <w:bottom w:val="single" w:color="auto" w:sz="12" w:space="0"/>
                    <w:right w:val="single" w:color="auto" w:sz="8" w:space="0"/>
                  </w:tcBorders>
                  <w:vAlign w:val="center"/>
                </w:tcPr>
                <w:p w14:paraId="0CFB674D">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507" w:type="pct"/>
                  <w:tcBorders>
                    <w:top w:val="single" w:color="auto" w:sz="8" w:space="0"/>
                    <w:left w:val="single" w:color="auto" w:sz="8" w:space="0"/>
                    <w:bottom w:val="single" w:color="auto" w:sz="12" w:space="0"/>
                    <w:right w:val="single" w:color="auto" w:sz="8" w:space="0"/>
                  </w:tcBorders>
                  <w:vAlign w:val="center"/>
                </w:tcPr>
                <w:p w14:paraId="3C4AC6D5">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463" w:type="pct"/>
                  <w:tcBorders>
                    <w:top w:val="single" w:color="auto" w:sz="8" w:space="0"/>
                    <w:left w:val="single" w:color="auto" w:sz="8" w:space="0"/>
                    <w:bottom w:val="single" w:color="auto" w:sz="12" w:space="0"/>
                    <w:right w:val="nil"/>
                  </w:tcBorders>
                  <w:vAlign w:val="center"/>
                </w:tcPr>
                <w:p w14:paraId="20E8B4A1">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c>
                <w:tcPr>
                  <w:tcW w:w="746" w:type="pct"/>
                  <w:tcBorders>
                    <w:top w:val="single" w:color="auto" w:sz="8" w:space="0"/>
                    <w:left w:val="single" w:color="auto" w:sz="8" w:space="0"/>
                    <w:bottom w:val="single" w:color="auto" w:sz="12" w:space="0"/>
                    <w:right w:val="nil"/>
                  </w:tcBorders>
                  <w:vAlign w:val="center"/>
                </w:tcPr>
                <w:p w14:paraId="22D73BC2">
                  <w:pPr>
                    <w:keepNext w:val="0"/>
                    <w:keepLines w:val="0"/>
                    <w:widowControl/>
                    <w:suppressLineNumbers w:val="0"/>
                    <w:jc w:val="center"/>
                    <w:textAlignment w:val="center"/>
                    <w:rPr>
                      <w:rFonts w:hint="default" w:ascii="Times New Roman" w:hAnsi="Times New Roman" w:eastAsia="宋体" w:cs="Times New Roman"/>
                      <w:color w:val="auto"/>
                      <w:kern w:val="0"/>
                      <w:sz w:val="18"/>
                      <w:szCs w:val="18"/>
                      <w:highlight w:val="none"/>
                      <w:u w:val="none"/>
                      <w:lang w:val="en-US" w:eastAsia="zh-CN" w:bidi="ar"/>
                    </w:rPr>
                  </w:pPr>
                  <w:r>
                    <w:rPr>
                      <w:rFonts w:hint="default" w:ascii="Times New Roman" w:hAnsi="Times New Roman" w:eastAsia="宋体" w:cs="Times New Roman"/>
                      <w:color w:val="auto"/>
                      <w:kern w:val="0"/>
                      <w:sz w:val="18"/>
                      <w:szCs w:val="18"/>
                      <w:highlight w:val="none"/>
                      <w:u w:val="none"/>
                      <w:lang w:val="en-US" w:eastAsia="zh-CN" w:bidi="ar"/>
                    </w:rPr>
                    <w:t>达标</w:t>
                  </w:r>
                </w:p>
              </w:tc>
            </w:tr>
          </w:tbl>
          <w:p w14:paraId="5644A15D">
            <w:pPr>
              <w:spacing w:line="360" w:lineRule="auto"/>
              <w:ind w:firstLine="482" w:firstLineChars="200"/>
              <w:rPr>
                <w:rFonts w:hint="default" w:ascii="Times New Roman" w:hAnsi="Times New Roman" w:eastAsia="宋体" w:cs="Times New Roman"/>
                <w:b/>
                <w:bCs/>
                <w:color w:val="auto"/>
                <w:highlight w:val="none"/>
                <w:lang w:val="en-US"/>
              </w:rPr>
            </w:pPr>
            <w:r>
              <w:rPr>
                <w:rFonts w:hint="eastAsia" w:ascii="Times New Roman" w:hAnsi="Times New Roman" w:eastAsia="宋体" w:cs="Times New Roman"/>
                <w:b/>
                <w:bCs/>
                <w:color w:val="auto"/>
                <w:highlight w:val="none"/>
                <w:lang w:val="en-US" w:eastAsia="zh-CN"/>
              </w:rPr>
              <w:t>2）污水处理工艺可行性分析</w:t>
            </w:r>
          </w:p>
          <w:p w14:paraId="762E59E9">
            <w:pPr>
              <w:spacing w:line="360" w:lineRule="auto"/>
              <w:ind w:firstLine="480" w:firstLineChars="200"/>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经计算，项目进入污水处理站的废水量为4155.8m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/a，日均废水量为 11.386m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/d。污水处理站设计处理规模（15m</w:t>
            </w:r>
            <w:r>
              <w:rPr>
                <w:rFonts w:hint="eastAsia" w:ascii="Times New Roman" w:hAnsi="Times New Roman" w:eastAsia="宋体" w:cs="Times New Roman"/>
                <w:color w:val="auto"/>
                <w:kern w:val="2"/>
                <w:sz w:val="24"/>
                <w:szCs w:val="24"/>
                <w:highlight w:val="none"/>
                <w:vertAlign w:val="superscript"/>
                <w:lang w:val="en-US" w:eastAsia="zh-CN" w:bidi="ar-SA"/>
              </w:rPr>
              <w:t>3</w:t>
            </w:r>
            <w:r>
              <w:rPr>
                <w:rFonts w:hint="eastAsia" w:ascii="Times New Roman" w:hAnsi="Times New Roman" w:eastAsia="宋体" w:cs="Times New Roman"/>
                <w:color w:val="auto"/>
                <w:kern w:val="2"/>
                <w:sz w:val="24"/>
                <w:szCs w:val="24"/>
                <w:highlight w:val="none"/>
                <w:lang w:val="en-US" w:eastAsia="zh-CN" w:bidi="ar-SA"/>
              </w:rPr>
              <w:t>/d）大于废水产生量，能满足日常废水处理。根据《排污许可证申请与核发技术规范 农副食品加工工业-屠宰及肉类加工 工业》（HJ 860.3-2018）中表 7 屠宰及肉类加工工业排污单位废水治理可行 技术参照表，项目适合的可行技术具体见下表：</w:t>
            </w:r>
          </w:p>
          <w:p w14:paraId="75AA1D24">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屠宰及肉类加工工业排污单位废水治理可行性技术参照表</w:t>
            </w:r>
          </w:p>
          <w:tbl>
            <w:tblPr>
              <w:tblStyle w:val="33"/>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9"/>
              <w:gridCol w:w="1352"/>
              <w:gridCol w:w="1213"/>
              <w:gridCol w:w="1213"/>
              <w:gridCol w:w="1091"/>
              <w:gridCol w:w="2081"/>
            </w:tblGrid>
            <w:tr w14:paraId="21460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pct"/>
                  <w:tcBorders>
                    <w:top w:val="single" w:color="auto" w:sz="12" w:space="0"/>
                    <w:left w:val="nil"/>
                    <w:bottom w:val="single" w:color="auto" w:sz="8" w:space="0"/>
                    <w:right w:val="single" w:color="auto" w:sz="8" w:space="0"/>
                  </w:tcBorders>
                  <w:vAlign w:val="center"/>
                </w:tcPr>
                <w:p w14:paraId="593C67CA">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废水类型</w:t>
                  </w:r>
                </w:p>
              </w:tc>
              <w:tc>
                <w:tcPr>
                  <w:tcW w:w="806" w:type="pct"/>
                  <w:tcBorders>
                    <w:top w:val="single" w:color="auto" w:sz="12" w:space="0"/>
                    <w:left w:val="single" w:color="auto" w:sz="8" w:space="0"/>
                    <w:bottom w:val="single" w:color="auto" w:sz="8" w:space="0"/>
                    <w:right w:val="single" w:color="auto" w:sz="8" w:space="0"/>
                  </w:tcBorders>
                  <w:vAlign w:val="center"/>
                </w:tcPr>
                <w:p w14:paraId="20771B09">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污染物控制指标</w:t>
                  </w:r>
                </w:p>
              </w:tc>
              <w:tc>
                <w:tcPr>
                  <w:tcW w:w="723" w:type="pct"/>
                  <w:tcBorders>
                    <w:top w:val="single" w:color="auto" w:sz="12" w:space="0"/>
                    <w:left w:val="single" w:color="000000" w:sz="8" w:space="0"/>
                    <w:bottom w:val="single" w:color="auto" w:sz="8" w:space="0"/>
                    <w:right w:val="single" w:color="auto" w:sz="8" w:space="0"/>
                  </w:tcBorders>
                  <w:vAlign w:val="center"/>
                </w:tcPr>
                <w:p w14:paraId="07D738C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排放方式</w:t>
                  </w:r>
                </w:p>
              </w:tc>
              <w:tc>
                <w:tcPr>
                  <w:tcW w:w="723" w:type="pct"/>
                  <w:tcBorders>
                    <w:top w:val="single" w:color="auto" w:sz="12" w:space="0"/>
                    <w:left w:val="single" w:color="000000" w:sz="8" w:space="0"/>
                    <w:bottom w:val="single" w:color="auto" w:sz="8" w:space="0"/>
                    <w:right w:val="single" w:color="auto" w:sz="8" w:space="0"/>
                  </w:tcBorders>
                  <w:vAlign w:val="center"/>
                </w:tcPr>
                <w:p w14:paraId="17E4FABC">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排放监控位置</w:t>
                  </w:r>
                </w:p>
              </w:tc>
              <w:tc>
                <w:tcPr>
                  <w:tcW w:w="650" w:type="pct"/>
                  <w:tcBorders>
                    <w:top w:val="single" w:color="auto" w:sz="12" w:space="0"/>
                    <w:left w:val="single" w:color="000000" w:sz="8" w:space="0"/>
                    <w:bottom w:val="single" w:color="auto" w:sz="8" w:space="0"/>
                    <w:right w:val="single" w:color="auto" w:sz="8" w:space="0"/>
                  </w:tcBorders>
                  <w:vAlign w:val="center"/>
                </w:tcPr>
                <w:p w14:paraId="46C3220E">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执行标准</w:t>
                  </w:r>
                </w:p>
              </w:tc>
              <w:tc>
                <w:tcPr>
                  <w:tcW w:w="1237" w:type="pct"/>
                  <w:tcBorders>
                    <w:top w:val="single" w:color="auto" w:sz="12" w:space="0"/>
                    <w:left w:val="single" w:color="auto" w:sz="8" w:space="0"/>
                    <w:bottom w:val="single" w:color="auto" w:sz="8" w:space="0"/>
                    <w:right w:val="nil"/>
                  </w:tcBorders>
                  <w:vAlign w:val="center"/>
                </w:tcPr>
                <w:p w14:paraId="1CC3704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可行技术</w:t>
                  </w:r>
                  <w:r>
                    <w:rPr>
                      <w:rFonts w:hint="default" w:ascii="Times New Roman" w:hAnsi="Times New Roman" w:eastAsia="宋体" w:cs="Times New Roman"/>
                      <w:color w:val="auto"/>
                      <w:kern w:val="0"/>
                      <w:sz w:val="21"/>
                      <w:szCs w:val="21"/>
                      <w:highlight w:val="none"/>
                      <w:u w:val="none"/>
                      <w:lang w:val="en-US" w:eastAsia="zh-CN" w:bidi="ar"/>
                    </w:rPr>
                    <w:t>a</w:t>
                  </w:r>
                </w:p>
              </w:tc>
            </w:tr>
            <w:tr w14:paraId="5EDB2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58" w:type="pct"/>
                  <w:tcBorders>
                    <w:top w:val="single" w:color="auto" w:sz="8" w:space="0"/>
                    <w:left w:val="nil"/>
                    <w:bottom w:val="single" w:color="auto" w:sz="8" w:space="0"/>
                    <w:right w:val="single" w:color="auto" w:sz="8" w:space="0"/>
                  </w:tcBorders>
                  <w:vAlign w:val="center"/>
                </w:tcPr>
                <w:p w14:paraId="2754C2F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厂内综合污水处理站的</w:t>
                  </w:r>
                </w:p>
                <w:p w14:paraId="7F1D6EF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综合污水</w:t>
                  </w:r>
                </w:p>
              </w:tc>
              <w:tc>
                <w:tcPr>
                  <w:tcW w:w="806" w:type="pct"/>
                  <w:tcBorders>
                    <w:top w:val="single" w:color="auto" w:sz="8" w:space="0"/>
                    <w:left w:val="single" w:color="auto" w:sz="8" w:space="0"/>
                    <w:bottom w:val="single" w:color="auto" w:sz="8" w:space="0"/>
                    <w:right w:val="single" w:color="auto" w:sz="8" w:space="0"/>
                  </w:tcBorders>
                  <w:shd w:val="clear" w:color="auto" w:fill="auto"/>
                  <w:vAlign w:val="center"/>
                </w:tcPr>
                <w:p w14:paraId="14FF8C8D">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pH值、化学需氧量、五日生化需氧量、悬浮物、氨氮、动植物油、磷酸盐</w:t>
                  </w:r>
                </w:p>
              </w:tc>
              <w:tc>
                <w:tcPr>
                  <w:tcW w:w="723" w:type="pct"/>
                  <w:tcBorders>
                    <w:top w:val="single" w:color="auto" w:sz="8" w:space="0"/>
                    <w:left w:val="single" w:color="auto" w:sz="8" w:space="0"/>
                    <w:bottom w:val="single" w:color="auto" w:sz="8" w:space="0"/>
                    <w:right w:val="single" w:color="auto" w:sz="8" w:space="0"/>
                  </w:tcBorders>
                  <w:vAlign w:val="center"/>
                </w:tcPr>
                <w:p w14:paraId="3280F0CF">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间接排放</w:t>
                  </w:r>
                </w:p>
              </w:tc>
              <w:tc>
                <w:tcPr>
                  <w:tcW w:w="723" w:type="pct"/>
                  <w:tcBorders>
                    <w:top w:val="single" w:color="auto" w:sz="8" w:space="0"/>
                    <w:left w:val="single" w:color="auto" w:sz="8" w:space="0"/>
                    <w:bottom w:val="single" w:color="auto" w:sz="8" w:space="0"/>
                    <w:right w:val="single" w:color="auto" w:sz="8" w:space="0"/>
                  </w:tcBorders>
                  <w:vAlign w:val="center"/>
                </w:tcPr>
                <w:p w14:paraId="10C2A027">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废水总排放口</w:t>
                  </w:r>
                </w:p>
              </w:tc>
              <w:tc>
                <w:tcPr>
                  <w:tcW w:w="650" w:type="pct"/>
                  <w:tcBorders>
                    <w:top w:val="single" w:color="auto" w:sz="8" w:space="0"/>
                    <w:left w:val="single" w:color="auto" w:sz="8" w:space="0"/>
                    <w:bottom w:val="single" w:color="auto" w:sz="8" w:space="0"/>
                    <w:right w:val="single" w:color="auto" w:sz="8" w:space="0"/>
                  </w:tcBorders>
                  <w:vAlign w:val="center"/>
                </w:tcPr>
                <w:p w14:paraId="093893DE">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排入城镇污水集中处理设施：执行GB 13457的三级限值</w:t>
                  </w:r>
                </w:p>
              </w:tc>
              <w:tc>
                <w:tcPr>
                  <w:tcW w:w="1237" w:type="pct"/>
                  <w:tcBorders>
                    <w:top w:val="single" w:color="auto" w:sz="8" w:space="0"/>
                    <w:left w:val="single" w:color="auto" w:sz="8" w:space="0"/>
                    <w:bottom w:val="single" w:color="auto" w:sz="8" w:space="0"/>
                    <w:right w:val="nil"/>
                  </w:tcBorders>
                  <w:vAlign w:val="center"/>
                </w:tcPr>
                <w:p w14:paraId="18DAF89D">
                  <w:pPr>
                    <w:keepNext w:val="0"/>
                    <w:keepLines w:val="0"/>
                    <w:widowControl/>
                    <w:suppressLineNumbers w:val="0"/>
                    <w:jc w:val="left"/>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1）预处理：粗（细）格栅（禽类屠宰需设置专用的细格栅、水力筛或筛网）；平流或旋流式沉砂、竖流或辐流式沉淀、混凝沉淀；斜板或平流式隔油池；气浮。</w:t>
                  </w:r>
                </w:p>
                <w:p w14:paraId="60031F6F">
                  <w:pPr>
                    <w:keepNext w:val="0"/>
                    <w:keepLines w:val="0"/>
                    <w:widowControl/>
                    <w:suppressLineNumbers w:val="0"/>
                    <w:jc w:val="left"/>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2）生化法处理：升流式厌氧污泥床（UASB）；IC反应器或水解酸化技术；活性污泥法；氧化沟及其各类改型工艺。</w:t>
                  </w:r>
                </w:p>
              </w:tc>
            </w:tr>
            <w:tr w14:paraId="1E165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000" w:type="pct"/>
                  <w:gridSpan w:val="6"/>
                  <w:tcBorders>
                    <w:top w:val="single" w:color="auto" w:sz="8" w:space="0"/>
                    <w:left w:val="nil"/>
                    <w:right w:val="nil"/>
                  </w:tcBorders>
                  <w:vAlign w:val="center"/>
                </w:tcPr>
                <w:p w14:paraId="609A0286">
                  <w:pPr>
                    <w:keepNext w:val="0"/>
                    <w:keepLines w:val="0"/>
                    <w:widowControl/>
                    <w:suppressLineNumbers w:val="0"/>
                    <w:jc w:val="left"/>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注：a 排污单位针对排放的废水类别，至少应采取表中所列的措施之一。</w:t>
                  </w:r>
                </w:p>
              </w:tc>
            </w:tr>
          </w:tbl>
          <w:p w14:paraId="5B512172">
            <w:pPr>
              <w:spacing w:line="360" w:lineRule="auto"/>
              <w:ind w:firstLine="476" w:firstLineChars="200"/>
              <w:rPr>
                <w:rFonts w:hint="default" w:ascii="Times New Roman" w:hAnsi="Times New Roman" w:eastAsia="宋体" w:cs="Times New Roman"/>
                <w:color w:val="auto"/>
                <w:szCs w:val="20"/>
                <w:highlight w:val="none"/>
                <w:lang w:val="en-US" w:eastAsia="zh-CN" w:bidi="ar"/>
              </w:rPr>
            </w:pPr>
            <w:r>
              <w:rPr>
                <w:rFonts w:ascii="宋体" w:hAnsi="宋体" w:eastAsia="宋体" w:cs="宋体"/>
                <w:color w:val="auto"/>
                <w:spacing w:val="-1"/>
                <w:sz w:val="24"/>
                <w:szCs w:val="24"/>
                <w:highlight w:val="none"/>
              </w:rPr>
              <w:t>由上表可知，本项目所采用的废水处理工艺</w:t>
            </w:r>
            <w:r>
              <w:rPr>
                <w:rFonts w:hint="eastAsia" w:ascii="宋体" w:hAnsi="宋体" w:eastAsia="宋体" w:cs="宋体"/>
                <w:color w:val="auto"/>
                <w:spacing w:val="-1"/>
                <w:sz w:val="24"/>
                <w:szCs w:val="24"/>
                <w:highlight w:val="none"/>
                <w:lang w:eastAsia="zh-CN"/>
              </w:rPr>
              <w:t>（缺氧/好氧活性污泥法（A/O</w:t>
            </w:r>
            <w:r>
              <w:rPr>
                <w:rFonts w:hint="eastAsia" w:ascii="Times New Roman" w:hAnsi="Times New Roman" w:eastAsia="宋体" w:cs="Times New Roman"/>
                <w:color w:val="auto"/>
                <w:szCs w:val="20"/>
                <w:highlight w:val="none"/>
                <w:lang w:val="en-US" w:eastAsia="zh-CN" w:bidi="ar"/>
              </w:rPr>
              <w:t>法））</w:t>
            </w:r>
            <w:r>
              <w:rPr>
                <w:rFonts w:hint="default" w:ascii="Times New Roman" w:hAnsi="Times New Roman" w:eastAsia="宋体" w:cs="Times New Roman"/>
                <w:color w:val="auto"/>
                <w:szCs w:val="20"/>
                <w:highlight w:val="none"/>
                <w:lang w:val="en-US" w:eastAsia="zh-CN" w:bidi="ar"/>
              </w:rPr>
              <w:t>为可行技术。</w:t>
            </w:r>
          </w:p>
          <w:p w14:paraId="43743A81">
            <w:pPr>
              <w:spacing w:line="360" w:lineRule="auto"/>
              <w:ind w:firstLine="476" w:firstLineChars="200"/>
              <w:rPr>
                <w:rFonts w:ascii="宋体" w:hAnsi="宋体" w:eastAsia="宋体" w:cs="宋体"/>
                <w:color w:val="auto"/>
                <w:spacing w:val="-2"/>
                <w:sz w:val="24"/>
                <w:szCs w:val="24"/>
                <w:highlight w:val="none"/>
              </w:rPr>
            </w:pPr>
            <w:r>
              <w:rPr>
                <w:rFonts w:ascii="宋体" w:hAnsi="宋体" w:eastAsia="宋体" w:cs="宋体"/>
                <w:color w:val="auto"/>
                <w:spacing w:val="-1"/>
                <w:sz w:val="24"/>
                <w:szCs w:val="24"/>
                <w:highlight w:val="none"/>
              </w:rPr>
              <w:t>项目废水处理设施设计资料</w:t>
            </w:r>
            <w:r>
              <w:rPr>
                <w:rFonts w:hint="eastAsia" w:ascii="Times New Roman" w:hAnsi="Times New Roman" w:eastAsia="宋体" w:cs="Times New Roman"/>
                <w:color w:val="auto"/>
                <w:szCs w:val="20"/>
                <w:highlight w:val="none"/>
                <w:lang w:val="en-US" w:eastAsia="zh-CN" w:bidi="ar"/>
              </w:rPr>
              <w:t>，</w:t>
            </w:r>
            <w:r>
              <w:rPr>
                <w:rFonts w:ascii="宋体" w:hAnsi="宋体" w:eastAsia="宋体" w:cs="宋体"/>
                <w:color w:val="auto"/>
                <w:spacing w:val="-1"/>
                <w:sz w:val="24"/>
                <w:szCs w:val="24"/>
                <w:highlight w:val="none"/>
              </w:rPr>
              <w:t>本项目主要废水处理工序污</w:t>
            </w:r>
            <w:r>
              <w:rPr>
                <w:rFonts w:ascii="宋体" w:hAnsi="宋体" w:eastAsia="宋体" w:cs="宋体"/>
                <w:color w:val="auto"/>
                <w:spacing w:val="-2"/>
                <w:sz w:val="24"/>
                <w:szCs w:val="24"/>
                <w:highlight w:val="none"/>
              </w:rPr>
              <w:t>染物净化效率设计如下表：</w:t>
            </w:r>
          </w:p>
          <w:p w14:paraId="52D65770">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本项目全厂废水排放情况表</w:t>
            </w:r>
          </w:p>
          <w:tbl>
            <w:tblPr>
              <w:tblStyle w:val="3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045"/>
              <w:gridCol w:w="1045"/>
              <w:gridCol w:w="787"/>
              <w:gridCol w:w="1045"/>
              <w:gridCol w:w="787"/>
              <w:gridCol w:w="712"/>
              <w:gridCol w:w="795"/>
              <w:gridCol w:w="1330"/>
            </w:tblGrid>
            <w:tr w14:paraId="5A57D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6" w:type="pct"/>
                  <w:tcBorders>
                    <w:top w:val="single" w:color="auto" w:sz="12" w:space="0"/>
                    <w:left w:val="single" w:color="auto" w:sz="8" w:space="0"/>
                    <w:bottom w:val="single" w:color="auto" w:sz="8" w:space="0"/>
                    <w:right w:val="single" w:color="auto" w:sz="8" w:space="0"/>
                  </w:tcBorders>
                  <w:vAlign w:val="center"/>
                </w:tcPr>
                <w:p w14:paraId="776E942C">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eastAsia" w:ascii="Times New Roman" w:hAnsi="Times New Roman" w:eastAsia="宋体" w:cs="Times New Roman"/>
                      <w:b/>
                      <w:bCs/>
                      <w:color w:val="auto"/>
                      <w:kern w:val="0"/>
                      <w:sz w:val="21"/>
                      <w:szCs w:val="21"/>
                      <w:highlight w:val="none"/>
                      <w:u w:val="none"/>
                      <w:lang w:val="en-US" w:eastAsia="zh-CN" w:bidi="ar"/>
                    </w:rPr>
                    <w:t>污染物</w:t>
                  </w:r>
                </w:p>
              </w:tc>
              <w:tc>
                <w:tcPr>
                  <w:tcW w:w="622" w:type="pct"/>
                  <w:tcBorders>
                    <w:top w:val="single" w:color="auto" w:sz="12" w:space="0"/>
                    <w:left w:val="single" w:color="auto" w:sz="8" w:space="0"/>
                    <w:bottom w:val="single" w:color="auto" w:sz="8" w:space="0"/>
                    <w:right w:val="single" w:color="auto" w:sz="8" w:space="0"/>
                  </w:tcBorders>
                  <w:vAlign w:val="center"/>
                </w:tcPr>
                <w:p w14:paraId="748B3CC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COD</w:t>
                  </w:r>
                </w:p>
              </w:tc>
              <w:tc>
                <w:tcPr>
                  <w:tcW w:w="622" w:type="pct"/>
                  <w:tcBorders>
                    <w:top w:val="single" w:color="auto" w:sz="12" w:space="0"/>
                    <w:left w:val="single" w:color="auto" w:sz="8" w:space="0"/>
                    <w:bottom w:val="single" w:color="auto" w:sz="8" w:space="0"/>
                    <w:right w:val="single" w:color="auto" w:sz="8" w:space="0"/>
                  </w:tcBorders>
                  <w:vAlign w:val="center"/>
                </w:tcPr>
                <w:p w14:paraId="69D09912">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BOD</w:t>
                  </w:r>
                  <w:r>
                    <w:rPr>
                      <w:rFonts w:hint="default" w:ascii="Times New Roman" w:hAnsi="Times New Roman" w:eastAsia="宋体" w:cs="Times New Roman"/>
                      <w:b/>
                      <w:bCs/>
                      <w:color w:val="auto"/>
                      <w:kern w:val="0"/>
                      <w:sz w:val="21"/>
                      <w:szCs w:val="21"/>
                      <w:highlight w:val="none"/>
                      <w:u w:val="none"/>
                      <w:vertAlign w:val="subscript"/>
                      <w:lang w:val="en-US" w:eastAsia="zh-CN" w:bidi="ar"/>
                    </w:rPr>
                    <w:t>5</w:t>
                  </w:r>
                </w:p>
              </w:tc>
              <w:tc>
                <w:tcPr>
                  <w:tcW w:w="468" w:type="pct"/>
                  <w:tcBorders>
                    <w:top w:val="single" w:color="auto" w:sz="12" w:space="0"/>
                    <w:left w:val="single" w:color="auto" w:sz="8" w:space="0"/>
                    <w:bottom w:val="single" w:color="auto" w:sz="8" w:space="0"/>
                    <w:right w:val="single" w:color="auto" w:sz="8" w:space="0"/>
                  </w:tcBorders>
                  <w:vAlign w:val="center"/>
                </w:tcPr>
                <w:p w14:paraId="3157249C">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SS</w:t>
                  </w:r>
                </w:p>
              </w:tc>
              <w:tc>
                <w:tcPr>
                  <w:tcW w:w="622" w:type="pct"/>
                  <w:tcBorders>
                    <w:top w:val="single" w:color="auto" w:sz="12" w:space="0"/>
                    <w:left w:val="single" w:color="auto" w:sz="8" w:space="0"/>
                    <w:bottom w:val="single" w:color="auto" w:sz="8" w:space="0"/>
                    <w:right w:val="single" w:color="auto" w:sz="8" w:space="0"/>
                  </w:tcBorders>
                  <w:vAlign w:val="center"/>
                </w:tcPr>
                <w:p w14:paraId="592CA915">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NH3-N</w:t>
                  </w:r>
                </w:p>
              </w:tc>
              <w:tc>
                <w:tcPr>
                  <w:tcW w:w="468" w:type="pct"/>
                  <w:tcBorders>
                    <w:top w:val="single" w:color="auto" w:sz="12" w:space="0"/>
                    <w:left w:val="single" w:color="auto" w:sz="8" w:space="0"/>
                    <w:bottom w:val="single" w:color="auto" w:sz="8" w:space="0"/>
                    <w:right w:val="single" w:color="auto" w:sz="8" w:space="0"/>
                  </w:tcBorders>
                  <w:vAlign w:val="center"/>
                </w:tcPr>
                <w:p w14:paraId="7CE28F5B">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TN</w:t>
                  </w:r>
                </w:p>
              </w:tc>
              <w:tc>
                <w:tcPr>
                  <w:tcW w:w="424" w:type="pct"/>
                  <w:tcBorders>
                    <w:top w:val="single" w:color="auto" w:sz="12" w:space="0"/>
                    <w:left w:val="single" w:color="auto" w:sz="8" w:space="0"/>
                    <w:bottom w:val="single" w:color="auto" w:sz="8" w:space="0"/>
                    <w:right w:val="single" w:color="auto" w:sz="8" w:space="0"/>
                  </w:tcBorders>
                  <w:vAlign w:val="center"/>
                </w:tcPr>
                <w:p w14:paraId="0A4E994F">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TP</w:t>
                  </w:r>
                </w:p>
              </w:tc>
              <w:tc>
                <w:tcPr>
                  <w:tcW w:w="473" w:type="pct"/>
                  <w:tcBorders>
                    <w:top w:val="single" w:color="auto" w:sz="12" w:space="0"/>
                    <w:left w:val="single" w:color="auto" w:sz="8" w:space="0"/>
                    <w:bottom w:val="single" w:color="auto" w:sz="8" w:space="0"/>
                    <w:right w:val="nil"/>
                  </w:tcBorders>
                  <w:vAlign w:val="center"/>
                </w:tcPr>
                <w:p w14:paraId="4A868BB1">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动植物油</w:t>
                  </w:r>
                </w:p>
              </w:tc>
              <w:tc>
                <w:tcPr>
                  <w:tcW w:w="792" w:type="pct"/>
                  <w:tcBorders>
                    <w:top w:val="single" w:color="auto" w:sz="12" w:space="0"/>
                    <w:left w:val="single" w:color="auto" w:sz="8" w:space="0"/>
                    <w:bottom w:val="single" w:color="auto" w:sz="8" w:space="0"/>
                    <w:right w:val="nil"/>
                  </w:tcBorders>
                  <w:vAlign w:val="center"/>
                </w:tcPr>
                <w:p w14:paraId="33C90A76">
                  <w:pPr>
                    <w:keepNext w:val="0"/>
                    <w:keepLines w:val="0"/>
                    <w:widowControl/>
                    <w:suppressLineNumbers w:val="0"/>
                    <w:jc w:val="center"/>
                    <w:textAlignment w:val="center"/>
                    <w:rPr>
                      <w:rFonts w:hint="default" w:ascii="Times New Roman" w:hAnsi="Times New Roman" w:eastAsia="宋体" w:cs="Times New Roman"/>
                      <w:b/>
                      <w:bCs/>
                      <w:color w:val="auto"/>
                      <w:kern w:val="0"/>
                      <w:sz w:val="21"/>
                      <w:szCs w:val="21"/>
                      <w:highlight w:val="none"/>
                      <w:u w:val="none"/>
                      <w:lang w:val="en-US" w:eastAsia="zh-CN" w:bidi="ar"/>
                    </w:rPr>
                  </w:pPr>
                  <w:r>
                    <w:rPr>
                      <w:rFonts w:hint="default" w:ascii="Times New Roman" w:hAnsi="Times New Roman" w:eastAsia="宋体" w:cs="Times New Roman"/>
                      <w:b/>
                      <w:bCs/>
                      <w:color w:val="auto"/>
                      <w:kern w:val="0"/>
                      <w:sz w:val="21"/>
                      <w:szCs w:val="21"/>
                      <w:highlight w:val="none"/>
                      <w:u w:val="none"/>
                      <w:lang w:val="en-US" w:eastAsia="zh-CN" w:bidi="ar"/>
                    </w:rPr>
                    <w:t>大肠菌群数（MPN/L）</w:t>
                  </w:r>
                </w:p>
              </w:tc>
            </w:tr>
            <w:tr w14:paraId="482E2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6" w:type="pct"/>
                  <w:tcBorders>
                    <w:top w:val="single" w:color="auto" w:sz="8" w:space="0"/>
                    <w:left w:val="nil"/>
                    <w:bottom w:val="single" w:color="auto" w:sz="8" w:space="0"/>
                    <w:right w:val="single" w:color="auto" w:sz="8" w:space="0"/>
                  </w:tcBorders>
                  <w:vAlign w:val="center"/>
                </w:tcPr>
                <w:p w14:paraId="6E06250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进水</w:t>
                  </w: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622" w:type="pct"/>
                  <w:tcBorders>
                    <w:top w:val="single" w:color="auto" w:sz="8" w:space="0"/>
                    <w:left w:val="single" w:color="auto" w:sz="8" w:space="0"/>
                    <w:bottom w:val="single" w:color="auto" w:sz="8" w:space="0"/>
                    <w:right w:val="single" w:color="auto" w:sz="8" w:space="0"/>
                  </w:tcBorders>
                  <w:vAlign w:val="center"/>
                </w:tcPr>
                <w:p w14:paraId="21BF005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2070.57</w:t>
                  </w:r>
                </w:p>
              </w:tc>
              <w:tc>
                <w:tcPr>
                  <w:tcW w:w="622" w:type="pct"/>
                  <w:tcBorders>
                    <w:top w:val="single" w:color="auto" w:sz="8" w:space="0"/>
                    <w:left w:val="single" w:color="auto" w:sz="8" w:space="0"/>
                    <w:bottom w:val="single" w:color="auto" w:sz="8" w:space="0"/>
                    <w:right w:val="single" w:color="auto" w:sz="8" w:space="0"/>
                  </w:tcBorders>
                  <w:vAlign w:val="center"/>
                </w:tcPr>
                <w:p w14:paraId="0CDCA5C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939.75</w:t>
                  </w:r>
                </w:p>
              </w:tc>
              <w:tc>
                <w:tcPr>
                  <w:tcW w:w="468" w:type="pct"/>
                  <w:tcBorders>
                    <w:top w:val="single" w:color="auto" w:sz="8" w:space="0"/>
                    <w:left w:val="single" w:color="auto" w:sz="8" w:space="0"/>
                    <w:bottom w:val="single" w:color="auto" w:sz="8" w:space="0"/>
                    <w:right w:val="single" w:color="auto" w:sz="8" w:space="0"/>
                  </w:tcBorders>
                  <w:vAlign w:val="center"/>
                </w:tcPr>
                <w:p w14:paraId="6D79933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810.01</w:t>
                  </w:r>
                </w:p>
              </w:tc>
              <w:tc>
                <w:tcPr>
                  <w:tcW w:w="622" w:type="pct"/>
                  <w:tcBorders>
                    <w:top w:val="single" w:color="auto" w:sz="8" w:space="0"/>
                    <w:left w:val="single" w:color="auto" w:sz="8" w:space="0"/>
                    <w:bottom w:val="single" w:color="auto" w:sz="8" w:space="0"/>
                    <w:right w:val="single" w:color="auto" w:sz="8" w:space="0"/>
                  </w:tcBorders>
                  <w:vAlign w:val="center"/>
                </w:tcPr>
                <w:p w14:paraId="0FBDFFC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64.27</w:t>
                  </w:r>
                </w:p>
              </w:tc>
              <w:tc>
                <w:tcPr>
                  <w:tcW w:w="468" w:type="pct"/>
                  <w:tcBorders>
                    <w:top w:val="single" w:color="auto" w:sz="8" w:space="0"/>
                    <w:left w:val="single" w:color="auto" w:sz="8" w:space="0"/>
                    <w:bottom w:val="single" w:color="auto" w:sz="8" w:space="0"/>
                    <w:right w:val="single" w:color="auto" w:sz="8" w:space="0"/>
                  </w:tcBorders>
                  <w:vAlign w:val="center"/>
                </w:tcPr>
                <w:p w14:paraId="58A869D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161.67</w:t>
                  </w:r>
                </w:p>
              </w:tc>
              <w:tc>
                <w:tcPr>
                  <w:tcW w:w="424" w:type="pct"/>
                  <w:tcBorders>
                    <w:top w:val="single" w:color="auto" w:sz="8" w:space="0"/>
                    <w:left w:val="single" w:color="auto" w:sz="8" w:space="0"/>
                    <w:bottom w:val="single" w:color="auto" w:sz="8" w:space="0"/>
                    <w:right w:val="single" w:color="auto" w:sz="8" w:space="0"/>
                  </w:tcBorders>
                  <w:vAlign w:val="center"/>
                </w:tcPr>
                <w:p w14:paraId="28CCFFB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21.97</w:t>
                  </w:r>
                </w:p>
              </w:tc>
              <w:tc>
                <w:tcPr>
                  <w:tcW w:w="473" w:type="pct"/>
                  <w:tcBorders>
                    <w:top w:val="single" w:color="auto" w:sz="8" w:space="0"/>
                    <w:left w:val="single" w:color="auto" w:sz="8" w:space="0"/>
                    <w:bottom w:val="single" w:color="auto" w:sz="8" w:space="0"/>
                    <w:right w:val="nil"/>
                  </w:tcBorders>
                  <w:vAlign w:val="center"/>
                </w:tcPr>
                <w:p w14:paraId="79D90BB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111.98</w:t>
                  </w:r>
                </w:p>
              </w:tc>
              <w:tc>
                <w:tcPr>
                  <w:tcW w:w="792" w:type="pct"/>
                  <w:tcBorders>
                    <w:top w:val="single" w:color="auto" w:sz="8" w:space="0"/>
                    <w:left w:val="single" w:color="auto" w:sz="8" w:space="0"/>
                    <w:bottom w:val="single" w:color="auto" w:sz="8" w:space="0"/>
                    <w:right w:val="nil"/>
                  </w:tcBorders>
                  <w:vAlign w:val="center"/>
                </w:tcPr>
                <w:p w14:paraId="4E185AB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＞2.4×10</w:t>
                  </w:r>
                  <w:r>
                    <w:rPr>
                      <w:rFonts w:hint="default" w:ascii="Times New Roman" w:hAnsi="Times New Roman" w:eastAsia="宋体" w:cs="Times New Roman"/>
                      <w:color w:val="auto"/>
                      <w:kern w:val="0"/>
                      <w:sz w:val="21"/>
                      <w:szCs w:val="21"/>
                      <w:highlight w:val="none"/>
                      <w:u w:val="none"/>
                      <w:vertAlign w:val="superscript"/>
                      <w:lang w:val="en-US" w:eastAsia="zh-CN" w:bidi="ar"/>
                    </w:rPr>
                    <w:t>4</w:t>
                  </w:r>
                </w:p>
              </w:tc>
            </w:tr>
            <w:tr w14:paraId="45E92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506" w:type="pct"/>
                  <w:tcBorders>
                    <w:top w:val="single" w:color="auto" w:sz="8" w:space="0"/>
                    <w:left w:val="nil"/>
                    <w:bottom w:val="single" w:color="auto" w:sz="8" w:space="0"/>
                    <w:right w:val="single" w:color="auto" w:sz="8" w:space="0"/>
                  </w:tcBorders>
                  <w:vAlign w:val="center"/>
                </w:tcPr>
                <w:p w14:paraId="1D4B8E5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处理效率</w:t>
                  </w:r>
                </w:p>
              </w:tc>
              <w:tc>
                <w:tcPr>
                  <w:tcW w:w="622" w:type="pct"/>
                  <w:tcBorders>
                    <w:top w:val="single" w:color="auto" w:sz="8" w:space="0"/>
                    <w:left w:val="single" w:color="auto" w:sz="8" w:space="0"/>
                    <w:bottom w:val="single" w:color="auto" w:sz="8" w:space="0"/>
                    <w:right w:val="single" w:color="auto" w:sz="8" w:space="0"/>
                  </w:tcBorders>
                  <w:vAlign w:val="center"/>
                </w:tcPr>
                <w:p w14:paraId="0E3C045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85%-90%</w:t>
                  </w:r>
                </w:p>
              </w:tc>
              <w:tc>
                <w:tcPr>
                  <w:tcW w:w="622" w:type="pct"/>
                  <w:tcBorders>
                    <w:top w:val="single" w:color="auto" w:sz="8" w:space="0"/>
                    <w:left w:val="single" w:color="auto" w:sz="8" w:space="0"/>
                    <w:bottom w:val="single" w:color="auto" w:sz="8" w:space="0"/>
                    <w:right w:val="single" w:color="auto" w:sz="8" w:space="0"/>
                  </w:tcBorders>
                  <w:vAlign w:val="center"/>
                </w:tcPr>
                <w:p w14:paraId="38F0E8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85%-90%</w:t>
                  </w:r>
                </w:p>
              </w:tc>
              <w:tc>
                <w:tcPr>
                  <w:tcW w:w="468" w:type="pct"/>
                  <w:tcBorders>
                    <w:top w:val="single" w:color="auto" w:sz="8" w:space="0"/>
                    <w:left w:val="single" w:color="auto" w:sz="8" w:space="0"/>
                    <w:bottom w:val="single" w:color="auto" w:sz="8" w:space="0"/>
                    <w:right w:val="single" w:color="auto" w:sz="8" w:space="0"/>
                  </w:tcBorders>
                  <w:vAlign w:val="center"/>
                </w:tcPr>
                <w:p w14:paraId="496DCDD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&gt;95%</w:t>
                  </w:r>
                </w:p>
              </w:tc>
              <w:tc>
                <w:tcPr>
                  <w:tcW w:w="622" w:type="pct"/>
                  <w:tcBorders>
                    <w:top w:val="single" w:color="auto" w:sz="8" w:space="0"/>
                    <w:left w:val="single" w:color="auto" w:sz="8" w:space="0"/>
                    <w:bottom w:val="single" w:color="auto" w:sz="8" w:space="0"/>
                    <w:right w:val="single" w:color="auto" w:sz="8" w:space="0"/>
                  </w:tcBorders>
                  <w:vAlign w:val="center"/>
                </w:tcPr>
                <w:p w14:paraId="7A5559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70%-80%</w:t>
                  </w:r>
                </w:p>
              </w:tc>
              <w:tc>
                <w:tcPr>
                  <w:tcW w:w="468" w:type="pct"/>
                  <w:tcBorders>
                    <w:top w:val="single" w:color="auto" w:sz="8" w:space="0"/>
                    <w:left w:val="single" w:color="auto" w:sz="8" w:space="0"/>
                    <w:bottom w:val="single" w:color="auto" w:sz="8" w:space="0"/>
                    <w:right w:val="single" w:color="auto" w:sz="8" w:space="0"/>
                  </w:tcBorders>
                  <w:vAlign w:val="center"/>
                </w:tcPr>
                <w:p w14:paraId="74C5183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&gt;75%</w:t>
                  </w:r>
                </w:p>
              </w:tc>
              <w:tc>
                <w:tcPr>
                  <w:tcW w:w="424" w:type="pct"/>
                  <w:tcBorders>
                    <w:top w:val="single" w:color="auto" w:sz="8" w:space="0"/>
                    <w:left w:val="single" w:color="auto" w:sz="8" w:space="0"/>
                    <w:bottom w:val="single" w:color="auto" w:sz="8" w:space="0"/>
                    <w:right w:val="single" w:color="auto" w:sz="8" w:space="0"/>
                  </w:tcBorders>
                  <w:vAlign w:val="center"/>
                </w:tcPr>
                <w:p w14:paraId="06E7CD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&gt;85%</w:t>
                  </w:r>
                </w:p>
              </w:tc>
              <w:tc>
                <w:tcPr>
                  <w:tcW w:w="473" w:type="pct"/>
                  <w:tcBorders>
                    <w:top w:val="single" w:color="auto" w:sz="8" w:space="0"/>
                    <w:left w:val="single" w:color="auto" w:sz="8" w:space="0"/>
                    <w:bottom w:val="single" w:color="auto" w:sz="8" w:space="0"/>
                    <w:right w:val="nil"/>
                  </w:tcBorders>
                  <w:vAlign w:val="center"/>
                </w:tcPr>
                <w:p w14:paraId="7FE54A9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&gt;90%</w:t>
                  </w:r>
                </w:p>
              </w:tc>
              <w:tc>
                <w:tcPr>
                  <w:tcW w:w="792" w:type="pct"/>
                  <w:tcBorders>
                    <w:top w:val="single" w:color="auto" w:sz="8" w:space="0"/>
                    <w:left w:val="single" w:color="auto" w:sz="8" w:space="0"/>
                    <w:bottom w:val="single" w:color="auto" w:sz="8" w:space="0"/>
                    <w:right w:val="nil"/>
                  </w:tcBorders>
                  <w:vAlign w:val="center"/>
                </w:tcPr>
                <w:p w14:paraId="04DE14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99.99%</w:t>
                  </w:r>
                </w:p>
              </w:tc>
            </w:tr>
            <w:tr w14:paraId="1A7AB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506" w:type="pct"/>
                  <w:tcBorders>
                    <w:top w:val="single" w:color="auto" w:sz="8" w:space="0"/>
                    <w:left w:val="nil"/>
                    <w:bottom w:val="single" w:color="auto" w:sz="8" w:space="0"/>
                    <w:right w:val="single" w:color="auto" w:sz="8" w:space="0"/>
                  </w:tcBorders>
                  <w:vAlign w:val="center"/>
                </w:tcPr>
                <w:p w14:paraId="04B9BB6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本项目综合处理效率取值</w:t>
                  </w:r>
                </w:p>
              </w:tc>
              <w:tc>
                <w:tcPr>
                  <w:tcW w:w="1050" w:type="dxa"/>
                  <w:tcBorders>
                    <w:top w:val="single" w:color="auto" w:sz="8" w:space="0"/>
                    <w:left w:val="single" w:color="auto" w:sz="8" w:space="0"/>
                    <w:bottom w:val="single" w:color="auto" w:sz="8" w:space="0"/>
                    <w:right w:val="single" w:color="auto" w:sz="8" w:space="0"/>
                  </w:tcBorders>
                  <w:vAlign w:val="center"/>
                </w:tcPr>
                <w:p w14:paraId="2C379FF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86%</w:t>
                  </w:r>
                </w:p>
              </w:tc>
              <w:tc>
                <w:tcPr>
                  <w:tcW w:w="1050" w:type="dxa"/>
                  <w:tcBorders>
                    <w:top w:val="single" w:color="auto" w:sz="8" w:space="0"/>
                    <w:left w:val="single" w:color="auto" w:sz="8" w:space="0"/>
                    <w:bottom w:val="single" w:color="auto" w:sz="8" w:space="0"/>
                    <w:right w:val="single" w:color="auto" w:sz="8" w:space="0"/>
                  </w:tcBorders>
                  <w:vAlign w:val="center"/>
                </w:tcPr>
                <w:p w14:paraId="4D4F39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r>
                    <w:rPr>
                      <w:rFonts w:hint="eastAsia" w:ascii="Times New Roman" w:hAnsi="Times New Roman" w:eastAsia="宋体" w:cs="Times New Roman"/>
                      <w:i w:val="0"/>
                      <w:iCs w:val="0"/>
                      <w:color w:val="auto"/>
                      <w:kern w:val="0"/>
                      <w:sz w:val="21"/>
                      <w:szCs w:val="21"/>
                      <w:u w:val="none"/>
                      <w:lang w:val="en-US" w:eastAsia="zh-CN" w:bidi="ar"/>
                    </w:rPr>
                    <w:t>6</w:t>
                  </w:r>
                  <w:r>
                    <w:rPr>
                      <w:rFonts w:hint="default" w:ascii="Times New Roman" w:hAnsi="Times New Roman" w:eastAsia="宋体" w:cs="Times New Roman"/>
                      <w:i w:val="0"/>
                      <w:iCs w:val="0"/>
                      <w:color w:val="auto"/>
                      <w:kern w:val="0"/>
                      <w:sz w:val="21"/>
                      <w:szCs w:val="21"/>
                      <w:u w:val="none"/>
                      <w:lang w:val="en-US" w:eastAsia="zh-CN" w:bidi="ar"/>
                    </w:rPr>
                    <w:t>%</w:t>
                  </w:r>
                </w:p>
              </w:tc>
              <w:tc>
                <w:tcPr>
                  <w:tcW w:w="790" w:type="dxa"/>
                  <w:tcBorders>
                    <w:top w:val="single" w:color="auto" w:sz="8" w:space="0"/>
                    <w:left w:val="single" w:color="auto" w:sz="8" w:space="0"/>
                    <w:bottom w:val="single" w:color="auto" w:sz="8" w:space="0"/>
                    <w:right w:val="single" w:color="auto" w:sz="8" w:space="0"/>
                  </w:tcBorders>
                  <w:vAlign w:val="center"/>
                </w:tcPr>
                <w:p w14:paraId="38363C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w:t>
                  </w:r>
                </w:p>
              </w:tc>
              <w:tc>
                <w:tcPr>
                  <w:tcW w:w="1050" w:type="dxa"/>
                  <w:tcBorders>
                    <w:top w:val="single" w:color="auto" w:sz="8" w:space="0"/>
                    <w:left w:val="single" w:color="auto" w:sz="8" w:space="0"/>
                    <w:bottom w:val="single" w:color="auto" w:sz="8" w:space="0"/>
                    <w:right w:val="single" w:color="auto" w:sz="8" w:space="0"/>
                  </w:tcBorders>
                  <w:vAlign w:val="center"/>
                </w:tcPr>
                <w:p w14:paraId="1CDF93B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w:t>
                  </w:r>
                </w:p>
              </w:tc>
              <w:tc>
                <w:tcPr>
                  <w:tcW w:w="790" w:type="dxa"/>
                  <w:tcBorders>
                    <w:top w:val="single" w:color="auto" w:sz="8" w:space="0"/>
                    <w:left w:val="single" w:color="auto" w:sz="8" w:space="0"/>
                    <w:bottom w:val="single" w:color="auto" w:sz="8" w:space="0"/>
                    <w:right w:val="single" w:color="auto" w:sz="8" w:space="0"/>
                  </w:tcBorders>
                  <w:vAlign w:val="center"/>
                </w:tcPr>
                <w:p w14:paraId="7E45FB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75%</w:t>
                  </w:r>
                </w:p>
              </w:tc>
              <w:tc>
                <w:tcPr>
                  <w:tcW w:w="716" w:type="dxa"/>
                  <w:tcBorders>
                    <w:top w:val="single" w:color="auto" w:sz="8" w:space="0"/>
                    <w:left w:val="single" w:color="auto" w:sz="8" w:space="0"/>
                    <w:bottom w:val="single" w:color="auto" w:sz="8" w:space="0"/>
                    <w:right w:val="single" w:color="auto" w:sz="8" w:space="0"/>
                  </w:tcBorders>
                  <w:vAlign w:val="center"/>
                </w:tcPr>
                <w:p w14:paraId="474848D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w:t>
                  </w:r>
                </w:p>
              </w:tc>
              <w:tc>
                <w:tcPr>
                  <w:tcW w:w="790" w:type="dxa"/>
                  <w:tcBorders>
                    <w:top w:val="single" w:color="auto" w:sz="8" w:space="0"/>
                    <w:left w:val="single" w:color="auto" w:sz="8" w:space="0"/>
                    <w:bottom w:val="single" w:color="auto" w:sz="8" w:space="0"/>
                    <w:right w:val="nil"/>
                  </w:tcBorders>
                  <w:vAlign w:val="center"/>
                </w:tcPr>
                <w:p w14:paraId="0A0849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w:t>
                  </w:r>
                </w:p>
              </w:tc>
              <w:tc>
                <w:tcPr>
                  <w:tcW w:w="1308" w:type="dxa"/>
                  <w:tcBorders>
                    <w:top w:val="single" w:color="auto" w:sz="8" w:space="0"/>
                    <w:left w:val="single" w:color="auto" w:sz="8" w:space="0"/>
                    <w:bottom w:val="single" w:color="auto" w:sz="8" w:space="0"/>
                    <w:right w:val="nil"/>
                  </w:tcBorders>
                  <w:vAlign w:val="center"/>
                </w:tcPr>
                <w:p w14:paraId="0BF189A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99.99%</w:t>
                  </w:r>
                </w:p>
              </w:tc>
            </w:tr>
            <w:tr w14:paraId="7565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6" w:type="pct"/>
                  <w:tcBorders>
                    <w:top w:val="single" w:color="auto" w:sz="8" w:space="0"/>
                    <w:left w:val="nil"/>
                    <w:bottom w:val="single" w:color="auto" w:sz="8" w:space="0"/>
                    <w:right w:val="single" w:color="auto" w:sz="8" w:space="0"/>
                  </w:tcBorders>
                  <w:vAlign w:val="center"/>
                </w:tcPr>
                <w:p w14:paraId="6E6EC4A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出水</w:t>
                  </w:r>
                  <w:r>
                    <w:rPr>
                      <w:rFonts w:hint="default" w:ascii="Times New Roman" w:hAnsi="Times New Roman" w:eastAsia="宋体" w:cs="Times New Roman"/>
                      <w:color w:val="auto"/>
                      <w:kern w:val="0"/>
                      <w:sz w:val="21"/>
                      <w:szCs w:val="21"/>
                      <w:highlight w:val="none"/>
                      <w:u w:val="none"/>
                      <w:lang w:val="en-US" w:eastAsia="zh-CN" w:bidi="ar"/>
                    </w:rPr>
                    <w:t>浓度(mg/L</w:t>
                  </w:r>
                  <w:r>
                    <w:rPr>
                      <w:rFonts w:hint="eastAsia" w:cs="Times New Roman"/>
                      <w:color w:val="auto"/>
                      <w:kern w:val="0"/>
                      <w:sz w:val="21"/>
                      <w:szCs w:val="21"/>
                      <w:highlight w:val="none"/>
                      <w:u w:val="none"/>
                      <w:lang w:val="en-US" w:eastAsia="zh-CN" w:bidi="ar"/>
                    </w:rPr>
                    <w:t>）</w:t>
                  </w:r>
                </w:p>
              </w:tc>
              <w:tc>
                <w:tcPr>
                  <w:tcW w:w="1050" w:type="dxa"/>
                  <w:tcBorders>
                    <w:top w:val="single" w:color="auto" w:sz="8" w:space="0"/>
                    <w:left w:val="single" w:color="auto" w:sz="8" w:space="0"/>
                    <w:bottom w:val="single" w:color="auto" w:sz="8" w:space="0"/>
                    <w:right w:val="single" w:color="auto" w:sz="8" w:space="0"/>
                  </w:tcBorders>
                  <w:vAlign w:val="center"/>
                </w:tcPr>
                <w:p w14:paraId="42C9353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298.16</w:t>
                  </w:r>
                </w:p>
              </w:tc>
              <w:tc>
                <w:tcPr>
                  <w:tcW w:w="1050" w:type="dxa"/>
                  <w:tcBorders>
                    <w:top w:val="single" w:color="auto" w:sz="8" w:space="0"/>
                    <w:left w:val="single" w:color="auto" w:sz="8" w:space="0"/>
                    <w:bottom w:val="single" w:color="auto" w:sz="8" w:space="0"/>
                    <w:right w:val="single" w:color="auto" w:sz="8" w:space="0"/>
                  </w:tcBorders>
                  <w:vAlign w:val="center"/>
                </w:tcPr>
                <w:p w14:paraId="6DF8899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135.32</w:t>
                  </w:r>
                </w:p>
              </w:tc>
              <w:tc>
                <w:tcPr>
                  <w:tcW w:w="790" w:type="dxa"/>
                  <w:tcBorders>
                    <w:top w:val="single" w:color="auto" w:sz="8" w:space="0"/>
                    <w:left w:val="single" w:color="auto" w:sz="8" w:space="0"/>
                    <w:bottom w:val="single" w:color="auto" w:sz="8" w:space="0"/>
                    <w:right w:val="single" w:color="auto" w:sz="8" w:space="0"/>
                  </w:tcBorders>
                  <w:vAlign w:val="center"/>
                </w:tcPr>
                <w:p w14:paraId="6A90647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34.02</w:t>
                  </w:r>
                </w:p>
              </w:tc>
              <w:tc>
                <w:tcPr>
                  <w:tcW w:w="1050" w:type="dxa"/>
                  <w:tcBorders>
                    <w:top w:val="single" w:color="auto" w:sz="8" w:space="0"/>
                    <w:left w:val="single" w:color="auto" w:sz="8" w:space="0"/>
                    <w:bottom w:val="single" w:color="auto" w:sz="8" w:space="0"/>
                    <w:right w:val="single" w:color="auto" w:sz="8" w:space="0"/>
                  </w:tcBorders>
                  <w:vAlign w:val="center"/>
                </w:tcPr>
                <w:p w14:paraId="3A8F626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19.28</w:t>
                  </w:r>
                </w:p>
              </w:tc>
              <w:tc>
                <w:tcPr>
                  <w:tcW w:w="790" w:type="dxa"/>
                  <w:tcBorders>
                    <w:top w:val="single" w:color="auto" w:sz="8" w:space="0"/>
                    <w:left w:val="single" w:color="auto" w:sz="8" w:space="0"/>
                    <w:bottom w:val="single" w:color="auto" w:sz="8" w:space="0"/>
                    <w:right w:val="single" w:color="auto" w:sz="8" w:space="0"/>
                  </w:tcBorders>
                  <w:vAlign w:val="center"/>
                </w:tcPr>
                <w:p w14:paraId="2F9F46A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40.42</w:t>
                  </w:r>
                </w:p>
              </w:tc>
              <w:tc>
                <w:tcPr>
                  <w:tcW w:w="716" w:type="dxa"/>
                  <w:tcBorders>
                    <w:top w:val="single" w:color="auto" w:sz="8" w:space="0"/>
                    <w:left w:val="single" w:color="auto" w:sz="8" w:space="0"/>
                    <w:bottom w:val="single" w:color="auto" w:sz="8" w:space="0"/>
                    <w:right w:val="single" w:color="auto" w:sz="8" w:space="0"/>
                  </w:tcBorders>
                  <w:vAlign w:val="center"/>
                </w:tcPr>
                <w:p w14:paraId="3390D38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3.30</w:t>
                  </w:r>
                </w:p>
              </w:tc>
              <w:tc>
                <w:tcPr>
                  <w:tcW w:w="790" w:type="dxa"/>
                  <w:tcBorders>
                    <w:top w:val="single" w:color="auto" w:sz="8" w:space="0"/>
                    <w:left w:val="single" w:color="auto" w:sz="8" w:space="0"/>
                    <w:bottom w:val="single" w:color="auto" w:sz="8" w:space="0"/>
                    <w:right w:val="nil"/>
                  </w:tcBorders>
                  <w:vAlign w:val="center"/>
                </w:tcPr>
                <w:p w14:paraId="2B3CCFE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11.20</w:t>
                  </w:r>
                </w:p>
              </w:tc>
              <w:tc>
                <w:tcPr>
                  <w:tcW w:w="792" w:type="pct"/>
                  <w:tcBorders>
                    <w:top w:val="single" w:color="auto" w:sz="8" w:space="0"/>
                    <w:left w:val="single" w:color="auto" w:sz="8" w:space="0"/>
                    <w:bottom w:val="single" w:color="auto" w:sz="8" w:space="0"/>
                    <w:right w:val="nil"/>
                  </w:tcBorders>
                  <w:vAlign w:val="center"/>
                </w:tcPr>
                <w:p w14:paraId="6F1DC4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&lt;3个/L</w:t>
                  </w:r>
                </w:p>
              </w:tc>
            </w:tr>
            <w:tr w14:paraId="4BDBB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6" w:type="pct"/>
                  <w:tcBorders>
                    <w:top w:val="single" w:color="auto" w:sz="8" w:space="0"/>
                    <w:left w:val="nil"/>
                    <w:bottom w:val="single" w:color="auto" w:sz="8" w:space="0"/>
                    <w:right w:val="single" w:color="auto" w:sz="8" w:space="0"/>
                  </w:tcBorders>
                  <w:vAlign w:val="center"/>
                </w:tcPr>
                <w:p w14:paraId="2EA5B0B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污水处理厂进水要求</w:t>
                  </w:r>
                  <w:r>
                    <w:rPr>
                      <w:rFonts w:hint="default" w:ascii="Times New Roman" w:hAnsi="Times New Roman" w:eastAsia="宋体" w:cs="Times New Roman"/>
                      <w:color w:val="auto"/>
                      <w:kern w:val="0"/>
                      <w:sz w:val="21"/>
                      <w:szCs w:val="21"/>
                      <w:highlight w:val="none"/>
                      <w:u w:val="none"/>
                      <w:lang w:val="en-US" w:eastAsia="zh-CN" w:bidi="ar"/>
                    </w:rPr>
                    <w:t>(mg/L</w:t>
                  </w:r>
                  <w:r>
                    <w:rPr>
                      <w:rFonts w:hint="eastAsia" w:cs="Times New Roman"/>
                      <w:color w:val="auto"/>
                      <w:kern w:val="0"/>
                      <w:sz w:val="21"/>
                      <w:szCs w:val="21"/>
                      <w:highlight w:val="none"/>
                      <w:u w:val="none"/>
                      <w:lang w:val="en-US" w:eastAsia="zh-CN" w:bidi="ar"/>
                    </w:rPr>
                    <w:t>）</w:t>
                  </w:r>
                </w:p>
              </w:tc>
              <w:tc>
                <w:tcPr>
                  <w:tcW w:w="622" w:type="pct"/>
                  <w:tcBorders>
                    <w:top w:val="single" w:color="auto" w:sz="8" w:space="0"/>
                    <w:left w:val="single" w:color="auto" w:sz="8" w:space="0"/>
                    <w:bottom w:val="single" w:color="auto" w:sz="8" w:space="0"/>
                    <w:right w:val="single" w:color="auto" w:sz="8" w:space="0"/>
                  </w:tcBorders>
                  <w:vAlign w:val="center"/>
                </w:tcPr>
                <w:p w14:paraId="68719F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w:t>
                  </w:r>
                  <w:r>
                    <w:rPr>
                      <w:rFonts w:hint="eastAsia" w:cs="Times New Roman"/>
                      <w:color w:val="auto"/>
                      <w:kern w:val="0"/>
                      <w:sz w:val="21"/>
                      <w:szCs w:val="21"/>
                      <w:highlight w:val="none"/>
                      <w:u w:val="none"/>
                      <w:lang w:val="en-US" w:eastAsia="zh-CN" w:bidi="ar"/>
                    </w:rPr>
                    <w:t>20</w:t>
                  </w:r>
                </w:p>
              </w:tc>
              <w:tc>
                <w:tcPr>
                  <w:tcW w:w="622" w:type="pct"/>
                  <w:tcBorders>
                    <w:top w:val="single" w:color="auto" w:sz="8" w:space="0"/>
                    <w:left w:val="single" w:color="auto" w:sz="8" w:space="0"/>
                    <w:bottom w:val="single" w:color="auto" w:sz="8" w:space="0"/>
                    <w:right w:val="single" w:color="auto" w:sz="8" w:space="0"/>
                  </w:tcBorders>
                  <w:vAlign w:val="center"/>
                </w:tcPr>
                <w:p w14:paraId="6E3A2D2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1</w:t>
                  </w:r>
                  <w:r>
                    <w:rPr>
                      <w:rFonts w:hint="eastAsia" w:cs="Times New Roman"/>
                      <w:color w:val="auto"/>
                      <w:kern w:val="0"/>
                      <w:sz w:val="21"/>
                      <w:szCs w:val="21"/>
                      <w:highlight w:val="none"/>
                      <w:u w:val="none"/>
                      <w:lang w:val="en-US" w:eastAsia="zh-CN" w:bidi="ar"/>
                    </w:rPr>
                    <w:t>60</w:t>
                  </w:r>
                </w:p>
              </w:tc>
              <w:tc>
                <w:tcPr>
                  <w:tcW w:w="468" w:type="pct"/>
                  <w:tcBorders>
                    <w:top w:val="single" w:color="auto" w:sz="8" w:space="0"/>
                    <w:left w:val="single" w:color="auto" w:sz="8" w:space="0"/>
                    <w:bottom w:val="single" w:color="auto" w:sz="8" w:space="0"/>
                    <w:right w:val="single" w:color="auto" w:sz="8" w:space="0"/>
                  </w:tcBorders>
                  <w:vAlign w:val="center"/>
                </w:tcPr>
                <w:p w14:paraId="18E930B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cs="Times New Roman"/>
                      <w:color w:val="auto"/>
                      <w:kern w:val="0"/>
                      <w:sz w:val="21"/>
                      <w:szCs w:val="21"/>
                      <w:highlight w:val="none"/>
                      <w:u w:val="none"/>
                      <w:lang w:val="en-US" w:eastAsia="zh-CN" w:bidi="ar"/>
                    </w:rPr>
                    <w:t>350</w:t>
                  </w:r>
                </w:p>
              </w:tc>
              <w:tc>
                <w:tcPr>
                  <w:tcW w:w="622" w:type="pct"/>
                  <w:tcBorders>
                    <w:top w:val="single" w:color="auto" w:sz="8" w:space="0"/>
                    <w:left w:val="single" w:color="auto" w:sz="8" w:space="0"/>
                    <w:bottom w:val="single" w:color="auto" w:sz="8" w:space="0"/>
                    <w:right w:val="single" w:color="auto" w:sz="8" w:space="0"/>
                  </w:tcBorders>
                  <w:vAlign w:val="center"/>
                </w:tcPr>
                <w:p w14:paraId="0D2A19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35</w:t>
                  </w:r>
                </w:p>
              </w:tc>
              <w:tc>
                <w:tcPr>
                  <w:tcW w:w="468" w:type="pct"/>
                  <w:tcBorders>
                    <w:top w:val="single" w:color="auto" w:sz="8" w:space="0"/>
                    <w:left w:val="single" w:color="auto" w:sz="8" w:space="0"/>
                    <w:bottom w:val="single" w:color="auto" w:sz="8" w:space="0"/>
                    <w:right w:val="single" w:color="auto" w:sz="8" w:space="0"/>
                  </w:tcBorders>
                  <w:vAlign w:val="center"/>
                </w:tcPr>
                <w:p w14:paraId="22FDE82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45</w:t>
                  </w:r>
                </w:p>
              </w:tc>
              <w:tc>
                <w:tcPr>
                  <w:tcW w:w="424" w:type="pct"/>
                  <w:tcBorders>
                    <w:top w:val="single" w:color="auto" w:sz="8" w:space="0"/>
                    <w:left w:val="single" w:color="auto" w:sz="8" w:space="0"/>
                    <w:bottom w:val="single" w:color="auto" w:sz="8" w:space="0"/>
                    <w:right w:val="single" w:color="auto" w:sz="8" w:space="0"/>
                  </w:tcBorders>
                  <w:vAlign w:val="center"/>
                </w:tcPr>
                <w:p w14:paraId="5F80885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4</w:t>
                  </w:r>
                </w:p>
              </w:tc>
              <w:tc>
                <w:tcPr>
                  <w:tcW w:w="473" w:type="pct"/>
                  <w:tcBorders>
                    <w:top w:val="single" w:color="auto" w:sz="8" w:space="0"/>
                    <w:left w:val="single" w:color="auto" w:sz="8" w:space="0"/>
                    <w:bottom w:val="single" w:color="auto" w:sz="8" w:space="0"/>
                    <w:right w:val="nil"/>
                  </w:tcBorders>
                  <w:vAlign w:val="center"/>
                </w:tcPr>
                <w:p w14:paraId="23B9780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c>
                <w:tcPr>
                  <w:tcW w:w="792" w:type="pct"/>
                  <w:tcBorders>
                    <w:top w:val="single" w:color="auto" w:sz="8" w:space="0"/>
                    <w:left w:val="single" w:color="auto" w:sz="8" w:space="0"/>
                    <w:bottom w:val="single" w:color="auto" w:sz="8" w:space="0"/>
                    <w:right w:val="nil"/>
                  </w:tcBorders>
                  <w:vAlign w:val="center"/>
                </w:tcPr>
                <w:p w14:paraId="7A9A5D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w:t>
                  </w:r>
                </w:p>
              </w:tc>
            </w:tr>
            <w:tr w14:paraId="32015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6" w:type="pct"/>
                  <w:tcBorders>
                    <w:top w:val="single" w:color="auto" w:sz="8" w:space="0"/>
                    <w:left w:val="nil"/>
                    <w:bottom w:val="single" w:color="auto" w:sz="12" w:space="0"/>
                    <w:right w:val="single" w:color="auto" w:sz="8" w:space="0"/>
                  </w:tcBorders>
                  <w:vAlign w:val="center"/>
                </w:tcPr>
                <w:p w14:paraId="22BE5B2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达标情况</w:t>
                  </w:r>
                </w:p>
              </w:tc>
              <w:tc>
                <w:tcPr>
                  <w:tcW w:w="622" w:type="pct"/>
                  <w:tcBorders>
                    <w:top w:val="single" w:color="auto" w:sz="8" w:space="0"/>
                    <w:left w:val="single" w:color="auto" w:sz="8" w:space="0"/>
                    <w:bottom w:val="single" w:color="auto" w:sz="12" w:space="0"/>
                    <w:right w:val="single" w:color="auto" w:sz="8" w:space="0"/>
                  </w:tcBorders>
                  <w:vAlign w:val="center"/>
                </w:tcPr>
                <w:p w14:paraId="54D4BFE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622" w:type="pct"/>
                  <w:tcBorders>
                    <w:top w:val="single" w:color="auto" w:sz="8" w:space="0"/>
                    <w:left w:val="single" w:color="auto" w:sz="8" w:space="0"/>
                    <w:bottom w:val="single" w:color="auto" w:sz="12" w:space="0"/>
                    <w:right w:val="single" w:color="auto" w:sz="8" w:space="0"/>
                  </w:tcBorders>
                  <w:vAlign w:val="center"/>
                </w:tcPr>
                <w:p w14:paraId="03E6F98F">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468" w:type="pct"/>
                  <w:tcBorders>
                    <w:top w:val="single" w:color="auto" w:sz="8" w:space="0"/>
                    <w:left w:val="single" w:color="auto" w:sz="8" w:space="0"/>
                    <w:bottom w:val="single" w:color="auto" w:sz="12" w:space="0"/>
                    <w:right w:val="single" w:color="auto" w:sz="8" w:space="0"/>
                  </w:tcBorders>
                  <w:vAlign w:val="center"/>
                </w:tcPr>
                <w:p w14:paraId="79349496">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622" w:type="pct"/>
                  <w:tcBorders>
                    <w:top w:val="single" w:color="auto" w:sz="8" w:space="0"/>
                    <w:left w:val="single" w:color="auto" w:sz="8" w:space="0"/>
                    <w:bottom w:val="single" w:color="auto" w:sz="12" w:space="0"/>
                    <w:right w:val="single" w:color="auto" w:sz="8" w:space="0"/>
                  </w:tcBorders>
                  <w:vAlign w:val="center"/>
                </w:tcPr>
                <w:p w14:paraId="32AB598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468" w:type="pct"/>
                  <w:tcBorders>
                    <w:top w:val="single" w:color="auto" w:sz="8" w:space="0"/>
                    <w:left w:val="single" w:color="auto" w:sz="8" w:space="0"/>
                    <w:bottom w:val="single" w:color="auto" w:sz="12" w:space="0"/>
                    <w:right w:val="single" w:color="auto" w:sz="8" w:space="0"/>
                  </w:tcBorders>
                  <w:vAlign w:val="center"/>
                </w:tcPr>
                <w:p w14:paraId="5724D23A">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424" w:type="pct"/>
                  <w:tcBorders>
                    <w:top w:val="single" w:color="auto" w:sz="8" w:space="0"/>
                    <w:left w:val="single" w:color="auto" w:sz="8" w:space="0"/>
                    <w:bottom w:val="single" w:color="auto" w:sz="12" w:space="0"/>
                    <w:right w:val="single" w:color="auto" w:sz="8" w:space="0"/>
                  </w:tcBorders>
                  <w:vAlign w:val="center"/>
                </w:tcPr>
                <w:p w14:paraId="7141520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473" w:type="pct"/>
                  <w:tcBorders>
                    <w:top w:val="single" w:color="auto" w:sz="8" w:space="0"/>
                    <w:left w:val="single" w:color="auto" w:sz="8" w:space="0"/>
                    <w:bottom w:val="single" w:color="auto" w:sz="12" w:space="0"/>
                    <w:right w:val="nil"/>
                  </w:tcBorders>
                  <w:vAlign w:val="center"/>
                </w:tcPr>
                <w:p w14:paraId="63C1A6B8">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c>
                <w:tcPr>
                  <w:tcW w:w="792" w:type="pct"/>
                  <w:tcBorders>
                    <w:top w:val="single" w:color="auto" w:sz="8" w:space="0"/>
                    <w:left w:val="single" w:color="auto" w:sz="8" w:space="0"/>
                    <w:bottom w:val="single" w:color="auto" w:sz="12" w:space="0"/>
                    <w:right w:val="nil"/>
                  </w:tcBorders>
                  <w:vAlign w:val="center"/>
                </w:tcPr>
                <w:p w14:paraId="589C70C1">
                  <w:pPr>
                    <w:keepNext w:val="0"/>
                    <w:keepLines w:val="0"/>
                    <w:widowControl/>
                    <w:suppressLineNumbers w:val="0"/>
                    <w:jc w:val="center"/>
                    <w:textAlignment w:val="center"/>
                    <w:rPr>
                      <w:rFonts w:hint="eastAsia" w:ascii="Times New Roman" w:hAnsi="Times New Roman" w:eastAsia="宋体" w:cs="Times New Roman"/>
                      <w:color w:val="auto"/>
                      <w:kern w:val="0"/>
                      <w:sz w:val="21"/>
                      <w:szCs w:val="21"/>
                      <w:highlight w:val="none"/>
                      <w:u w:val="none"/>
                      <w:lang w:val="en-US" w:eastAsia="zh-CN" w:bidi="ar"/>
                    </w:rPr>
                  </w:pPr>
                  <w:r>
                    <w:rPr>
                      <w:rFonts w:hint="eastAsia" w:ascii="Times New Roman" w:hAnsi="Times New Roman" w:eastAsia="宋体" w:cs="Times New Roman"/>
                      <w:color w:val="auto"/>
                      <w:kern w:val="0"/>
                      <w:sz w:val="21"/>
                      <w:szCs w:val="21"/>
                      <w:highlight w:val="none"/>
                      <w:u w:val="none"/>
                      <w:lang w:val="en-US" w:eastAsia="zh-CN" w:bidi="ar"/>
                    </w:rPr>
                    <w:t>达标</w:t>
                  </w:r>
                </w:p>
              </w:tc>
            </w:tr>
          </w:tbl>
          <w:p w14:paraId="02EBAF9F">
            <w:pPr>
              <w:spacing w:line="360" w:lineRule="auto"/>
              <w:ind w:firstLine="480" w:firstLineChars="200"/>
              <w:rPr>
                <w:rFonts w:hint="default" w:cs="Times New Roman"/>
                <w:bCs/>
                <w:color w:val="auto"/>
                <w:highlight w:val="none"/>
                <w:lang w:val="en-US" w:eastAsia="zh-CN"/>
              </w:rPr>
            </w:pPr>
            <w:r>
              <w:rPr>
                <w:rFonts w:hint="eastAsia" w:ascii="Times New Roman" w:hAnsi="Times New Roman" w:eastAsia="宋体" w:cs="Times New Roman"/>
                <w:color w:val="auto"/>
                <w:szCs w:val="20"/>
                <w:highlight w:val="none"/>
                <w:lang w:val="en-US" w:eastAsia="zh-CN" w:bidi="ar"/>
              </w:rPr>
              <w:t>废水经处理后出水水质、水量、单位活屠重排放总量限值均满足《肉类加工工业水污染物排放标准》（</w:t>
            </w:r>
            <w:r>
              <w:rPr>
                <w:rFonts w:hint="default" w:ascii="Times New Roman" w:hAnsi="Times New Roman" w:eastAsia="宋体" w:cs="Times New Roman"/>
                <w:color w:val="auto"/>
                <w:szCs w:val="20"/>
                <w:highlight w:val="none"/>
                <w:lang w:val="en-US" w:eastAsia="zh-CN" w:bidi="ar"/>
              </w:rPr>
              <w:t>GB13457-92</w:t>
            </w:r>
            <w:r>
              <w:rPr>
                <w:rFonts w:hint="eastAsia" w:ascii="Times New Roman" w:hAnsi="Times New Roman" w:eastAsia="宋体" w:cs="Times New Roman"/>
                <w:color w:val="auto"/>
                <w:szCs w:val="20"/>
                <w:highlight w:val="none"/>
                <w:lang w:val="en-US" w:eastAsia="zh-CN" w:bidi="ar"/>
              </w:rPr>
              <w:t>）表</w:t>
            </w:r>
            <w:r>
              <w:rPr>
                <w:rFonts w:hint="default" w:ascii="Times New Roman" w:hAnsi="Times New Roman" w:eastAsia="宋体" w:cs="Times New Roman"/>
                <w:color w:val="auto"/>
                <w:szCs w:val="20"/>
                <w:highlight w:val="none"/>
                <w:lang w:val="en-US" w:eastAsia="zh-CN" w:bidi="ar"/>
              </w:rPr>
              <w:t>3</w:t>
            </w:r>
            <w:r>
              <w:rPr>
                <w:rFonts w:hint="eastAsia" w:ascii="Times New Roman" w:hAnsi="Times New Roman" w:eastAsia="宋体" w:cs="Times New Roman"/>
                <w:color w:val="auto"/>
                <w:szCs w:val="20"/>
                <w:highlight w:val="none"/>
                <w:lang w:val="en-US" w:eastAsia="zh-CN" w:bidi="ar"/>
              </w:rPr>
              <w:t>中</w:t>
            </w:r>
            <w:r>
              <w:rPr>
                <w:rFonts w:hint="default" w:ascii="Times New Roman" w:hAnsi="Times New Roman" w:eastAsia="宋体" w:cs="Times New Roman"/>
                <w:color w:val="auto"/>
                <w:szCs w:val="20"/>
                <w:highlight w:val="none"/>
                <w:lang w:val="en-US" w:eastAsia="zh-CN" w:bidi="ar"/>
              </w:rPr>
              <w:t>“</w:t>
            </w:r>
            <w:r>
              <w:rPr>
                <w:rFonts w:hint="eastAsia" w:ascii="Times New Roman" w:hAnsi="Times New Roman" w:eastAsia="宋体" w:cs="Times New Roman"/>
                <w:color w:val="auto"/>
                <w:szCs w:val="20"/>
                <w:highlight w:val="none"/>
                <w:lang w:val="en-US" w:eastAsia="zh-CN" w:bidi="ar"/>
              </w:rPr>
              <w:t>畜类屠宰加工</w:t>
            </w:r>
            <w:r>
              <w:rPr>
                <w:rFonts w:hint="default" w:ascii="Times New Roman" w:hAnsi="Times New Roman" w:eastAsia="宋体" w:cs="Times New Roman"/>
                <w:color w:val="auto"/>
                <w:szCs w:val="20"/>
                <w:highlight w:val="none"/>
                <w:lang w:val="en-US" w:eastAsia="zh-CN" w:bidi="ar"/>
              </w:rPr>
              <w:t>”</w:t>
            </w:r>
            <w:r>
              <w:rPr>
                <w:rFonts w:hint="eastAsia" w:ascii="Times New Roman" w:hAnsi="Times New Roman" w:eastAsia="宋体" w:cs="Times New Roman"/>
                <w:color w:val="auto"/>
                <w:szCs w:val="20"/>
                <w:highlight w:val="none"/>
                <w:lang w:val="en-US" w:eastAsia="zh-CN" w:bidi="ar"/>
              </w:rPr>
              <w:t>三级标准要求</w:t>
            </w:r>
            <w:r>
              <w:rPr>
                <w:rFonts w:hint="eastAsia" w:cs="Times New Roman"/>
                <w:bCs/>
                <w:color w:val="auto"/>
                <w:highlight w:val="none"/>
                <w:lang w:val="en-US" w:eastAsia="zh-CN"/>
              </w:rPr>
              <w:t>及</w:t>
            </w:r>
            <w:r>
              <w:rPr>
                <w:rFonts w:hint="eastAsia" w:ascii="Times New Roman" w:hAnsi="Times New Roman" w:eastAsia="宋体" w:cs="Times New Roman"/>
                <w:bCs/>
                <w:color w:val="auto"/>
                <w:highlight w:val="none"/>
                <w:lang w:val="en-US" w:eastAsia="zh-CN"/>
              </w:rPr>
              <w:t>磨西镇生活污水处理厂</w:t>
            </w:r>
            <w:r>
              <w:rPr>
                <w:rFonts w:hint="eastAsia" w:cs="Times New Roman"/>
                <w:bCs/>
                <w:color w:val="auto"/>
                <w:highlight w:val="none"/>
                <w:lang w:val="en-US" w:eastAsia="zh-CN"/>
              </w:rPr>
              <w:t>进水水质标准后</w:t>
            </w:r>
            <w:r>
              <w:rPr>
                <w:rFonts w:hint="eastAsia" w:ascii="Times New Roman" w:hAnsi="Times New Roman" w:eastAsia="宋体" w:cs="Times New Roman"/>
                <w:bCs/>
                <w:color w:val="auto"/>
                <w:highlight w:val="none"/>
                <w:lang w:val="en-US" w:eastAsia="zh-CN"/>
              </w:rPr>
              <w:t>经罐车运输至磨西镇生活污水处理厂集中处理达到</w:t>
            </w:r>
            <w:r>
              <w:rPr>
                <w:rFonts w:hint="default" w:ascii="Times New Roman" w:hAnsi="Times New Roman" w:eastAsia="宋体" w:cs="Times New Roman"/>
                <w:color w:val="auto"/>
                <w:kern w:val="0"/>
                <w:highlight w:val="none"/>
              </w:rPr>
              <w:t>《城镇污水处理厂污染物排放标准》（GB18918-2002）一级</w:t>
            </w:r>
            <w:r>
              <w:rPr>
                <w:rFonts w:hint="eastAsia" w:cs="Times New Roman"/>
                <w:color w:val="auto"/>
                <w:kern w:val="0"/>
                <w:highlight w:val="none"/>
                <w:lang w:val="en-US" w:eastAsia="zh-CN"/>
              </w:rPr>
              <w:t>A</w:t>
            </w:r>
            <w:r>
              <w:rPr>
                <w:rFonts w:hint="default" w:ascii="Times New Roman" w:hAnsi="Times New Roman" w:eastAsia="宋体" w:cs="Times New Roman"/>
                <w:color w:val="auto"/>
                <w:kern w:val="0"/>
                <w:highlight w:val="none"/>
              </w:rPr>
              <w:t>标后</w:t>
            </w:r>
            <w:r>
              <w:rPr>
                <w:rFonts w:hint="eastAsia" w:ascii="Times New Roman" w:hAnsi="Times New Roman" w:eastAsia="宋体" w:cs="Times New Roman"/>
                <w:color w:val="auto"/>
                <w:kern w:val="0"/>
                <w:highlight w:val="none"/>
                <w:lang w:eastAsia="zh-CN"/>
              </w:rPr>
              <w:t>，</w:t>
            </w:r>
            <w:r>
              <w:rPr>
                <w:rFonts w:hint="eastAsia" w:ascii="Times New Roman" w:hAnsi="Times New Roman" w:eastAsia="宋体" w:cs="Times New Roman"/>
                <w:bCs/>
                <w:color w:val="auto"/>
                <w:highlight w:val="none"/>
                <w:lang w:val="en-US" w:eastAsia="zh-CN"/>
              </w:rPr>
              <w:t>后排入</w:t>
            </w:r>
            <w:r>
              <w:rPr>
                <w:rFonts w:hint="eastAsia" w:cs="Times New Roman"/>
                <w:color w:val="auto"/>
                <w:highlight w:val="none"/>
                <w:lang w:val="en-US" w:eastAsia="zh-CN"/>
              </w:rPr>
              <w:t>燕子沟</w:t>
            </w:r>
            <w:r>
              <w:rPr>
                <w:rFonts w:hint="eastAsia" w:ascii="Times New Roman" w:hAnsi="Times New Roman" w:eastAsia="宋体" w:cs="Times New Roman"/>
                <w:bCs/>
                <w:color w:val="auto"/>
                <w:highlight w:val="none"/>
                <w:lang w:val="en-US" w:eastAsia="zh-CN"/>
              </w:rPr>
              <w:t>。</w:t>
            </w:r>
          </w:p>
          <w:p w14:paraId="6E82749C">
            <w:pPr>
              <w:spacing w:line="360" w:lineRule="auto"/>
              <w:ind w:firstLine="480" w:firstLineChars="200"/>
              <w:rPr>
                <w:rFonts w:hint="eastAsia" w:ascii="Times New Roman" w:hAnsi="Times New Roman" w:eastAsia="宋体" w:cs="Times New Roman"/>
                <w:color w:val="auto"/>
                <w:szCs w:val="20"/>
                <w:highlight w:val="none"/>
                <w:lang w:val="en-US" w:eastAsia="zh-CN" w:bidi="ar"/>
              </w:rPr>
            </w:pPr>
            <w:r>
              <w:rPr>
                <w:rFonts w:hint="eastAsia" w:ascii="Times New Roman" w:hAnsi="Times New Roman" w:eastAsia="宋体" w:cs="Times New Roman"/>
                <w:color w:val="auto"/>
                <w:szCs w:val="20"/>
                <w:highlight w:val="none"/>
                <w:lang w:val="en-US" w:eastAsia="zh-CN" w:bidi="ar"/>
              </w:rPr>
              <w:t>综上所述，从处理规模和处理工艺等方面分析，本项目废水由自建污水处理站处理可行。</w:t>
            </w:r>
          </w:p>
          <w:p w14:paraId="02E4C2EA">
            <w:pPr>
              <w:pStyle w:val="31"/>
              <w:spacing w:after="0" w:line="360" w:lineRule="auto"/>
              <w:ind w:left="0" w:leftChars="0" w:firstLine="480"/>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本项目共设置1个总排口，废水产生及排放情况见下表。</w:t>
            </w:r>
          </w:p>
          <w:p w14:paraId="27A16AF5">
            <w:pPr>
              <w:rPr>
                <w:rFonts w:hint="default" w:ascii="Times New Roman" w:hAnsi="Times New Roman" w:eastAsia="宋体" w:cs="Times New Roman"/>
                <w:bCs/>
                <w:color w:val="auto"/>
                <w:highlight w:val="none"/>
              </w:rPr>
            </w:pPr>
          </w:p>
          <w:p w14:paraId="7E38E331">
            <w:pPr>
              <w:rPr>
                <w:rFonts w:hint="default" w:ascii="Times New Roman" w:hAnsi="Times New Roman" w:eastAsia="宋体" w:cs="Times New Roman"/>
                <w:bCs/>
                <w:color w:val="auto"/>
                <w:highlight w:val="none"/>
              </w:rPr>
            </w:pPr>
          </w:p>
          <w:p w14:paraId="39185949">
            <w:pPr>
              <w:rPr>
                <w:rFonts w:hint="default" w:ascii="Times New Roman" w:hAnsi="Times New Roman" w:eastAsia="宋体" w:cs="Times New Roman"/>
                <w:bCs/>
                <w:color w:val="auto"/>
                <w:highlight w:val="none"/>
              </w:rPr>
            </w:pPr>
          </w:p>
        </w:tc>
      </w:tr>
    </w:tbl>
    <w:p w14:paraId="3777957C">
      <w:pPr>
        <w:rPr>
          <w:rFonts w:hint="default" w:ascii="Times New Roman" w:hAnsi="Times New Roman" w:eastAsia="宋体" w:cs="Times New Roman"/>
          <w:color w:val="auto"/>
          <w:highlight w:val="none"/>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3309"/>
      </w:tblGrid>
      <w:tr w14:paraId="665B8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4" w:hRule="atLeast"/>
        </w:trPr>
        <w:tc>
          <w:tcPr>
            <w:tcW w:w="487" w:type="dxa"/>
          </w:tcPr>
          <w:p w14:paraId="21CC707A">
            <w:pPr>
              <w:rPr>
                <w:rFonts w:hint="default" w:ascii="Times New Roman" w:hAnsi="Times New Roman" w:eastAsia="宋体" w:cs="Times New Roman"/>
                <w:color w:val="auto"/>
                <w:highlight w:val="none"/>
                <w:vertAlign w:val="baseline"/>
              </w:rPr>
            </w:pPr>
          </w:p>
        </w:tc>
        <w:tc>
          <w:tcPr>
            <w:tcW w:w="13309" w:type="dxa"/>
            <w:vAlign w:val="top"/>
          </w:tcPr>
          <w:p w14:paraId="55001BC2">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 xml:space="preserve"> 废水产生及处理排放情况表</w:t>
            </w:r>
          </w:p>
          <w:tbl>
            <w:tblPr>
              <w:tblStyle w:val="32"/>
              <w:tblW w:w="13096"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524"/>
              <w:gridCol w:w="1000"/>
              <w:gridCol w:w="1438"/>
              <w:gridCol w:w="1507"/>
              <w:gridCol w:w="1012"/>
              <w:gridCol w:w="900"/>
              <w:gridCol w:w="911"/>
              <w:gridCol w:w="1031"/>
              <w:gridCol w:w="881"/>
              <w:gridCol w:w="911"/>
              <w:gridCol w:w="864"/>
              <w:gridCol w:w="1117"/>
            </w:tblGrid>
            <w:tr w14:paraId="00CB7B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4" w:hRule="atLeast"/>
                <w:jc w:val="center"/>
              </w:trPr>
              <w:tc>
                <w:tcPr>
                  <w:tcW w:w="1524" w:type="dxa"/>
                  <w:vMerge w:val="restart"/>
                  <w:tcBorders>
                    <w:tl2br w:val="nil"/>
                    <w:tr2bl w:val="nil"/>
                  </w:tcBorders>
                  <w:shd w:val="clear" w:color="auto" w:fill="auto"/>
                  <w:vAlign w:val="center"/>
                </w:tcPr>
                <w:p w14:paraId="6DBF4D5A">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bookmarkStart w:id="17" w:name="OLE_LINK27"/>
                  <w:r>
                    <w:rPr>
                      <w:rFonts w:hint="default" w:ascii="Times New Roman" w:hAnsi="Times New Roman" w:eastAsia="宋体" w:cs="Times New Roman"/>
                      <w:b/>
                      <w:bCs/>
                      <w:i w:val="0"/>
                      <w:iCs w:val="0"/>
                      <w:color w:val="auto"/>
                      <w:kern w:val="0"/>
                      <w:sz w:val="21"/>
                      <w:szCs w:val="21"/>
                      <w:highlight w:val="none"/>
                      <w:u w:val="none"/>
                      <w:lang w:val="en-US" w:eastAsia="zh-CN" w:bidi="ar"/>
                    </w:rPr>
                    <w:t>污染源</w:t>
                  </w:r>
                </w:p>
              </w:tc>
              <w:tc>
                <w:tcPr>
                  <w:tcW w:w="1000" w:type="dxa"/>
                  <w:vMerge w:val="restart"/>
                  <w:tcBorders>
                    <w:tl2br w:val="nil"/>
                    <w:tr2bl w:val="nil"/>
                  </w:tcBorders>
                  <w:shd w:val="clear" w:color="auto" w:fill="auto"/>
                  <w:vAlign w:val="center"/>
                </w:tcPr>
                <w:p w14:paraId="43B18E07">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排放量m</w:t>
                  </w:r>
                  <w:r>
                    <w:rPr>
                      <w:rStyle w:val="137"/>
                      <w:rFonts w:hint="default" w:ascii="Times New Roman" w:hAnsi="Times New Roman" w:eastAsia="宋体" w:cs="Times New Roman"/>
                      <w:color w:val="auto"/>
                      <w:sz w:val="21"/>
                      <w:szCs w:val="21"/>
                      <w:highlight w:val="none"/>
                      <w:lang w:val="en-US" w:eastAsia="zh-CN" w:bidi="ar"/>
                    </w:rPr>
                    <w:t>3</w:t>
                  </w:r>
                  <w:r>
                    <w:rPr>
                      <w:rFonts w:hint="default" w:ascii="Times New Roman" w:hAnsi="Times New Roman" w:eastAsia="宋体" w:cs="Times New Roman"/>
                      <w:b/>
                      <w:bCs/>
                      <w:i w:val="0"/>
                      <w:iCs w:val="0"/>
                      <w:color w:val="auto"/>
                      <w:kern w:val="0"/>
                      <w:sz w:val="21"/>
                      <w:szCs w:val="21"/>
                      <w:highlight w:val="none"/>
                      <w:u w:val="none"/>
                      <w:lang w:val="en-US" w:eastAsia="zh-CN" w:bidi="ar"/>
                    </w:rPr>
                    <w:t>/a</w:t>
                  </w:r>
                </w:p>
              </w:tc>
              <w:tc>
                <w:tcPr>
                  <w:tcW w:w="2945" w:type="dxa"/>
                  <w:gridSpan w:val="2"/>
                  <w:vMerge w:val="restart"/>
                  <w:tcBorders>
                    <w:tl2br w:val="nil"/>
                    <w:tr2bl w:val="nil"/>
                  </w:tcBorders>
                  <w:shd w:val="clear" w:color="auto" w:fill="auto"/>
                  <w:vAlign w:val="center"/>
                </w:tcPr>
                <w:p w14:paraId="1D8DE713">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p>
                <w:p w14:paraId="66D771D8">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处理措施主要污染物处理情况</w:t>
                  </w:r>
                </w:p>
              </w:tc>
              <w:tc>
                <w:tcPr>
                  <w:tcW w:w="7627" w:type="dxa"/>
                  <w:gridSpan w:val="8"/>
                  <w:tcBorders>
                    <w:tl2br w:val="nil"/>
                    <w:tr2bl w:val="nil"/>
                  </w:tcBorders>
                  <w:shd w:val="clear" w:color="auto" w:fill="auto"/>
                  <w:vAlign w:val="center"/>
                </w:tcPr>
                <w:p w14:paraId="568E93FD">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排放量</w:t>
                  </w:r>
                </w:p>
              </w:tc>
            </w:tr>
            <w:tr w14:paraId="5FBA48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1524" w:type="dxa"/>
                  <w:vMerge w:val="continue"/>
                  <w:tcBorders>
                    <w:tl2br w:val="nil"/>
                    <w:tr2bl w:val="nil"/>
                  </w:tcBorders>
                  <w:shd w:val="clear" w:color="auto" w:fill="auto"/>
                  <w:vAlign w:val="center"/>
                </w:tcPr>
                <w:p w14:paraId="732BD763">
                  <w:pPr>
                    <w:jc w:val="center"/>
                    <w:rPr>
                      <w:rFonts w:hint="default" w:ascii="Times New Roman" w:hAnsi="Times New Roman" w:eastAsia="宋体" w:cs="Times New Roman"/>
                      <w:b/>
                      <w:bCs/>
                      <w:i w:val="0"/>
                      <w:iCs w:val="0"/>
                      <w:color w:val="auto"/>
                      <w:sz w:val="21"/>
                      <w:szCs w:val="21"/>
                      <w:highlight w:val="none"/>
                      <w:u w:val="none"/>
                    </w:rPr>
                  </w:pPr>
                </w:p>
              </w:tc>
              <w:tc>
                <w:tcPr>
                  <w:tcW w:w="1000" w:type="dxa"/>
                  <w:vMerge w:val="continue"/>
                  <w:tcBorders>
                    <w:tl2br w:val="nil"/>
                    <w:tr2bl w:val="nil"/>
                  </w:tcBorders>
                  <w:shd w:val="clear" w:color="auto" w:fill="auto"/>
                  <w:vAlign w:val="center"/>
                </w:tcPr>
                <w:p w14:paraId="1A89FD73">
                  <w:pPr>
                    <w:jc w:val="center"/>
                    <w:rPr>
                      <w:rFonts w:hint="default" w:ascii="Times New Roman" w:hAnsi="Times New Roman" w:eastAsia="宋体" w:cs="Times New Roman"/>
                      <w:b/>
                      <w:bCs/>
                      <w:i w:val="0"/>
                      <w:iCs w:val="0"/>
                      <w:color w:val="auto"/>
                      <w:sz w:val="21"/>
                      <w:szCs w:val="21"/>
                      <w:highlight w:val="none"/>
                      <w:u w:val="none"/>
                    </w:rPr>
                  </w:pPr>
                </w:p>
              </w:tc>
              <w:tc>
                <w:tcPr>
                  <w:tcW w:w="2945" w:type="dxa"/>
                  <w:gridSpan w:val="2"/>
                  <w:vMerge w:val="continue"/>
                  <w:tcBorders>
                    <w:tl2br w:val="nil"/>
                    <w:tr2bl w:val="nil"/>
                  </w:tcBorders>
                  <w:shd w:val="clear" w:color="auto" w:fill="auto"/>
                  <w:vAlign w:val="center"/>
                </w:tcPr>
                <w:p w14:paraId="1A9BBD46">
                  <w:pPr>
                    <w:jc w:val="center"/>
                    <w:rPr>
                      <w:rFonts w:hint="default" w:ascii="Times New Roman" w:hAnsi="Times New Roman" w:eastAsia="宋体" w:cs="Times New Roman"/>
                      <w:b/>
                      <w:bCs/>
                      <w:i w:val="0"/>
                      <w:iCs w:val="0"/>
                      <w:color w:val="auto"/>
                      <w:sz w:val="21"/>
                      <w:szCs w:val="21"/>
                      <w:highlight w:val="none"/>
                      <w:u w:val="none"/>
                    </w:rPr>
                  </w:pPr>
                </w:p>
              </w:tc>
              <w:tc>
                <w:tcPr>
                  <w:tcW w:w="1012" w:type="dxa"/>
                  <w:tcBorders>
                    <w:tl2br w:val="nil"/>
                    <w:tr2bl w:val="nil"/>
                  </w:tcBorders>
                  <w:shd w:val="clear" w:color="auto" w:fill="auto"/>
                  <w:vAlign w:val="center"/>
                </w:tcPr>
                <w:p w14:paraId="6072C499">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COD</w:t>
                  </w:r>
                </w:p>
              </w:tc>
              <w:tc>
                <w:tcPr>
                  <w:tcW w:w="900" w:type="dxa"/>
                  <w:tcBorders>
                    <w:tl2br w:val="nil"/>
                    <w:tr2bl w:val="nil"/>
                  </w:tcBorders>
                  <w:shd w:val="clear" w:color="auto" w:fill="auto"/>
                  <w:vAlign w:val="center"/>
                </w:tcPr>
                <w:p w14:paraId="3DDEE871">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BOD</w:t>
                  </w:r>
                  <w:r>
                    <w:rPr>
                      <w:rFonts w:hint="default" w:ascii="Times New Roman" w:hAnsi="Times New Roman" w:eastAsia="宋体" w:cs="Times New Roman"/>
                      <w:b/>
                      <w:bCs/>
                      <w:color w:val="auto"/>
                      <w:kern w:val="0"/>
                      <w:sz w:val="21"/>
                      <w:szCs w:val="21"/>
                      <w:highlight w:val="none"/>
                      <w:u w:val="none"/>
                      <w:vertAlign w:val="subscript"/>
                      <w:lang w:val="en-US" w:eastAsia="zh-CN" w:bidi="ar"/>
                    </w:rPr>
                    <w:t>5</w:t>
                  </w:r>
                </w:p>
              </w:tc>
              <w:tc>
                <w:tcPr>
                  <w:tcW w:w="911" w:type="dxa"/>
                  <w:tcBorders>
                    <w:tl2br w:val="nil"/>
                    <w:tr2bl w:val="nil"/>
                  </w:tcBorders>
                  <w:shd w:val="clear" w:color="auto" w:fill="auto"/>
                  <w:vAlign w:val="center"/>
                </w:tcPr>
                <w:p w14:paraId="5DCA7308">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SS</w:t>
                  </w:r>
                </w:p>
              </w:tc>
              <w:tc>
                <w:tcPr>
                  <w:tcW w:w="1031" w:type="dxa"/>
                  <w:tcBorders>
                    <w:tl2br w:val="nil"/>
                    <w:tr2bl w:val="nil"/>
                  </w:tcBorders>
                  <w:shd w:val="clear" w:color="auto" w:fill="auto"/>
                  <w:vAlign w:val="center"/>
                </w:tcPr>
                <w:p w14:paraId="77472EBC">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NH3-N</w:t>
                  </w:r>
                </w:p>
              </w:tc>
              <w:tc>
                <w:tcPr>
                  <w:tcW w:w="881" w:type="dxa"/>
                  <w:tcBorders>
                    <w:tl2br w:val="nil"/>
                    <w:tr2bl w:val="nil"/>
                  </w:tcBorders>
                  <w:shd w:val="clear" w:color="auto" w:fill="auto"/>
                  <w:vAlign w:val="center"/>
                </w:tcPr>
                <w:p w14:paraId="4D99D916">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TN</w:t>
                  </w:r>
                </w:p>
              </w:tc>
              <w:tc>
                <w:tcPr>
                  <w:tcW w:w="911" w:type="dxa"/>
                  <w:tcBorders>
                    <w:tl2br w:val="nil"/>
                    <w:tr2bl w:val="nil"/>
                  </w:tcBorders>
                  <w:shd w:val="clear" w:color="auto" w:fill="auto"/>
                  <w:noWrap/>
                  <w:vAlign w:val="center"/>
                </w:tcPr>
                <w:p w14:paraId="2060BC93">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lang w:val="en-US"/>
                    </w:rPr>
                  </w:pPr>
                  <w:r>
                    <w:rPr>
                      <w:rFonts w:hint="default" w:ascii="Times New Roman" w:hAnsi="Times New Roman" w:eastAsia="宋体" w:cs="Times New Roman"/>
                      <w:b/>
                      <w:bCs/>
                      <w:color w:val="auto"/>
                      <w:kern w:val="0"/>
                      <w:sz w:val="21"/>
                      <w:szCs w:val="21"/>
                      <w:highlight w:val="none"/>
                      <w:u w:val="none"/>
                      <w:lang w:val="en-US" w:eastAsia="zh-CN" w:bidi="ar"/>
                    </w:rPr>
                    <w:t>TP</w:t>
                  </w:r>
                </w:p>
              </w:tc>
              <w:tc>
                <w:tcPr>
                  <w:tcW w:w="864" w:type="dxa"/>
                  <w:tcBorders>
                    <w:tl2br w:val="nil"/>
                    <w:tr2bl w:val="nil"/>
                  </w:tcBorders>
                  <w:shd w:val="clear" w:color="auto" w:fill="auto"/>
                  <w:noWrap/>
                  <w:vAlign w:val="center"/>
                </w:tcPr>
                <w:p w14:paraId="65B016B1">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动植物油</w:t>
                  </w:r>
                </w:p>
              </w:tc>
              <w:tc>
                <w:tcPr>
                  <w:tcW w:w="1117" w:type="dxa"/>
                  <w:tcBorders>
                    <w:tl2br w:val="nil"/>
                    <w:tr2bl w:val="nil"/>
                  </w:tcBorders>
                  <w:shd w:val="clear" w:color="auto" w:fill="auto"/>
                  <w:noWrap/>
                  <w:vAlign w:val="center"/>
                </w:tcPr>
                <w:p w14:paraId="7A23EEDB">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color w:val="auto"/>
                      <w:kern w:val="0"/>
                      <w:sz w:val="21"/>
                      <w:szCs w:val="21"/>
                      <w:highlight w:val="none"/>
                      <w:u w:val="none"/>
                      <w:lang w:val="en-US" w:eastAsia="zh-CN" w:bidi="ar"/>
                    </w:rPr>
                    <w:t>粪大肠菌群（MPN/L）</w:t>
                  </w:r>
                </w:p>
              </w:tc>
            </w:tr>
            <w:tr w14:paraId="3A625C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1524" w:type="dxa"/>
                  <w:vMerge w:val="restart"/>
                  <w:tcBorders>
                    <w:tl2br w:val="nil"/>
                    <w:tr2bl w:val="nil"/>
                  </w:tcBorders>
                  <w:shd w:val="clear" w:color="auto" w:fill="auto"/>
                  <w:vAlign w:val="center"/>
                </w:tcPr>
                <w:p w14:paraId="64D211B5">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eastAsia" w:cs="Times New Roman"/>
                      <w:color w:val="auto"/>
                      <w:sz w:val="21"/>
                      <w:szCs w:val="21"/>
                      <w:highlight w:val="none"/>
                      <w:lang w:val="en-US" w:eastAsia="zh-CN" w:bidi="ar"/>
                    </w:rPr>
                    <w:t>厂内综合废水</w:t>
                  </w:r>
                </w:p>
              </w:tc>
              <w:tc>
                <w:tcPr>
                  <w:tcW w:w="1000" w:type="dxa"/>
                  <w:vMerge w:val="restart"/>
                  <w:tcBorders>
                    <w:tl2br w:val="nil"/>
                    <w:tr2bl w:val="nil"/>
                  </w:tcBorders>
                  <w:shd w:val="clear" w:color="auto" w:fill="auto"/>
                  <w:vAlign w:val="center"/>
                </w:tcPr>
                <w:p w14:paraId="17D1362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4155.8</w:t>
                  </w:r>
                </w:p>
              </w:tc>
              <w:tc>
                <w:tcPr>
                  <w:tcW w:w="1438" w:type="dxa"/>
                  <w:vMerge w:val="restart"/>
                  <w:tcBorders>
                    <w:tl2br w:val="nil"/>
                    <w:tr2bl w:val="nil"/>
                  </w:tcBorders>
                  <w:shd w:val="clear" w:color="auto" w:fill="auto"/>
                  <w:vAlign w:val="center"/>
                </w:tcPr>
                <w:p w14:paraId="2BC5F21D">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污水处理站</w:t>
                  </w:r>
                  <w:r>
                    <w:rPr>
                      <w:rStyle w:val="139"/>
                      <w:rFonts w:hint="default" w:ascii="Times New Roman" w:hAnsi="Times New Roman" w:eastAsia="宋体" w:cs="Times New Roman"/>
                      <w:color w:val="auto"/>
                      <w:sz w:val="21"/>
                      <w:szCs w:val="21"/>
                      <w:highlight w:val="none"/>
                      <w:lang w:val="en-US" w:eastAsia="zh-CN" w:bidi="ar"/>
                    </w:rPr>
                    <w:t>处理前</w:t>
                  </w:r>
                </w:p>
              </w:tc>
              <w:tc>
                <w:tcPr>
                  <w:tcW w:w="1507" w:type="dxa"/>
                  <w:tcBorders>
                    <w:tl2br w:val="nil"/>
                    <w:tr2bl w:val="nil"/>
                  </w:tcBorders>
                  <w:shd w:val="clear" w:color="auto" w:fill="auto"/>
                  <w:vAlign w:val="center"/>
                </w:tcPr>
                <w:p w14:paraId="0281D0D2">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产生浓度mg/L</w:t>
                  </w:r>
                </w:p>
              </w:tc>
              <w:tc>
                <w:tcPr>
                  <w:tcW w:w="1012" w:type="dxa"/>
                  <w:tcBorders>
                    <w:tl2br w:val="nil"/>
                    <w:tr2bl w:val="nil"/>
                  </w:tcBorders>
                  <w:shd w:val="clear" w:color="auto" w:fill="auto"/>
                  <w:vAlign w:val="center"/>
                </w:tcPr>
                <w:p w14:paraId="4200BEDC">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2070.57</w:t>
                  </w:r>
                </w:p>
              </w:tc>
              <w:tc>
                <w:tcPr>
                  <w:tcW w:w="900" w:type="dxa"/>
                  <w:tcBorders>
                    <w:tl2br w:val="nil"/>
                    <w:tr2bl w:val="nil"/>
                  </w:tcBorders>
                  <w:shd w:val="clear" w:color="auto" w:fill="auto"/>
                  <w:vAlign w:val="center"/>
                </w:tcPr>
                <w:p w14:paraId="0C09F8D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939.75</w:t>
                  </w:r>
                </w:p>
              </w:tc>
              <w:tc>
                <w:tcPr>
                  <w:tcW w:w="911" w:type="dxa"/>
                  <w:tcBorders>
                    <w:tl2br w:val="nil"/>
                    <w:tr2bl w:val="nil"/>
                  </w:tcBorders>
                  <w:shd w:val="clear" w:color="auto" w:fill="auto"/>
                  <w:vAlign w:val="center"/>
                </w:tcPr>
                <w:p w14:paraId="72904BC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810.01</w:t>
                  </w:r>
                </w:p>
              </w:tc>
              <w:tc>
                <w:tcPr>
                  <w:tcW w:w="1031" w:type="dxa"/>
                  <w:tcBorders>
                    <w:tl2br w:val="nil"/>
                    <w:tr2bl w:val="nil"/>
                  </w:tcBorders>
                  <w:shd w:val="clear" w:color="auto" w:fill="auto"/>
                  <w:vAlign w:val="center"/>
                </w:tcPr>
                <w:p w14:paraId="4B2C6D8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64.27</w:t>
                  </w:r>
                </w:p>
              </w:tc>
              <w:tc>
                <w:tcPr>
                  <w:tcW w:w="881" w:type="dxa"/>
                  <w:tcBorders>
                    <w:tl2br w:val="nil"/>
                    <w:tr2bl w:val="nil"/>
                  </w:tcBorders>
                  <w:shd w:val="clear" w:color="auto" w:fill="auto"/>
                  <w:vAlign w:val="center"/>
                </w:tcPr>
                <w:p w14:paraId="06845807">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161.67</w:t>
                  </w:r>
                </w:p>
              </w:tc>
              <w:tc>
                <w:tcPr>
                  <w:tcW w:w="911" w:type="dxa"/>
                  <w:tcBorders>
                    <w:tl2br w:val="nil"/>
                    <w:tr2bl w:val="nil"/>
                  </w:tcBorders>
                  <w:shd w:val="clear" w:color="auto" w:fill="auto"/>
                  <w:noWrap/>
                  <w:vAlign w:val="center"/>
                </w:tcPr>
                <w:p w14:paraId="3DA2C7B4">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21.97</w:t>
                  </w:r>
                </w:p>
              </w:tc>
              <w:tc>
                <w:tcPr>
                  <w:tcW w:w="864" w:type="dxa"/>
                  <w:tcBorders>
                    <w:tl2br w:val="nil"/>
                    <w:tr2bl w:val="nil"/>
                  </w:tcBorders>
                  <w:shd w:val="clear" w:color="auto" w:fill="auto"/>
                  <w:noWrap/>
                  <w:vAlign w:val="center"/>
                </w:tcPr>
                <w:p w14:paraId="7AE594C8">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111.98</w:t>
                  </w:r>
                </w:p>
              </w:tc>
              <w:tc>
                <w:tcPr>
                  <w:tcW w:w="1117" w:type="dxa"/>
                  <w:tcBorders>
                    <w:tl2br w:val="nil"/>
                    <w:tr2bl w:val="nil"/>
                  </w:tcBorders>
                  <w:shd w:val="clear" w:color="auto" w:fill="auto"/>
                  <w:noWrap/>
                  <w:vAlign w:val="center"/>
                </w:tcPr>
                <w:p w14:paraId="7CE1918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＞2.4×10</w:t>
                  </w:r>
                  <w:r>
                    <w:rPr>
                      <w:rFonts w:hint="default" w:ascii="Times New Roman" w:hAnsi="Times New Roman" w:eastAsia="宋体" w:cs="Times New Roman"/>
                      <w:color w:val="auto"/>
                      <w:kern w:val="0"/>
                      <w:sz w:val="21"/>
                      <w:szCs w:val="21"/>
                      <w:highlight w:val="none"/>
                      <w:u w:val="none"/>
                      <w:vertAlign w:val="superscript"/>
                      <w:lang w:val="en-US" w:eastAsia="zh-CN" w:bidi="ar"/>
                    </w:rPr>
                    <w:t>4</w:t>
                  </w:r>
                </w:p>
              </w:tc>
            </w:tr>
            <w:tr w14:paraId="2C29CC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8" w:hRule="atLeast"/>
                <w:jc w:val="center"/>
              </w:trPr>
              <w:tc>
                <w:tcPr>
                  <w:tcW w:w="1524" w:type="dxa"/>
                  <w:vMerge w:val="continue"/>
                  <w:tcBorders>
                    <w:tl2br w:val="nil"/>
                    <w:tr2bl w:val="nil"/>
                  </w:tcBorders>
                  <w:shd w:val="clear" w:color="auto" w:fill="auto"/>
                  <w:vAlign w:val="center"/>
                </w:tcPr>
                <w:p w14:paraId="43B127B7">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000" w:type="dxa"/>
                  <w:vMerge w:val="continue"/>
                  <w:tcBorders>
                    <w:tl2br w:val="nil"/>
                    <w:tr2bl w:val="nil"/>
                  </w:tcBorders>
                  <w:shd w:val="clear" w:color="auto" w:fill="auto"/>
                  <w:vAlign w:val="center"/>
                </w:tcPr>
                <w:p w14:paraId="7C9DAE4E">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438" w:type="dxa"/>
                  <w:vMerge w:val="continue"/>
                  <w:tcBorders>
                    <w:tl2br w:val="nil"/>
                    <w:tr2bl w:val="nil"/>
                  </w:tcBorders>
                  <w:shd w:val="clear" w:color="auto" w:fill="auto"/>
                  <w:vAlign w:val="center"/>
                </w:tcPr>
                <w:p w14:paraId="0DE2670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507" w:type="dxa"/>
                  <w:tcBorders>
                    <w:tl2br w:val="nil"/>
                    <w:tr2bl w:val="nil"/>
                  </w:tcBorders>
                  <w:shd w:val="clear" w:color="auto" w:fill="auto"/>
                  <w:vAlign w:val="center"/>
                </w:tcPr>
                <w:p w14:paraId="7D21535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产生量t/a</w:t>
                  </w:r>
                </w:p>
              </w:tc>
              <w:tc>
                <w:tcPr>
                  <w:tcW w:w="1012" w:type="dxa"/>
                  <w:tcBorders>
                    <w:tl2br w:val="nil"/>
                    <w:tr2bl w:val="nil"/>
                  </w:tcBorders>
                  <w:shd w:val="clear" w:color="auto" w:fill="auto"/>
                  <w:vAlign w:val="center"/>
                </w:tcPr>
                <w:p w14:paraId="00F5FE7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8.605</w:t>
                  </w:r>
                </w:p>
              </w:tc>
              <w:tc>
                <w:tcPr>
                  <w:tcW w:w="900" w:type="dxa"/>
                  <w:tcBorders>
                    <w:tl2br w:val="nil"/>
                    <w:tr2bl w:val="nil"/>
                  </w:tcBorders>
                  <w:shd w:val="clear" w:color="auto" w:fill="auto"/>
                  <w:vAlign w:val="center"/>
                </w:tcPr>
                <w:p w14:paraId="297E83E8">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3.905</w:t>
                  </w:r>
                </w:p>
              </w:tc>
              <w:tc>
                <w:tcPr>
                  <w:tcW w:w="911" w:type="dxa"/>
                  <w:tcBorders>
                    <w:tl2br w:val="nil"/>
                    <w:tr2bl w:val="nil"/>
                  </w:tcBorders>
                  <w:shd w:val="clear" w:color="auto" w:fill="auto"/>
                  <w:vAlign w:val="center"/>
                </w:tcPr>
                <w:p w14:paraId="1C9A8A7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3.366</w:t>
                  </w:r>
                </w:p>
              </w:tc>
              <w:tc>
                <w:tcPr>
                  <w:tcW w:w="1031" w:type="dxa"/>
                  <w:tcBorders>
                    <w:tl2br w:val="nil"/>
                    <w:tr2bl w:val="nil"/>
                  </w:tcBorders>
                  <w:shd w:val="clear" w:color="auto" w:fill="auto"/>
                  <w:vAlign w:val="center"/>
                </w:tcPr>
                <w:p w14:paraId="276C8CD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0.267</w:t>
                  </w:r>
                </w:p>
              </w:tc>
              <w:tc>
                <w:tcPr>
                  <w:tcW w:w="881" w:type="dxa"/>
                  <w:tcBorders>
                    <w:tl2br w:val="nil"/>
                    <w:tr2bl w:val="nil"/>
                  </w:tcBorders>
                  <w:shd w:val="clear" w:color="auto" w:fill="auto"/>
                  <w:vAlign w:val="center"/>
                </w:tcPr>
                <w:p w14:paraId="3D5110B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0.672</w:t>
                  </w:r>
                </w:p>
              </w:tc>
              <w:tc>
                <w:tcPr>
                  <w:tcW w:w="911" w:type="dxa"/>
                  <w:tcBorders>
                    <w:tl2br w:val="nil"/>
                    <w:tr2bl w:val="nil"/>
                  </w:tcBorders>
                  <w:shd w:val="clear" w:color="auto" w:fill="auto"/>
                  <w:noWrap/>
                  <w:vAlign w:val="center"/>
                </w:tcPr>
                <w:p w14:paraId="1EE9160D">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0.091</w:t>
                  </w:r>
                </w:p>
              </w:tc>
              <w:tc>
                <w:tcPr>
                  <w:tcW w:w="864" w:type="dxa"/>
                  <w:tcBorders>
                    <w:tl2br w:val="nil"/>
                    <w:tr2bl w:val="nil"/>
                  </w:tcBorders>
                  <w:shd w:val="clear" w:color="auto" w:fill="auto"/>
                  <w:noWrap/>
                  <w:vAlign w:val="center"/>
                </w:tcPr>
                <w:p w14:paraId="5142862E">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0.465</w:t>
                  </w:r>
                </w:p>
              </w:tc>
              <w:tc>
                <w:tcPr>
                  <w:tcW w:w="1117" w:type="dxa"/>
                  <w:tcBorders>
                    <w:tl2br w:val="nil"/>
                    <w:tr2bl w:val="nil"/>
                  </w:tcBorders>
                  <w:shd w:val="clear" w:color="auto" w:fill="auto"/>
                  <w:noWrap/>
                  <w:vAlign w:val="center"/>
                </w:tcPr>
                <w:p w14:paraId="1220B89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color w:val="auto"/>
                      <w:kern w:val="0"/>
                      <w:sz w:val="21"/>
                      <w:szCs w:val="21"/>
                      <w:highlight w:val="none"/>
                      <w:u w:val="none"/>
                      <w:lang w:val="en-US" w:eastAsia="zh-CN" w:bidi="ar"/>
                    </w:rPr>
                    <w:t>/</w:t>
                  </w:r>
                </w:p>
              </w:tc>
            </w:tr>
            <w:tr w14:paraId="6A243C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1524" w:type="dxa"/>
                  <w:vMerge w:val="continue"/>
                  <w:tcBorders>
                    <w:tl2br w:val="nil"/>
                    <w:tr2bl w:val="nil"/>
                  </w:tcBorders>
                  <w:shd w:val="clear" w:color="auto" w:fill="auto"/>
                  <w:vAlign w:val="center"/>
                </w:tcPr>
                <w:p w14:paraId="1BF2C96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000" w:type="dxa"/>
                  <w:vMerge w:val="restart"/>
                  <w:tcBorders>
                    <w:tl2br w:val="nil"/>
                    <w:tr2bl w:val="nil"/>
                  </w:tcBorders>
                  <w:shd w:val="clear" w:color="auto" w:fill="auto"/>
                  <w:vAlign w:val="center"/>
                </w:tcPr>
                <w:p w14:paraId="112607A3">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4155.8</w:t>
                  </w:r>
                </w:p>
              </w:tc>
              <w:tc>
                <w:tcPr>
                  <w:tcW w:w="1438" w:type="dxa"/>
                  <w:vMerge w:val="restart"/>
                  <w:tcBorders>
                    <w:tl2br w:val="nil"/>
                    <w:tr2bl w:val="nil"/>
                  </w:tcBorders>
                  <w:shd w:val="clear" w:color="auto" w:fill="auto"/>
                  <w:vAlign w:val="center"/>
                </w:tcPr>
                <w:p w14:paraId="7E336E1E">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污水处理站</w:t>
                  </w:r>
                  <w:r>
                    <w:rPr>
                      <w:rStyle w:val="139"/>
                      <w:rFonts w:hint="default" w:ascii="Times New Roman" w:hAnsi="Times New Roman" w:eastAsia="宋体" w:cs="Times New Roman"/>
                      <w:color w:val="auto"/>
                      <w:sz w:val="21"/>
                      <w:szCs w:val="21"/>
                      <w:highlight w:val="none"/>
                      <w:lang w:val="en-US" w:eastAsia="zh-CN" w:bidi="ar"/>
                    </w:rPr>
                    <w:t>处理后</w:t>
                  </w:r>
                </w:p>
              </w:tc>
              <w:tc>
                <w:tcPr>
                  <w:tcW w:w="1507" w:type="dxa"/>
                  <w:tcBorders>
                    <w:tl2br w:val="nil"/>
                    <w:tr2bl w:val="nil"/>
                  </w:tcBorders>
                  <w:shd w:val="clear" w:color="auto" w:fill="auto"/>
                  <w:vAlign w:val="center"/>
                </w:tcPr>
                <w:p w14:paraId="0A8CFC7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排放浓度mg/L</w:t>
                  </w:r>
                </w:p>
              </w:tc>
              <w:tc>
                <w:tcPr>
                  <w:tcW w:w="1012" w:type="dxa"/>
                  <w:tcBorders>
                    <w:tl2br w:val="nil"/>
                    <w:tr2bl w:val="nil"/>
                  </w:tcBorders>
                  <w:shd w:val="clear" w:color="auto" w:fill="auto"/>
                  <w:vAlign w:val="center"/>
                </w:tcPr>
                <w:p w14:paraId="45548EA4">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298.16</w:t>
                  </w:r>
                </w:p>
              </w:tc>
              <w:tc>
                <w:tcPr>
                  <w:tcW w:w="900" w:type="dxa"/>
                  <w:tcBorders>
                    <w:tl2br w:val="nil"/>
                    <w:tr2bl w:val="nil"/>
                  </w:tcBorders>
                  <w:shd w:val="clear" w:color="auto" w:fill="auto"/>
                  <w:vAlign w:val="center"/>
                </w:tcPr>
                <w:p w14:paraId="32C51E4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135.32</w:t>
                  </w:r>
                </w:p>
              </w:tc>
              <w:tc>
                <w:tcPr>
                  <w:tcW w:w="911" w:type="dxa"/>
                  <w:tcBorders>
                    <w:tl2br w:val="nil"/>
                    <w:tr2bl w:val="nil"/>
                  </w:tcBorders>
                  <w:shd w:val="clear" w:color="auto" w:fill="auto"/>
                  <w:vAlign w:val="center"/>
                </w:tcPr>
                <w:p w14:paraId="5C59DD3A">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34.02</w:t>
                  </w:r>
                </w:p>
              </w:tc>
              <w:tc>
                <w:tcPr>
                  <w:tcW w:w="1031" w:type="dxa"/>
                  <w:tcBorders>
                    <w:tl2br w:val="nil"/>
                    <w:tr2bl w:val="nil"/>
                  </w:tcBorders>
                  <w:shd w:val="clear" w:color="auto" w:fill="auto"/>
                  <w:vAlign w:val="center"/>
                </w:tcPr>
                <w:p w14:paraId="0A9509AA">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19.28</w:t>
                  </w:r>
                </w:p>
              </w:tc>
              <w:tc>
                <w:tcPr>
                  <w:tcW w:w="881" w:type="dxa"/>
                  <w:tcBorders>
                    <w:tl2br w:val="nil"/>
                    <w:tr2bl w:val="nil"/>
                  </w:tcBorders>
                  <w:shd w:val="clear" w:color="auto" w:fill="auto"/>
                  <w:vAlign w:val="center"/>
                </w:tcPr>
                <w:p w14:paraId="381FF45C">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40.42</w:t>
                  </w:r>
                </w:p>
              </w:tc>
              <w:tc>
                <w:tcPr>
                  <w:tcW w:w="911" w:type="dxa"/>
                  <w:tcBorders>
                    <w:tl2br w:val="nil"/>
                    <w:tr2bl w:val="nil"/>
                  </w:tcBorders>
                  <w:shd w:val="clear" w:color="auto" w:fill="auto"/>
                  <w:noWrap/>
                  <w:vAlign w:val="center"/>
                </w:tcPr>
                <w:p w14:paraId="0CBB94F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3.30</w:t>
                  </w:r>
                </w:p>
              </w:tc>
              <w:tc>
                <w:tcPr>
                  <w:tcW w:w="864" w:type="dxa"/>
                  <w:tcBorders>
                    <w:tl2br w:val="nil"/>
                    <w:tr2bl w:val="nil"/>
                  </w:tcBorders>
                  <w:shd w:val="clear" w:color="auto" w:fill="auto"/>
                  <w:noWrap/>
                  <w:vAlign w:val="center"/>
                </w:tcPr>
                <w:p w14:paraId="6D14439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11.20</w:t>
                  </w:r>
                </w:p>
              </w:tc>
              <w:tc>
                <w:tcPr>
                  <w:tcW w:w="1117" w:type="dxa"/>
                  <w:tcBorders>
                    <w:tl2br w:val="nil"/>
                    <w:tr2bl w:val="nil"/>
                  </w:tcBorders>
                  <w:shd w:val="clear" w:color="auto" w:fill="auto"/>
                  <w:noWrap/>
                  <w:vAlign w:val="center"/>
                </w:tcPr>
                <w:p w14:paraId="0F731F0C">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&lt;1</w:t>
                  </w:r>
                  <w:r>
                    <w:rPr>
                      <w:rFonts w:hint="default" w:ascii="Arial" w:hAnsi="Arial" w:eastAsia="宋体" w:cs="Arial"/>
                      <w:i w:val="0"/>
                      <w:iCs w:val="0"/>
                      <w:color w:val="auto"/>
                      <w:kern w:val="0"/>
                      <w:sz w:val="21"/>
                      <w:szCs w:val="21"/>
                      <w:highlight w:val="none"/>
                      <w:u w:val="none"/>
                      <w:lang w:val="en-US" w:eastAsia="zh-CN" w:bidi="ar"/>
                    </w:rPr>
                    <w:t>×</w:t>
                  </w:r>
                  <w:r>
                    <w:rPr>
                      <w:rFonts w:hint="eastAsia" w:ascii="Times New Roman" w:hAnsi="Times New Roman" w:eastAsia="宋体" w:cs="Times New Roman"/>
                      <w:i w:val="0"/>
                      <w:iCs w:val="0"/>
                      <w:color w:val="auto"/>
                      <w:kern w:val="0"/>
                      <w:sz w:val="21"/>
                      <w:szCs w:val="21"/>
                      <w:highlight w:val="none"/>
                      <w:u w:val="none"/>
                      <w:lang w:val="en-US" w:eastAsia="zh-CN" w:bidi="ar"/>
                    </w:rPr>
                    <w:t>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r>
                    <w:rPr>
                      <w:rFonts w:hint="eastAsia" w:ascii="Times New Roman" w:hAnsi="Times New Roman" w:eastAsia="宋体" w:cs="Times New Roman"/>
                      <w:i w:val="0"/>
                      <w:iCs w:val="0"/>
                      <w:color w:val="auto"/>
                      <w:kern w:val="0"/>
                      <w:sz w:val="21"/>
                      <w:szCs w:val="21"/>
                      <w:highlight w:val="none"/>
                      <w:u w:val="none"/>
                      <w:lang w:val="en-US" w:eastAsia="zh-CN" w:bidi="ar"/>
                    </w:rPr>
                    <w:t>/L</w:t>
                  </w:r>
                </w:p>
              </w:tc>
            </w:tr>
            <w:tr w14:paraId="437AB5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1524" w:type="dxa"/>
                  <w:vMerge w:val="continue"/>
                  <w:tcBorders>
                    <w:tl2br w:val="nil"/>
                    <w:tr2bl w:val="nil"/>
                  </w:tcBorders>
                  <w:shd w:val="clear" w:color="auto" w:fill="auto"/>
                  <w:vAlign w:val="center"/>
                </w:tcPr>
                <w:p w14:paraId="19DA2333">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000" w:type="dxa"/>
                  <w:vMerge w:val="continue"/>
                  <w:tcBorders>
                    <w:tl2br w:val="nil"/>
                    <w:tr2bl w:val="nil"/>
                  </w:tcBorders>
                  <w:shd w:val="clear" w:color="auto" w:fill="auto"/>
                  <w:vAlign w:val="center"/>
                </w:tcPr>
                <w:p w14:paraId="2C461212">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438" w:type="dxa"/>
                  <w:vMerge w:val="continue"/>
                  <w:tcBorders>
                    <w:tl2br w:val="nil"/>
                    <w:tr2bl w:val="nil"/>
                  </w:tcBorders>
                  <w:shd w:val="clear" w:color="auto" w:fill="auto"/>
                  <w:vAlign w:val="center"/>
                </w:tcPr>
                <w:p w14:paraId="22A41688">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507" w:type="dxa"/>
                  <w:tcBorders>
                    <w:tl2br w:val="nil"/>
                    <w:tr2bl w:val="nil"/>
                  </w:tcBorders>
                  <w:shd w:val="clear" w:color="auto" w:fill="auto"/>
                  <w:vAlign w:val="center"/>
                </w:tcPr>
                <w:p w14:paraId="04503E62">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排放量t/a</w:t>
                  </w:r>
                </w:p>
              </w:tc>
              <w:tc>
                <w:tcPr>
                  <w:tcW w:w="1012" w:type="dxa"/>
                  <w:tcBorders>
                    <w:tl2br w:val="nil"/>
                    <w:tr2bl w:val="nil"/>
                  </w:tcBorders>
                  <w:shd w:val="clear" w:color="auto" w:fill="auto"/>
                  <w:vAlign w:val="center"/>
                </w:tcPr>
                <w:p w14:paraId="148399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1.291</w:t>
                  </w:r>
                </w:p>
              </w:tc>
              <w:tc>
                <w:tcPr>
                  <w:tcW w:w="900" w:type="dxa"/>
                  <w:tcBorders>
                    <w:tl2br w:val="nil"/>
                    <w:tr2bl w:val="nil"/>
                  </w:tcBorders>
                  <w:shd w:val="clear" w:color="auto" w:fill="auto"/>
                  <w:vAlign w:val="center"/>
                </w:tcPr>
                <w:p w14:paraId="714AE35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0.562</w:t>
                  </w:r>
                </w:p>
              </w:tc>
              <w:tc>
                <w:tcPr>
                  <w:tcW w:w="911" w:type="dxa"/>
                  <w:tcBorders>
                    <w:tl2br w:val="nil"/>
                    <w:tr2bl w:val="nil"/>
                  </w:tcBorders>
                  <w:shd w:val="clear" w:color="auto" w:fill="auto"/>
                  <w:vAlign w:val="center"/>
                </w:tcPr>
                <w:p w14:paraId="08CC24E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0.168</w:t>
                  </w:r>
                </w:p>
              </w:tc>
              <w:tc>
                <w:tcPr>
                  <w:tcW w:w="1031" w:type="dxa"/>
                  <w:tcBorders>
                    <w:tl2br w:val="nil"/>
                    <w:tr2bl w:val="nil"/>
                  </w:tcBorders>
                  <w:shd w:val="clear" w:color="auto" w:fill="auto"/>
                  <w:vAlign w:val="center"/>
                </w:tcPr>
                <w:p w14:paraId="05EAC47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0.08</w:t>
                  </w:r>
                </w:p>
              </w:tc>
              <w:tc>
                <w:tcPr>
                  <w:tcW w:w="881" w:type="dxa"/>
                  <w:tcBorders>
                    <w:tl2br w:val="nil"/>
                    <w:tr2bl w:val="nil"/>
                  </w:tcBorders>
                  <w:shd w:val="clear" w:color="auto" w:fill="auto"/>
                  <w:vAlign w:val="center"/>
                </w:tcPr>
                <w:p w14:paraId="6232CD8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0.168</w:t>
                  </w:r>
                </w:p>
              </w:tc>
              <w:tc>
                <w:tcPr>
                  <w:tcW w:w="911" w:type="dxa"/>
                  <w:tcBorders>
                    <w:tl2br w:val="nil"/>
                    <w:tr2bl w:val="nil"/>
                  </w:tcBorders>
                  <w:shd w:val="clear" w:color="auto" w:fill="auto"/>
                  <w:noWrap/>
                  <w:vAlign w:val="center"/>
                </w:tcPr>
                <w:p w14:paraId="39198FB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864" w:type="dxa"/>
                  <w:tcBorders>
                    <w:tl2br w:val="nil"/>
                    <w:tr2bl w:val="nil"/>
                  </w:tcBorders>
                  <w:shd w:val="clear" w:color="auto" w:fill="auto"/>
                  <w:noWrap/>
                  <w:vAlign w:val="center"/>
                </w:tcPr>
                <w:p w14:paraId="27A5E83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11.198</w:t>
                  </w:r>
                </w:p>
              </w:tc>
              <w:tc>
                <w:tcPr>
                  <w:tcW w:w="1117" w:type="dxa"/>
                  <w:tcBorders>
                    <w:tl2br w:val="nil"/>
                    <w:tr2bl w:val="nil"/>
                  </w:tcBorders>
                  <w:shd w:val="clear" w:color="auto" w:fill="auto"/>
                  <w:noWrap/>
                  <w:vAlign w:val="center"/>
                </w:tcPr>
                <w:p w14:paraId="608D9D1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eastAsia" w:cs="Times New Roman"/>
                      <w:color w:val="auto"/>
                      <w:sz w:val="21"/>
                      <w:szCs w:val="21"/>
                      <w:highlight w:val="none"/>
                      <w:lang w:val="en-US" w:eastAsia="zh-CN" w:bidi="ar"/>
                    </w:rPr>
                    <w:t>/</w:t>
                  </w:r>
                </w:p>
              </w:tc>
            </w:tr>
            <w:tr w14:paraId="7D1D55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5469" w:type="dxa"/>
                  <w:gridSpan w:val="4"/>
                  <w:tcBorders>
                    <w:tl2br w:val="nil"/>
                    <w:tr2bl w:val="nil"/>
                  </w:tcBorders>
                  <w:shd w:val="clear" w:color="auto" w:fill="auto"/>
                  <w:vAlign w:val="center"/>
                </w:tcPr>
                <w:p w14:paraId="52C631E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《肉类加工工业水污染物排放标准》（GB13457-92）三级标准浓度限值 mg/L</w:t>
                  </w:r>
                </w:p>
              </w:tc>
              <w:tc>
                <w:tcPr>
                  <w:tcW w:w="1012" w:type="dxa"/>
                  <w:tcBorders>
                    <w:tl2br w:val="nil"/>
                    <w:tr2bl w:val="nil"/>
                  </w:tcBorders>
                  <w:shd w:val="clear" w:color="auto" w:fill="auto"/>
                  <w:noWrap/>
                  <w:vAlign w:val="center"/>
                </w:tcPr>
                <w:p w14:paraId="3AF33E72">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500</w:t>
                  </w:r>
                </w:p>
              </w:tc>
              <w:tc>
                <w:tcPr>
                  <w:tcW w:w="900" w:type="dxa"/>
                  <w:tcBorders>
                    <w:tl2br w:val="nil"/>
                    <w:tr2bl w:val="nil"/>
                  </w:tcBorders>
                  <w:shd w:val="clear" w:color="auto" w:fill="auto"/>
                  <w:noWrap/>
                  <w:vAlign w:val="center"/>
                </w:tcPr>
                <w:p w14:paraId="2DE406B3">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300</w:t>
                  </w:r>
                </w:p>
              </w:tc>
              <w:tc>
                <w:tcPr>
                  <w:tcW w:w="911" w:type="dxa"/>
                  <w:tcBorders>
                    <w:tl2br w:val="nil"/>
                    <w:tr2bl w:val="nil"/>
                  </w:tcBorders>
                  <w:shd w:val="clear" w:color="auto" w:fill="auto"/>
                  <w:noWrap/>
                  <w:vAlign w:val="center"/>
                </w:tcPr>
                <w:p w14:paraId="27CEC3E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400</w:t>
                  </w:r>
                </w:p>
              </w:tc>
              <w:tc>
                <w:tcPr>
                  <w:tcW w:w="1031" w:type="dxa"/>
                  <w:tcBorders>
                    <w:tl2br w:val="nil"/>
                    <w:tr2bl w:val="nil"/>
                  </w:tcBorders>
                  <w:shd w:val="clear" w:color="auto" w:fill="auto"/>
                  <w:noWrap/>
                  <w:vAlign w:val="center"/>
                </w:tcPr>
                <w:p w14:paraId="70B0E6C7">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881" w:type="dxa"/>
                  <w:tcBorders>
                    <w:tl2br w:val="nil"/>
                    <w:tr2bl w:val="nil"/>
                  </w:tcBorders>
                  <w:shd w:val="clear" w:color="auto" w:fill="auto"/>
                  <w:noWrap/>
                  <w:vAlign w:val="center"/>
                </w:tcPr>
                <w:p w14:paraId="419EBA6E">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911" w:type="dxa"/>
                  <w:tcBorders>
                    <w:tl2br w:val="nil"/>
                    <w:tr2bl w:val="nil"/>
                  </w:tcBorders>
                  <w:shd w:val="clear" w:color="auto" w:fill="auto"/>
                  <w:noWrap/>
                  <w:vAlign w:val="center"/>
                </w:tcPr>
                <w:p w14:paraId="6A9E639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w:t>
                  </w:r>
                </w:p>
              </w:tc>
              <w:tc>
                <w:tcPr>
                  <w:tcW w:w="864" w:type="dxa"/>
                  <w:tcBorders>
                    <w:tl2br w:val="nil"/>
                    <w:tr2bl w:val="nil"/>
                  </w:tcBorders>
                  <w:shd w:val="clear" w:color="auto" w:fill="auto"/>
                  <w:noWrap/>
                  <w:vAlign w:val="center"/>
                </w:tcPr>
                <w:p w14:paraId="1DA0BFA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60</w:t>
                  </w:r>
                </w:p>
              </w:tc>
              <w:tc>
                <w:tcPr>
                  <w:tcW w:w="1117" w:type="dxa"/>
                  <w:tcBorders>
                    <w:tl2br w:val="nil"/>
                    <w:tr2bl w:val="nil"/>
                  </w:tcBorders>
                  <w:shd w:val="clear" w:color="auto" w:fill="auto"/>
                  <w:noWrap/>
                  <w:vAlign w:val="center"/>
                </w:tcPr>
                <w:p w14:paraId="6AAE9BC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w:t>
                  </w:r>
                </w:p>
              </w:tc>
            </w:tr>
            <w:tr w14:paraId="42D03E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5469" w:type="dxa"/>
                  <w:gridSpan w:val="4"/>
                  <w:tcBorders>
                    <w:tl2br w:val="nil"/>
                    <w:tr2bl w:val="nil"/>
                  </w:tcBorders>
                  <w:shd w:val="clear" w:color="auto" w:fill="auto"/>
                  <w:vAlign w:val="center"/>
                </w:tcPr>
                <w:p w14:paraId="5E61DA62">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磨西镇</w:t>
                  </w:r>
                  <w:r>
                    <w:rPr>
                      <w:rStyle w:val="139"/>
                      <w:rFonts w:hint="eastAsia" w:cs="Times New Roman"/>
                      <w:color w:val="auto"/>
                      <w:sz w:val="21"/>
                      <w:szCs w:val="21"/>
                      <w:highlight w:val="none"/>
                      <w:lang w:val="en-US" w:eastAsia="zh-CN" w:bidi="ar"/>
                    </w:rPr>
                    <w:t>污水处理厂</w:t>
                  </w:r>
                  <w:r>
                    <w:rPr>
                      <w:rStyle w:val="139"/>
                      <w:rFonts w:hint="default" w:ascii="Times New Roman" w:hAnsi="Times New Roman" w:cs="Times New Roman"/>
                      <w:color w:val="auto"/>
                      <w:sz w:val="21"/>
                      <w:szCs w:val="21"/>
                      <w:highlight w:val="none"/>
                      <w:lang w:val="en-US" w:eastAsia="zh-CN" w:bidi="ar"/>
                    </w:rPr>
                    <w:t>进水水质要求</w:t>
                  </w:r>
                </w:p>
              </w:tc>
              <w:tc>
                <w:tcPr>
                  <w:tcW w:w="1012" w:type="dxa"/>
                  <w:tcBorders>
                    <w:tl2br w:val="nil"/>
                    <w:tr2bl w:val="nil"/>
                  </w:tcBorders>
                  <w:shd w:val="clear" w:color="auto" w:fill="auto"/>
                  <w:noWrap/>
                  <w:vAlign w:val="center"/>
                </w:tcPr>
                <w:p w14:paraId="3BCAD03D">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3</w:t>
                  </w:r>
                  <w:r>
                    <w:rPr>
                      <w:rStyle w:val="139"/>
                      <w:rFonts w:hint="eastAsia" w:ascii="Times New Roman" w:hAnsi="Times New Roman" w:cs="Times New Roman"/>
                      <w:color w:val="auto"/>
                      <w:sz w:val="21"/>
                      <w:szCs w:val="21"/>
                      <w:highlight w:val="none"/>
                      <w:lang w:val="en-US" w:eastAsia="zh-CN" w:bidi="ar"/>
                    </w:rPr>
                    <w:t>2</w:t>
                  </w:r>
                  <w:r>
                    <w:rPr>
                      <w:rStyle w:val="139"/>
                      <w:rFonts w:hint="default" w:ascii="Times New Roman" w:hAnsi="Times New Roman" w:cs="Times New Roman"/>
                      <w:color w:val="auto"/>
                      <w:sz w:val="21"/>
                      <w:szCs w:val="21"/>
                      <w:highlight w:val="none"/>
                      <w:lang w:val="en-US" w:eastAsia="zh-CN" w:bidi="ar"/>
                    </w:rPr>
                    <w:t>0</w:t>
                  </w:r>
                </w:p>
              </w:tc>
              <w:tc>
                <w:tcPr>
                  <w:tcW w:w="900" w:type="dxa"/>
                  <w:tcBorders>
                    <w:tl2br w:val="nil"/>
                    <w:tr2bl w:val="nil"/>
                  </w:tcBorders>
                  <w:shd w:val="clear" w:color="auto" w:fill="auto"/>
                  <w:noWrap/>
                  <w:vAlign w:val="center"/>
                </w:tcPr>
                <w:p w14:paraId="131A72AB">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eastAsia" w:ascii="Times New Roman" w:hAnsi="Times New Roman" w:cs="Times New Roman"/>
                      <w:color w:val="auto"/>
                      <w:sz w:val="21"/>
                      <w:szCs w:val="21"/>
                      <w:highlight w:val="none"/>
                      <w:lang w:val="en-US" w:eastAsia="zh-CN" w:bidi="ar"/>
                    </w:rPr>
                    <w:t>160</w:t>
                  </w:r>
                </w:p>
              </w:tc>
              <w:tc>
                <w:tcPr>
                  <w:tcW w:w="911" w:type="dxa"/>
                  <w:tcBorders>
                    <w:tl2br w:val="nil"/>
                    <w:tr2bl w:val="nil"/>
                  </w:tcBorders>
                  <w:shd w:val="clear" w:color="auto" w:fill="auto"/>
                  <w:noWrap/>
                  <w:vAlign w:val="center"/>
                </w:tcPr>
                <w:p w14:paraId="7A04D8D9">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eastAsia" w:ascii="Times New Roman" w:hAnsi="Times New Roman" w:cs="Times New Roman"/>
                      <w:color w:val="auto"/>
                      <w:sz w:val="21"/>
                      <w:szCs w:val="21"/>
                      <w:highlight w:val="none"/>
                      <w:lang w:val="en-US" w:eastAsia="zh-CN" w:bidi="ar"/>
                    </w:rPr>
                    <w:t>350</w:t>
                  </w:r>
                </w:p>
              </w:tc>
              <w:tc>
                <w:tcPr>
                  <w:tcW w:w="1031" w:type="dxa"/>
                  <w:tcBorders>
                    <w:tl2br w:val="nil"/>
                    <w:tr2bl w:val="nil"/>
                  </w:tcBorders>
                  <w:shd w:val="clear" w:color="auto" w:fill="auto"/>
                  <w:noWrap/>
                  <w:vAlign w:val="center"/>
                </w:tcPr>
                <w:p w14:paraId="3B2CBCFE">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35</w:t>
                  </w:r>
                </w:p>
              </w:tc>
              <w:tc>
                <w:tcPr>
                  <w:tcW w:w="881" w:type="dxa"/>
                  <w:tcBorders>
                    <w:tl2br w:val="nil"/>
                    <w:tr2bl w:val="nil"/>
                  </w:tcBorders>
                  <w:shd w:val="clear" w:color="auto" w:fill="auto"/>
                  <w:noWrap/>
                  <w:vAlign w:val="center"/>
                </w:tcPr>
                <w:p w14:paraId="6AC90BE2">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45</w:t>
                  </w:r>
                </w:p>
              </w:tc>
              <w:tc>
                <w:tcPr>
                  <w:tcW w:w="911" w:type="dxa"/>
                  <w:tcBorders>
                    <w:tl2br w:val="nil"/>
                    <w:tr2bl w:val="nil"/>
                  </w:tcBorders>
                  <w:shd w:val="clear" w:color="auto" w:fill="auto"/>
                  <w:noWrap/>
                  <w:vAlign w:val="center"/>
                </w:tcPr>
                <w:p w14:paraId="6EF0CA0A">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4</w:t>
                  </w:r>
                </w:p>
              </w:tc>
              <w:tc>
                <w:tcPr>
                  <w:tcW w:w="864" w:type="dxa"/>
                  <w:tcBorders>
                    <w:tl2br w:val="nil"/>
                    <w:tr2bl w:val="nil"/>
                  </w:tcBorders>
                  <w:shd w:val="clear" w:color="auto" w:fill="auto"/>
                  <w:noWrap/>
                  <w:vAlign w:val="center"/>
                </w:tcPr>
                <w:p w14:paraId="4A0D93FD">
                  <w:pPr>
                    <w:keepNext w:val="0"/>
                    <w:keepLines w:val="0"/>
                    <w:widowControl/>
                    <w:suppressLineNumbers w:val="0"/>
                    <w:jc w:val="center"/>
                    <w:textAlignment w:val="center"/>
                    <w:rPr>
                      <w:rStyle w:val="139"/>
                      <w:rFonts w:hint="default" w:ascii="Times New Roman" w:hAnsi="Times New Roman"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1117" w:type="dxa"/>
                  <w:tcBorders>
                    <w:tl2br w:val="nil"/>
                    <w:tr2bl w:val="nil"/>
                  </w:tcBorders>
                  <w:shd w:val="clear" w:color="auto" w:fill="auto"/>
                  <w:noWrap/>
                  <w:vAlign w:val="center"/>
                </w:tcPr>
                <w:p w14:paraId="2AC99BA5">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eastAsia" w:cs="Times New Roman"/>
                      <w:color w:val="auto"/>
                      <w:sz w:val="21"/>
                      <w:szCs w:val="21"/>
                      <w:highlight w:val="none"/>
                      <w:lang w:val="en-US" w:eastAsia="zh-CN" w:bidi="ar"/>
                    </w:rPr>
                    <w:t>/</w:t>
                  </w:r>
                </w:p>
              </w:tc>
            </w:tr>
            <w:tr w14:paraId="142359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jc w:val="center"/>
              </w:trPr>
              <w:tc>
                <w:tcPr>
                  <w:tcW w:w="1524" w:type="dxa"/>
                  <w:vMerge w:val="restart"/>
                  <w:tcBorders>
                    <w:tl2br w:val="nil"/>
                    <w:tr2bl w:val="nil"/>
                  </w:tcBorders>
                  <w:shd w:val="clear" w:color="auto" w:fill="auto"/>
                  <w:vAlign w:val="center"/>
                </w:tcPr>
                <w:p w14:paraId="26F2A50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磨西镇</w:t>
                  </w:r>
                  <w:r>
                    <w:rPr>
                      <w:rStyle w:val="139"/>
                      <w:rFonts w:hint="eastAsia" w:cs="Times New Roman"/>
                      <w:color w:val="auto"/>
                      <w:sz w:val="21"/>
                      <w:szCs w:val="21"/>
                      <w:highlight w:val="none"/>
                      <w:lang w:val="en-US" w:eastAsia="zh-CN" w:bidi="ar"/>
                    </w:rPr>
                    <w:t>污水处理厂</w:t>
                  </w:r>
                  <w:r>
                    <w:rPr>
                      <w:rStyle w:val="139"/>
                      <w:rFonts w:hint="eastAsia" w:ascii="Times New Roman" w:hAnsi="Times New Roman" w:eastAsia="宋体" w:cs="Times New Roman"/>
                      <w:color w:val="auto"/>
                      <w:sz w:val="21"/>
                      <w:szCs w:val="21"/>
                      <w:highlight w:val="none"/>
                      <w:lang w:val="en-US" w:eastAsia="zh-CN" w:bidi="ar"/>
                    </w:rPr>
                    <w:t>排口</w:t>
                  </w:r>
                </w:p>
              </w:tc>
              <w:tc>
                <w:tcPr>
                  <w:tcW w:w="1000" w:type="dxa"/>
                  <w:vMerge w:val="restart"/>
                  <w:tcBorders>
                    <w:tl2br w:val="nil"/>
                    <w:tr2bl w:val="nil"/>
                  </w:tcBorders>
                  <w:shd w:val="clear" w:color="auto" w:fill="auto"/>
                  <w:vAlign w:val="center"/>
                </w:tcPr>
                <w:p w14:paraId="63778B1A">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4155.8</w:t>
                  </w:r>
                </w:p>
              </w:tc>
              <w:tc>
                <w:tcPr>
                  <w:tcW w:w="1438" w:type="dxa"/>
                  <w:vMerge w:val="restart"/>
                  <w:tcBorders>
                    <w:tl2br w:val="nil"/>
                    <w:tr2bl w:val="nil"/>
                  </w:tcBorders>
                  <w:shd w:val="clear" w:color="auto" w:fill="auto"/>
                  <w:vAlign w:val="center"/>
                </w:tcPr>
                <w:p w14:paraId="7B7C903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污水处理</w:t>
                  </w:r>
                  <w:r>
                    <w:rPr>
                      <w:rStyle w:val="139"/>
                      <w:rFonts w:hint="default" w:ascii="Times New Roman" w:hAnsi="Times New Roman" w:cs="Times New Roman"/>
                      <w:color w:val="auto"/>
                      <w:sz w:val="21"/>
                      <w:szCs w:val="21"/>
                      <w:highlight w:val="none"/>
                      <w:lang w:val="en-US" w:eastAsia="zh-CN" w:bidi="ar"/>
                    </w:rPr>
                    <w:t>厂</w:t>
                  </w:r>
                  <w:r>
                    <w:rPr>
                      <w:rStyle w:val="139"/>
                      <w:rFonts w:hint="default" w:ascii="Times New Roman" w:hAnsi="Times New Roman" w:eastAsia="宋体" w:cs="Times New Roman"/>
                      <w:color w:val="auto"/>
                      <w:sz w:val="21"/>
                      <w:szCs w:val="21"/>
                      <w:highlight w:val="none"/>
                      <w:lang w:val="en-US" w:eastAsia="zh-CN" w:bidi="ar"/>
                    </w:rPr>
                    <w:t>处理</w:t>
                  </w:r>
                  <w:r>
                    <w:rPr>
                      <w:rStyle w:val="139"/>
                      <w:rFonts w:hint="default" w:ascii="Times New Roman" w:hAnsi="Times New Roman" w:cs="Times New Roman"/>
                      <w:color w:val="auto"/>
                      <w:sz w:val="21"/>
                      <w:szCs w:val="21"/>
                      <w:highlight w:val="none"/>
                      <w:lang w:val="en-US" w:eastAsia="zh-CN" w:bidi="ar"/>
                    </w:rPr>
                    <w:t>后</w:t>
                  </w:r>
                </w:p>
              </w:tc>
              <w:tc>
                <w:tcPr>
                  <w:tcW w:w="1507" w:type="dxa"/>
                  <w:tcBorders>
                    <w:tl2br w:val="nil"/>
                    <w:tr2bl w:val="nil"/>
                  </w:tcBorders>
                  <w:shd w:val="clear" w:color="auto" w:fill="auto"/>
                  <w:vAlign w:val="center"/>
                </w:tcPr>
                <w:p w14:paraId="770A6D85">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排放</w:t>
                  </w:r>
                  <w:r>
                    <w:rPr>
                      <w:rStyle w:val="139"/>
                      <w:rFonts w:hint="default" w:ascii="Times New Roman" w:hAnsi="Times New Roman" w:eastAsia="宋体" w:cs="Times New Roman"/>
                      <w:color w:val="auto"/>
                      <w:sz w:val="21"/>
                      <w:szCs w:val="21"/>
                      <w:highlight w:val="none"/>
                      <w:lang w:val="en-US" w:eastAsia="zh-CN" w:bidi="ar"/>
                    </w:rPr>
                    <w:t>浓度mg/L</w:t>
                  </w:r>
                </w:p>
              </w:tc>
              <w:tc>
                <w:tcPr>
                  <w:tcW w:w="1012" w:type="dxa"/>
                  <w:tcBorders>
                    <w:tl2br w:val="nil"/>
                    <w:tr2bl w:val="nil"/>
                  </w:tcBorders>
                  <w:shd w:val="clear" w:color="auto" w:fill="auto"/>
                  <w:noWrap/>
                  <w:vAlign w:val="center"/>
                </w:tcPr>
                <w:p w14:paraId="48C8CF91">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50</w:t>
                  </w:r>
                </w:p>
              </w:tc>
              <w:tc>
                <w:tcPr>
                  <w:tcW w:w="900" w:type="dxa"/>
                  <w:tcBorders>
                    <w:tl2br w:val="nil"/>
                    <w:tr2bl w:val="nil"/>
                  </w:tcBorders>
                  <w:shd w:val="clear" w:color="auto" w:fill="auto"/>
                  <w:noWrap/>
                  <w:vAlign w:val="center"/>
                </w:tcPr>
                <w:p w14:paraId="04608E3E">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10</w:t>
                  </w:r>
                </w:p>
              </w:tc>
              <w:tc>
                <w:tcPr>
                  <w:tcW w:w="911" w:type="dxa"/>
                  <w:tcBorders>
                    <w:tl2br w:val="nil"/>
                    <w:tr2bl w:val="nil"/>
                  </w:tcBorders>
                  <w:shd w:val="clear" w:color="auto" w:fill="auto"/>
                  <w:noWrap/>
                  <w:vAlign w:val="center"/>
                </w:tcPr>
                <w:p w14:paraId="74649E4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10</w:t>
                  </w:r>
                </w:p>
              </w:tc>
              <w:tc>
                <w:tcPr>
                  <w:tcW w:w="1031" w:type="dxa"/>
                  <w:tcBorders>
                    <w:tl2br w:val="nil"/>
                    <w:tr2bl w:val="nil"/>
                  </w:tcBorders>
                  <w:shd w:val="clear" w:color="auto" w:fill="auto"/>
                  <w:noWrap/>
                  <w:vAlign w:val="center"/>
                </w:tcPr>
                <w:p w14:paraId="5077626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5</w:t>
                  </w:r>
                </w:p>
              </w:tc>
              <w:tc>
                <w:tcPr>
                  <w:tcW w:w="881" w:type="dxa"/>
                  <w:tcBorders>
                    <w:tl2br w:val="nil"/>
                    <w:tr2bl w:val="nil"/>
                  </w:tcBorders>
                  <w:shd w:val="clear" w:color="auto" w:fill="auto"/>
                  <w:noWrap/>
                  <w:vAlign w:val="center"/>
                </w:tcPr>
                <w:p w14:paraId="6038784C">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15</w:t>
                  </w:r>
                </w:p>
              </w:tc>
              <w:tc>
                <w:tcPr>
                  <w:tcW w:w="911" w:type="dxa"/>
                  <w:tcBorders>
                    <w:tl2br w:val="nil"/>
                    <w:tr2bl w:val="nil"/>
                  </w:tcBorders>
                  <w:shd w:val="clear" w:color="auto" w:fill="auto"/>
                  <w:noWrap/>
                  <w:vAlign w:val="center"/>
                </w:tcPr>
                <w:p w14:paraId="0CF0AD8A">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0.5</w:t>
                  </w:r>
                </w:p>
              </w:tc>
              <w:tc>
                <w:tcPr>
                  <w:tcW w:w="864" w:type="dxa"/>
                  <w:tcBorders>
                    <w:tl2br w:val="nil"/>
                    <w:tr2bl w:val="nil"/>
                  </w:tcBorders>
                  <w:shd w:val="clear" w:color="auto" w:fill="auto"/>
                  <w:noWrap/>
                  <w:vAlign w:val="center"/>
                </w:tcPr>
                <w:p w14:paraId="7D4DA87A">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1117" w:type="dxa"/>
                  <w:tcBorders>
                    <w:tl2br w:val="nil"/>
                    <w:tr2bl w:val="nil"/>
                  </w:tcBorders>
                  <w:shd w:val="clear" w:color="auto" w:fill="auto"/>
                  <w:noWrap/>
                  <w:vAlign w:val="center"/>
                </w:tcPr>
                <w:p w14:paraId="0AD12EB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eastAsia" w:cs="Times New Roman"/>
                      <w:color w:val="auto"/>
                      <w:sz w:val="21"/>
                      <w:szCs w:val="21"/>
                      <w:highlight w:val="none"/>
                      <w:lang w:val="en-US" w:eastAsia="zh-CN" w:bidi="ar"/>
                    </w:rPr>
                    <w:t>/</w:t>
                  </w:r>
                </w:p>
              </w:tc>
            </w:tr>
            <w:tr w14:paraId="74D48E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1524" w:type="dxa"/>
                  <w:vMerge w:val="continue"/>
                  <w:tcBorders>
                    <w:tl2br w:val="nil"/>
                    <w:tr2bl w:val="nil"/>
                  </w:tcBorders>
                  <w:shd w:val="clear" w:color="auto" w:fill="auto"/>
                  <w:vAlign w:val="center"/>
                </w:tcPr>
                <w:p w14:paraId="5C1EFFC4">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000" w:type="dxa"/>
                  <w:vMerge w:val="continue"/>
                  <w:tcBorders>
                    <w:tl2br w:val="nil"/>
                    <w:tr2bl w:val="nil"/>
                  </w:tcBorders>
                  <w:shd w:val="clear" w:color="auto" w:fill="auto"/>
                  <w:vAlign w:val="center"/>
                </w:tcPr>
                <w:p w14:paraId="67E31B94">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438" w:type="dxa"/>
                  <w:vMerge w:val="continue"/>
                  <w:tcBorders>
                    <w:tl2br w:val="nil"/>
                    <w:tr2bl w:val="nil"/>
                  </w:tcBorders>
                  <w:shd w:val="clear" w:color="auto" w:fill="auto"/>
                  <w:vAlign w:val="center"/>
                </w:tcPr>
                <w:p w14:paraId="78E4595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p>
              </w:tc>
              <w:tc>
                <w:tcPr>
                  <w:tcW w:w="1507" w:type="dxa"/>
                  <w:tcBorders>
                    <w:tl2br w:val="nil"/>
                    <w:tr2bl w:val="nil"/>
                  </w:tcBorders>
                  <w:shd w:val="clear" w:color="auto" w:fill="auto"/>
                  <w:vAlign w:val="center"/>
                </w:tcPr>
                <w:p w14:paraId="3CCD00C1">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排放</w:t>
                  </w:r>
                  <w:r>
                    <w:rPr>
                      <w:rStyle w:val="139"/>
                      <w:rFonts w:hint="default" w:ascii="Times New Roman" w:hAnsi="Times New Roman" w:eastAsia="宋体" w:cs="Times New Roman"/>
                      <w:color w:val="auto"/>
                      <w:sz w:val="21"/>
                      <w:szCs w:val="21"/>
                      <w:highlight w:val="none"/>
                      <w:lang w:val="en-US" w:eastAsia="zh-CN" w:bidi="ar"/>
                    </w:rPr>
                    <w:t>量t/a</w:t>
                  </w:r>
                </w:p>
              </w:tc>
              <w:tc>
                <w:tcPr>
                  <w:tcW w:w="1012" w:type="dxa"/>
                  <w:tcBorders>
                    <w:tl2br w:val="nil"/>
                    <w:tr2bl w:val="nil"/>
                  </w:tcBorders>
                  <w:shd w:val="clear" w:color="auto" w:fill="auto"/>
                  <w:noWrap/>
                  <w:vAlign w:val="center"/>
                </w:tcPr>
                <w:p w14:paraId="36A820FC">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0.2078</w:t>
                  </w:r>
                </w:p>
              </w:tc>
              <w:tc>
                <w:tcPr>
                  <w:tcW w:w="900" w:type="dxa"/>
                  <w:tcBorders>
                    <w:tl2br w:val="nil"/>
                    <w:tr2bl w:val="nil"/>
                  </w:tcBorders>
                  <w:shd w:val="clear" w:color="auto" w:fill="auto"/>
                  <w:noWrap/>
                  <w:vAlign w:val="center"/>
                </w:tcPr>
                <w:p w14:paraId="52DC9CF5">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0.0416</w:t>
                  </w:r>
                </w:p>
              </w:tc>
              <w:tc>
                <w:tcPr>
                  <w:tcW w:w="911" w:type="dxa"/>
                  <w:tcBorders>
                    <w:tl2br w:val="nil"/>
                    <w:tr2bl w:val="nil"/>
                  </w:tcBorders>
                  <w:shd w:val="clear" w:color="auto" w:fill="auto"/>
                  <w:noWrap/>
                  <w:vAlign w:val="center"/>
                </w:tcPr>
                <w:p w14:paraId="6E4203E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0.0416</w:t>
                  </w:r>
                </w:p>
              </w:tc>
              <w:tc>
                <w:tcPr>
                  <w:tcW w:w="1031" w:type="dxa"/>
                  <w:tcBorders>
                    <w:tl2br w:val="nil"/>
                    <w:tr2bl w:val="nil"/>
                  </w:tcBorders>
                  <w:shd w:val="clear" w:color="auto" w:fill="auto"/>
                  <w:noWrap/>
                  <w:vAlign w:val="center"/>
                </w:tcPr>
                <w:p w14:paraId="27C6B1C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0.0208</w:t>
                  </w:r>
                </w:p>
              </w:tc>
              <w:tc>
                <w:tcPr>
                  <w:tcW w:w="881" w:type="dxa"/>
                  <w:tcBorders>
                    <w:tl2br w:val="nil"/>
                    <w:tr2bl w:val="nil"/>
                  </w:tcBorders>
                  <w:shd w:val="clear" w:color="auto" w:fill="auto"/>
                  <w:noWrap/>
                  <w:vAlign w:val="center"/>
                </w:tcPr>
                <w:p w14:paraId="52A708E7">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0.0623</w:t>
                  </w:r>
                </w:p>
              </w:tc>
              <w:tc>
                <w:tcPr>
                  <w:tcW w:w="911" w:type="dxa"/>
                  <w:tcBorders>
                    <w:tl2br w:val="nil"/>
                    <w:tr2bl w:val="nil"/>
                  </w:tcBorders>
                  <w:shd w:val="clear" w:color="auto" w:fill="auto"/>
                  <w:noWrap/>
                  <w:vAlign w:val="center"/>
                </w:tcPr>
                <w:p w14:paraId="00E1E95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0.0021</w:t>
                  </w:r>
                </w:p>
              </w:tc>
              <w:tc>
                <w:tcPr>
                  <w:tcW w:w="864" w:type="dxa"/>
                  <w:tcBorders>
                    <w:tl2br w:val="nil"/>
                    <w:tr2bl w:val="nil"/>
                  </w:tcBorders>
                  <w:shd w:val="clear" w:color="auto" w:fill="auto"/>
                  <w:noWrap/>
                  <w:vAlign w:val="center"/>
                </w:tcPr>
                <w:p w14:paraId="66FE82CB">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w:t>
                  </w:r>
                </w:p>
              </w:tc>
              <w:tc>
                <w:tcPr>
                  <w:tcW w:w="1117" w:type="dxa"/>
                  <w:tcBorders>
                    <w:tl2br w:val="nil"/>
                    <w:tr2bl w:val="nil"/>
                  </w:tcBorders>
                  <w:shd w:val="clear" w:color="auto" w:fill="auto"/>
                  <w:noWrap/>
                  <w:vAlign w:val="center"/>
                </w:tcPr>
                <w:p w14:paraId="64820FB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eastAsia" w:cs="Times New Roman"/>
                      <w:color w:val="auto"/>
                      <w:sz w:val="21"/>
                      <w:szCs w:val="21"/>
                      <w:highlight w:val="none"/>
                      <w:lang w:val="en-US" w:eastAsia="zh-CN" w:bidi="ar"/>
                    </w:rPr>
                    <w:t>/</w:t>
                  </w:r>
                </w:p>
              </w:tc>
            </w:tr>
            <w:tr w14:paraId="0BCA96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5469" w:type="dxa"/>
                  <w:gridSpan w:val="4"/>
                  <w:tcBorders>
                    <w:tl2br w:val="nil"/>
                    <w:tr2bl w:val="nil"/>
                  </w:tcBorders>
                  <w:shd w:val="clear" w:color="auto" w:fill="auto"/>
                  <w:vAlign w:val="center"/>
                </w:tcPr>
                <w:p w14:paraId="0B729B78">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《城镇污水处理厂污染物排放标准》(GB18918-2002</w:t>
                  </w:r>
                  <w:r>
                    <w:rPr>
                      <w:rStyle w:val="139"/>
                      <w:rFonts w:hint="eastAsia" w:cs="Times New Roman"/>
                      <w:color w:val="auto"/>
                      <w:sz w:val="21"/>
                      <w:szCs w:val="21"/>
                      <w:highlight w:val="none"/>
                      <w:lang w:val="en-US" w:eastAsia="zh-CN" w:bidi="ar"/>
                    </w:rPr>
                    <w:t>）</w:t>
                  </w:r>
                  <w:r>
                    <w:rPr>
                      <w:rStyle w:val="139"/>
                      <w:rFonts w:hint="default" w:ascii="Times New Roman" w:hAnsi="Times New Roman" w:eastAsia="宋体" w:cs="Times New Roman"/>
                      <w:color w:val="auto"/>
                      <w:sz w:val="21"/>
                      <w:szCs w:val="21"/>
                      <w:highlight w:val="none"/>
                      <w:lang w:val="en-US" w:eastAsia="zh-CN" w:bidi="ar"/>
                    </w:rPr>
                    <w:t>一级</w:t>
                  </w:r>
                  <w:r>
                    <w:rPr>
                      <w:rStyle w:val="139"/>
                      <w:rFonts w:hint="eastAsia" w:cs="Times New Roman"/>
                      <w:color w:val="auto"/>
                      <w:sz w:val="21"/>
                      <w:szCs w:val="21"/>
                      <w:highlight w:val="none"/>
                      <w:lang w:val="en-US" w:eastAsia="zh-CN" w:bidi="ar"/>
                    </w:rPr>
                    <w:t>A</w:t>
                  </w:r>
                  <w:r>
                    <w:rPr>
                      <w:rStyle w:val="139"/>
                      <w:rFonts w:hint="default" w:ascii="Times New Roman" w:hAnsi="Times New Roman" w:eastAsia="宋体" w:cs="Times New Roman"/>
                      <w:color w:val="auto"/>
                      <w:sz w:val="21"/>
                      <w:szCs w:val="21"/>
                      <w:highlight w:val="none"/>
                      <w:lang w:val="en-US" w:eastAsia="zh-CN" w:bidi="ar"/>
                    </w:rPr>
                    <w:t>标准</w:t>
                  </w:r>
                </w:p>
              </w:tc>
              <w:tc>
                <w:tcPr>
                  <w:tcW w:w="1012" w:type="dxa"/>
                  <w:tcBorders>
                    <w:tl2br w:val="nil"/>
                    <w:tr2bl w:val="nil"/>
                  </w:tcBorders>
                  <w:shd w:val="clear" w:color="auto" w:fill="auto"/>
                  <w:noWrap/>
                  <w:vAlign w:val="center"/>
                </w:tcPr>
                <w:p w14:paraId="4AC4228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50</w:t>
                  </w:r>
                </w:p>
              </w:tc>
              <w:tc>
                <w:tcPr>
                  <w:tcW w:w="900" w:type="dxa"/>
                  <w:tcBorders>
                    <w:tl2br w:val="nil"/>
                    <w:tr2bl w:val="nil"/>
                  </w:tcBorders>
                  <w:shd w:val="clear" w:color="auto" w:fill="auto"/>
                  <w:noWrap/>
                  <w:vAlign w:val="center"/>
                </w:tcPr>
                <w:p w14:paraId="1E6856E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10</w:t>
                  </w:r>
                </w:p>
              </w:tc>
              <w:tc>
                <w:tcPr>
                  <w:tcW w:w="911" w:type="dxa"/>
                  <w:tcBorders>
                    <w:tl2br w:val="nil"/>
                    <w:tr2bl w:val="nil"/>
                  </w:tcBorders>
                  <w:shd w:val="clear" w:color="auto" w:fill="auto"/>
                  <w:noWrap/>
                  <w:vAlign w:val="center"/>
                </w:tcPr>
                <w:p w14:paraId="16AEC39F">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10</w:t>
                  </w:r>
                </w:p>
              </w:tc>
              <w:tc>
                <w:tcPr>
                  <w:tcW w:w="1031" w:type="dxa"/>
                  <w:tcBorders>
                    <w:tl2br w:val="nil"/>
                    <w:tr2bl w:val="nil"/>
                  </w:tcBorders>
                  <w:shd w:val="clear" w:color="auto" w:fill="auto"/>
                  <w:noWrap/>
                  <w:vAlign w:val="center"/>
                </w:tcPr>
                <w:p w14:paraId="1F8708D7">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5</w:t>
                  </w:r>
                </w:p>
              </w:tc>
              <w:tc>
                <w:tcPr>
                  <w:tcW w:w="881" w:type="dxa"/>
                  <w:tcBorders>
                    <w:tl2br w:val="nil"/>
                    <w:tr2bl w:val="nil"/>
                  </w:tcBorders>
                  <w:shd w:val="clear" w:color="auto" w:fill="auto"/>
                  <w:noWrap/>
                  <w:vAlign w:val="center"/>
                </w:tcPr>
                <w:p w14:paraId="0FFDAAF4">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15</w:t>
                  </w:r>
                </w:p>
              </w:tc>
              <w:tc>
                <w:tcPr>
                  <w:tcW w:w="911" w:type="dxa"/>
                  <w:tcBorders>
                    <w:tl2br w:val="nil"/>
                    <w:tr2bl w:val="nil"/>
                  </w:tcBorders>
                  <w:shd w:val="clear" w:color="auto" w:fill="auto"/>
                  <w:noWrap/>
                  <w:vAlign w:val="center"/>
                </w:tcPr>
                <w:p w14:paraId="34955180">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cs="Times New Roman"/>
                      <w:color w:val="auto"/>
                      <w:sz w:val="21"/>
                      <w:szCs w:val="21"/>
                      <w:highlight w:val="none"/>
                      <w:lang w:val="en-US" w:eastAsia="zh-CN" w:bidi="ar"/>
                    </w:rPr>
                    <w:t>0.5</w:t>
                  </w:r>
                </w:p>
              </w:tc>
              <w:tc>
                <w:tcPr>
                  <w:tcW w:w="864" w:type="dxa"/>
                  <w:tcBorders>
                    <w:tl2br w:val="nil"/>
                    <w:tr2bl w:val="nil"/>
                  </w:tcBorders>
                  <w:shd w:val="clear" w:color="auto" w:fill="auto"/>
                  <w:noWrap/>
                  <w:vAlign w:val="center"/>
                </w:tcPr>
                <w:p w14:paraId="52BF0D36">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default" w:ascii="Times New Roman" w:hAnsi="Times New Roman" w:eastAsia="宋体" w:cs="Times New Roman"/>
                      <w:color w:val="auto"/>
                      <w:sz w:val="21"/>
                      <w:szCs w:val="21"/>
                      <w:highlight w:val="none"/>
                      <w:lang w:val="en-US" w:eastAsia="zh-CN" w:bidi="ar"/>
                    </w:rPr>
                    <w:t>/</w:t>
                  </w:r>
                </w:p>
              </w:tc>
              <w:tc>
                <w:tcPr>
                  <w:tcW w:w="1117" w:type="dxa"/>
                  <w:tcBorders>
                    <w:tl2br w:val="nil"/>
                    <w:tr2bl w:val="nil"/>
                  </w:tcBorders>
                  <w:shd w:val="clear" w:color="auto" w:fill="auto"/>
                  <w:noWrap/>
                  <w:vAlign w:val="center"/>
                </w:tcPr>
                <w:p w14:paraId="241A47D9">
                  <w:pPr>
                    <w:keepNext w:val="0"/>
                    <w:keepLines w:val="0"/>
                    <w:widowControl/>
                    <w:suppressLineNumbers w:val="0"/>
                    <w:jc w:val="center"/>
                    <w:textAlignment w:val="center"/>
                    <w:rPr>
                      <w:rStyle w:val="139"/>
                      <w:rFonts w:hint="default" w:ascii="Times New Roman" w:hAnsi="Times New Roman" w:eastAsia="宋体" w:cs="Times New Roman"/>
                      <w:color w:val="auto"/>
                      <w:sz w:val="21"/>
                      <w:szCs w:val="21"/>
                      <w:highlight w:val="none"/>
                      <w:lang w:val="en-US" w:eastAsia="zh-CN" w:bidi="ar"/>
                    </w:rPr>
                  </w:pPr>
                  <w:r>
                    <w:rPr>
                      <w:rStyle w:val="139"/>
                      <w:rFonts w:hint="eastAsia" w:cs="Times New Roman"/>
                      <w:color w:val="auto"/>
                      <w:sz w:val="21"/>
                      <w:szCs w:val="21"/>
                      <w:highlight w:val="none"/>
                      <w:lang w:val="en-US" w:eastAsia="zh-CN" w:bidi="ar"/>
                    </w:rPr>
                    <w:t>/</w:t>
                  </w:r>
                </w:p>
              </w:tc>
            </w:tr>
            <w:bookmarkEnd w:id="17"/>
          </w:tbl>
          <w:p w14:paraId="3B846F6D">
            <w:pPr>
              <w:ind w:firstLine="480" w:firstLineChars="200"/>
              <w:jc w:val="left"/>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据上表可知，本项目废水可实现达标排放。</w:t>
            </w:r>
          </w:p>
          <w:p w14:paraId="5CD5B66F">
            <w:pPr>
              <w:jc w:val="center"/>
              <w:rPr>
                <w:rFonts w:hint="default" w:ascii="Times New Roman" w:hAnsi="Times New Roman" w:eastAsia="宋体" w:cs="Times New Roman"/>
                <w:color w:val="auto"/>
                <w:highlight w:val="none"/>
                <w:vertAlign w:val="baseline"/>
                <w:lang w:val="en-US" w:eastAsia="zh-CN"/>
              </w:rPr>
            </w:pPr>
          </w:p>
        </w:tc>
      </w:tr>
    </w:tbl>
    <w:p w14:paraId="45EF495A">
      <w:pPr>
        <w:rPr>
          <w:rFonts w:hint="default" w:ascii="Times New Roman" w:hAnsi="Times New Roman" w:eastAsia="宋体" w:cs="Times New Roman"/>
          <w:color w:val="auto"/>
          <w:highlight w:val="none"/>
        </w:rPr>
        <w:sectPr>
          <w:pgSz w:w="16840" w:h="11907" w:orient="landscape"/>
          <w:pgMar w:top="1531" w:right="1701" w:bottom="1531" w:left="1559" w:header="851" w:footer="851" w:gutter="0"/>
          <w:pgBorders>
            <w:top w:val="none" w:sz="0" w:space="0"/>
            <w:left w:val="none" w:sz="0" w:space="0"/>
            <w:bottom w:val="none" w:sz="0" w:space="0"/>
            <w:right w:val="none" w:sz="0" w:space="0"/>
          </w:pgBorders>
          <w:pgNumType w:fmt="decimal"/>
          <w:cols w:space="720" w:num="1"/>
          <w:docGrid w:linePitch="312" w:charSpace="0"/>
        </w:sectPr>
      </w:pPr>
    </w:p>
    <w:p w14:paraId="79AEAC0D">
      <w:pPr>
        <w:rPr>
          <w:rFonts w:hint="default" w:ascii="Times New Roman" w:hAnsi="Times New Roman" w:eastAsia="宋体" w:cs="Times New Roman"/>
          <w:color w:val="auto"/>
          <w:highlight w:val="none"/>
        </w:rPr>
      </w:pPr>
    </w:p>
    <w:tbl>
      <w:tblPr>
        <w:tblStyle w:val="3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5"/>
        <w:gridCol w:w="8666"/>
      </w:tblGrid>
      <w:tr w14:paraId="67F4D3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412" w:hRule="atLeast"/>
          <w:jc w:val="center"/>
        </w:trPr>
        <w:tc>
          <w:tcPr>
            <w:tcW w:w="315" w:type="dxa"/>
            <w:tcMar>
              <w:left w:w="28" w:type="dxa"/>
              <w:right w:w="28" w:type="dxa"/>
            </w:tcMar>
            <w:vAlign w:val="center"/>
          </w:tcPr>
          <w:p w14:paraId="6CB0D0C7">
            <w:pPr>
              <w:adjustRightInd w:val="0"/>
              <w:snapToGrid w:val="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bCs/>
                <w:color w:val="auto"/>
                <w:highlight w:val="none"/>
              </w:rPr>
              <w:t>运营期环境影响和保护</w:t>
            </w:r>
            <w:r>
              <w:rPr>
                <w:rFonts w:hint="default" w:ascii="Times New Roman" w:hAnsi="Times New Roman" w:eastAsia="宋体" w:cs="Times New Roman"/>
                <w:bCs/>
                <w:color w:val="auto"/>
                <w:szCs w:val="24"/>
                <w:highlight w:val="none"/>
              </w:rPr>
              <w:t>措施</w:t>
            </w:r>
          </w:p>
        </w:tc>
        <w:tc>
          <w:tcPr>
            <w:tcW w:w="8666" w:type="dxa"/>
            <w:vAlign w:val="center"/>
          </w:tcPr>
          <w:p w14:paraId="7232C0C9">
            <w:pPr>
              <w:pStyle w:val="20"/>
              <w:spacing w:after="0" w:line="360" w:lineRule="auto"/>
              <w:ind w:left="0" w:leftChars="0"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3</w:t>
            </w:r>
            <w:r>
              <w:rPr>
                <w:rFonts w:hint="eastAsia" w:cs="Times New Roman"/>
                <w:b/>
                <w:bCs/>
                <w:color w:val="auto"/>
                <w:highlight w:val="none"/>
                <w:lang w:val="en-US" w:eastAsia="zh-CN"/>
              </w:rPr>
              <w:t>）</w:t>
            </w:r>
            <w:r>
              <w:rPr>
                <w:rFonts w:hint="default" w:ascii="Times New Roman" w:hAnsi="Times New Roman" w:eastAsia="宋体" w:cs="Times New Roman"/>
                <w:b/>
                <w:bCs/>
                <w:color w:val="auto"/>
                <w:highlight w:val="none"/>
              </w:rPr>
              <w:t>依托污水处理厂依托可行性分析</w:t>
            </w:r>
          </w:p>
          <w:p w14:paraId="419EFA53">
            <w:pPr>
              <w:pStyle w:val="31"/>
              <w:spacing w:after="0" w:line="360" w:lineRule="auto"/>
              <w:ind w:left="0" w:leftChars="0" w:firstLine="482"/>
              <w:rPr>
                <w:rFonts w:hint="default" w:ascii="Times New Roman" w:hAnsi="Times New Roman" w:eastAsia="宋体" w:cs="Times New Roman"/>
                <w:b/>
                <w:bCs/>
                <w:color w:val="auto"/>
                <w:szCs w:val="24"/>
                <w:highlight w:val="none"/>
              </w:rPr>
            </w:pPr>
            <w:r>
              <w:rPr>
                <w:rFonts w:hint="eastAsia" w:cs="Times New Roman"/>
                <w:b/>
                <w:bCs/>
                <w:color w:val="auto"/>
                <w:szCs w:val="24"/>
                <w:highlight w:val="none"/>
                <w:lang w:val="en-US" w:eastAsia="zh-CN"/>
              </w:rPr>
              <w:t>泸</w:t>
            </w:r>
            <w:r>
              <w:rPr>
                <w:rFonts w:hint="default" w:ascii="Times New Roman" w:hAnsi="Times New Roman" w:eastAsia="宋体" w:cs="Times New Roman"/>
                <w:b/>
                <w:bCs/>
                <w:color w:val="auto"/>
                <w:szCs w:val="24"/>
                <w:highlight w:val="none"/>
              </w:rPr>
              <w:t>定县海螺沟磨西镇城市生活污水处理厂：</w:t>
            </w:r>
          </w:p>
          <w:p w14:paraId="56F62F0E">
            <w:pPr>
              <w:spacing w:line="360" w:lineRule="auto"/>
              <w:ind w:firstLine="480" w:firstLineChars="200"/>
              <w:rPr>
                <w:rFonts w:hint="eastAsia" w:cs="Times New Roman"/>
                <w:color w:val="auto"/>
                <w:kern w:val="0"/>
                <w:highlight w:val="none"/>
                <w:lang w:eastAsia="zh-CN"/>
              </w:rPr>
            </w:pPr>
            <w:r>
              <w:rPr>
                <w:rFonts w:hint="default" w:ascii="Times New Roman" w:hAnsi="Times New Roman" w:eastAsia="宋体" w:cs="Times New Roman"/>
                <w:color w:val="auto"/>
                <w:highlight w:val="none"/>
              </w:rPr>
              <w:t>泸定县磨西镇生活污水处理厂位于四川省甘孜州泸定县磨西镇咱地村1组4号，地处镇区东南边1.5公里处</w:t>
            </w:r>
            <w:r>
              <w:rPr>
                <w:rFonts w:hint="eastAsia" w:cs="Times New Roman"/>
                <w:color w:val="auto"/>
                <w:highlight w:val="none"/>
                <w:lang w:eastAsia="zh-CN"/>
              </w:rPr>
              <w:t>。</w:t>
            </w:r>
            <w:r>
              <w:rPr>
                <w:rFonts w:ascii="Times New Roman" w:hAnsi="Times New Roman" w:cs="Times New Roman"/>
                <w:color w:val="auto"/>
                <w:kern w:val="0"/>
                <w:highlight w:val="none"/>
              </w:rPr>
              <w:t>污水厂</w:t>
            </w:r>
            <w:r>
              <w:rPr>
                <w:rFonts w:hint="eastAsia" w:cs="Times New Roman"/>
                <w:color w:val="auto"/>
                <w:kern w:val="0"/>
                <w:highlight w:val="none"/>
                <w:lang w:val="en-US" w:eastAsia="zh-CN"/>
              </w:rPr>
              <w:t>扩能提标工程的设计</w:t>
            </w:r>
            <w:r>
              <w:rPr>
                <w:rFonts w:ascii="Times New Roman" w:hAnsi="Times New Roman" w:cs="Times New Roman"/>
                <w:color w:val="auto"/>
                <w:kern w:val="0"/>
                <w:highlight w:val="none"/>
              </w:rPr>
              <w:t>规模</w:t>
            </w:r>
            <w:r>
              <w:rPr>
                <w:rFonts w:hint="eastAsia" w:cs="Times New Roman"/>
                <w:color w:val="auto"/>
                <w:kern w:val="0"/>
                <w:highlight w:val="none"/>
                <w:lang w:val="en-US" w:eastAsia="zh-CN"/>
              </w:rPr>
              <w:t>为3</w:t>
            </w:r>
            <w:r>
              <w:rPr>
                <w:rFonts w:ascii="Times New Roman" w:hAnsi="Times New Roman" w:cs="Times New Roman"/>
                <w:color w:val="auto"/>
                <w:kern w:val="0"/>
                <w:highlight w:val="none"/>
              </w:rPr>
              <w:t>000 m³/d</w:t>
            </w:r>
            <w:r>
              <w:rPr>
                <w:rFonts w:hint="eastAsia" w:cs="Times New Roman"/>
                <w:color w:val="auto"/>
                <w:kern w:val="0"/>
                <w:highlight w:val="none"/>
                <w:lang w:eastAsia="zh-CN"/>
              </w:rPr>
              <w:t>（</w:t>
            </w:r>
            <w:r>
              <w:rPr>
                <w:rFonts w:hint="eastAsia" w:cs="Times New Roman"/>
                <w:color w:val="auto"/>
                <w:kern w:val="0"/>
                <w:highlight w:val="none"/>
                <w:lang w:val="en-US" w:eastAsia="zh-CN"/>
              </w:rPr>
              <w:t>污水厂原规模为1000</w:t>
            </w:r>
            <w:r>
              <w:rPr>
                <w:rFonts w:ascii="Times New Roman" w:hAnsi="Times New Roman" w:cs="Times New Roman"/>
                <w:color w:val="auto"/>
                <w:kern w:val="0"/>
                <w:highlight w:val="none"/>
              </w:rPr>
              <w:t>m³/d</w:t>
            </w:r>
            <w:r>
              <w:rPr>
                <w:rFonts w:hint="eastAsia" w:cs="Times New Roman"/>
                <w:color w:val="auto"/>
                <w:kern w:val="0"/>
                <w:highlight w:val="none"/>
                <w:lang w:eastAsia="zh-CN"/>
              </w:rPr>
              <w:t>，</w:t>
            </w:r>
            <w:r>
              <w:rPr>
                <w:rFonts w:hint="eastAsia" w:cs="Times New Roman"/>
                <w:color w:val="auto"/>
                <w:kern w:val="0"/>
                <w:highlight w:val="none"/>
                <w:lang w:val="en-US" w:eastAsia="zh-CN"/>
              </w:rPr>
              <w:t>出水水质达</w:t>
            </w:r>
            <w:r>
              <w:rPr>
                <w:rFonts w:ascii="Times New Roman" w:hAnsi="Times New Roman" w:cs="Times New Roman"/>
                <w:color w:val="auto"/>
                <w:highlight w:val="none"/>
              </w:rPr>
              <w:t>《城镇污水处理厂污染物排放标准》（GB18918-2002）</w:t>
            </w:r>
            <w:r>
              <w:rPr>
                <w:rFonts w:hint="eastAsia" w:cs="Times New Roman"/>
                <w:color w:val="auto"/>
                <w:highlight w:val="none"/>
                <w:lang w:val="en-US" w:eastAsia="zh-CN"/>
              </w:rPr>
              <w:t>一级B</w:t>
            </w:r>
            <w:r>
              <w:rPr>
                <w:rFonts w:ascii="Times New Roman" w:hAnsi="Times New Roman" w:cs="Times New Roman"/>
                <w:color w:val="auto"/>
                <w:highlight w:val="none"/>
              </w:rPr>
              <w:t>标准</w:t>
            </w:r>
            <w:r>
              <w:rPr>
                <w:rFonts w:hint="eastAsia" w:cs="Times New Roman"/>
                <w:color w:val="auto"/>
                <w:kern w:val="0"/>
                <w:highlight w:val="none"/>
                <w:lang w:eastAsia="zh-CN"/>
              </w:rPr>
              <w:t>），</w:t>
            </w:r>
            <w:r>
              <w:rPr>
                <w:rFonts w:hint="eastAsia" w:cs="Times New Roman"/>
                <w:color w:val="auto"/>
                <w:kern w:val="0"/>
                <w:highlight w:val="none"/>
                <w:lang w:val="en-US" w:eastAsia="zh-CN"/>
              </w:rPr>
              <w:t>纳污范围为据《泸定县磨西镇总体规划及</w:t>
            </w:r>
            <w:r>
              <w:rPr>
                <w:rFonts w:hint="eastAsia" w:cs="Times New Roman"/>
                <w:color w:val="auto"/>
                <w:highlight w:val="none"/>
                <w:lang w:val="en-US" w:eastAsia="zh-CN"/>
              </w:rPr>
              <w:t>控制性详细规划》</w:t>
            </w:r>
            <w:r>
              <w:rPr>
                <w:rFonts w:hint="default" w:ascii="Times New Roman" w:hAnsi="Times New Roman" w:eastAsia="宋体" w:cs="Times New Roman"/>
                <w:color w:val="auto"/>
                <w:highlight w:val="none"/>
              </w:rPr>
              <w:t>中磨西镇镇区远期所有范围，包括城镇现状建成区、规划城镇发展建设用地</w:t>
            </w:r>
            <w:r>
              <w:rPr>
                <w:rFonts w:hint="eastAsia" w:cs="Times New Roman"/>
                <w:color w:val="auto"/>
                <w:highlight w:val="none"/>
                <w:lang w:eastAsia="zh-CN"/>
              </w:rPr>
              <w:t>，</w:t>
            </w:r>
            <w:r>
              <w:rPr>
                <w:rFonts w:hint="eastAsia" w:cs="Times New Roman"/>
                <w:color w:val="auto"/>
                <w:highlight w:val="none"/>
                <w:lang w:val="en-US" w:eastAsia="zh-CN"/>
              </w:rPr>
              <w:t>其扩能提标项目环评由甘孜州泸定生态环境局批复（甘泸环发〔2023〕33号），且已取得甘孜州生态环境局核发的排污口批复</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目前，扩能提标项目已于2024年5月建设完成，6月投入试运行，现状实际进水量约为1800~2000</w:t>
            </w:r>
            <w:r>
              <w:rPr>
                <w:rFonts w:ascii="Times New Roman" w:hAnsi="Times New Roman" w:cs="Times New Roman"/>
                <w:color w:val="auto"/>
                <w:kern w:val="0"/>
                <w:highlight w:val="none"/>
              </w:rPr>
              <w:t>m³/d</w:t>
            </w:r>
            <w:r>
              <w:rPr>
                <w:rFonts w:hint="eastAsia" w:cs="Times New Roman"/>
                <w:color w:val="auto"/>
                <w:kern w:val="0"/>
                <w:highlight w:val="none"/>
                <w:lang w:eastAsia="zh-CN"/>
              </w:rPr>
              <w:t>。</w:t>
            </w:r>
          </w:p>
          <w:p w14:paraId="7EB42ECE">
            <w:pPr>
              <w:spacing w:line="360" w:lineRule="auto"/>
              <w:ind w:firstLine="480" w:firstLineChars="200"/>
              <w:jc w:val="center"/>
              <w:rPr>
                <w:rFonts w:hint="default" w:cs="Times New Roman"/>
                <w:color w:val="auto"/>
                <w:kern w:val="0"/>
                <w:highlight w:val="none"/>
                <w:lang w:eastAsia="zh-CN"/>
              </w:rPr>
            </w:pP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2787015</wp:posOffset>
                      </wp:positionH>
                      <wp:positionV relativeFrom="paragraph">
                        <wp:posOffset>1579245</wp:posOffset>
                      </wp:positionV>
                      <wp:extent cx="603250" cy="26162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603250" cy="2616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E935D5">
                                  <w:pPr>
                                    <w:rPr>
                                      <w:rFonts w:hint="default" w:eastAsia="宋体"/>
                                      <w:color w:val="FF0000"/>
                                      <w:sz w:val="18"/>
                                      <w:szCs w:val="18"/>
                                      <w:lang w:val="en-US" w:eastAsia="zh-CN"/>
                                    </w:rPr>
                                  </w:pPr>
                                  <w:r>
                                    <w:rPr>
                                      <w:rFonts w:hint="eastAsia"/>
                                      <w:color w:val="FF0000"/>
                                      <w:sz w:val="18"/>
                                      <w:szCs w:val="18"/>
                                      <w:lang w:val="en-US" w:eastAsia="zh-CN"/>
                                    </w:rPr>
                                    <w:t>屠宰场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9.45pt;margin-top:124.35pt;height:20.6pt;width:47.5pt;z-index:251667456;mso-width-relative:page;mso-height-relative:page;" filled="f" stroked="f" coordsize="21600,21600" o:gfxdata="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NJCZ9wAAAALAQAADwAAAAAAAAABACAAAAAiAAAAZHJz&#10;L2Rvd25yZXYueG1sUEsBAhQAFAAAAAgAh07iQATrSQk5AgAAZwQAAA4AAAAAAAAAAQAgAAAAKwEA&#10;AGRycy9lMm9Eb2MueG1sUEsFBgAAAAAGAAYAWQEAANYFAAAAAA==&#10;">
                      <v:fill on="f" focussize="0,0"/>
                      <v:stroke on="f" weight="0.5pt"/>
                      <v:imagedata o:title=""/>
                      <o:lock v:ext="edit" aspectratio="f"/>
                      <v:textbox>
                        <w:txbxContent>
                          <w:p w14:paraId="58E935D5">
                            <w:pPr>
                              <w:rPr>
                                <w:rFonts w:hint="default" w:eastAsia="宋体"/>
                                <w:color w:val="FF0000"/>
                                <w:sz w:val="18"/>
                                <w:szCs w:val="18"/>
                                <w:lang w:val="en-US" w:eastAsia="zh-CN"/>
                              </w:rPr>
                            </w:pPr>
                            <w:r>
                              <w:rPr>
                                <w:rFonts w:hint="eastAsia"/>
                                <w:color w:val="FF0000"/>
                                <w:sz w:val="18"/>
                                <w:szCs w:val="18"/>
                                <w:lang w:val="en-US" w:eastAsia="zh-CN"/>
                              </w:rPr>
                              <w:t>屠宰场</w:t>
                            </w:r>
                          </w:p>
                        </w:txbxContent>
                      </v:textbox>
                    </v:shape>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2689860</wp:posOffset>
                      </wp:positionH>
                      <wp:positionV relativeFrom="paragraph">
                        <wp:posOffset>1645285</wp:posOffset>
                      </wp:positionV>
                      <wp:extent cx="158750" cy="118745"/>
                      <wp:effectExtent l="12700" t="12700" r="19050" b="20955"/>
                      <wp:wrapNone/>
                      <wp:docPr id="13" name="五角星 13"/>
                      <wp:cNvGraphicFramePr/>
                      <a:graphic xmlns:a="http://schemas.openxmlformats.org/drawingml/2006/main">
                        <a:graphicData uri="http://schemas.microsoft.com/office/word/2010/wordprocessingShape">
                          <wps:wsp>
                            <wps:cNvSpPr/>
                            <wps:spPr>
                              <a:xfrm>
                                <a:off x="3986530" y="6181090"/>
                                <a:ext cx="158750" cy="118745"/>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11.8pt;margin-top:129.55pt;height:9.35pt;width:12.5pt;z-index:251666432;v-text-anchor:middle;mso-width-relative:page;mso-height-relative:page;" fillcolor="#FF0000" filled="t" stroked="t" coordsize="158750,118745" o:gfxdata="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IR3RO3YAAAACwEAAA8AAAAAAAAAAQAgAAAAIgAAAGRycy9k&#10;b3ducmV2LnhtbFBLAQIUABQAAAAIAIdO4kARCmaodAIAAO4EAAAOAAAAAAAAAAEAIAAAACcBAABk&#10;cnMvZTJvRG9jLnhtbFBLBQYAAAAABgAGAFkBAAANBgAAAAA=&#10;" path="m0,45356l60637,45356,79375,0,98112,45356,158749,45356,109693,73388,128431,118744,79375,90712,30318,118744,49056,73388xe">
                      <v:path o:connectlocs="79375,0;0,45356;30318,118744;128431,118744;158749,45356" o:connectangles="247,164,82,82,0"/>
                      <v:fill on="t" focussize="0,0"/>
                      <v:stroke weight="2pt" color="#FF0000 [2404]" joinstyle="round"/>
                      <v:imagedata o:title=""/>
                      <o:lock v:ext="edit" aspectratio="f"/>
                    </v:shape>
                  </w:pict>
                </mc:Fallback>
              </mc:AlternateContent>
            </w: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3813175</wp:posOffset>
                      </wp:positionH>
                      <wp:positionV relativeFrom="paragraph">
                        <wp:posOffset>3213100</wp:posOffset>
                      </wp:positionV>
                      <wp:extent cx="539750" cy="261620"/>
                      <wp:effectExtent l="0" t="0" r="12700" b="5080"/>
                      <wp:wrapNone/>
                      <wp:docPr id="12" name="文本框 12"/>
                      <wp:cNvGraphicFramePr/>
                      <a:graphic xmlns:a="http://schemas.openxmlformats.org/drawingml/2006/main">
                        <a:graphicData uri="http://schemas.microsoft.com/office/word/2010/wordprocessingShape">
                          <wps:wsp>
                            <wps:cNvSpPr txBox="1"/>
                            <wps:spPr>
                              <a:xfrm>
                                <a:off x="5034280" y="7741285"/>
                                <a:ext cx="539750" cy="2616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6973C9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25pt;margin-top:253pt;height:20.6pt;width:42.5pt;z-index:251665408;mso-width-relative:page;mso-height-relative:page;" fillcolor="#FFFFFF [3201]" filled="t" stroked="f" coordsize="21600,21600" o:gfxdata="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60MK1&#10;1QAAAAsBAAAPAAAAAAAAAAEAIAAAACIAAABkcnMvZG93bnJldi54bWxQSwECFAAUAAAACACHTuJA&#10;HHkNWF0CAACcBAAADgAAAAAAAAABACAAAAAkAQAAZHJzL2Uyb0RvYy54bWxQSwUGAAAAAAYABgBZ&#10;AQAA8wUAAAAA&#10;">
                      <v:fill on="t" focussize="0,0"/>
                      <v:stroke on="f" weight="0.5pt"/>
                      <v:imagedata o:title=""/>
                      <o:lock v:ext="edit" aspectratio="f"/>
                      <v:textbox>
                        <w:txbxContent>
                          <w:p w14:paraId="16973C99"/>
                        </w:txbxContent>
                      </v:textbox>
                    </v:shape>
                  </w:pict>
                </mc:Fallback>
              </mc:AlternateContent>
            </w:r>
            <w:r>
              <w:rPr>
                <w:color w:val="auto"/>
                <w:sz w:val="24"/>
              </w:rPr>
              <mc:AlternateContent>
                <mc:Choice Requires="wpg">
                  <w:drawing>
                    <wp:anchor distT="0" distB="0" distL="114300" distR="114300" simplePos="0" relativeHeight="251664384" behindDoc="0" locked="0" layoutInCell="1" allowOverlap="1">
                      <wp:simplePos x="0" y="0"/>
                      <wp:positionH relativeFrom="column">
                        <wp:posOffset>2269490</wp:posOffset>
                      </wp:positionH>
                      <wp:positionV relativeFrom="paragraph">
                        <wp:posOffset>2168525</wp:posOffset>
                      </wp:positionV>
                      <wp:extent cx="2603500" cy="1019175"/>
                      <wp:effectExtent l="0" t="0" r="0" b="0"/>
                      <wp:wrapNone/>
                      <wp:docPr id="11" name="组合 11"/>
                      <wp:cNvGraphicFramePr/>
                      <a:graphic xmlns:a="http://schemas.openxmlformats.org/drawingml/2006/main">
                        <a:graphicData uri="http://schemas.microsoft.com/office/word/2010/wordprocessingGroup">
                          <wpg:wgp>
                            <wpg:cNvGrpSpPr/>
                            <wpg:grpSpPr>
                              <a:xfrm>
                                <a:off x="0" y="0"/>
                                <a:ext cx="2603500" cy="1019175"/>
                                <a:chOff x="9419" y="1556207"/>
                                <a:chExt cx="4100" cy="1605"/>
                              </a:xfrm>
                            </wpg:grpSpPr>
                            <wps:wsp>
                              <wps:cNvPr id="9" name="文本框 9"/>
                              <wps:cNvSpPr txBox="1"/>
                              <wps:spPr>
                                <a:xfrm>
                                  <a:off x="9419" y="1556207"/>
                                  <a:ext cx="1111" cy="41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17EF2">
                                    <w:pPr>
                                      <w:rPr>
                                        <w:rFonts w:hint="eastAsia" w:ascii="黑体" w:hAnsi="黑体" w:eastAsia="黑体" w:cs="黑体"/>
                                        <w:color w:val="0000FF"/>
                                        <w:sz w:val="15"/>
                                        <w:szCs w:val="15"/>
                                        <w:lang w:val="en-US" w:eastAsia="zh-CN"/>
                                      </w:rPr>
                                    </w:pPr>
                                    <w:r>
                                      <w:rPr>
                                        <w:rFonts w:hint="eastAsia" w:ascii="黑体" w:hAnsi="黑体" w:eastAsia="黑体" w:cs="黑体"/>
                                        <w:color w:val="0000FF"/>
                                        <w:sz w:val="15"/>
                                        <w:szCs w:val="15"/>
                                        <w:lang w:val="en-US" w:eastAsia="zh-CN"/>
                                      </w:rPr>
                                      <w:t>磨西污水厂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文本框 10"/>
                              <wps:cNvSpPr txBox="1"/>
                              <wps:spPr>
                                <a:xfrm>
                                  <a:off x="11835" y="1557394"/>
                                  <a:ext cx="1685" cy="41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1173BC">
                                    <w:pPr>
                                      <w:rPr>
                                        <w:rFonts w:hint="default" w:ascii="黑体" w:hAnsi="黑体" w:eastAsia="黑体" w:cs="黑体"/>
                                        <w:color w:val="0000FF"/>
                                        <w:sz w:val="15"/>
                                        <w:szCs w:val="15"/>
                                        <w:lang w:val="en-US" w:eastAsia="zh-CN"/>
                                      </w:rPr>
                                    </w:pPr>
                                    <w:r>
                                      <w:rPr>
                                        <w:rFonts w:hint="eastAsia" w:ascii="黑体" w:hAnsi="黑体" w:eastAsia="黑体" w:cs="黑体"/>
                                        <w:color w:val="0000FF"/>
                                        <w:sz w:val="15"/>
                                        <w:szCs w:val="15"/>
                                        <w:lang w:val="en-US" w:eastAsia="zh-CN"/>
                                      </w:rPr>
                                      <w:t>磨西污水厂用地范围</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78.7pt;margin-top:170.75pt;height:80.25pt;width:205pt;z-index:251664384;mso-width-relative:page;mso-height-relative:page;" coordorigin="9419,1556207" coordsize="4100,1605" o:gfxdata="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vISgqdoAAAALAQAADwAAAAAAAAABACAAAAAiAAAAZHJzL2Rv&#10;d25yZXYueG1sUEsBAhQAFAAAAAgAh07iQGSs5sfjAgAALQgAAA4AAAAAAAAAAQAgAAAAKQEAAGRy&#10;cy9lMm9Eb2MueG1sUEsFBgAAAAAGAAYAWQEAAH4GAAAAAA==&#10;">
                      <o:lock v:ext="edit" aspectratio="f"/>
                      <v:shape id="_x0000_s1026" o:spid="_x0000_s1026" o:spt="202" type="#_x0000_t202" style="position:absolute;left:9419;top:1556207;height:418;width:1111;"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D17EF2">
                              <w:pPr>
                                <w:rPr>
                                  <w:rFonts w:hint="eastAsia" w:ascii="黑体" w:hAnsi="黑体" w:eastAsia="黑体" w:cs="黑体"/>
                                  <w:color w:val="0000FF"/>
                                  <w:sz w:val="15"/>
                                  <w:szCs w:val="15"/>
                                  <w:lang w:val="en-US" w:eastAsia="zh-CN"/>
                                </w:rPr>
                              </w:pPr>
                              <w:r>
                                <w:rPr>
                                  <w:rFonts w:hint="eastAsia" w:ascii="黑体" w:hAnsi="黑体" w:eastAsia="黑体" w:cs="黑体"/>
                                  <w:color w:val="0000FF"/>
                                  <w:sz w:val="15"/>
                                  <w:szCs w:val="15"/>
                                  <w:lang w:val="en-US" w:eastAsia="zh-CN"/>
                                </w:rPr>
                                <w:t>磨西污水厂</w:t>
                              </w:r>
                            </w:p>
                          </w:txbxContent>
                        </v:textbox>
                      </v:shape>
                      <v:shape id="_x0000_s1026" o:spid="_x0000_s1026" o:spt="202" type="#_x0000_t202" style="position:absolute;left:11835;top:1557394;height:418;width:1685;"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A1173BC">
                              <w:pPr>
                                <w:rPr>
                                  <w:rFonts w:hint="default" w:ascii="黑体" w:hAnsi="黑体" w:eastAsia="黑体" w:cs="黑体"/>
                                  <w:color w:val="0000FF"/>
                                  <w:sz w:val="15"/>
                                  <w:szCs w:val="15"/>
                                  <w:lang w:val="en-US" w:eastAsia="zh-CN"/>
                                </w:rPr>
                              </w:pPr>
                              <w:r>
                                <w:rPr>
                                  <w:rFonts w:hint="eastAsia" w:ascii="黑体" w:hAnsi="黑体" w:eastAsia="黑体" w:cs="黑体"/>
                                  <w:color w:val="0000FF"/>
                                  <w:sz w:val="15"/>
                                  <w:szCs w:val="15"/>
                                  <w:lang w:val="en-US" w:eastAsia="zh-CN"/>
                                </w:rPr>
                                <w:t>磨西污水厂用地范围</w:t>
                              </w:r>
                            </w:p>
                          </w:txbxContent>
                        </v:textbox>
                      </v:shape>
                    </v:group>
                  </w:pict>
                </mc:Fallback>
              </mc:AlternateContent>
            </w:r>
            <w:r>
              <w:rPr>
                <w:rFonts w:hint="default" w:cs="Times New Roman"/>
                <w:color w:val="auto"/>
                <w:kern w:val="0"/>
                <w:highlight w:val="none"/>
                <w:lang w:eastAsia="zh-CN"/>
              </w:rPr>
              <w:drawing>
                <wp:inline distT="0" distB="0" distL="114300" distR="114300">
                  <wp:extent cx="3195320" cy="3550920"/>
                  <wp:effectExtent l="0" t="0" r="5080" b="11430"/>
                  <wp:docPr id="8" name="图片 8" descr="1736146310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36146310454"/>
                          <pic:cNvPicPr>
                            <a:picLocks noChangeAspect="1"/>
                          </pic:cNvPicPr>
                        </pic:nvPicPr>
                        <pic:blipFill>
                          <a:blip r:embed="rId39"/>
                          <a:stretch>
                            <a:fillRect/>
                          </a:stretch>
                        </pic:blipFill>
                        <pic:spPr>
                          <a:xfrm>
                            <a:off x="0" y="0"/>
                            <a:ext cx="3195320" cy="3550920"/>
                          </a:xfrm>
                          <a:prstGeom prst="rect">
                            <a:avLst/>
                          </a:prstGeom>
                        </pic:spPr>
                      </pic:pic>
                    </a:graphicData>
                  </a:graphic>
                </wp:inline>
              </w:drawing>
            </w:r>
          </w:p>
          <w:p w14:paraId="3597AAFD">
            <w:pPr>
              <w:spacing w:line="360" w:lineRule="auto"/>
              <w:jc w:val="center"/>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图4-2   磨西生活污水处理厂设计纳污范围（蓝线为截污管网）</w:t>
            </w:r>
          </w:p>
          <w:p w14:paraId="4317AE7F">
            <w:pPr>
              <w:spacing w:line="360" w:lineRule="auto"/>
              <w:ind w:firstLine="480" w:firstLineChars="200"/>
              <w:rPr>
                <w:rFonts w:hint="eastAsia" w:cs="Times New Roman"/>
                <w:color w:val="auto"/>
                <w:highlight w:val="none"/>
                <w:lang w:eastAsia="zh-CN"/>
              </w:rPr>
            </w:pPr>
            <w:r>
              <w:rPr>
                <w:rFonts w:hint="default" w:ascii="Times New Roman" w:hAnsi="Times New Roman" w:cs="Times New Roman"/>
                <w:color w:val="auto"/>
                <w:highlight w:val="none"/>
                <w:lang w:val="zh-CN"/>
              </w:rPr>
              <w:t>泸定县磨西镇生活污水处理厂</w:t>
            </w:r>
            <w:r>
              <w:rPr>
                <w:rFonts w:ascii="Times New Roman" w:hAnsi="Times New Roman" w:cs="Times New Roman"/>
                <w:color w:val="auto"/>
                <w:highlight w:val="none"/>
                <w:lang w:val="zh-CN"/>
              </w:rPr>
              <w:t>工程</w:t>
            </w:r>
            <w:r>
              <w:rPr>
                <w:rFonts w:hint="eastAsia" w:ascii="Times New Roman" w:hAnsi="Times New Roman" w:cs="Times New Roman"/>
                <w:color w:val="auto"/>
                <w:highlight w:val="none"/>
                <w:lang w:val="zh-CN"/>
              </w:rPr>
              <w:t>处理工艺为：“预处理（粗格栅间及污水提升泵+细格栅及旋流沉砂池）+生化处理（改良型 A²/O（微孔曝气氧化沟））+深度处理（高密度沉淀池-纤维转盘滤池）+紫外线消毒”，经处理</w:t>
            </w:r>
            <w:r>
              <w:rPr>
                <w:rFonts w:hint="eastAsia" w:cs="Times New Roman"/>
                <w:color w:val="auto"/>
                <w:highlight w:val="none"/>
                <w:lang w:val="en-US" w:eastAsia="zh-CN"/>
              </w:rPr>
              <w:t>后</w:t>
            </w:r>
            <w:r>
              <w:rPr>
                <w:rFonts w:ascii="Times New Roman" w:hAnsi="Times New Roman" w:cs="Times New Roman"/>
                <w:color w:val="auto"/>
                <w:highlight w:val="none"/>
              </w:rPr>
              <w:t>出水水质执行《城镇污水处理厂污染物排放标准》（GB18918-2002）</w:t>
            </w:r>
            <w:r>
              <w:rPr>
                <w:rFonts w:hint="eastAsia" w:cs="Times New Roman"/>
                <w:color w:val="auto"/>
                <w:highlight w:val="none"/>
                <w:lang w:val="en-US" w:eastAsia="zh-CN"/>
              </w:rPr>
              <w:t>一级A</w:t>
            </w:r>
            <w:r>
              <w:rPr>
                <w:rFonts w:ascii="Times New Roman" w:hAnsi="Times New Roman" w:cs="Times New Roman"/>
                <w:color w:val="auto"/>
                <w:highlight w:val="none"/>
              </w:rPr>
              <w:t>标准</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即COD≤</w:t>
            </w:r>
            <w:r>
              <w:rPr>
                <w:rFonts w:hint="eastAsia" w:cs="Times New Roman"/>
                <w:color w:val="auto"/>
                <w:highlight w:val="none"/>
                <w:lang w:val="en-US" w:eastAsia="zh-CN"/>
              </w:rPr>
              <w:t>5</w:t>
            </w:r>
            <w:r>
              <w:rPr>
                <w:rFonts w:hint="eastAsia" w:ascii="Times New Roman" w:hAnsi="Times New Roman" w:cs="Times New Roman"/>
                <w:color w:val="auto"/>
                <w:highlight w:val="none"/>
              </w:rPr>
              <w:t>0.0mg/L、BOD</w:t>
            </w:r>
            <w:r>
              <w:rPr>
                <w:rFonts w:hint="eastAsia" w:ascii="Times New Roman" w:hAnsi="Times New Roman" w:cs="Times New Roman"/>
                <w:color w:val="auto"/>
                <w:highlight w:val="none"/>
                <w:vertAlign w:val="subscript"/>
              </w:rPr>
              <w:t>5</w:t>
            </w:r>
            <w:r>
              <w:rPr>
                <w:rFonts w:hint="eastAsia" w:ascii="Times New Roman" w:hAnsi="Times New Roman" w:cs="Times New Roman"/>
                <w:color w:val="auto"/>
                <w:highlight w:val="none"/>
              </w:rPr>
              <w:t>≤</w:t>
            </w:r>
            <w:r>
              <w:rPr>
                <w:rFonts w:hint="eastAsia" w:cs="Times New Roman"/>
                <w:color w:val="auto"/>
                <w:highlight w:val="none"/>
                <w:lang w:val="en-US" w:eastAsia="zh-CN"/>
              </w:rPr>
              <w:t>1</w:t>
            </w:r>
            <w:r>
              <w:rPr>
                <w:rFonts w:hint="eastAsia" w:ascii="Times New Roman" w:hAnsi="Times New Roman" w:cs="Times New Roman"/>
                <w:color w:val="auto"/>
                <w:highlight w:val="none"/>
              </w:rPr>
              <w:t>0mg/L、SS≤</w:t>
            </w:r>
            <w:r>
              <w:rPr>
                <w:rFonts w:hint="eastAsia" w:cs="Times New Roman"/>
                <w:color w:val="auto"/>
                <w:highlight w:val="none"/>
                <w:lang w:val="en-US" w:eastAsia="zh-CN"/>
              </w:rPr>
              <w:t>1</w:t>
            </w:r>
            <w:r>
              <w:rPr>
                <w:rFonts w:hint="eastAsia" w:ascii="Times New Roman" w:hAnsi="Times New Roman" w:cs="Times New Roman"/>
                <w:color w:val="auto"/>
                <w:highlight w:val="none"/>
              </w:rPr>
              <w:t>0mg/L、NH</w:t>
            </w:r>
            <w:r>
              <w:rPr>
                <w:rFonts w:hint="eastAsia" w:ascii="Times New Roman" w:hAnsi="Times New Roman" w:cs="Times New Roman"/>
                <w:color w:val="auto"/>
                <w:highlight w:val="none"/>
                <w:vertAlign w:val="subscript"/>
              </w:rPr>
              <w:t>3</w:t>
            </w:r>
            <w:r>
              <w:rPr>
                <w:rFonts w:hint="eastAsia" w:ascii="Times New Roman" w:hAnsi="Times New Roman" w:cs="Times New Roman"/>
                <w:color w:val="auto"/>
                <w:highlight w:val="none"/>
              </w:rPr>
              <w:t>-N≤</w:t>
            </w:r>
            <w:r>
              <w:rPr>
                <w:rFonts w:hint="eastAsia" w:cs="Times New Roman"/>
                <w:color w:val="auto"/>
                <w:highlight w:val="none"/>
                <w:lang w:val="en-US" w:eastAsia="zh-CN"/>
              </w:rPr>
              <w:t>5</w:t>
            </w:r>
            <w:r>
              <w:rPr>
                <w:rFonts w:hint="eastAsia" w:ascii="Times New Roman" w:hAnsi="Times New Roman" w:cs="Times New Roman"/>
                <w:color w:val="auto"/>
                <w:highlight w:val="none"/>
              </w:rPr>
              <w:t>mg/L、TN≤</w:t>
            </w:r>
            <w:r>
              <w:rPr>
                <w:rFonts w:hint="eastAsia" w:cs="Times New Roman"/>
                <w:color w:val="auto"/>
                <w:highlight w:val="none"/>
                <w:lang w:val="en-US" w:eastAsia="zh-CN"/>
              </w:rPr>
              <w:t>15</w:t>
            </w:r>
            <w:r>
              <w:rPr>
                <w:rFonts w:hint="eastAsia" w:ascii="Times New Roman" w:hAnsi="Times New Roman" w:cs="Times New Roman"/>
                <w:color w:val="auto"/>
                <w:highlight w:val="none"/>
              </w:rPr>
              <w:t>mg/L、总磷≤</w:t>
            </w:r>
            <w:r>
              <w:rPr>
                <w:rFonts w:hint="eastAsia" w:cs="Times New Roman"/>
                <w:color w:val="auto"/>
                <w:highlight w:val="none"/>
                <w:lang w:val="en-US" w:eastAsia="zh-CN"/>
              </w:rPr>
              <w:t>0.5</w:t>
            </w:r>
            <w:r>
              <w:rPr>
                <w:rFonts w:hint="eastAsia" w:ascii="Times New Roman" w:hAnsi="Times New Roman" w:cs="Times New Roman"/>
                <w:color w:val="auto"/>
                <w:highlight w:val="none"/>
              </w:rPr>
              <w:t>mg/L。</w:t>
            </w:r>
            <w:r>
              <w:rPr>
                <w:rFonts w:hint="eastAsia" w:cs="Times New Roman"/>
                <w:color w:val="auto"/>
                <w:highlight w:val="none"/>
                <w:lang w:val="en-US" w:eastAsia="zh-CN"/>
              </w:rPr>
              <w:t>根据磨西镇生活污水处理厂提供的监测数据（见表4-26），其尾水主要指标COD</w:t>
            </w:r>
            <w:r>
              <w:rPr>
                <w:rFonts w:hint="eastAsia" w:cs="Times New Roman"/>
                <w:color w:val="auto"/>
                <w:highlight w:val="none"/>
                <w:vertAlign w:val="subscript"/>
                <w:lang w:val="en-US" w:eastAsia="zh-CN"/>
              </w:rPr>
              <w:t>Cr</w:t>
            </w:r>
            <w:r>
              <w:rPr>
                <w:rFonts w:hint="eastAsia" w:cs="Times New Roman"/>
                <w:color w:val="auto"/>
                <w:highlight w:val="none"/>
                <w:lang w:val="en-US" w:eastAsia="zh-CN"/>
              </w:rPr>
              <w:t>、NH</w:t>
            </w:r>
            <w:r>
              <w:rPr>
                <w:rFonts w:hint="eastAsia" w:cs="Times New Roman"/>
                <w:color w:val="auto"/>
                <w:highlight w:val="none"/>
                <w:vertAlign w:val="subscript"/>
                <w:lang w:val="en-US" w:eastAsia="zh-CN"/>
              </w:rPr>
              <w:t>3</w:t>
            </w:r>
            <w:r>
              <w:rPr>
                <w:rFonts w:hint="eastAsia" w:cs="Times New Roman"/>
                <w:color w:val="auto"/>
                <w:highlight w:val="none"/>
                <w:lang w:val="en-US" w:eastAsia="zh-CN"/>
              </w:rPr>
              <w:t>-N、总磷、总氮均能够满足《城镇污水处理厂污染物排放标准》（</w:t>
            </w:r>
            <w:r>
              <w:rPr>
                <w:rFonts w:ascii="Times New Roman" w:hAnsi="Times New Roman" w:cs="Times New Roman"/>
                <w:color w:val="auto"/>
                <w:highlight w:val="none"/>
              </w:rPr>
              <w:t>GB18918-2002）</w:t>
            </w:r>
            <w:r>
              <w:rPr>
                <w:rFonts w:hint="eastAsia" w:cs="Times New Roman"/>
                <w:color w:val="auto"/>
                <w:highlight w:val="none"/>
                <w:lang w:val="en-US" w:eastAsia="zh-CN"/>
              </w:rPr>
              <w:t>中一级A</w:t>
            </w:r>
            <w:r>
              <w:rPr>
                <w:rFonts w:ascii="Times New Roman" w:hAnsi="Times New Roman" w:cs="Times New Roman"/>
                <w:color w:val="auto"/>
                <w:highlight w:val="none"/>
              </w:rPr>
              <w:t>标准</w:t>
            </w:r>
            <w:r>
              <w:rPr>
                <w:rFonts w:hint="eastAsia" w:cs="Times New Roman"/>
                <w:color w:val="auto"/>
                <w:highlight w:val="none"/>
                <w:lang w:eastAsia="zh-CN"/>
              </w:rPr>
              <w:t>。</w:t>
            </w:r>
          </w:p>
          <w:p w14:paraId="351D0532">
            <w:pPr>
              <w:pStyle w:val="15"/>
              <w:numPr>
                <w:ilvl w:val="0"/>
                <w:numId w:val="19"/>
              </w:numPr>
              <w:ind w:left="425" w:leftChars="0" w:right="113" w:rightChars="0" w:hanging="425" w:firstLineChars="0"/>
              <w:jc w:val="center"/>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磨西镇生活污水处理厂尾水监测数据</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3215"/>
              <w:gridCol w:w="3087"/>
            </w:tblGrid>
            <w:tr w14:paraId="211BB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Borders>
                    <w:top w:val="single" w:color="auto" w:sz="12" w:space="0"/>
                    <w:bottom w:val="single" w:color="auto" w:sz="8" w:space="0"/>
                    <w:right w:val="single" w:color="auto" w:sz="8" w:space="0"/>
                  </w:tcBorders>
                  <w:vAlign w:val="center"/>
                </w:tcPr>
                <w:p w14:paraId="768BDD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imes New Roman"/>
                      <w:b w:val="0"/>
                      <w:bCs w:val="0"/>
                      <w:color w:val="auto"/>
                      <w:sz w:val="21"/>
                      <w:szCs w:val="21"/>
                      <w:highlight w:val="none"/>
                      <w:vertAlign w:val="baseline"/>
                      <w:lang w:val="en-US" w:eastAsia="zh-CN"/>
                    </w:rPr>
                  </w:pPr>
                </w:p>
              </w:tc>
              <w:tc>
                <w:tcPr>
                  <w:tcW w:w="3215" w:type="dxa"/>
                  <w:tcBorders>
                    <w:top w:val="single" w:color="auto" w:sz="12" w:space="0"/>
                    <w:left w:val="single" w:color="auto" w:sz="8" w:space="0"/>
                    <w:bottom w:val="single" w:color="auto" w:sz="8" w:space="0"/>
                    <w:right w:val="single" w:color="auto" w:sz="8" w:space="0"/>
                  </w:tcBorders>
                  <w:vAlign w:val="center"/>
                </w:tcPr>
                <w:p w14:paraId="4019E8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2024年12月30日15:00</w:t>
                  </w:r>
                </w:p>
              </w:tc>
              <w:tc>
                <w:tcPr>
                  <w:tcW w:w="3087" w:type="dxa"/>
                  <w:tcBorders>
                    <w:top w:val="single" w:color="auto" w:sz="12" w:space="0"/>
                    <w:left w:val="single" w:color="auto" w:sz="8" w:space="0"/>
                    <w:bottom w:val="single" w:color="auto" w:sz="8" w:space="0"/>
                    <w:right w:val="nil"/>
                  </w:tcBorders>
                  <w:vAlign w:val="center"/>
                </w:tcPr>
                <w:p w14:paraId="04E7F4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2024年12月30日16:00</w:t>
                  </w:r>
                </w:p>
              </w:tc>
            </w:tr>
            <w:tr w14:paraId="7D5AC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Borders>
                    <w:top w:val="single" w:color="auto" w:sz="8" w:space="0"/>
                    <w:left w:val="nil"/>
                    <w:bottom w:val="single" w:color="auto" w:sz="8" w:space="0"/>
                    <w:right w:val="single" w:color="auto" w:sz="8" w:space="0"/>
                  </w:tcBorders>
                  <w:vAlign w:val="center"/>
                </w:tcPr>
                <w:p w14:paraId="6ED238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进水水质</w:t>
                  </w:r>
                </w:p>
              </w:tc>
              <w:tc>
                <w:tcPr>
                  <w:tcW w:w="3215" w:type="dxa"/>
                  <w:tcBorders>
                    <w:top w:val="single" w:color="auto" w:sz="8" w:space="0"/>
                    <w:left w:val="single" w:color="auto" w:sz="8" w:space="0"/>
                    <w:bottom w:val="single" w:color="auto" w:sz="8" w:space="0"/>
                    <w:right w:val="single" w:color="auto" w:sz="8" w:space="0"/>
                  </w:tcBorders>
                  <w:vAlign w:val="center"/>
                </w:tcPr>
                <w:p w14:paraId="0804C7D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COD</w:t>
                  </w:r>
                  <w:r>
                    <w:rPr>
                      <w:rFonts w:hint="eastAsia" w:cs="Times New Roman"/>
                      <w:b w:val="0"/>
                      <w:bCs w:val="0"/>
                      <w:color w:val="auto"/>
                      <w:sz w:val="21"/>
                      <w:szCs w:val="21"/>
                      <w:highlight w:val="none"/>
                      <w:vertAlign w:val="subscript"/>
                      <w:lang w:val="en-US" w:eastAsia="zh-CN"/>
                    </w:rPr>
                    <w:t>Cr</w:t>
                  </w:r>
                  <w:r>
                    <w:rPr>
                      <w:rFonts w:hint="eastAsia" w:cs="Times New Roman"/>
                      <w:b w:val="0"/>
                      <w:bCs w:val="0"/>
                      <w:color w:val="auto"/>
                      <w:sz w:val="21"/>
                      <w:szCs w:val="21"/>
                      <w:highlight w:val="none"/>
                      <w:vertAlign w:val="baseline"/>
                      <w:lang w:val="en-US" w:eastAsia="zh-CN"/>
                    </w:rPr>
                    <w:t>：143.992mg/L</w:t>
                  </w:r>
                </w:p>
                <w:p w14:paraId="0C17F2B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NH</w:t>
                  </w:r>
                  <w:r>
                    <w:rPr>
                      <w:rFonts w:hint="eastAsia" w:cs="Times New Roman"/>
                      <w:b w:val="0"/>
                      <w:bCs w:val="0"/>
                      <w:color w:val="auto"/>
                      <w:sz w:val="21"/>
                      <w:szCs w:val="21"/>
                      <w:highlight w:val="none"/>
                      <w:vertAlign w:val="subscript"/>
                      <w:lang w:val="en-US" w:eastAsia="zh-CN"/>
                    </w:rPr>
                    <w:t>3</w:t>
                  </w:r>
                  <w:r>
                    <w:rPr>
                      <w:rFonts w:hint="eastAsia" w:cs="Times New Roman"/>
                      <w:b w:val="0"/>
                      <w:bCs w:val="0"/>
                      <w:color w:val="auto"/>
                      <w:sz w:val="21"/>
                      <w:szCs w:val="21"/>
                      <w:highlight w:val="none"/>
                      <w:vertAlign w:val="baseline"/>
                      <w:lang w:val="en-US" w:eastAsia="zh-CN"/>
                    </w:rPr>
                    <w:t>-N:10.726mg/L</w:t>
                  </w:r>
                </w:p>
                <w:p w14:paraId="52A4863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总氮：21.641mg/L</w:t>
                  </w:r>
                </w:p>
                <w:p w14:paraId="4AC22F45">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总磷：1.321mg/L</w:t>
                  </w:r>
                </w:p>
              </w:tc>
              <w:tc>
                <w:tcPr>
                  <w:tcW w:w="3087" w:type="dxa"/>
                  <w:tcBorders>
                    <w:top w:val="single" w:color="auto" w:sz="8" w:space="0"/>
                    <w:left w:val="single" w:color="auto" w:sz="8" w:space="0"/>
                    <w:bottom w:val="single" w:color="auto" w:sz="8" w:space="0"/>
                    <w:right w:val="nil"/>
                  </w:tcBorders>
                  <w:vAlign w:val="center"/>
                </w:tcPr>
                <w:p w14:paraId="4EF174CA">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COD</w:t>
                  </w:r>
                  <w:r>
                    <w:rPr>
                      <w:rFonts w:hint="eastAsia" w:cs="Times New Roman"/>
                      <w:b w:val="0"/>
                      <w:bCs w:val="0"/>
                      <w:color w:val="auto"/>
                      <w:sz w:val="21"/>
                      <w:szCs w:val="21"/>
                      <w:highlight w:val="none"/>
                      <w:vertAlign w:val="subscript"/>
                      <w:lang w:val="en-US" w:eastAsia="zh-CN"/>
                    </w:rPr>
                    <w:t>Cr</w:t>
                  </w:r>
                  <w:r>
                    <w:rPr>
                      <w:rFonts w:hint="eastAsia" w:cs="Times New Roman"/>
                      <w:b w:val="0"/>
                      <w:bCs w:val="0"/>
                      <w:color w:val="auto"/>
                      <w:sz w:val="21"/>
                      <w:szCs w:val="21"/>
                      <w:highlight w:val="none"/>
                      <w:vertAlign w:val="baseline"/>
                      <w:lang w:val="en-US" w:eastAsia="zh-CN"/>
                    </w:rPr>
                    <w:t>：152.319mg/L</w:t>
                  </w:r>
                </w:p>
                <w:p w14:paraId="13B5887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NH</w:t>
                  </w:r>
                  <w:r>
                    <w:rPr>
                      <w:rFonts w:hint="eastAsia" w:cs="Times New Roman"/>
                      <w:b w:val="0"/>
                      <w:bCs w:val="0"/>
                      <w:color w:val="auto"/>
                      <w:sz w:val="21"/>
                      <w:szCs w:val="21"/>
                      <w:highlight w:val="none"/>
                      <w:vertAlign w:val="subscript"/>
                      <w:lang w:val="en-US" w:eastAsia="zh-CN"/>
                    </w:rPr>
                    <w:t>3</w:t>
                  </w:r>
                  <w:r>
                    <w:rPr>
                      <w:rFonts w:hint="eastAsia" w:cs="Times New Roman"/>
                      <w:b w:val="0"/>
                      <w:bCs w:val="0"/>
                      <w:color w:val="auto"/>
                      <w:sz w:val="21"/>
                      <w:szCs w:val="21"/>
                      <w:highlight w:val="none"/>
                      <w:vertAlign w:val="baseline"/>
                      <w:lang w:val="en-US" w:eastAsia="zh-CN"/>
                    </w:rPr>
                    <w:t>-N:11.203mg/L</w:t>
                  </w:r>
                </w:p>
                <w:p w14:paraId="6A34BFA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总氮：26.335mg/L</w:t>
                  </w:r>
                </w:p>
                <w:p w14:paraId="641FFC1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总磷：1.304mg/L</w:t>
                  </w:r>
                </w:p>
              </w:tc>
            </w:tr>
            <w:tr w14:paraId="5850F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tcBorders>
                    <w:top w:val="single" w:color="auto" w:sz="8" w:space="0"/>
                    <w:left w:val="nil"/>
                    <w:bottom w:val="single" w:color="auto" w:sz="12" w:space="0"/>
                    <w:right w:val="single" w:color="auto" w:sz="8" w:space="0"/>
                  </w:tcBorders>
                  <w:vAlign w:val="center"/>
                </w:tcPr>
                <w:p w14:paraId="1E0C9A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出水水质</w:t>
                  </w:r>
                </w:p>
              </w:tc>
              <w:tc>
                <w:tcPr>
                  <w:tcW w:w="3215" w:type="dxa"/>
                  <w:tcBorders>
                    <w:top w:val="single" w:color="auto" w:sz="8" w:space="0"/>
                    <w:left w:val="single" w:color="auto" w:sz="8" w:space="0"/>
                    <w:bottom w:val="single" w:color="auto" w:sz="12" w:space="0"/>
                    <w:right w:val="single" w:color="auto" w:sz="8" w:space="0"/>
                  </w:tcBorders>
                  <w:vAlign w:val="center"/>
                </w:tcPr>
                <w:p w14:paraId="551E5EE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COD</w:t>
                  </w:r>
                  <w:r>
                    <w:rPr>
                      <w:rFonts w:hint="eastAsia" w:cs="Times New Roman"/>
                      <w:b w:val="0"/>
                      <w:bCs w:val="0"/>
                      <w:color w:val="auto"/>
                      <w:sz w:val="21"/>
                      <w:szCs w:val="21"/>
                      <w:highlight w:val="none"/>
                      <w:vertAlign w:val="subscript"/>
                      <w:lang w:val="en-US" w:eastAsia="zh-CN"/>
                    </w:rPr>
                    <w:t>Cr</w:t>
                  </w:r>
                  <w:r>
                    <w:rPr>
                      <w:rFonts w:hint="eastAsia" w:cs="Times New Roman"/>
                      <w:b w:val="0"/>
                      <w:bCs w:val="0"/>
                      <w:color w:val="auto"/>
                      <w:sz w:val="21"/>
                      <w:szCs w:val="21"/>
                      <w:highlight w:val="none"/>
                      <w:vertAlign w:val="baseline"/>
                      <w:lang w:val="en-US" w:eastAsia="zh-CN"/>
                    </w:rPr>
                    <w:t>：14.009mg/L＜50mg/L</w:t>
                  </w:r>
                </w:p>
                <w:p w14:paraId="733323D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NH</w:t>
                  </w:r>
                  <w:r>
                    <w:rPr>
                      <w:rFonts w:hint="eastAsia" w:cs="Times New Roman"/>
                      <w:b w:val="0"/>
                      <w:bCs w:val="0"/>
                      <w:color w:val="auto"/>
                      <w:sz w:val="21"/>
                      <w:szCs w:val="21"/>
                      <w:highlight w:val="none"/>
                      <w:vertAlign w:val="subscript"/>
                      <w:lang w:val="en-US" w:eastAsia="zh-CN"/>
                    </w:rPr>
                    <w:t>3</w:t>
                  </w:r>
                  <w:r>
                    <w:rPr>
                      <w:rFonts w:hint="eastAsia" w:cs="Times New Roman"/>
                      <w:b w:val="0"/>
                      <w:bCs w:val="0"/>
                      <w:color w:val="auto"/>
                      <w:sz w:val="21"/>
                      <w:szCs w:val="21"/>
                      <w:highlight w:val="none"/>
                      <w:vertAlign w:val="baseline"/>
                      <w:lang w:val="en-US" w:eastAsia="zh-CN"/>
                    </w:rPr>
                    <w:t>-N:2.361mg/L＜5mg/L</w:t>
                  </w:r>
                </w:p>
                <w:p w14:paraId="1D9CE8F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总氮：8.196mg/L＜15mg/L</w:t>
                  </w:r>
                </w:p>
                <w:p w14:paraId="3840ECD2">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总磷：0.316mg/L＜0.5mg/L</w:t>
                  </w:r>
                </w:p>
              </w:tc>
              <w:tc>
                <w:tcPr>
                  <w:tcW w:w="3087" w:type="dxa"/>
                  <w:tcBorders>
                    <w:top w:val="single" w:color="auto" w:sz="8" w:space="0"/>
                    <w:left w:val="single" w:color="auto" w:sz="8" w:space="0"/>
                    <w:bottom w:val="single" w:color="auto" w:sz="12" w:space="0"/>
                    <w:right w:val="nil"/>
                  </w:tcBorders>
                  <w:vAlign w:val="center"/>
                </w:tcPr>
                <w:p w14:paraId="5B279C9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COD</w:t>
                  </w:r>
                  <w:r>
                    <w:rPr>
                      <w:rFonts w:hint="eastAsia" w:cs="Times New Roman"/>
                      <w:b w:val="0"/>
                      <w:bCs w:val="0"/>
                      <w:color w:val="auto"/>
                      <w:sz w:val="21"/>
                      <w:szCs w:val="21"/>
                      <w:highlight w:val="none"/>
                      <w:vertAlign w:val="subscript"/>
                      <w:lang w:val="en-US" w:eastAsia="zh-CN"/>
                    </w:rPr>
                    <w:t>Cr</w:t>
                  </w:r>
                  <w:r>
                    <w:rPr>
                      <w:rFonts w:hint="eastAsia" w:cs="Times New Roman"/>
                      <w:b w:val="0"/>
                      <w:bCs w:val="0"/>
                      <w:color w:val="auto"/>
                      <w:sz w:val="21"/>
                      <w:szCs w:val="21"/>
                      <w:highlight w:val="none"/>
                      <w:vertAlign w:val="baseline"/>
                      <w:lang w:val="en-US" w:eastAsia="zh-CN"/>
                    </w:rPr>
                    <w:t>：13.592mg/L＜50mg/L</w:t>
                  </w:r>
                </w:p>
                <w:p w14:paraId="08B31B7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NH</w:t>
                  </w:r>
                  <w:r>
                    <w:rPr>
                      <w:rFonts w:hint="eastAsia" w:cs="Times New Roman"/>
                      <w:b w:val="0"/>
                      <w:bCs w:val="0"/>
                      <w:color w:val="auto"/>
                      <w:sz w:val="21"/>
                      <w:szCs w:val="21"/>
                      <w:highlight w:val="none"/>
                      <w:vertAlign w:val="subscript"/>
                      <w:lang w:val="en-US" w:eastAsia="zh-CN"/>
                    </w:rPr>
                    <w:t>3</w:t>
                  </w:r>
                  <w:r>
                    <w:rPr>
                      <w:rFonts w:hint="eastAsia" w:cs="Times New Roman"/>
                      <w:b w:val="0"/>
                      <w:bCs w:val="0"/>
                      <w:color w:val="auto"/>
                      <w:sz w:val="21"/>
                      <w:szCs w:val="21"/>
                      <w:highlight w:val="none"/>
                      <w:vertAlign w:val="baseline"/>
                      <w:lang w:val="en-US" w:eastAsia="zh-CN"/>
                    </w:rPr>
                    <w:t>-N:2.015mg/L＜5mg/L</w:t>
                  </w:r>
                </w:p>
                <w:p w14:paraId="443A2F8A">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总氮：8.624mg/L＜15mg/L</w:t>
                  </w:r>
                </w:p>
                <w:p w14:paraId="28480CD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总磷：0.231mg/L＜0.5mg/L</w:t>
                  </w:r>
                </w:p>
              </w:tc>
            </w:tr>
          </w:tbl>
          <w:p w14:paraId="4C28CD9B">
            <w:pPr>
              <w:spacing w:line="360" w:lineRule="auto"/>
              <w:ind w:firstLine="482" w:firstLineChars="200"/>
              <w:rPr>
                <w:rFonts w:hint="eastAsia" w:cs="Times New Roman"/>
                <w:color w:val="auto"/>
                <w:highlight w:val="none"/>
                <w:lang w:val="en-US" w:eastAsia="zh-CN"/>
              </w:rPr>
            </w:pPr>
            <w:r>
              <w:rPr>
                <w:rFonts w:hint="eastAsia" w:cs="Times New Roman"/>
                <w:b/>
                <w:bCs/>
                <w:color w:val="auto"/>
                <w:highlight w:val="none"/>
                <w:lang w:val="en-US" w:eastAsia="zh-CN"/>
              </w:rPr>
              <w:t>本项目生产废水排入磨西镇生活污水厂的可行性论证</w:t>
            </w:r>
            <w:r>
              <w:rPr>
                <w:rFonts w:hint="eastAsia" w:cs="Times New Roman"/>
                <w:color w:val="auto"/>
                <w:highlight w:val="none"/>
                <w:lang w:val="en-US" w:eastAsia="zh-CN"/>
              </w:rPr>
              <w:t>：</w:t>
            </w:r>
          </w:p>
          <w:p w14:paraId="5D31D8BE">
            <w:pPr>
              <w:numPr>
                <w:ilvl w:val="0"/>
                <w:numId w:val="23"/>
              </w:numPr>
              <w:spacing w:line="360" w:lineRule="auto"/>
              <w:ind w:firstLine="482" w:firstLineChars="200"/>
              <w:rPr>
                <w:rFonts w:hint="default" w:ascii="Times New Roman" w:hAnsi="Times New Roman" w:eastAsia="宋体" w:cs="Times New Roman"/>
                <w:color w:val="auto"/>
                <w:highlight w:val="none"/>
              </w:rPr>
            </w:pPr>
            <w:r>
              <w:rPr>
                <w:rFonts w:hint="eastAsia" w:cs="Times New Roman"/>
                <w:b/>
                <w:bCs/>
                <w:color w:val="auto"/>
                <w:highlight w:val="none"/>
                <w:lang w:val="en-US" w:eastAsia="zh-CN"/>
              </w:rPr>
              <w:t>剩余容量满足处理要求</w:t>
            </w:r>
            <w:r>
              <w:rPr>
                <w:rFonts w:hint="eastAsia" w:cs="Times New Roman"/>
                <w:color w:val="auto"/>
                <w:highlight w:val="none"/>
                <w:lang w:val="en-US" w:eastAsia="zh-CN"/>
              </w:rPr>
              <w:t>。</w:t>
            </w:r>
            <w:r>
              <w:rPr>
                <w:rFonts w:hint="default" w:ascii="Times New Roman" w:hAnsi="Times New Roman" w:eastAsia="宋体" w:cs="Times New Roman"/>
                <w:color w:val="auto"/>
                <w:highlight w:val="none"/>
              </w:rPr>
              <w:t>本项目</w:t>
            </w:r>
            <w:r>
              <w:rPr>
                <w:rFonts w:hint="default" w:ascii="Times New Roman" w:hAnsi="Times New Roman" w:eastAsia="宋体" w:cs="Times New Roman"/>
                <w:color w:val="auto"/>
                <w:highlight w:val="none"/>
                <w:lang w:val="en-US" w:eastAsia="zh-CN"/>
              </w:rPr>
              <w:t>生产废水</w:t>
            </w:r>
            <w:r>
              <w:rPr>
                <w:rFonts w:hint="default" w:ascii="Times New Roman" w:hAnsi="Times New Roman" w:eastAsia="宋体" w:cs="Times New Roman"/>
                <w:color w:val="auto"/>
                <w:highlight w:val="none"/>
              </w:rPr>
              <w:t>最大污水量约</w:t>
            </w:r>
            <w:r>
              <w:rPr>
                <w:rFonts w:hint="eastAsia" w:cs="Times New Roman"/>
                <w:color w:val="auto"/>
                <w:highlight w:val="none"/>
                <w:lang w:val="en-US" w:eastAsia="zh-CN"/>
              </w:rPr>
              <w:t>12.916</w:t>
            </w:r>
            <w:r>
              <w:rPr>
                <w:rFonts w:hint="default" w:ascii="Times New Roman" w:hAnsi="Times New Roman" w:eastAsia="宋体" w:cs="Times New Roman"/>
                <w:color w:val="auto"/>
                <w:szCs w:val="24"/>
                <w:highlight w:val="none"/>
              </w:rPr>
              <w:t>m³/d</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小于污水处理厂的剩余处理能力1000m</w:t>
            </w:r>
            <w:r>
              <w:rPr>
                <w:rFonts w:hint="eastAsia" w:cs="Times New Roman"/>
                <w:color w:val="auto"/>
                <w:highlight w:val="none"/>
                <w:vertAlign w:val="superscript"/>
                <w:lang w:val="en-US" w:eastAsia="zh-CN"/>
              </w:rPr>
              <w:t>3</w:t>
            </w:r>
            <w:r>
              <w:rPr>
                <w:rFonts w:hint="eastAsia" w:cs="Times New Roman"/>
                <w:color w:val="auto"/>
                <w:highlight w:val="none"/>
                <w:lang w:val="en-US" w:eastAsia="zh-CN"/>
              </w:rPr>
              <w:t>/d，</w:t>
            </w:r>
            <w:r>
              <w:rPr>
                <w:rFonts w:hint="default" w:ascii="Times New Roman" w:hAnsi="Times New Roman" w:eastAsia="宋体" w:cs="Times New Roman"/>
                <w:color w:val="auto"/>
                <w:highlight w:val="none"/>
              </w:rPr>
              <w:t>污水处理厂有</w:t>
            </w:r>
            <w:r>
              <w:rPr>
                <w:rFonts w:hint="eastAsia" w:cs="Times New Roman"/>
                <w:color w:val="auto"/>
                <w:highlight w:val="none"/>
                <w:lang w:val="en-US" w:eastAsia="zh-CN"/>
              </w:rPr>
              <w:t>足够</w:t>
            </w:r>
            <w:r>
              <w:rPr>
                <w:rFonts w:hint="default" w:ascii="Times New Roman" w:hAnsi="Times New Roman" w:eastAsia="宋体" w:cs="Times New Roman"/>
                <w:color w:val="auto"/>
                <w:highlight w:val="none"/>
              </w:rPr>
              <w:t>富余能力接纳本项目污水。</w:t>
            </w:r>
          </w:p>
          <w:p w14:paraId="44739651">
            <w:pPr>
              <w:numPr>
                <w:ilvl w:val="0"/>
                <w:numId w:val="23"/>
              </w:numPr>
              <w:spacing w:line="360" w:lineRule="auto"/>
              <w:ind w:firstLine="482" w:firstLineChars="200"/>
              <w:rPr>
                <w:rFonts w:hint="default" w:ascii="Times New Roman" w:hAnsi="Times New Roman" w:eastAsia="宋体" w:cs="Times New Roman"/>
                <w:color w:val="auto"/>
                <w:sz w:val="24"/>
                <w:szCs w:val="24"/>
                <w:highlight w:val="none"/>
                <w:lang w:val="en-US" w:eastAsia="zh-CN"/>
              </w:rPr>
            </w:pPr>
            <w:r>
              <w:rPr>
                <w:rFonts w:hint="eastAsia" w:cs="Times New Roman"/>
                <w:b/>
                <w:bCs/>
                <w:color w:val="auto"/>
                <w:highlight w:val="none"/>
                <w:lang w:val="en-US" w:eastAsia="zh-CN"/>
              </w:rPr>
              <w:t>本项目废水预处理出水不会对磨西污水厂造成冲击性影响</w:t>
            </w:r>
            <w:r>
              <w:rPr>
                <w:rFonts w:hint="eastAsia" w:cs="Times New Roman"/>
                <w:color w:val="auto"/>
                <w:highlight w:val="none"/>
                <w:lang w:val="en-US" w:eastAsia="zh-CN"/>
              </w:rPr>
              <w:t>。本项目废水厂内预处理设施设计出水浓度为COD≤298mg/L、BOD</w:t>
            </w:r>
            <w:r>
              <w:rPr>
                <w:rFonts w:hint="eastAsia" w:cs="Times New Roman"/>
                <w:color w:val="auto"/>
                <w:highlight w:val="none"/>
                <w:vertAlign w:val="subscript"/>
                <w:lang w:val="en-US" w:eastAsia="zh-CN"/>
              </w:rPr>
              <w:t>5</w:t>
            </w:r>
            <w:r>
              <w:rPr>
                <w:rFonts w:hint="eastAsia" w:cs="Times New Roman"/>
                <w:color w:val="auto"/>
                <w:highlight w:val="none"/>
                <w:lang w:val="en-US" w:eastAsia="zh-CN"/>
              </w:rPr>
              <w:t>≤135mg/L、SS≤34mg/L、</w:t>
            </w:r>
            <w:r>
              <w:rPr>
                <w:rFonts w:hint="eastAsia" w:ascii="Times New Roman" w:hAnsi="Times New Roman" w:cs="Times New Roman"/>
                <w:color w:val="auto"/>
                <w:highlight w:val="none"/>
              </w:rPr>
              <w:t>NH</w:t>
            </w:r>
            <w:r>
              <w:rPr>
                <w:rFonts w:hint="eastAsia" w:ascii="Times New Roman" w:hAnsi="Times New Roman" w:cs="Times New Roman"/>
                <w:color w:val="auto"/>
                <w:highlight w:val="none"/>
                <w:vertAlign w:val="subscript"/>
              </w:rPr>
              <w:t>3</w:t>
            </w:r>
            <w:r>
              <w:rPr>
                <w:rFonts w:hint="eastAsia" w:ascii="Times New Roman" w:hAnsi="Times New Roman" w:cs="Times New Roman"/>
                <w:color w:val="auto"/>
                <w:highlight w:val="none"/>
              </w:rPr>
              <w:t>-N≤</w:t>
            </w:r>
            <w:r>
              <w:rPr>
                <w:rFonts w:hint="eastAsia" w:cs="Times New Roman"/>
                <w:color w:val="auto"/>
                <w:highlight w:val="none"/>
                <w:lang w:val="en-US" w:eastAsia="zh-CN"/>
              </w:rPr>
              <w:t>19</w:t>
            </w:r>
            <w:r>
              <w:rPr>
                <w:rFonts w:hint="eastAsia" w:ascii="Times New Roman" w:hAnsi="Times New Roman" w:cs="Times New Roman"/>
                <w:color w:val="auto"/>
                <w:highlight w:val="none"/>
              </w:rPr>
              <w:t>mg/L、TN≤</w:t>
            </w:r>
            <w:r>
              <w:rPr>
                <w:rFonts w:hint="eastAsia" w:cs="Times New Roman"/>
                <w:color w:val="auto"/>
                <w:highlight w:val="none"/>
                <w:lang w:val="en-US" w:eastAsia="zh-CN"/>
              </w:rPr>
              <w:t>40</w:t>
            </w:r>
            <w:r>
              <w:rPr>
                <w:rFonts w:hint="eastAsia" w:ascii="Times New Roman" w:hAnsi="Times New Roman" w:cs="Times New Roman"/>
                <w:color w:val="auto"/>
                <w:highlight w:val="none"/>
              </w:rPr>
              <w:t>mg/L、总磷≤</w:t>
            </w:r>
            <w:r>
              <w:rPr>
                <w:rFonts w:hint="eastAsia" w:cs="Times New Roman"/>
                <w:color w:val="auto"/>
                <w:highlight w:val="none"/>
                <w:lang w:val="en-US" w:eastAsia="zh-CN"/>
              </w:rPr>
              <w:t>3.3</w:t>
            </w:r>
            <w:r>
              <w:rPr>
                <w:rFonts w:hint="eastAsia" w:ascii="Times New Roman" w:hAnsi="Times New Roman" w:cs="Times New Roman"/>
                <w:color w:val="auto"/>
                <w:highlight w:val="none"/>
              </w:rPr>
              <w:t>mg/L</w:t>
            </w:r>
            <w:r>
              <w:rPr>
                <w:rFonts w:hint="eastAsia" w:cs="Times New Roman"/>
                <w:color w:val="auto"/>
                <w:highlight w:val="none"/>
                <w:lang w:eastAsia="zh-CN"/>
              </w:rPr>
              <w:t>，</w:t>
            </w:r>
            <w:r>
              <w:rPr>
                <w:rFonts w:hint="eastAsia" w:cs="Times New Roman"/>
                <w:color w:val="auto"/>
                <w:highlight w:val="none"/>
                <w:lang w:val="en-US" w:eastAsia="zh-CN"/>
              </w:rPr>
              <w:t>均满足磨西镇生活污水处理厂的设计进水水质要求（COD≤320mg/L、BOD</w:t>
            </w:r>
            <w:r>
              <w:rPr>
                <w:rFonts w:hint="eastAsia" w:cs="Times New Roman"/>
                <w:color w:val="auto"/>
                <w:highlight w:val="none"/>
                <w:vertAlign w:val="subscript"/>
                <w:lang w:val="en-US" w:eastAsia="zh-CN"/>
              </w:rPr>
              <w:t>5</w:t>
            </w:r>
            <w:r>
              <w:rPr>
                <w:rFonts w:hint="eastAsia" w:cs="Times New Roman"/>
                <w:color w:val="auto"/>
                <w:highlight w:val="none"/>
                <w:lang w:val="en-US" w:eastAsia="zh-CN"/>
              </w:rPr>
              <w:t>≤160mg/L、SS≤350mg/L、</w:t>
            </w:r>
            <w:r>
              <w:rPr>
                <w:rFonts w:hint="eastAsia" w:ascii="Times New Roman" w:hAnsi="Times New Roman" w:cs="Times New Roman"/>
                <w:color w:val="auto"/>
                <w:highlight w:val="none"/>
              </w:rPr>
              <w:t>NH</w:t>
            </w:r>
            <w:r>
              <w:rPr>
                <w:rFonts w:hint="eastAsia" w:ascii="Times New Roman" w:hAnsi="Times New Roman" w:cs="Times New Roman"/>
                <w:color w:val="auto"/>
                <w:highlight w:val="none"/>
                <w:vertAlign w:val="subscript"/>
              </w:rPr>
              <w:t>3</w:t>
            </w:r>
            <w:r>
              <w:rPr>
                <w:rFonts w:hint="eastAsia" w:ascii="Times New Roman" w:hAnsi="Times New Roman" w:cs="Times New Roman"/>
                <w:color w:val="auto"/>
                <w:highlight w:val="none"/>
              </w:rPr>
              <w:t>-N≤</w:t>
            </w:r>
            <w:r>
              <w:rPr>
                <w:rFonts w:hint="eastAsia" w:cs="Times New Roman"/>
                <w:color w:val="auto"/>
                <w:highlight w:val="none"/>
                <w:lang w:val="en-US" w:eastAsia="zh-CN"/>
              </w:rPr>
              <w:t>35</w:t>
            </w:r>
            <w:r>
              <w:rPr>
                <w:rFonts w:hint="eastAsia" w:ascii="Times New Roman" w:hAnsi="Times New Roman" w:cs="Times New Roman"/>
                <w:color w:val="auto"/>
                <w:highlight w:val="none"/>
              </w:rPr>
              <w:t>mg/L、TN≤</w:t>
            </w:r>
            <w:r>
              <w:rPr>
                <w:rFonts w:hint="eastAsia" w:cs="Times New Roman"/>
                <w:color w:val="auto"/>
                <w:highlight w:val="none"/>
                <w:lang w:val="en-US" w:eastAsia="zh-CN"/>
              </w:rPr>
              <w:t>45</w:t>
            </w:r>
            <w:r>
              <w:rPr>
                <w:rFonts w:hint="eastAsia" w:ascii="Times New Roman" w:hAnsi="Times New Roman" w:cs="Times New Roman"/>
                <w:color w:val="auto"/>
                <w:highlight w:val="none"/>
              </w:rPr>
              <w:t>mg/L、总磷≤</w:t>
            </w:r>
            <w:r>
              <w:rPr>
                <w:rFonts w:hint="eastAsia" w:cs="Times New Roman"/>
                <w:color w:val="auto"/>
                <w:highlight w:val="none"/>
                <w:lang w:val="en-US" w:eastAsia="zh-CN"/>
              </w:rPr>
              <w:t>4</w:t>
            </w:r>
            <w:r>
              <w:rPr>
                <w:rFonts w:hint="eastAsia" w:ascii="Times New Roman" w:hAnsi="Times New Roman" w:cs="Times New Roman"/>
                <w:color w:val="auto"/>
                <w:highlight w:val="none"/>
              </w:rPr>
              <w:t>mg/L</w:t>
            </w:r>
            <w:r>
              <w:rPr>
                <w:rFonts w:hint="eastAsia" w:cs="Times New Roman"/>
                <w:color w:val="auto"/>
                <w:highlight w:val="none"/>
                <w:lang w:val="en-US" w:eastAsia="zh-CN"/>
              </w:rPr>
              <w:t>）。此外，根据</w:t>
            </w:r>
            <w:r>
              <w:rPr>
                <w:rFonts w:hint="default" w:ascii="Times New Roman" w:hAnsi="Times New Roman" w:eastAsia="宋体" w:cs="Times New Roman"/>
                <w:color w:val="auto"/>
                <w:highlight w:val="none"/>
              </w:rPr>
              <w:t>磨西生活污水处理厂</w:t>
            </w:r>
            <w:r>
              <w:rPr>
                <w:rFonts w:hint="eastAsia" w:cs="Times New Roman"/>
                <w:color w:val="auto"/>
                <w:highlight w:val="none"/>
                <w:lang w:val="en-US" w:eastAsia="zh-CN"/>
              </w:rPr>
              <w:t>环评，未对不能纳入该污水厂的废水类别进行规定；项目废水为屠宰厂经预处理后的废水，其污染物主要为有机可生化类污染物，设计出水的B/C值在3以上，不含有难以生化降解的重金属等污染物，与城镇生活污水水质具有相似之处。综合考虑以上两个方面</w:t>
            </w:r>
            <w:r>
              <w:rPr>
                <w:rFonts w:hint="eastAsia" w:ascii="Times New Roman" w:hAnsi="Times New Roman" w:cs="Times New Roman"/>
                <w:color w:val="auto"/>
                <w:highlight w:val="none"/>
                <w:lang w:val="en-US" w:eastAsia="zh-CN"/>
              </w:rPr>
              <w:t>，项目废水</w:t>
            </w:r>
            <w:r>
              <w:rPr>
                <w:rFonts w:hint="eastAsia" w:cs="Times New Roman"/>
                <w:color w:val="auto"/>
                <w:highlight w:val="none"/>
                <w:lang w:val="en-US" w:eastAsia="zh-CN"/>
              </w:rPr>
              <w:t>经</w:t>
            </w:r>
            <w:r>
              <w:rPr>
                <w:rFonts w:hint="eastAsia" w:ascii="Times New Roman" w:hAnsi="Times New Roman" w:cs="Times New Roman"/>
                <w:color w:val="auto"/>
                <w:highlight w:val="none"/>
                <w:lang w:val="en-US" w:eastAsia="zh-CN"/>
              </w:rPr>
              <w:t>厂内预处理后</w:t>
            </w:r>
            <w:r>
              <w:rPr>
                <w:rFonts w:hint="eastAsia" w:cs="Times New Roman"/>
                <w:color w:val="auto"/>
                <w:highlight w:val="none"/>
                <w:lang w:val="en-US" w:eastAsia="zh-CN"/>
              </w:rPr>
              <w:t>的</w:t>
            </w:r>
            <w:r>
              <w:rPr>
                <w:rFonts w:hint="eastAsia" w:ascii="Times New Roman" w:hAnsi="Times New Roman" w:cs="Times New Roman"/>
                <w:color w:val="auto"/>
                <w:highlight w:val="none"/>
                <w:lang w:val="en-US" w:eastAsia="zh-CN"/>
              </w:rPr>
              <w:t>达标尾水，</w:t>
            </w:r>
            <w:r>
              <w:rPr>
                <w:rFonts w:hint="eastAsia" w:cs="Times New Roman"/>
                <w:color w:val="auto"/>
                <w:highlight w:val="none"/>
                <w:lang w:val="en-US" w:eastAsia="zh-CN"/>
              </w:rPr>
              <w:t>由罐车运输至</w:t>
            </w:r>
            <w:r>
              <w:rPr>
                <w:rFonts w:hint="eastAsia" w:ascii="Times New Roman" w:hAnsi="Times New Roman" w:cs="Times New Roman"/>
                <w:color w:val="auto"/>
                <w:highlight w:val="none"/>
                <w:lang w:val="en-US" w:eastAsia="zh-CN"/>
              </w:rPr>
              <w:t>磨西镇生活污水处理厂</w:t>
            </w:r>
            <w:r>
              <w:rPr>
                <w:rFonts w:hint="eastAsia" w:cs="Times New Roman"/>
                <w:color w:val="auto"/>
                <w:highlight w:val="none"/>
                <w:lang w:val="en-US" w:eastAsia="zh-CN"/>
              </w:rPr>
              <w:t>后</w:t>
            </w:r>
            <w:r>
              <w:rPr>
                <w:rFonts w:hint="eastAsia" w:ascii="Times New Roman" w:hAnsi="Times New Roman" w:cs="Times New Roman"/>
                <w:color w:val="auto"/>
                <w:highlight w:val="none"/>
                <w:lang w:val="en-US" w:eastAsia="zh-CN"/>
              </w:rPr>
              <w:t>，不会对后者</w:t>
            </w:r>
            <w:r>
              <w:rPr>
                <w:rFonts w:hint="eastAsia" w:cs="Times New Roman"/>
                <w:color w:val="auto"/>
                <w:highlight w:val="none"/>
                <w:lang w:val="en-US" w:eastAsia="zh-CN"/>
              </w:rPr>
              <w:t>的正常运行</w:t>
            </w:r>
            <w:r>
              <w:rPr>
                <w:rFonts w:hint="eastAsia" w:ascii="Times New Roman" w:hAnsi="Times New Roman" w:cs="Times New Roman"/>
                <w:color w:val="auto"/>
                <w:highlight w:val="none"/>
                <w:lang w:val="en-US" w:eastAsia="zh-CN"/>
              </w:rPr>
              <w:t>造成冲击性影响。</w:t>
            </w:r>
          </w:p>
          <w:p w14:paraId="35D8A065">
            <w:pPr>
              <w:numPr>
                <w:ilvl w:val="0"/>
                <w:numId w:val="23"/>
              </w:numPr>
              <w:spacing w:line="360" w:lineRule="auto"/>
              <w:ind w:firstLine="482" w:firstLineChars="200"/>
              <w:rPr>
                <w:rFonts w:hint="default" w:ascii="Times New Roman" w:hAnsi="Times New Roman" w:eastAsia="宋体" w:cs="Times New Roman"/>
                <w:color w:val="auto"/>
                <w:sz w:val="24"/>
                <w:szCs w:val="24"/>
                <w:highlight w:val="none"/>
                <w:lang w:val="en-US" w:eastAsia="zh-CN"/>
              </w:rPr>
            </w:pPr>
            <w:r>
              <w:rPr>
                <w:rFonts w:hint="eastAsia" w:cs="Times New Roman"/>
                <w:b/>
                <w:bCs/>
                <w:color w:val="auto"/>
                <w:highlight w:val="none"/>
                <w:lang w:val="en-US" w:eastAsia="zh-CN"/>
              </w:rPr>
              <w:t>污水罐车运输可行性和保障性</w:t>
            </w:r>
            <w:r>
              <w:rPr>
                <w:rFonts w:hint="eastAsia" w:cs="Times New Roman"/>
                <w:color w:val="auto"/>
                <w:highlight w:val="none"/>
                <w:lang w:val="en-US" w:eastAsia="zh-CN"/>
              </w:rPr>
              <w:t>：</w:t>
            </w:r>
            <w:r>
              <w:rPr>
                <w:rFonts w:hint="default" w:ascii="Times New Roman" w:hAnsi="Times New Roman" w:eastAsia="宋体" w:cs="Times New Roman"/>
                <w:color w:val="auto"/>
                <w:sz w:val="24"/>
                <w:szCs w:val="24"/>
                <w:highlight w:val="none"/>
              </w:rPr>
              <w:t>项目</w:t>
            </w:r>
            <w:r>
              <w:rPr>
                <w:rFonts w:hint="eastAsia" w:ascii="Times New Roman" w:hAnsi="Times New Roman" w:cs="Times New Roman"/>
                <w:color w:val="auto"/>
                <w:sz w:val="24"/>
                <w:szCs w:val="24"/>
                <w:highlight w:val="none"/>
                <w:lang w:val="en-US" w:eastAsia="zh-CN"/>
              </w:rPr>
              <w:t>位于雅家埂河左岸，而磨西污水处理厂纳污范围为雅家埂河右岸的磨西镇场镇，因此，项目所在区域</w:t>
            </w:r>
            <w:r>
              <w:rPr>
                <w:rFonts w:hint="default" w:ascii="Times New Roman" w:hAnsi="Times New Roman" w:eastAsia="宋体" w:cs="Times New Roman"/>
                <w:color w:val="auto"/>
                <w:sz w:val="24"/>
                <w:szCs w:val="24"/>
                <w:highlight w:val="none"/>
              </w:rPr>
              <w:t>暂无市政污水管网覆盖。为实施本项目，建设单位已</w:t>
            </w:r>
            <w:r>
              <w:rPr>
                <w:rFonts w:hint="default" w:ascii="Times New Roman" w:hAnsi="Times New Roman" w:eastAsia="宋体" w:cs="Times New Roman"/>
                <w:color w:val="auto"/>
                <w:sz w:val="24"/>
                <w:szCs w:val="24"/>
                <w:highlight w:val="none"/>
                <w:lang w:val="en-US" w:eastAsia="zh-CN"/>
              </w:rPr>
              <w:t>与磨西镇生活污水处理厂签订协议（附件7污水清运协议），</w:t>
            </w:r>
            <w:r>
              <w:rPr>
                <w:rFonts w:hint="eastAsia" w:ascii="Times New Roman" w:hAnsi="Times New Roman" w:cs="Times New Roman"/>
                <w:color w:val="auto"/>
                <w:sz w:val="24"/>
                <w:szCs w:val="24"/>
                <w:highlight w:val="none"/>
                <w:lang w:val="en-US" w:eastAsia="zh-CN"/>
              </w:rPr>
              <w:t>本项目废水</w:t>
            </w:r>
            <w:r>
              <w:rPr>
                <w:rFonts w:hint="eastAsia" w:ascii="宋体" w:hAnsi="宋体" w:eastAsia="宋体" w:cs="宋体"/>
                <w:color w:val="auto"/>
                <w:sz w:val="24"/>
                <w:szCs w:val="24"/>
                <w:highlight w:val="none"/>
                <w:lang w:val="en-US" w:eastAsia="zh-CN"/>
              </w:rPr>
              <w:t>由罐车运至污水处理厂进行处理</w:t>
            </w:r>
            <w:r>
              <w:rPr>
                <w:rFonts w:hint="default" w:ascii="Times New Roman" w:hAnsi="Times New Roman" w:cs="Times New Roman"/>
                <w:color w:val="auto"/>
                <w:sz w:val="24"/>
                <w:szCs w:val="24"/>
                <w:highlight w:val="none"/>
                <w:lang w:val="en-US" w:eastAsia="zh-CN"/>
              </w:rPr>
              <w:t>，罐车运输</w:t>
            </w:r>
            <w:r>
              <w:rPr>
                <w:rFonts w:hint="eastAsia" w:cs="Times New Roman"/>
                <w:color w:val="auto"/>
                <w:sz w:val="24"/>
                <w:szCs w:val="24"/>
                <w:highlight w:val="none"/>
                <w:lang w:val="en-US" w:eastAsia="zh-CN"/>
              </w:rPr>
              <w:t>最短</w:t>
            </w:r>
            <w:r>
              <w:rPr>
                <w:rFonts w:hint="default" w:ascii="Times New Roman" w:hAnsi="Times New Roman" w:cs="Times New Roman"/>
                <w:color w:val="auto"/>
                <w:sz w:val="24"/>
                <w:szCs w:val="24"/>
                <w:highlight w:val="none"/>
                <w:lang w:val="en-US" w:eastAsia="zh-CN"/>
              </w:rPr>
              <w:t>距离约4km</w:t>
            </w:r>
            <w:r>
              <w:rPr>
                <w:rFonts w:hint="eastAsia" w:cs="Times New Roman"/>
                <w:color w:val="auto"/>
                <w:sz w:val="24"/>
                <w:szCs w:val="24"/>
                <w:highlight w:val="none"/>
                <w:lang w:val="en-US" w:eastAsia="zh-CN"/>
              </w:rPr>
              <w:t>，罐车最短运行距离的行车路线为：项目厂址→小牛坪村→跨过雅家埂河→磨西场镇东侧道路→磨西生活污水厂，具体运输路线详见附图13</w:t>
            </w:r>
            <w:r>
              <w:rPr>
                <w:rFonts w:hint="default" w:ascii="Times New Roman" w:hAnsi="Times New Roman" w:eastAsia="宋体" w:cs="Times New Roman"/>
                <w:color w:val="auto"/>
                <w:sz w:val="24"/>
                <w:szCs w:val="24"/>
                <w:highlight w:val="none"/>
                <w:lang w:val="en-US" w:eastAsia="zh-CN"/>
              </w:rPr>
              <w:t>。</w:t>
            </w:r>
          </w:p>
          <w:p w14:paraId="4BFCE106">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磨西生活污水处理厂提供废水拉运车辆及相关设备，并负责对拉运设备进行清洗、消毒等操作。屠宰场应完善污水罐车运输台账备查（台账内容包括：污水交接人及联系方式、运输人员及联系方式、日期、污水转出量等）。根据厂内实际产生的污水量大小，每1~2天将处理达标的污水由吸污泵吸进小型罐车，再由小型罐车按照附图13的指定路线运输至磨西镇生活污水处理厂。项目业主对污水罐车运输处理并加强相关管理出具了承诺（详见附件）。</w:t>
            </w:r>
          </w:p>
          <w:p w14:paraId="377E1025">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综上，本项目所采取的废水处理措施技术可行。</w:t>
            </w:r>
          </w:p>
          <w:p w14:paraId="5D703309">
            <w:pPr>
              <w:pStyle w:val="20"/>
              <w:spacing w:after="0" w:line="360" w:lineRule="auto"/>
              <w:ind w:left="0" w:leftChars="0" w:firstLine="482" w:firstLineChars="20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（三）</w:t>
            </w:r>
            <w:r>
              <w:rPr>
                <w:rFonts w:hint="default" w:ascii="Times New Roman" w:hAnsi="Times New Roman" w:eastAsia="宋体" w:cs="Times New Roman"/>
                <w:b/>
                <w:bCs/>
                <w:color w:val="auto"/>
                <w:highlight w:val="none"/>
                <w:lang w:val="en-US" w:eastAsia="zh-CN"/>
              </w:rPr>
              <w:t>建设项目污染物排放信息</w:t>
            </w:r>
          </w:p>
          <w:p w14:paraId="7060637B">
            <w:pPr>
              <w:spacing w:line="360" w:lineRule="auto"/>
              <w:ind w:firstLine="480" w:firstLineChars="200"/>
              <w:rPr>
                <w:bCs/>
                <w:color w:val="auto"/>
                <w:sz w:val="24"/>
                <w:highlight w:val="none"/>
              </w:rPr>
            </w:pPr>
            <w:r>
              <w:rPr>
                <w:rFonts w:hint="eastAsia"/>
                <w:bCs/>
                <w:color w:val="auto"/>
                <w:sz w:val="24"/>
                <w:highlight w:val="none"/>
              </w:rPr>
              <w:t>本项目</w:t>
            </w:r>
            <w:r>
              <w:rPr>
                <w:rFonts w:hint="eastAsia"/>
                <w:bCs/>
                <w:color w:val="auto"/>
                <w:sz w:val="24"/>
                <w:highlight w:val="none"/>
                <w:lang w:eastAsia="zh-CN"/>
              </w:rPr>
              <w:t>设置</w:t>
            </w:r>
            <w:r>
              <w:rPr>
                <w:rFonts w:hint="eastAsia"/>
                <w:bCs/>
                <w:color w:val="auto"/>
                <w:sz w:val="24"/>
                <w:highlight w:val="none"/>
                <w:lang w:val="en-US" w:eastAsia="zh-CN"/>
              </w:rPr>
              <w:t>1个</w:t>
            </w:r>
            <w:r>
              <w:rPr>
                <w:rFonts w:hint="eastAsia"/>
                <w:bCs/>
                <w:color w:val="auto"/>
                <w:sz w:val="24"/>
                <w:highlight w:val="none"/>
              </w:rPr>
              <w:t>废水排放口。废水排放口信息如下：</w:t>
            </w:r>
          </w:p>
          <w:p w14:paraId="3BE00C97">
            <w:pPr>
              <w:spacing w:line="360" w:lineRule="auto"/>
              <w:ind w:firstLine="480" w:firstLineChars="200"/>
              <w:jc w:val="left"/>
              <w:textAlignment w:val="baseline"/>
              <w:rPr>
                <w:bCs/>
                <w:color w:val="auto"/>
                <w:sz w:val="24"/>
                <w:highlight w:val="none"/>
              </w:rPr>
            </w:pPr>
            <w:r>
              <w:rPr>
                <w:bCs/>
                <w:color w:val="auto"/>
                <w:sz w:val="24"/>
                <w:highlight w:val="none"/>
              </w:rPr>
              <w:t>（1）废水排放口基本情况</w:t>
            </w:r>
          </w:p>
          <w:p w14:paraId="4EEE13A6">
            <w:pPr>
              <w:adjustRightInd w:val="0"/>
              <w:spacing w:line="360" w:lineRule="auto"/>
              <w:ind w:firstLine="477" w:firstLineChars="199"/>
              <w:rPr>
                <w:color w:val="auto"/>
                <w:sz w:val="24"/>
                <w:highlight w:val="none"/>
              </w:rPr>
            </w:pPr>
            <w:r>
              <w:rPr>
                <w:color w:val="auto"/>
                <w:sz w:val="24"/>
                <w:highlight w:val="none"/>
              </w:rPr>
              <w:t>本项目废水排放情况信息如下表：</w:t>
            </w:r>
          </w:p>
          <w:p w14:paraId="5934F02E">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废水类别、污染物及污染治理设施信息表</w:t>
            </w:r>
          </w:p>
          <w:tbl>
            <w:tblPr>
              <w:tblStyle w:val="32"/>
              <w:tblW w:w="499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204"/>
              <w:gridCol w:w="810"/>
              <w:gridCol w:w="733"/>
              <w:gridCol w:w="460"/>
              <w:gridCol w:w="993"/>
              <w:gridCol w:w="765"/>
              <w:gridCol w:w="449"/>
              <w:gridCol w:w="795"/>
              <w:gridCol w:w="1320"/>
            </w:tblGrid>
            <w:tr w14:paraId="6F068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909" w:type="dxa"/>
                  <w:vMerge w:val="restart"/>
                  <w:tcBorders>
                    <w:tl2br w:val="nil"/>
                    <w:tr2bl w:val="nil"/>
                  </w:tcBorders>
                  <w:vAlign w:val="center"/>
                </w:tcPr>
                <w:p w14:paraId="0F0ED3D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废水类别</w:t>
                  </w:r>
                </w:p>
              </w:tc>
              <w:tc>
                <w:tcPr>
                  <w:tcW w:w="1204" w:type="dxa"/>
                  <w:vMerge w:val="restart"/>
                  <w:tcBorders>
                    <w:tl2br w:val="nil"/>
                    <w:tr2bl w:val="nil"/>
                  </w:tcBorders>
                  <w:vAlign w:val="center"/>
                </w:tcPr>
                <w:p w14:paraId="48F7A75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污染物种类</w:t>
                  </w:r>
                </w:p>
              </w:tc>
              <w:tc>
                <w:tcPr>
                  <w:tcW w:w="810" w:type="dxa"/>
                  <w:vMerge w:val="restart"/>
                  <w:tcBorders>
                    <w:tl2br w:val="nil"/>
                    <w:tr2bl w:val="nil"/>
                  </w:tcBorders>
                  <w:vAlign w:val="center"/>
                </w:tcPr>
                <w:p w14:paraId="7DE3EAF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排放去向</w:t>
                  </w:r>
                </w:p>
              </w:tc>
              <w:tc>
                <w:tcPr>
                  <w:tcW w:w="733" w:type="dxa"/>
                  <w:vMerge w:val="restart"/>
                  <w:tcBorders>
                    <w:tl2br w:val="nil"/>
                    <w:tr2bl w:val="nil"/>
                  </w:tcBorders>
                  <w:vAlign w:val="center"/>
                </w:tcPr>
                <w:p w14:paraId="16DD3DCF">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排放规律</w:t>
                  </w:r>
                </w:p>
              </w:tc>
              <w:tc>
                <w:tcPr>
                  <w:tcW w:w="2218" w:type="dxa"/>
                  <w:gridSpan w:val="3"/>
                  <w:tcBorders>
                    <w:tl2br w:val="nil"/>
                    <w:tr2bl w:val="nil"/>
                  </w:tcBorders>
                  <w:vAlign w:val="center"/>
                </w:tcPr>
                <w:p w14:paraId="26D87DFD">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污染治理设施</w:t>
                  </w:r>
                </w:p>
              </w:tc>
              <w:tc>
                <w:tcPr>
                  <w:tcW w:w="449" w:type="dxa"/>
                  <w:vMerge w:val="restart"/>
                  <w:tcBorders>
                    <w:tl2br w:val="nil"/>
                    <w:tr2bl w:val="nil"/>
                  </w:tcBorders>
                  <w:vAlign w:val="center"/>
                </w:tcPr>
                <w:p w14:paraId="33C6871C">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排放口编号</w:t>
                  </w:r>
                </w:p>
              </w:tc>
              <w:tc>
                <w:tcPr>
                  <w:tcW w:w="795" w:type="dxa"/>
                  <w:vMerge w:val="restart"/>
                  <w:tcBorders>
                    <w:tl2br w:val="nil"/>
                    <w:tr2bl w:val="nil"/>
                  </w:tcBorders>
                  <w:vAlign w:val="center"/>
                </w:tcPr>
                <w:p w14:paraId="6259B799">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rFonts w:hint="eastAsia" w:ascii="Times New Roman" w:hAnsi="Times New Roman" w:eastAsia="宋体" w:cs="Times New Roman"/>
                      <w:b/>
                      <w:bCs/>
                      <w:color w:val="auto"/>
                      <w:kern w:val="0"/>
                      <w:sz w:val="21"/>
                      <w:szCs w:val="21"/>
                      <w:highlight w:val="none"/>
                      <w:vertAlign w:val="baseline"/>
                      <w:lang w:val="en-US" w:eastAsia="zh-CN" w:bidi="ar-SA"/>
                    </w:rPr>
                    <w:t>排放方式</w:t>
                  </w:r>
                </w:p>
              </w:tc>
              <w:tc>
                <w:tcPr>
                  <w:tcW w:w="1320" w:type="dxa"/>
                  <w:vMerge w:val="restart"/>
                  <w:tcBorders>
                    <w:tl2br w:val="nil"/>
                    <w:tr2bl w:val="nil"/>
                  </w:tcBorders>
                  <w:vAlign w:val="center"/>
                </w:tcPr>
                <w:p w14:paraId="4C60677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排放口类型</w:t>
                  </w:r>
                </w:p>
              </w:tc>
            </w:tr>
            <w:tr w14:paraId="280F2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09" w:type="dxa"/>
                  <w:vMerge w:val="continue"/>
                  <w:tcBorders>
                    <w:tl2br w:val="nil"/>
                    <w:tr2bl w:val="nil"/>
                  </w:tcBorders>
                  <w:vAlign w:val="center"/>
                </w:tcPr>
                <w:p w14:paraId="226F285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c>
                <w:tcPr>
                  <w:tcW w:w="1204" w:type="dxa"/>
                  <w:vMerge w:val="continue"/>
                  <w:tcBorders>
                    <w:tl2br w:val="nil"/>
                    <w:tr2bl w:val="nil"/>
                  </w:tcBorders>
                  <w:vAlign w:val="center"/>
                </w:tcPr>
                <w:p w14:paraId="6CE71CB6">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c>
                <w:tcPr>
                  <w:tcW w:w="810" w:type="dxa"/>
                  <w:vMerge w:val="continue"/>
                  <w:tcBorders>
                    <w:tl2br w:val="nil"/>
                    <w:tr2bl w:val="nil"/>
                  </w:tcBorders>
                  <w:vAlign w:val="center"/>
                </w:tcPr>
                <w:p w14:paraId="643B08A7">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c>
                <w:tcPr>
                  <w:tcW w:w="733" w:type="dxa"/>
                  <w:vMerge w:val="continue"/>
                  <w:tcBorders>
                    <w:tl2br w:val="nil"/>
                    <w:tr2bl w:val="nil"/>
                  </w:tcBorders>
                  <w:vAlign w:val="center"/>
                </w:tcPr>
                <w:p w14:paraId="23F87D1E">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c>
                <w:tcPr>
                  <w:tcW w:w="460" w:type="dxa"/>
                  <w:tcBorders>
                    <w:tl2br w:val="nil"/>
                    <w:tr2bl w:val="nil"/>
                  </w:tcBorders>
                  <w:vAlign w:val="center"/>
                </w:tcPr>
                <w:p w14:paraId="6A3EADB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编号</w:t>
                  </w:r>
                </w:p>
              </w:tc>
              <w:tc>
                <w:tcPr>
                  <w:tcW w:w="993" w:type="dxa"/>
                  <w:tcBorders>
                    <w:tl2br w:val="nil"/>
                    <w:tr2bl w:val="nil"/>
                  </w:tcBorders>
                  <w:vAlign w:val="center"/>
                </w:tcPr>
                <w:p w14:paraId="1C75E2B1">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b/>
                      <w:color w:val="auto"/>
                      <w:sz w:val="21"/>
                      <w:szCs w:val="21"/>
                      <w:highlight w:val="none"/>
                    </w:rPr>
                    <w:t>名称</w:t>
                  </w:r>
                </w:p>
              </w:tc>
              <w:tc>
                <w:tcPr>
                  <w:tcW w:w="765" w:type="dxa"/>
                  <w:tcBorders>
                    <w:tl2br w:val="nil"/>
                    <w:tr2bl w:val="nil"/>
                  </w:tcBorders>
                  <w:vAlign w:val="center"/>
                </w:tcPr>
                <w:p w14:paraId="5B88A7BD">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r>
                    <w:rPr>
                      <w:rFonts w:ascii="宋体" w:hAnsi="宋体" w:eastAsia="宋体" w:cs="宋体"/>
                      <w:b/>
                      <w:bCs/>
                      <w:color w:val="auto"/>
                      <w:sz w:val="21"/>
                      <w:szCs w:val="21"/>
                      <w:highlight w:val="none"/>
                    </w:rPr>
                    <w:t>是否为可行技术</w:t>
                  </w:r>
                </w:p>
              </w:tc>
              <w:tc>
                <w:tcPr>
                  <w:tcW w:w="449" w:type="dxa"/>
                  <w:vMerge w:val="continue"/>
                  <w:tcBorders>
                    <w:tl2br w:val="nil"/>
                    <w:tr2bl w:val="nil"/>
                  </w:tcBorders>
                  <w:vAlign w:val="center"/>
                </w:tcPr>
                <w:p w14:paraId="0DA5ED3B">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c>
                <w:tcPr>
                  <w:tcW w:w="795" w:type="dxa"/>
                  <w:vMerge w:val="continue"/>
                  <w:tcBorders>
                    <w:tl2br w:val="nil"/>
                    <w:tr2bl w:val="nil"/>
                  </w:tcBorders>
                  <w:vAlign w:val="center"/>
                </w:tcPr>
                <w:p w14:paraId="3334EC0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c>
                <w:tcPr>
                  <w:tcW w:w="1320" w:type="dxa"/>
                  <w:vMerge w:val="continue"/>
                  <w:tcBorders>
                    <w:tl2br w:val="nil"/>
                    <w:tr2bl w:val="nil"/>
                  </w:tcBorders>
                  <w:vAlign w:val="center"/>
                </w:tcPr>
                <w:p w14:paraId="687AE57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b/>
                      <w:color w:val="auto"/>
                      <w:sz w:val="21"/>
                      <w:szCs w:val="21"/>
                      <w:highlight w:val="none"/>
                    </w:rPr>
                  </w:pPr>
                </w:p>
              </w:tc>
            </w:tr>
            <w:tr w14:paraId="057272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909" w:type="dxa"/>
                  <w:tcBorders>
                    <w:tl2br w:val="nil"/>
                    <w:tr2bl w:val="nil"/>
                  </w:tcBorders>
                  <w:vAlign w:val="center"/>
                </w:tcPr>
                <w:p w14:paraId="4F3145BB">
                  <w:pPr>
                    <w:pStyle w:val="81"/>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屠宰废水、车辆清洗废水、喷淋塔排水、检疫废水、生活废水</w:t>
                  </w:r>
                </w:p>
              </w:tc>
              <w:tc>
                <w:tcPr>
                  <w:tcW w:w="1204" w:type="dxa"/>
                  <w:tcBorders>
                    <w:tl2br w:val="nil"/>
                    <w:tr2bl w:val="nil"/>
                  </w:tcBorders>
                  <w:vAlign w:val="center"/>
                </w:tcPr>
                <w:p w14:paraId="14440E2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eastAsia="宋体"/>
                      <w:color w:val="auto"/>
                      <w:kern w:val="0"/>
                      <w:sz w:val="21"/>
                      <w:szCs w:val="21"/>
                      <w:highlight w:val="none"/>
                      <w:lang w:val="en-US" w:eastAsia="zh-CN"/>
                    </w:rPr>
                  </w:pPr>
                  <w:r>
                    <w:rPr>
                      <w:color w:val="auto"/>
                      <w:kern w:val="0"/>
                      <w:sz w:val="21"/>
                      <w:szCs w:val="21"/>
                      <w:highlight w:val="none"/>
                    </w:rPr>
                    <w:t>pH、COD</w:t>
                  </w:r>
                  <w:r>
                    <w:rPr>
                      <w:rFonts w:hint="eastAsia"/>
                      <w:color w:val="auto"/>
                      <w:kern w:val="0"/>
                      <w:sz w:val="21"/>
                      <w:szCs w:val="21"/>
                      <w:highlight w:val="none"/>
                      <w:vertAlign w:val="subscript"/>
                    </w:rPr>
                    <w:t>cr</w:t>
                  </w:r>
                  <w:r>
                    <w:rPr>
                      <w:color w:val="auto"/>
                      <w:kern w:val="0"/>
                      <w:sz w:val="21"/>
                      <w:szCs w:val="21"/>
                      <w:highlight w:val="none"/>
                    </w:rPr>
                    <w:t>、SS、BOD</w:t>
                  </w:r>
                  <w:r>
                    <w:rPr>
                      <w:color w:val="auto"/>
                      <w:kern w:val="0"/>
                      <w:sz w:val="21"/>
                      <w:szCs w:val="21"/>
                      <w:highlight w:val="none"/>
                      <w:vertAlign w:val="subscript"/>
                    </w:rPr>
                    <w:t>5</w:t>
                  </w:r>
                  <w:r>
                    <w:rPr>
                      <w:color w:val="auto"/>
                      <w:kern w:val="0"/>
                      <w:sz w:val="21"/>
                      <w:szCs w:val="21"/>
                      <w:highlight w:val="none"/>
                    </w:rPr>
                    <w:t>、</w:t>
                  </w:r>
                  <w:r>
                    <w:rPr>
                      <w:rFonts w:hint="eastAsia"/>
                      <w:color w:val="auto"/>
                      <w:kern w:val="0"/>
                      <w:sz w:val="21"/>
                      <w:szCs w:val="21"/>
                      <w:highlight w:val="none"/>
                      <w:lang w:eastAsia="zh-CN"/>
                    </w:rPr>
                    <w:t>动植物油</w:t>
                  </w:r>
                  <w:r>
                    <w:rPr>
                      <w:color w:val="auto"/>
                      <w:kern w:val="0"/>
                      <w:sz w:val="21"/>
                      <w:szCs w:val="21"/>
                      <w:highlight w:val="none"/>
                    </w:rPr>
                    <w:t>NH</w:t>
                  </w:r>
                  <w:r>
                    <w:rPr>
                      <w:color w:val="auto"/>
                      <w:kern w:val="0"/>
                      <w:sz w:val="21"/>
                      <w:szCs w:val="21"/>
                      <w:highlight w:val="none"/>
                      <w:vertAlign w:val="subscript"/>
                    </w:rPr>
                    <w:t>3</w:t>
                  </w:r>
                  <w:r>
                    <w:rPr>
                      <w:color w:val="auto"/>
                      <w:kern w:val="0"/>
                      <w:sz w:val="21"/>
                      <w:szCs w:val="21"/>
                      <w:highlight w:val="none"/>
                    </w:rPr>
                    <w:t>-N、TP</w:t>
                  </w:r>
                  <w:r>
                    <w:rPr>
                      <w:rFonts w:hint="eastAsia"/>
                      <w:color w:val="auto"/>
                      <w:kern w:val="0"/>
                      <w:sz w:val="21"/>
                      <w:szCs w:val="21"/>
                      <w:highlight w:val="none"/>
                      <w:lang w:eastAsia="zh-CN"/>
                    </w:rPr>
                    <w:t>、</w:t>
                  </w:r>
                  <w:r>
                    <w:rPr>
                      <w:rFonts w:hint="eastAsia"/>
                      <w:color w:val="auto"/>
                      <w:kern w:val="0"/>
                      <w:sz w:val="21"/>
                      <w:szCs w:val="21"/>
                      <w:highlight w:val="none"/>
                      <w:lang w:val="en-US" w:eastAsia="zh-CN"/>
                    </w:rPr>
                    <w:t>TN、粪大肠菌群</w:t>
                  </w:r>
                </w:p>
              </w:tc>
              <w:tc>
                <w:tcPr>
                  <w:tcW w:w="810" w:type="dxa"/>
                  <w:tcBorders>
                    <w:tl2br w:val="nil"/>
                    <w:tr2bl w:val="nil"/>
                  </w:tcBorders>
                  <w:vAlign w:val="center"/>
                </w:tcPr>
                <w:p w14:paraId="278FE39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color w:val="auto"/>
                      <w:kern w:val="0"/>
                      <w:sz w:val="21"/>
                      <w:szCs w:val="21"/>
                      <w:highlight w:val="none"/>
                    </w:rPr>
                  </w:pPr>
                  <w:r>
                    <w:rPr>
                      <w:rFonts w:hint="default" w:ascii="Times New Roman" w:hAnsi="Times New Roman" w:eastAsia="宋体" w:cs="Times New Roman"/>
                      <w:color w:val="auto"/>
                      <w:sz w:val="21"/>
                      <w:szCs w:val="21"/>
                      <w:highlight w:val="none"/>
                    </w:rPr>
                    <w:t>泸定县磨西镇生活污水处理厂</w:t>
                  </w:r>
                </w:p>
              </w:tc>
              <w:tc>
                <w:tcPr>
                  <w:tcW w:w="733" w:type="dxa"/>
                  <w:tcBorders>
                    <w:tl2br w:val="nil"/>
                    <w:tr2bl w:val="nil"/>
                  </w:tcBorders>
                  <w:vAlign w:val="center"/>
                </w:tcPr>
                <w:p w14:paraId="393728F5">
                  <w:pPr>
                    <w:pStyle w:val="81"/>
                    <w:keepNext w:val="0"/>
                    <w:keepLines w:val="0"/>
                    <w:pageBreakBefore w:val="0"/>
                    <w:widowControl w:val="0"/>
                    <w:kinsoku/>
                    <w:wordWrap/>
                    <w:overflowPunct/>
                    <w:topLinePunct w:val="0"/>
                    <w:autoSpaceDE/>
                    <w:autoSpaceDN/>
                    <w:bidi w:val="0"/>
                    <w:adjustRightInd/>
                    <w:snapToGrid/>
                    <w:spacing w:line="220" w:lineRule="exact"/>
                    <w:jc w:val="center"/>
                    <w:textAlignment w:val="auto"/>
                    <w:rPr>
                      <w:color w:val="auto"/>
                      <w:sz w:val="21"/>
                      <w:szCs w:val="21"/>
                      <w:highlight w:val="none"/>
                    </w:rPr>
                  </w:pPr>
                  <w:r>
                    <w:rPr>
                      <w:rFonts w:hint="eastAsia"/>
                      <w:color w:val="auto"/>
                      <w:sz w:val="21"/>
                      <w:szCs w:val="21"/>
                      <w:highlight w:val="none"/>
                      <w:lang w:val="en-US" w:eastAsia="zh-CN"/>
                    </w:rPr>
                    <w:t>间断排放</w:t>
                  </w:r>
                </w:p>
              </w:tc>
              <w:tc>
                <w:tcPr>
                  <w:tcW w:w="460" w:type="dxa"/>
                  <w:tcBorders>
                    <w:tl2br w:val="nil"/>
                    <w:tr2bl w:val="nil"/>
                  </w:tcBorders>
                  <w:shd w:val="clear" w:color="auto" w:fill="auto"/>
                  <w:vAlign w:val="center"/>
                </w:tcPr>
                <w:p w14:paraId="23642600">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TW001</w:t>
                  </w:r>
                </w:p>
              </w:tc>
              <w:tc>
                <w:tcPr>
                  <w:tcW w:w="993" w:type="dxa"/>
                  <w:tcBorders>
                    <w:tl2br w:val="nil"/>
                    <w:tr2bl w:val="nil"/>
                  </w:tcBorders>
                  <w:shd w:val="clear" w:color="auto" w:fill="auto"/>
                  <w:vAlign w:val="center"/>
                </w:tcPr>
                <w:p w14:paraId="3456FAC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lang w:val="en-US" w:eastAsia="zh-CN"/>
                    </w:rPr>
                    <w:t>污水处理站</w:t>
                  </w:r>
                </w:p>
              </w:tc>
              <w:tc>
                <w:tcPr>
                  <w:tcW w:w="765" w:type="dxa"/>
                  <w:tcBorders>
                    <w:tl2br w:val="nil"/>
                    <w:tr2bl w:val="nil"/>
                  </w:tcBorders>
                  <w:vAlign w:val="center"/>
                </w:tcPr>
                <w:p w14:paraId="4C9A2FA2">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color w:val="auto"/>
                      <w:kern w:val="0"/>
                      <w:sz w:val="21"/>
                      <w:szCs w:val="21"/>
                      <w:highlight w:val="none"/>
                      <w:lang w:eastAsia="zh-CN"/>
                    </w:rPr>
                  </w:pPr>
                  <w:r>
                    <w:rPr>
                      <w:rFonts w:hint="eastAsia"/>
                      <w:color w:val="auto"/>
                      <w:kern w:val="0"/>
                      <w:sz w:val="21"/>
                      <w:szCs w:val="21"/>
                      <w:highlight w:val="none"/>
                      <w:lang w:eastAsia="zh-CN"/>
                    </w:rPr>
                    <w:t>是</w:t>
                  </w:r>
                </w:p>
              </w:tc>
              <w:tc>
                <w:tcPr>
                  <w:tcW w:w="449" w:type="dxa"/>
                  <w:tcBorders>
                    <w:tl2br w:val="nil"/>
                    <w:tr2bl w:val="nil"/>
                  </w:tcBorders>
                  <w:vAlign w:val="center"/>
                </w:tcPr>
                <w:p w14:paraId="35F62EAA">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color w:val="auto"/>
                      <w:kern w:val="0"/>
                      <w:sz w:val="21"/>
                      <w:szCs w:val="21"/>
                      <w:highlight w:val="none"/>
                    </w:rPr>
                  </w:pPr>
                  <w:r>
                    <w:rPr>
                      <w:color w:val="auto"/>
                      <w:kern w:val="0"/>
                      <w:sz w:val="21"/>
                      <w:szCs w:val="21"/>
                      <w:highlight w:val="none"/>
                    </w:rPr>
                    <w:t>DW001</w:t>
                  </w:r>
                </w:p>
              </w:tc>
              <w:tc>
                <w:tcPr>
                  <w:tcW w:w="795" w:type="dxa"/>
                  <w:tcBorders>
                    <w:tl2br w:val="nil"/>
                    <w:tr2bl w:val="nil"/>
                  </w:tcBorders>
                  <w:vAlign w:val="center"/>
                </w:tcPr>
                <w:p w14:paraId="5C0F85C4">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eastAsia="宋体"/>
                      <w:color w:val="auto"/>
                      <w:kern w:val="0"/>
                      <w:sz w:val="21"/>
                      <w:szCs w:val="21"/>
                      <w:highlight w:val="none"/>
                      <w:lang w:eastAsia="zh-CN"/>
                    </w:rPr>
                  </w:pPr>
                  <w:r>
                    <w:rPr>
                      <w:rFonts w:hint="eastAsia" w:eastAsia="宋体"/>
                      <w:color w:val="auto"/>
                      <w:sz w:val="21"/>
                      <w:szCs w:val="21"/>
                      <w:highlight w:val="none"/>
                      <w:lang w:eastAsia="zh-CN"/>
                    </w:rPr>
                    <w:t>间接排放</w:t>
                  </w:r>
                </w:p>
              </w:tc>
              <w:tc>
                <w:tcPr>
                  <w:tcW w:w="1320" w:type="dxa"/>
                  <w:tcBorders>
                    <w:tl2br w:val="nil"/>
                    <w:tr2bl w:val="nil"/>
                  </w:tcBorders>
                  <w:vAlign w:val="center"/>
                </w:tcPr>
                <w:p w14:paraId="7FB5122B">
                  <w:pPr>
                    <w:keepNext w:val="0"/>
                    <w:keepLines w:val="0"/>
                    <w:pageBreakBefore w:val="0"/>
                    <w:widowControl w:val="0"/>
                    <w:kinsoku/>
                    <w:wordWrap/>
                    <w:overflowPunct/>
                    <w:topLinePunct w:val="0"/>
                    <w:autoSpaceDE/>
                    <w:autoSpaceDN/>
                    <w:bidi w:val="0"/>
                    <w:adjustRightInd/>
                    <w:snapToGrid/>
                    <w:spacing w:line="220" w:lineRule="exact"/>
                    <w:jc w:val="left"/>
                    <w:textAlignment w:val="auto"/>
                    <w:rPr>
                      <w:color w:val="auto"/>
                      <w:sz w:val="21"/>
                      <w:szCs w:val="21"/>
                      <w:highlight w:val="none"/>
                    </w:rPr>
                  </w:pPr>
                  <w:r>
                    <w:rPr>
                      <w:rFonts w:eastAsia="MS Mincho"/>
                      <w:color w:val="auto"/>
                      <w:sz w:val="21"/>
                      <w:szCs w:val="21"/>
                      <w:highlight w:val="none"/>
                    </w:rPr>
                    <w:t>☑</w:t>
                  </w:r>
                  <w:r>
                    <w:rPr>
                      <w:color w:val="auto"/>
                      <w:sz w:val="21"/>
                      <w:szCs w:val="21"/>
                      <w:highlight w:val="none"/>
                    </w:rPr>
                    <w:t>企业总排</w:t>
                  </w:r>
                </w:p>
                <w:p w14:paraId="0E4B3ED9">
                  <w:pPr>
                    <w:keepNext w:val="0"/>
                    <w:keepLines w:val="0"/>
                    <w:pageBreakBefore w:val="0"/>
                    <w:widowControl w:val="0"/>
                    <w:kinsoku/>
                    <w:wordWrap/>
                    <w:overflowPunct/>
                    <w:topLinePunct w:val="0"/>
                    <w:autoSpaceDE/>
                    <w:autoSpaceDN/>
                    <w:bidi w:val="0"/>
                    <w:adjustRightInd/>
                    <w:snapToGrid/>
                    <w:spacing w:line="220" w:lineRule="exact"/>
                    <w:jc w:val="left"/>
                    <w:textAlignment w:val="auto"/>
                    <w:rPr>
                      <w:color w:val="auto"/>
                      <w:sz w:val="21"/>
                      <w:szCs w:val="21"/>
                      <w:highlight w:val="none"/>
                    </w:rPr>
                  </w:pPr>
                  <w:r>
                    <w:rPr>
                      <w:color w:val="auto"/>
                      <w:sz w:val="21"/>
                      <w:szCs w:val="21"/>
                      <w:highlight w:val="none"/>
                    </w:rPr>
                    <w:t>□雨水排放</w:t>
                  </w:r>
                </w:p>
                <w:p w14:paraId="3016A850">
                  <w:pPr>
                    <w:keepNext w:val="0"/>
                    <w:keepLines w:val="0"/>
                    <w:pageBreakBefore w:val="0"/>
                    <w:widowControl w:val="0"/>
                    <w:kinsoku/>
                    <w:wordWrap/>
                    <w:overflowPunct/>
                    <w:topLinePunct w:val="0"/>
                    <w:autoSpaceDE/>
                    <w:autoSpaceDN/>
                    <w:bidi w:val="0"/>
                    <w:adjustRightInd/>
                    <w:snapToGrid/>
                    <w:spacing w:line="220" w:lineRule="exact"/>
                    <w:jc w:val="left"/>
                    <w:textAlignment w:val="auto"/>
                    <w:rPr>
                      <w:color w:val="auto"/>
                      <w:sz w:val="21"/>
                      <w:szCs w:val="21"/>
                      <w:highlight w:val="none"/>
                    </w:rPr>
                  </w:pPr>
                  <w:r>
                    <w:rPr>
                      <w:color w:val="auto"/>
                      <w:sz w:val="21"/>
                      <w:szCs w:val="21"/>
                      <w:highlight w:val="none"/>
                    </w:rPr>
                    <w:t>□清净下水排放</w:t>
                  </w:r>
                </w:p>
                <w:p w14:paraId="2D6E57E2">
                  <w:pPr>
                    <w:keepNext w:val="0"/>
                    <w:keepLines w:val="0"/>
                    <w:pageBreakBefore w:val="0"/>
                    <w:widowControl w:val="0"/>
                    <w:kinsoku/>
                    <w:wordWrap/>
                    <w:overflowPunct/>
                    <w:topLinePunct w:val="0"/>
                    <w:autoSpaceDE/>
                    <w:autoSpaceDN/>
                    <w:bidi w:val="0"/>
                    <w:adjustRightInd/>
                    <w:snapToGrid/>
                    <w:spacing w:line="220" w:lineRule="exact"/>
                    <w:jc w:val="left"/>
                    <w:textAlignment w:val="auto"/>
                    <w:rPr>
                      <w:color w:val="auto"/>
                      <w:sz w:val="21"/>
                      <w:szCs w:val="21"/>
                      <w:highlight w:val="none"/>
                    </w:rPr>
                  </w:pPr>
                  <w:r>
                    <w:rPr>
                      <w:color w:val="auto"/>
                      <w:sz w:val="21"/>
                      <w:szCs w:val="21"/>
                      <w:highlight w:val="none"/>
                    </w:rPr>
                    <w:t>□温排水排放</w:t>
                  </w:r>
                </w:p>
                <w:p w14:paraId="62C2768D">
                  <w:pPr>
                    <w:keepNext w:val="0"/>
                    <w:keepLines w:val="0"/>
                    <w:pageBreakBefore w:val="0"/>
                    <w:widowControl w:val="0"/>
                    <w:kinsoku/>
                    <w:wordWrap/>
                    <w:overflowPunct/>
                    <w:topLinePunct w:val="0"/>
                    <w:autoSpaceDE/>
                    <w:autoSpaceDN/>
                    <w:bidi w:val="0"/>
                    <w:adjustRightInd/>
                    <w:snapToGrid/>
                    <w:spacing w:line="220" w:lineRule="exact"/>
                    <w:jc w:val="left"/>
                    <w:textAlignment w:val="auto"/>
                    <w:rPr>
                      <w:color w:val="auto"/>
                      <w:kern w:val="0"/>
                      <w:sz w:val="21"/>
                      <w:szCs w:val="21"/>
                      <w:highlight w:val="none"/>
                    </w:rPr>
                  </w:pPr>
                  <w:r>
                    <w:rPr>
                      <w:color w:val="auto"/>
                      <w:sz w:val="21"/>
                      <w:szCs w:val="21"/>
                      <w:highlight w:val="none"/>
                    </w:rPr>
                    <w:t>□车间或车间处理设施排放口</w:t>
                  </w:r>
                </w:p>
              </w:tc>
            </w:tr>
          </w:tbl>
          <w:p w14:paraId="69AFA7C5">
            <w:pPr>
              <w:adjustRightInd w:val="0"/>
              <w:spacing w:line="360" w:lineRule="auto"/>
              <w:ind w:firstLine="477" w:firstLineChars="199"/>
              <w:rPr>
                <w:color w:val="auto"/>
                <w:sz w:val="24"/>
                <w:highlight w:val="none"/>
              </w:rPr>
            </w:pPr>
            <w:r>
              <w:rPr>
                <w:color w:val="auto"/>
                <w:sz w:val="24"/>
                <w:highlight w:val="none"/>
              </w:rPr>
              <w:t>本项目废水间接排放口基本情况如下表：</w:t>
            </w:r>
          </w:p>
          <w:p w14:paraId="079AEB61">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废水间接排放口基本情况表</w:t>
            </w:r>
          </w:p>
          <w:tbl>
            <w:tblPr>
              <w:tblStyle w:val="32"/>
              <w:tblW w:w="4973"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60"/>
              <w:gridCol w:w="1226"/>
              <w:gridCol w:w="1233"/>
              <w:gridCol w:w="1230"/>
              <w:gridCol w:w="1380"/>
              <w:gridCol w:w="2176"/>
            </w:tblGrid>
            <w:tr w14:paraId="4157C16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01" w:hRule="atLeast"/>
                <w:jc w:val="center"/>
              </w:trPr>
              <w:tc>
                <w:tcPr>
                  <w:tcW w:w="1126" w:type="dxa"/>
                  <w:vMerge w:val="restart"/>
                  <w:tcBorders>
                    <w:tl2br w:val="nil"/>
                    <w:tr2bl w:val="nil"/>
                  </w:tcBorders>
                  <w:vAlign w:val="center"/>
                </w:tcPr>
                <w:p w14:paraId="39ECB849">
                  <w:pPr>
                    <w:jc w:val="center"/>
                    <w:rPr>
                      <w:b/>
                      <w:color w:val="auto"/>
                      <w:sz w:val="21"/>
                      <w:szCs w:val="21"/>
                      <w:highlight w:val="none"/>
                    </w:rPr>
                  </w:pPr>
                  <w:r>
                    <w:rPr>
                      <w:b/>
                      <w:color w:val="auto"/>
                      <w:sz w:val="21"/>
                      <w:szCs w:val="21"/>
                      <w:highlight w:val="none"/>
                    </w:rPr>
                    <w:t>排放口编号</w:t>
                  </w:r>
                </w:p>
              </w:tc>
              <w:tc>
                <w:tcPr>
                  <w:tcW w:w="2386" w:type="dxa"/>
                  <w:gridSpan w:val="2"/>
                  <w:tcBorders>
                    <w:tl2br w:val="nil"/>
                    <w:tr2bl w:val="nil"/>
                  </w:tcBorders>
                  <w:vAlign w:val="center"/>
                </w:tcPr>
                <w:p w14:paraId="296F0D6F">
                  <w:pPr>
                    <w:jc w:val="center"/>
                    <w:rPr>
                      <w:b/>
                      <w:color w:val="auto"/>
                      <w:sz w:val="21"/>
                      <w:szCs w:val="21"/>
                      <w:highlight w:val="none"/>
                    </w:rPr>
                  </w:pPr>
                  <w:r>
                    <w:rPr>
                      <w:b/>
                      <w:color w:val="auto"/>
                      <w:sz w:val="21"/>
                      <w:szCs w:val="21"/>
                      <w:highlight w:val="none"/>
                    </w:rPr>
                    <w:t>排放口地理坐标</w:t>
                  </w:r>
                </w:p>
              </w:tc>
              <w:tc>
                <w:tcPr>
                  <w:tcW w:w="1193" w:type="dxa"/>
                  <w:vMerge w:val="restart"/>
                  <w:tcBorders>
                    <w:tl2br w:val="nil"/>
                    <w:tr2bl w:val="nil"/>
                  </w:tcBorders>
                  <w:vAlign w:val="center"/>
                </w:tcPr>
                <w:p w14:paraId="5C0F5CBA">
                  <w:pPr>
                    <w:jc w:val="center"/>
                    <w:rPr>
                      <w:b/>
                      <w:color w:val="auto"/>
                      <w:sz w:val="21"/>
                      <w:szCs w:val="21"/>
                      <w:highlight w:val="none"/>
                    </w:rPr>
                  </w:pPr>
                  <w:r>
                    <w:rPr>
                      <w:b/>
                      <w:color w:val="auto"/>
                      <w:sz w:val="21"/>
                      <w:szCs w:val="21"/>
                      <w:highlight w:val="none"/>
                    </w:rPr>
                    <w:t>废水排放量/(t/a)</w:t>
                  </w:r>
                </w:p>
              </w:tc>
              <w:tc>
                <w:tcPr>
                  <w:tcW w:w="1339" w:type="dxa"/>
                  <w:vMerge w:val="restart"/>
                  <w:tcBorders>
                    <w:tl2br w:val="nil"/>
                    <w:tr2bl w:val="nil"/>
                  </w:tcBorders>
                  <w:vAlign w:val="center"/>
                </w:tcPr>
                <w:p w14:paraId="7BEFAF51">
                  <w:pPr>
                    <w:jc w:val="center"/>
                    <w:rPr>
                      <w:b/>
                      <w:color w:val="auto"/>
                      <w:sz w:val="21"/>
                      <w:szCs w:val="21"/>
                      <w:highlight w:val="none"/>
                    </w:rPr>
                  </w:pPr>
                  <w:r>
                    <w:rPr>
                      <w:b/>
                      <w:color w:val="auto"/>
                      <w:sz w:val="21"/>
                      <w:szCs w:val="21"/>
                      <w:highlight w:val="none"/>
                    </w:rPr>
                    <w:t>排放去向</w:t>
                  </w:r>
                </w:p>
              </w:tc>
              <w:tc>
                <w:tcPr>
                  <w:tcW w:w="2111" w:type="dxa"/>
                  <w:vMerge w:val="restart"/>
                  <w:tcBorders>
                    <w:tl2br w:val="nil"/>
                    <w:tr2bl w:val="nil"/>
                  </w:tcBorders>
                  <w:vAlign w:val="center"/>
                </w:tcPr>
                <w:p w14:paraId="0C1EF313">
                  <w:pPr>
                    <w:jc w:val="center"/>
                    <w:rPr>
                      <w:b/>
                      <w:color w:val="auto"/>
                      <w:sz w:val="21"/>
                      <w:szCs w:val="21"/>
                      <w:highlight w:val="none"/>
                    </w:rPr>
                  </w:pPr>
                  <w:r>
                    <w:rPr>
                      <w:b/>
                      <w:color w:val="auto"/>
                      <w:sz w:val="21"/>
                      <w:szCs w:val="21"/>
                      <w:highlight w:val="none"/>
                    </w:rPr>
                    <w:t>排放规律</w:t>
                  </w:r>
                </w:p>
              </w:tc>
            </w:tr>
            <w:tr w14:paraId="5562E82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 w:hRule="atLeast"/>
                <w:jc w:val="center"/>
              </w:trPr>
              <w:tc>
                <w:tcPr>
                  <w:tcW w:w="1126" w:type="dxa"/>
                  <w:vMerge w:val="continue"/>
                  <w:tcBorders>
                    <w:tl2br w:val="nil"/>
                    <w:tr2bl w:val="nil"/>
                  </w:tcBorders>
                  <w:vAlign w:val="center"/>
                </w:tcPr>
                <w:p w14:paraId="408FDB18">
                  <w:pPr>
                    <w:jc w:val="center"/>
                    <w:rPr>
                      <w:b/>
                      <w:color w:val="auto"/>
                      <w:sz w:val="21"/>
                      <w:szCs w:val="21"/>
                      <w:highlight w:val="none"/>
                    </w:rPr>
                  </w:pPr>
                </w:p>
              </w:tc>
              <w:tc>
                <w:tcPr>
                  <w:tcW w:w="1192" w:type="dxa"/>
                  <w:tcBorders>
                    <w:tl2br w:val="nil"/>
                    <w:tr2bl w:val="nil"/>
                  </w:tcBorders>
                  <w:vAlign w:val="center"/>
                </w:tcPr>
                <w:p w14:paraId="413AECD7">
                  <w:pPr>
                    <w:jc w:val="center"/>
                    <w:rPr>
                      <w:b/>
                      <w:color w:val="auto"/>
                      <w:sz w:val="21"/>
                      <w:szCs w:val="21"/>
                      <w:highlight w:val="none"/>
                    </w:rPr>
                  </w:pPr>
                  <w:r>
                    <w:rPr>
                      <w:b/>
                      <w:color w:val="auto"/>
                      <w:sz w:val="21"/>
                      <w:szCs w:val="21"/>
                      <w:highlight w:val="none"/>
                    </w:rPr>
                    <w:t>经度</w:t>
                  </w:r>
                </w:p>
              </w:tc>
              <w:tc>
                <w:tcPr>
                  <w:tcW w:w="1194" w:type="dxa"/>
                  <w:tcBorders>
                    <w:tl2br w:val="nil"/>
                    <w:tr2bl w:val="nil"/>
                  </w:tcBorders>
                  <w:vAlign w:val="center"/>
                </w:tcPr>
                <w:p w14:paraId="752840C2">
                  <w:pPr>
                    <w:jc w:val="center"/>
                    <w:rPr>
                      <w:b/>
                      <w:color w:val="auto"/>
                      <w:sz w:val="21"/>
                      <w:szCs w:val="21"/>
                      <w:highlight w:val="none"/>
                    </w:rPr>
                  </w:pPr>
                  <w:r>
                    <w:rPr>
                      <w:b/>
                      <w:color w:val="auto"/>
                      <w:sz w:val="21"/>
                      <w:szCs w:val="21"/>
                      <w:highlight w:val="none"/>
                    </w:rPr>
                    <w:t>纬度</w:t>
                  </w:r>
                </w:p>
              </w:tc>
              <w:tc>
                <w:tcPr>
                  <w:tcW w:w="1193" w:type="dxa"/>
                  <w:vMerge w:val="continue"/>
                  <w:tcBorders>
                    <w:tl2br w:val="nil"/>
                    <w:tr2bl w:val="nil"/>
                  </w:tcBorders>
                  <w:vAlign w:val="center"/>
                </w:tcPr>
                <w:p w14:paraId="461ED557">
                  <w:pPr>
                    <w:jc w:val="center"/>
                    <w:rPr>
                      <w:b/>
                      <w:color w:val="auto"/>
                      <w:sz w:val="21"/>
                      <w:szCs w:val="21"/>
                      <w:highlight w:val="none"/>
                    </w:rPr>
                  </w:pPr>
                </w:p>
              </w:tc>
              <w:tc>
                <w:tcPr>
                  <w:tcW w:w="1339" w:type="dxa"/>
                  <w:vMerge w:val="continue"/>
                  <w:tcBorders>
                    <w:tl2br w:val="nil"/>
                    <w:tr2bl w:val="nil"/>
                  </w:tcBorders>
                  <w:vAlign w:val="center"/>
                </w:tcPr>
                <w:p w14:paraId="3084DDD2">
                  <w:pPr>
                    <w:jc w:val="center"/>
                    <w:rPr>
                      <w:b/>
                      <w:color w:val="auto"/>
                      <w:sz w:val="21"/>
                      <w:szCs w:val="21"/>
                      <w:highlight w:val="none"/>
                    </w:rPr>
                  </w:pPr>
                </w:p>
              </w:tc>
              <w:tc>
                <w:tcPr>
                  <w:tcW w:w="2111" w:type="dxa"/>
                  <w:vMerge w:val="continue"/>
                  <w:tcBorders>
                    <w:tl2br w:val="nil"/>
                    <w:tr2bl w:val="nil"/>
                  </w:tcBorders>
                  <w:vAlign w:val="center"/>
                </w:tcPr>
                <w:p w14:paraId="24925735">
                  <w:pPr>
                    <w:jc w:val="center"/>
                    <w:rPr>
                      <w:b/>
                      <w:color w:val="auto"/>
                      <w:sz w:val="21"/>
                      <w:szCs w:val="21"/>
                      <w:highlight w:val="none"/>
                    </w:rPr>
                  </w:pPr>
                </w:p>
              </w:tc>
            </w:tr>
            <w:tr w14:paraId="05543DD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 w:hRule="atLeast"/>
                <w:jc w:val="center"/>
              </w:trPr>
              <w:tc>
                <w:tcPr>
                  <w:tcW w:w="1126" w:type="dxa"/>
                  <w:tcBorders>
                    <w:tl2br w:val="nil"/>
                    <w:tr2bl w:val="nil"/>
                  </w:tcBorders>
                  <w:vAlign w:val="center"/>
                </w:tcPr>
                <w:p w14:paraId="53CEF4B5">
                  <w:pPr>
                    <w:pStyle w:val="81"/>
                    <w:adjustRightInd w:val="0"/>
                    <w:snapToGrid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DW001</w:t>
                  </w:r>
                </w:p>
              </w:tc>
              <w:tc>
                <w:tcPr>
                  <w:tcW w:w="1192" w:type="dxa"/>
                  <w:tcBorders>
                    <w:tl2br w:val="nil"/>
                    <w:tr2bl w:val="nil"/>
                  </w:tcBorders>
                  <w:vAlign w:val="center"/>
                </w:tcPr>
                <w:p w14:paraId="4A54B49E">
                  <w:pPr>
                    <w:pStyle w:val="81"/>
                    <w:adjustRightInd w:val="0"/>
                    <w:snapToGrid w:val="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102.130691</w:t>
                  </w:r>
                </w:p>
              </w:tc>
              <w:tc>
                <w:tcPr>
                  <w:tcW w:w="1194" w:type="dxa"/>
                  <w:tcBorders>
                    <w:tl2br w:val="nil"/>
                    <w:tr2bl w:val="nil"/>
                  </w:tcBorders>
                  <w:vAlign w:val="center"/>
                </w:tcPr>
                <w:p w14:paraId="7314F859">
                  <w:pPr>
                    <w:pStyle w:val="81"/>
                    <w:adjustRightInd w:val="0"/>
                    <w:snapToGrid w:val="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w:t>
                  </w:r>
                  <w:r>
                    <w:rPr>
                      <w:rFonts w:hint="eastAsia" w:ascii="Times New Roman" w:hAnsi="Times New Roman" w:cs="Times New Roman"/>
                      <w:color w:val="auto"/>
                      <w:sz w:val="21"/>
                      <w:szCs w:val="21"/>
                      <w:highlight w:val="none"/>
                    </w:rPr>
                    <w:t>9.644811</w:t>
                  </w:r>
                </w:p>
              </w:tc>
              <w:tc>
                <w:tcPr>
                  <w:tcW w:w="1193" w:type="dxa"/>
                  <w:tcBorders>
                    <w:tl2br w:val="nil"/>
                    <w:tr2bl w:val="nil"/>
                  </w:tcBorders>
                  <w:vAlign w:val="center"/>
                </w:tcPr>
                <w:p w14:paraId="1ABB90F7">
                  <w:pPr>
                    <w:pStyle w:val="81"/>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kern w:val="0"/>
                      <w:sz w:val="21"/>
                      <w:szCs w:val="21"/>
                      <w:highlight w:val="none"/>
                      <w:lang w:val="en-US" w:eastAsia="zh-CN" w:bidi="ar"/>
                    </w:rPr>
                    <w:t>4155.8</w:t>
                  </w:r>
                </w:p>
              </w:tc>
              <w:tc>
                <w:tcPr>
                  <w:tcW w:w="1339" w:type="dxa"/>
                  <w:tcBorders>
                    <w:tl2br w:val="nil"/>
                    <w:tr2bl w:val="nil"/>
                  </w:tcBorders>
                  <w:vAlign w:val="center"/>
                </w:tcPr>
                <w:p w14:paraId="36707B62">
                  <w:pPr>
                    <w:pStyle w:val="81"/>
                    <w:adjustRightInd w:val="0"/>
                    <w:snapToGrid w:val="0"/>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泸定县磨西镇生活污水处理厂</w:t>
                  </w:r>
                </w:p>
              </w:tc>
              <w:tc>
                <w:tcPr>
                  <w:tcW w:w="2111" w:type="dxa"/>
                  <w:tcBorders>
                    <w:tl2br w:val="nil"/>
                    <w:tr2bl w:val="nil"/>
                  </w:tcBorders>
                  <w:vAlign w:val="center"/>
                </w:tcPr>
                <w:p w14:paraId="4EC1AAEC">
                  <w:pPr>
                    <w:pStyle w:val="81"/>
                    <w:adjustRightInd w:val="0"/>
                    <w:snapToGrid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连续排放，流量不稳定且无规律，但不属于冲击性排放</w:t>
                  </w:r>
                </w:p>
              </w:tc>
            </w:tr>
          </w:tbl>
          <w:p w14:paraId="58F6C8CC">
            <w:pPr>
              <w:spacing w:line="360" w:lineRule="auto"/>
              <w:ind w:firstLine="480" w:firstLineChars="200"/>
              <w:jc w:val="left"/>
              <w:textAlignment w:val="baseline"/>
              <w:rPr>
                <w:rFonts w:ascii="Times New Roman" w:hAnsi="Times New Roman" w:eastAsia="宋体" w:cs="Times New Roman"/>
                <w:bCs/>
                <w:color w:val="auto"/>
                <w:sz w:val="24"/>
                <w:highlight w:val="none"/>
              </w:rPr>
            </w:pPr>
            <w:r>
              <w:rPr>
                <w:rFonts w:hint="eastAsia" w:ascii="Times New Roman" w:hAnsi="Times New Roman" w:eastAsia="宋体" w:cs="Times New Roman"/>
                <w:bCs/>
                <w:color w:val="auto"/>
                <w:sz w:val="24"/>
                <w:highlight w:val="none"/>
                <w:lang w:val="en-US" w:eastAsia="zh-CN"/>
              </w:rPr>
              <w:t>（2）</w:t>
            </w:r>
            <w:r>
              <w:rPr>
                <w:rFonts w:hint="eastAsia" w:ascii="Times New Roman" w:hAnsi="Times New Roman" w:eastAsia="宋体" w:cs="Times New Roman"/>
                <w:bCs/>
                <w:color w:val="auto"/>
                <w:sz w:val="24"/>
                <w:highlight w:val="none"/>
              </w:rPr>
              <w:t>监测计划</w:t>
            </w:r>
          </w:p>
          <w:p w14:paraId="277201B4">
            <w:pPr>
              <w:tabs>
                <w:tab w:val="left" w:pos="-177"/>
              </w:tabs>
              <w:spacing w:line="360" w:lineRule="auto"/>
              <w:ind w:firstLine="476" w:firstLineChars="200"/>
              <w:rPr>
                <w:rFonts w:hint="eastAsia" w:eastAsia="黑体"/>
                <w:bCs/>
                <w:color w:val="auto"/>
                <w:sz w:val="24"/>
                <w:highlight w:val="none"/>
              </w:rPr>
            </w:pPr>
            <w:r>
              <w:rPr>
                <w:rFonts w:ascii="宋体" w:hAnsi="宋体" w:eastAsia="宋体" w:cs="宋体"/>
                <w:color w:val="auto"/>
                <w:spacing w:val="-1"/>
                <w:sz w:val="24"/>
                <w:szCs w:val="24"/>
                <w:highlight w:val="none"/>
              </w:rPr>
              <w:t>根据《固定污染源排污许可分类管理名录（</w:t>
            </w:r>
            <w:r>
              <w:rPr>
                <w:rFonts w:ascii="Times New Roman" w:hAnsi="Times New Roman" w:eastAsia="Times New Roman" w:cs="Times New Roman"/>
                <w:color w:val="auto"/>
                <w:spacing w:val="-1"/>
                <w:sz w:val="24"/>
                <w:szCs w:val="24"/>
                <w:highlight w:val="none"/>
              </w:rPr>
              <w:t xml:space="preserve">2019 </w:t>
            </w:r>
            <w:r>
              <w:rPr>
                <w:rFonts w:ascii="宋体" w:hAnsi="宋体" w:eastAsia="宋体" w:cs="宋体"/>
                <w:color w:val="auto"/>
                <w:spacing w:val="-2"/>
                <w:sz w:val="24"/>
                <w:szCs w:val="24"/>
                <w:highlight w:val="none"/>
              </w:rPr>
              <w:t>年版）》可知，本项目</w:t>
            </w:r>
            <w:r>
              <w:rPr>
                <w:rFonts w:ascii="宋体" w:hAnsi="宋体" w:eastAsia="宋体" w:cs="宋体"/>
                <w:color w:val="auto"/>
                <w:spacing w:val="2"/>
                <w:sz w:val="24"/>
                <w:szCs w:val="24"/>
                <w:highlight w:val="none"/>
              </w:rPr>
              <w:t>属于</w:t>
            </w:r>
            <w:r>
              <w:rPr>
                <w:rFonts w:hint="eastAsia" w:ascii="宋体" w:hAnsi="宋体" w:eastAsia="宋体" w:cs="宋体"/>
                <w:color w:val="auto"/>
                <w:spacing w:val="2"/>
                <w:sz w:val="24"/>
                <w:szCs w:val="24"/>
                <w:highlight w:val="none"/>
                <w:lang w:val="en-US" w:eastAsia="zh-CN"/>
              </w:rPr>
              <w:t>登记</w:t>
            </w:r>
            <w:r>
              <w:rPr>
                <w:rFonts w:ascii="宋体" w:hAnsi="宋体" w:eastAsia="宋体" w:cs="宋体"/>
                <w:color w:val="auto"/>
                <w:spacing w:val="2"/>
                <w:sz w:val="24"/>
                <w:szCs w:val="24"/>
                <w:highlight w:val="none"/>
              </w:rPr>
              <w:t>管理。</w:t>
            </w:r>
            <w:r>
              <w:rPr>
                <w:rFonts w:ascii="宋体" w:hAnsi="宋体" w:eastAsia="宋体" w:cs="宋体"/>
                <w:color w:val="auto"/>
                <w:sz w:val="24"/>
                <w:szCs w:val="24"/>
                <w:highlight w:val="none"/>
              </w:rPr>
              <w:t>本项目废水自行监测内容及监测</w:t>
            </w:r>
            <w:r>
              <w:rPr>
                <w:rFonts w:ascii="宋体" w:hAnsi="宋体" w:eastAsia="宋体" w:cs="宋体"/>
                <w:color w:val="auto"/>
                <w:spacing w:val="-3"/>
                <w:sz w:val="24"/>
                <w:szCs w:val="24"/>
                <w:highlight w:val="none"/>
              </w:rPr>
              <w:t>频率如下。</w:t>
            </w:r>
            <w:r>
              <w:rPr>
                <w:rFonts w:hint="eastAsia"/>
                <w:color w:val="auto"/>
                <w:sz w:val="24"/>
                <w:highlight w:val="none"/>
              </w:rPr>
              <w:t>本环评提出如下监测要求：</w:t>
            </w:r>
          </w:p>
          <w:p w14:paraId="34A5846A">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本项目水环境监测计划</w:t>
            </w:r>
          </w:p>
          <w:tbl>
            <w:tblPr>
              <w:tblStyle w:val="3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203"/>
              <w:gridCol w:w="1805"/>
              <w:gridCol w:w="1415"/>
              <w:gridCol w:w="1761"/>
              <w:gridCol w:w="1376"/>
            </w:tblGrid>
            <w:tr w14:paraId="2AC742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26" w:type="pct"/>
                  <w:tcBorders>
                    <w:tl2br w:val="nil"/>
                    <w:tr2bl w:val="nil"/>
                  </w:tcBorders>
                  <w:vAlign w:val="center"/>
                </w:tcPr>
                <w:p w14:paraId="1707DE2F">
                  <w:pPr>
                    <w:pStyle w:val="12"/>
                    <w:spacing w:before="0" w:after="0" w:line="240" w:lineRule="auto"/>
                    <w:ind w:right="0"/>
                    <w:jc w:val="center"/>
                    <w:rPr>
                      <w:b/>
                      <w:bCs/>
                      <w:color w:val="auto"/>
                      <w:sz w:val="21"/>
                      <w:szCs w:val="21"/>
                      <w:highlight w:val="none"/>
                    </w:rPr>
                  </w:pPr>
                  <w:r>
                    <w:rPr>
                      <w:rFonts w:hint="eastAsia"/>
                      <w:b/>
                      <w:bCs/>
                      <w:color w:val="auto"/>
                      <w:sz w:val="21"/>
                      <w:szCs w:val="21"/>
                      <w:highlight w:val="none"/>
                    </w:rPr>
                    <w:t>类别</w:t>
                  </w:r>
                </w:p>
              </w:tc>
              <w:tc>
                <w:tcPr>
                  <w:tcW w:w="711" w:type="pct"/>
                  <w:tcBorders>
                    <w:tl2br w:val="nil"/>
                    <w:tr2bl w:val="nil"/>
                  </w:tcBorders>
                  <w:vAlign w:val="center"/>
                </w:tcPr>
                <w:p w14:paraId="5FFC3233">
                  <w:pPr>
                    <w:pStyle w:val="12"/>
                    <w:spacing w:before="0" w:after="0" w:line="240" w:lineRule="auto"/>
                    <w:ind w:right="0"/>
                    <w:jc w:val="center"/>
                    <w:rPr>
                      <w:b/>
                      <w:bCs/>
                      <w:color w:val="auto"/>
                      <w:sz w:val="21"/>
                      <w:szCs w:val="21"/>
                      <w:highlight w:val="none"/>
                    </w:rPr>
                  </w:pPr>
                  <w:r>
                    <w:rPr>
                      <w:rFonts w:hint="eastAsia"/>
                      <w:b/>
                      <w:bCs/>
                      <w:color w:val="auto"/>
                      <w:sz w:val="21"/>
                      <w:szCs w:val="21"/>
                      <w:highlight w:val="none"/>
                    </w:rPr>
                    <w:t>监测点位</w:t>
                  </w:r>
                </w:p>
              </w:tc>
              <w:tc>
                <w:tcPr>
                  <w:tcW w:w="1067" w:type="pct"/>
                  <w:tcBorders>
                    <w:tl2br w:val="nil"/>
                    <w:tr2bl w:val="nil"/>
                  </w:tcBorders>
                  <w:vAlign w:val="center"/>
                </w:tcPr>
                <w:p w14:paraId="13132F05">
                  <w:pPr>
                    <w:pStyle w:val="12"/>
                    <w:spacing w:before="0" w:after="0" w:line="240" w:lineRule="auto"/>
                    <w:ind w:right="0"/>
                    <w:jc w:val="center"/>
                    <w:rPr>
                      <w:b/>
                      <w:bCs/>
                      <w:color w:val="auto"/>
                      <w:sz w:val="21"/>
                      <w:szCs w:val="21"/>
                      <w:highlight w:val="none"/>
                    </w:rPr>
                  </w:pPr>
                  <w:r>
                    <w:rPr>
                      <w:rFonts w:hint="eastAsia"/>
                      <w:b/>
                      <w:bCs/>
                      <w:color w:val="auto"/>
                      <w:sz w:val="21"/>
                      <w:szCs w:val="21"/>
                      <w:highlight w:val="none"/>
                    </w:rPr>
                    <w:t>监测项目</w:t>
                  </w:r>
                </w:p>
              </w:tc>
              <w:tc>
                <w:tcPr>
                  <w:tcW w:w="837" w:type="pct"/>
                  <w:tcBorders>
                    <w:tl2br w:val="nil"/>
                    <w:tr2bl w:val="nil"/>
                  </w:tcBorders>
                  <w:vAlign w:val="center"/>
                </w:tcPr>
                <w:p w14:paraId="538BD04F">
                  <w:pPr>
                    <w:pStyle w:val="12"/>
                    <w:spacing w:before="0" w:after="0" w:line="240" w:lineRule="auto"/>
                    <w:ind w:right="0"/>
                    <w:jc w:val="center"/>
                    <w:rPr>
                      <w:b/>
                      <w:bCs/>
                      <w:color w:val="auto"/>
                      <w:sz w:val="21"/>
                      <w:szCs w:val="21"/>
                      <w:highlight w:val="none"/>
                    </w:rPr>
                  </w:pPr>
                  <w:r>
                    <w:rPr>
                      <w:rFonts w:hint="eastAsia"/>
                      <w:b/>
                      <w:bCs/>
                      <w:color w:val="auto"/>
                      <w:sz w:val="21"/>
                      <w:szCs w:val="21"/>
                      <w:highlight w:val="none"/>
                    </w:rPr>
                    <w:t>监测频次</w:t>
                  </w:r>
                </w:p>
              </w:tc>
              <w:tc>
                <w:tcPr>
                  <w:tcW w:w="1042" w:type="pct"/>
                  <w:tcBorders>
                    <w:tl2br w:val="nil"/>
                    <w:tr2bl w:val="nil"/>
                  </w:tcBorders>
                  <w:vAlign w:val="center"/>
                </w:tcPr>
                <w:p w14:paraId="24EF525F">
                  <w:pPr>
                    <w:pStyle w:val="12"/>
                    <w:spacing w:before="0" w:after="0" w:line="240" w:lineRule="auto"/>
                    <w:ind w:right="0"/>
                    <w:jc w:val="center"/>
                    <w:rPr>
                      <w:b/>
                      <w:bCs/>
                      <w:color w:val="auto"/>
                      <w:sz w:val="21"/>
                      <w:szCs w:val="21"/>
                      <w:highlight w:val="none"/>
                    </w:rPr>
                  </w:pPr>
                  <w:r>
                    <w:rPr>
                      <w:rFonts w:hint="eastAsia"/>
                      <w:b/>
                      <w:bCs/>
                      <w:color w:val="auto"/>
                      <w:sz w:val="21"/>
                      <w:szCs w:val="21"/>
                      <w:highlight w:val="none"/>
                    </w:rPr>
                    <w:t>执行标准</w:t>
                  </w:r>
                </w:p>
              </w:tc>
              <w:tc>
                <w:tcPr>
                  <w:tcW w:w="814" w:type="pct"/>
                  <w:tcBorders>
                    <w:tl2br w:val="nil"/>
                    <w:tr2bl w:val="nil"/>
                  </w:tcBorders>
                  <w:vAlign w:val="center"/>
                </w:tcPr>
                <w:p w14:paraId="5D405964">
                  <w:pPr>
                    <w:pStyle w:val="14"/>
                    <w:adjustRightInd w:val="0"/>
                    <w:snapToGrid w:val="0"/>
                    <w:spacing w:after="0"/>
                    <w:ind w:left="0" w:leftChars="0"/>
                    <w:jc w:val="center"/>
                    <w:rPr>
                      <w:b/>
                      <w:bCs/>
                      <w:color w:val="auto"/>
                      <w:kern w:val="2"/>
                      <w:sz w:val="21"/>
                      <w:szCs w:val="21"/>
                      <w:highlight w:val="none"/>
                    </w:rPr>
                  </w:pPr>
                  <w:r>
                    <w:rPr>
                      <w:rFonts w:hint="eastAsia"/>
                      <w:b/>
                      <w:bCs/>
                      <w:color w:val="auto"/>
                      <w:kern w:val="2"/>
                      <w:sz w:val="21"/>
                      <w:szCs w:val="21"/>
                      <w:highlight w:val="none"/>
                    </w:rPr>
                    <w:t>监测要求</w:t>
                  </w:r>
                </w:p>
              </w:tc>
            </w:tr>
            <w:tr w14:paraId="46808C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 w:hRule="atLeast"/>
                <w:jc w:val="center"/>
              </w:trPr>
              <w:tc>
                <w:tcPr>
                  <w:tcW w:w="526" w:type="pct"/>
                  <w:tcBorders>
                    <w:tl2br w:val="nil"/>
                    <w:tr2bl w:val="nil"/>
                  </w:tcBorders>
                  <w:vAlign w:val="center"/>
                </w:tcPr>
                <w:p w14:paraId="3AD6C374">
                  <w:pPr>
                    <w:pStyle w:val="12"/>
                    <w:spacing w:before="0" w:after="0" w:line="240" w:lineRule="auto"/>
                    <w:ind w:right="0"/>
                    <w:jc w:val="center"/>
                    <w:rPr>
                      <w:color w:val="auto"/>
                      <w:sz w:val="21"/>
                      <w:szCs w:val="21"/>
                      <w:highlight w:val="none"/>
                    </w:rPr>
                  </w:pPr>
                  <w:r>
                    <w:rPr>
                      <w:rFonts w:hint="eastAsia"/>
                      <w:color w:val="auto"/>
                      <w:sz w:val="21"/>
                      <w:szCs w:val="21"/>
                      <w:highlight w:val="none"/>
                    </w:rPr>
                    <w:t>废水</w:t>
                  </w:r>
                </w:p>
              </w:tc>
              <w:tc>
                <w:tcPr>
                  <w:tcW w:w="711" w:type="pct"/>
                  <w:tcBorders>
                    <w:tl2br w:val="nil"/>
                    <w:tr2bl w:val="nil"/>
                  </w:tcBorders>
                  <w:vAlign w:val="center"/>
                </w:tcPr>
                <w:p w14:paraId="51C13081">
                  <w:pPr>
                    <w:pStyle w:val="12"/>
                    <w:spacing w:before="0" w:after="0" w:line="240" w:lineRule="auto"/>
                    <w:ind w:right="0"/>
                    <w:jc w:val="center"/>
                    <w:rPr>
                      <w:color w:val="auto"/>
                      <w:sz w:val="21"/>
                      <w:szCs w:val="21"/>
                      <w:highlight w:val="none"/>
                    </w:rPr>
                  </w:pPr>
                  <w:r>
                    <w:rPr>
                      <w:rFonts w:hint="eastAsia"/>
                      <w:color w:val="auto"/>
                      <w:sz w:val="21"/>
                      <w:szCs w:val="21"/>
                      <w:highlight w:val="none"/>
                      <w:lang w:val="en-US" w:eastAsia="zh-CN"/>
                    </w:rPr>
                    <w:t>废水总</w:t>
                  </w:r>
                  <w:r>
                    <w:rPr>
                      <w:rFonts w:hint="eastAsia"/>
                      <w:color w:val="auto"/>
                      <w:sz w:val="21"/>
                      <w:szCs w:val="21"/>
                      <w:highlight w:val="none"/>
                    </w:rPr>
                    <w:t>排口</w:t>
                  </w:r>
                </w:p>
              </w:tc>
              <w:tc>
                <w:tcPr>
                  <w:tcW w:w="1067" w:type="pct"/>
                  <w:tcBorders>
                    <w:tl2br w:val="nil"/>
                    <w:tr2bl w:val="nil"/>
                  </w:tcBorders>
                  <w:vAlign w:val="center"/>
                </w:tcPr>
                <w:p w14:paraId="2C24D2E0">
                  <w:pPr>
                    <w:pStyle w:val="12"/>
                    <w:spacing w:before="0" w:after="0" w:line="240" w:lineRule="auto"/>
                    <w:ind w:right="0" w:rightChars="0"/>
                    <w:jc w:val="center"/>
                    <w:rPr>
                      <w:rFonts w:hint="eastAsia" w:eastAsia="宋体"/>
                      <w:color w:val="auto"/>
                      <w:sz w:val="21"/>
                      <w:szCs w:val="21"/>
                      <w:highlight w:val="none"/>
                      <w:lang w:eastAsia="zh-CN"/>
                    </w:rPr>
                  </w:pPr>
                  <w:r>
                    <w:rPr>
                      <w:rFonts w:hint="eastAsia" w:eastAsia="宋体"/>
                      <w:color w:val="auto"/>
                      <w:sz w:val="21"/>
                      <w:szCs w:val="21"/>
                      <w:highlight w:val="none"/>
                      <w:lang w:eastAsia="zh-CN"/>
                    </w:rPr>
                    <w:t>pH、CODcr、SS、BOD5、动植物油NH3-N、TP、TN、粪大肠菌群</w:t>
                  </w:r>
                </w:p>
              </w:tc>
              <w:tc>
                <w:tcPr>
                  <w:tcW w:w="837" w:type="pct"/>
                  <w:tcBorders>
                    <w:tl2br w:val="nil"/>
                    <w:tr2bl w:val="nil"/>
                  </w:tcBorders>
                  <w:vAlign w:val="center"/>
                </w:tcPr>
                <w:p w14:paraId="383B9A0F">
                  <w:pPr>
                    <w:pStyle w:val="12"/>
                    <w:spacing w:before="0" w:after="0" w:line="240" w:lineRule="auto"/>
                    <w:ind w:right="0" w:right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1次/年</w:t>
                  </w:r>
                </w:p>
              </w:tc>
              <w:tc>
                <w:tcPr>
                  <w:tcW w:w="1042" w:type="pct"/>
                  <w:tcBorders>
                    <w:tl2br w:val="nil"/>
                    <w:tr2bl w:val="nil"/>
                  </w:tcBorders>
                  <w:vAlign w:val="center"/>
                </w:tcPr>
                <w:p w14:paraId="7C86A2B2">
                  <w:pPr>
                    <w:pStyle w:val="12"/>
                    <w:spacing w:before="0" w:after="0" w:line="240" w:lineRule="auto"/>
                    <w:ind w:right="0"/>
                    <w:jc w:val="center"/>
                    <w:rPr>
                      <w:color w:val="auto"/>
                      <w:sz w:val="21"/>
                      <w:szCs w:val="21"/>
                      <w:highlight w:val="none"/>
                    </w:rPr>
                  </w:pPr>
                  <w:r>
                    <w:rPr>
                      <w:rFonts w:hint="eastAsia"/>
                      <w:color w:val="auto"/>
                      <w:sz w:val="21"/>
                      <w:szCs w:val="21"/>
                      <w:highlight w:val="none"/>
                    </w:rPr>
                    <w:t>《肉类加工工业水污染物排放标准》（GB13457-92）三级标准</w:t>
                  </w:r>
                </w:p>
              </w:tc>
              <w:tc>
                <w:tcPr>
                  <w:tcW w:w="814" w:type="pct"/>
                  <w:tcBorders>
                    <w:tl2br w:val="nil"/>
                    <w:tr2bl w:val="nil"/>
                  </w:tcBorders>
                  <w:vAlign w:val="center"/>
                </w:tcPr>
                <w:p w14:paraId="21E99CDA">
                  <w:pPr>
                    <w:pStyle w:val="14"/>
                    <w:adjustRightInd w:val="0"/>
                    <w:snapToGrid w:val="0"/>
                    <w:spacing w:after="0"/>
                    <w:ind w:left="0" w:leftChars="0"/>
                    <w:jc w:val="center"/>
                    <w:rPr>
                      <w:color w:val="auto"/>
                      <w:kern w:val="2"/>
                      <w:sz w:val="21"/>
                      <w:szCs w:val="21"/>
                      <w:highlight w:val="none"/>
                    </w:rPr>
                  </w:pPr>
                  <w:r>
                    <w:rPr>
                      <w:rFonts w:hint="eastAsia"/>
                      <w:color w:val="auto"/>
                      <w:kern w:val="2"/>
                      <w:sz w:val="21"/>
                      <w:szCs w:val="21"/>
                      <w:highlight w:val="none"/>
                    </w:rPr>
                    <w:t>具体监测要求依据行业排污许可技术规范及监测指南确定</w:t>
                  </w:r>
                </w:p>
              </w:tc>
            </w:tr>
          </w:tbl>
          <w:p w14:paraId="26F62E76">
            <w:pPr>
              <w:spacing w:line="360" w:lineRule="auto"/>
              <w:ind w:firstLine="482" w:firstLineChars="200"/>
              <w:rPr>
                <w:rFonts w:hint="default" w:ascii="Times New Roman" w:hAnsi="Times New Roman" w:eastAsia="宋体" w:cs="Times New Roman"/>
                <w:b/>
                <w:bCs/>
                <w:color w:val="auto"/>
                <w:szCs w:val="32"/>
                <w:highlight w:val="none"/>
              </w:rPr>
            </w:pPr>
            <w:r>
              <w:rPr>
                <w:rFonts w:hint="default" w:ascii="Times New Roman" w:hAnsi="Times New Roman" w:eastAsia="宋体" w:cs="Times New Roman"/>
                <w:b/>
                <w:bCs/>
                <w:color w:val="auto"/>
                <w:szCs w:val="32"/>
                <w:highlight w:val="none"/>
              </w:rPr>
              <w:t>4.2.3噪声</w:t>
            </w:r>
          </w:p>
          <w:p w14:paraId="3392E5B1">
            <w:pPr>
              <w:tabs>
                <w:tab w:val="left" w:pos="2580"/>
                <w:tab w:val="left" w:pos="7560"/>
              </w:tabs>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1、产污分析及拟采取的措施</w:t>
            </w:r>
          </w:p>
          <w:p w14:paraId="621F4C91">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项目营运期间，噪声主要源自待宰圈、屠宰车间、污水处理站的各类设备噪声及</w:t>
            </w:r>
            <w:r>
              <w:rPr>
                <w:rFonts w:hint="eastAsia" w:cs="Times New Roman"/>
                <w:color w:val="auto"/>
                <w:highlight w:val="none"/>
                <w:lang w:val="en-US" w:eastAsia="zh-CN"/>
              </w:rPr>
              <w:t>猪</w:t>
            </w:r>
            <w:r>
              <w:rPr>
                <w:rFonts w:hint="default" w:ascii="Times New Roman" w:hAnsi="Times New Roman" w:eastAsia="宋体" w:cs="Times New Roman"/>
                <w:color w:val="auto"/>
                <w:highlight w:val="none"/>
              </w:rPr>
              <w:t>叫声，这些设备产生的噪声声级一般在</w:t>
            </w:r>
            <w:r>
              <w:rPr>
                <w:rFonts w:hint="eastAsia" w:cs="Times New Roman"/>
                <w:color w:val="auto"/>
                <w:highlight w:val="none"/>
                <w:lang w:val="en-US" w:eastAsia="zh-CN"/>
              </w:rPr>
              <w:t>7</w:t>
            </w:r>
            <w:r>
              <w:rPr>
                <w:rFonts w:hint="default" w:ascii="Times New Roman" w:hAnsi="Times New Roman" w:eastAsia="宋体" w:cs="Times New Roman"/>
                <w:color w:val="auto"/>
                <w:highlight w:val="none"/>
              </w:rPr>
              <w:t>0dB 以上。</w:t>
            </w:r>
          </w:p>
          <w:p w14:paraId="66378BA7">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本次以西</w:t>
            </w:r>
            <w:r>
              <w:rPr>
                <w:rFonts w:hint="eastAsia" w:cs="Times New Roman"/>
                <w:color w:val="auto"/>
                <w:highlight w:val="none"/>
                <w:lang w:val="en-US" w:eastAsia="zh-CN"/>
              </w:rPr>
              <w:t>南</w:t>
            </w:r>
            <w:r>
              <w:rPr>
                <w:rFonts w:hint="default" w:ascii="Times New Roman" w:hAnsi="Times New Roman" w:eastAsia="宋体" w:cs="Times New Roman"/>
                <w:color w:val="auto"/>
                <w:highlight w:val="none"/>
              </w:rPr>
              <w:t xml:space="preserve">厂界为原点(102.13026530E，29.64508350N </w:t>
            </w:r>
            <w:r>
              <w:rPr>
                <w:rFonts w:hint="eastAsia" w:cs="Times New Roman"/>
                <w:color w:val="auto"/>
                <w:highlight w:val="none"/>
                <w:lang w:eastAsia="zh-CN"/>
              </w:rPr>
              <w:t>）</w:t>
            </w:r>
            <w:r>
              <w:rPr>
                <w:rFonts w:hint="default" w:ascii="Times New Roman" w:hAnsi="Times New Roman" w:eastAsia="宋体" w:cs="Times New Roman"/>
                <w:color w:val="auto"/>
                <w:highlight w:val="none"/>
              </w:rPr>
              <w:t>具体噪声源强见下表。</w:t>
            </w:r>
          </w:p>
        </w:tc>
      </w:tr>
    </w:tbl>
    <w:p w14:paraId="3091A879">
      <w:pPr>
        <w:rPr>
          <w:rFonts w:hint="default" w:ascii="Times New Roman" w:hAnsi="Times New Roman" w:eastAsia="宋体" w:cs="Times New Roman"/>
          <w:color w:val="auto"/>
          <w:highlight w:val="none"/>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2"/>
        <w:tblW w:w="48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
        <w:gridCol w:w="13275"/>
      </w:tblGrid>
      <w:tr w14:paraId="22F21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2" w:hRule="atLeast"/>
          <w:jc w:val="center"/>
        </w:trPr>
        <w:tc>
          <w:tcPr>
            <w:tcW w:w="240" w:type="dxa"/>
          </w:tcPr>
          <w:p w14:paraId="758879F0">
            <w:pPr>
              <w:rPr>
                <w:rFonts w:hint="default" w:ascii="Times New Roman" w:hAnsi="Times New Roman" w:eastAsia="宋体" w:cs="Times New Roman"/>
                <w:color w:val="auto"/>
                <w:highlight w:val="none"/>
              </w:rPr>
            </w:pPr>
          </w:p>
        </w:tc>
        <w:tc>
          <w:tcPr>
            <w:tcW w:w="13275" w:type="dxa"/>
            <w:vAlign w:val="center"/>
          </w:tcPr>
          <w:p w14:paraId="3736A573">
            <w:pPr>
              <w:pStyle w:val="15"/>
              <w:numPr>
                <w:ilvl w:val="0"/>
                <w:numId w:val="19"/>
              </w:numPr>
              <w:ind w:left="425" w:leftChars="0" w:right="113" w:rightChars="0" w:hanging="425"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 xml:space="preserve"> 工业企业噪声源强调查清单(室内声源</w:t>
            </w:r>
            <w:r>
              <w:rPr>
                <w:rFonts w:hint="eastAsia" w:cs="Times New Roman"/>
                <w:b/>
                <w:color w:val="auto"/>
                <w:kern w:val="2"/>
                <w:sz w:val="21"/>
                <w:szCs w:val="21"/>
                <w:highlight w:val="none"/>
                <w:lang w:val="en-US" w:eastAsia="zh-CN" w:bidi="ar-SA"/>
              </w:rPr>
              <w:t>）</w:t>
            </w:r>
          </w:p>
          <w:tbl>
            <w:tblPr>
              <w:tblStyle w:val="32"/>
              <w:tblW w:w="131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2"/>
              <w:gridCol w:w="846"/>
              <w:gridCol w:w="1798"/>
              <w:gridCol w:w="1019"/>
              <w:gridCol w:w="1125"/>
              <w:gridCol w:w="837"/>
              <w:gridCol w:w="875"/>
              <w:gridCol w:w="567"/>
              <w:gridCol w:w="452"/>
              <w:gridCol w:w="913"/>
              <w:gridCol w:w="894"/>
              <w:gridCol w:w="683"/>
              <w:gridCol w:w="952"/>
              <w:gridCol w:w="815"/>
              <w:gridCol w:w="749"/>
            </w:tblGrid>
            <w:tr w14:paraId="7A895C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5" w:hRule="atLeast"/>
                <w:jc w:val="center"/>
              </w:trPr>
              <w:tc>
                <w:tcPr>
                  <w:tcW w:w="612" w:type="dxa"/>
                  <w:vMerge w:val="restart"/>
                  <w:tcBorders>
                    <w:tl2br w:val="nil"/>
                    <w:tr2bl w:val="nil"/>
                  </w:tcBorders>
                  <w:shd w:val="clear" w:color="auto" w:fill="auto"/>
                  <w:noWrap/>
                  <w:vAlign w:val="center"/>
                </w:tcPr>
                <w:p w14:paraId="29B9A27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846" w:type="dxa"/>
                  <w:vMerge w:val="restart"/>
                  <w:tcBorders>
                    <w:tl2br w:val="nil"/>
                    <w:tr2bl w:val="nil"/>
                  </w:tcBorders>
                  <w:shd w:val="clear" w:color="auto" w:fill="auto"/>
                  <w:noWrap/>
                  <w:vAlign w:val="center"/>
                </w:tcPr>
                <w:p w14:paraId="1B49774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建筑物名称</w:t>
                  </w:r>
                </w:p>
              </w:tc>
              <w:tc>
                <w:tcPr>
                  <w:tcW w:w="1798" w:type="dxa"/>
                  <w:vMerge w:val="restart"/>
                  <w:tcBorders>
                    <w:tl2br w:val="nil"/>
                    <w:tr2bl w:val="nil"/>
                  </w:tcBorders>
                  <w:shd w:val="clear" w:color="auto" w:fill="auto"/>
                  <w:noWrap/>
                  <w:vAlign w:val="center"/>
                </w:tcPr>
                <w:p w14:paraId="4DC9FF9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声源名称</w:t>
                  </w:r>
                </w:p>
              </w:tc>
              <w:tc>
                <w:tcPr>
                  <w:tcW w:w="1019" w:type="dxa"/>
                  <w:tcBorders>
                    <w:tl2br w:val="nil"/>
                    <w:tr2bl w:val="nil"/>
                  </w:tcBorders>
                  <w:shd w:val="clear" w:color="auto" w:fill="auto"/>
                  <w:noWrap/>
                  <w:vAlign w:val="center"/>
                </w:tcPr>
                <w:p w14:paraId="1AE7FD4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声源源强</w:t>
                  </w:r>
                </w:p>
              </w:tc>
              <w:tc>
                <w:tcPr>
                  <w:tcW w:w="1125" w:type="dxa"/>
                  <w:vMerge w:val="restart"/>
                  <w:tcBorders>
                    <w:tl2br w:val="nil"/>
                    <w:tr2bl w:val="nil"/>
                  </w:tcBorders>
                  <w:shd w:val="clear" w:color="auto" w:fill="auto"/>
                  <w:noWrap/>
                  <w:vAlign w:val="center"/>
                </w:tcPr>
                <w:p w14:paraId="3F0FC50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声源控制措施</w:t>
                  </w:r>
                </w:p>
              </w:tc>
              <w:tc>
                <w:tcPr>
                  <w:tcW w:w="2279" w:type="dxa"/>
                  <w:gridSpan w:val="3"/>
                  <w:tcBorders>
                    <w:tl2br w:val="nil"/>
                    <w:tr2bl w:val="nil"/>
                  </w:tcBorders>
                  <w:shd w:val="clear" w:color="auto" w:fill="auto"/>
                  <w:noWrap/>
                  <w:vAlign w:val="center"/>
                </w:tcPr>
                <w:p w14:paraId="415A827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空间相对位置/m</w:t>
                  </w:r>
                </w:p>
              </w:tc>
              <w:tc>
                <w:tcPr>
                  <w:tcW w:w="452" w:type="dxa"/>
                  <w:vMerge w:val="restart"/>
                  <w:tcBorders>
                    <w:tl2br w:val="nil"/>
                    <w:tr2bl w:val="nil"/>
                  </w:tcBorders>
                  <w:shd w:val="clear" w:color="auto" w:fill="auto"/>
                  <w:noWrap/>
                  <w:vAlign w:val="center"/>
                </w:tcPr>
                <w:p w14:paraId="3957E70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方位</w:t>
                  </w:r>
                </w:p>
              </w:tc>
              <w:tc>
                <w:tcPr>
                  <w:tcW w:w="913" w:type="dxa"/>
                  <w:vMerge w:val="restart"/>
                  <w:tcBorders>
                    <w:tl2br w:val="nil"/>
                    <w:tr2bl w:val="nil"/>
                  </w:tcBorders>
                  <w:shd w:val="clear" w:color="auto" w:fill="auto"/>
                  <w:noWrap/>
                  <w:vAlign w:val="center"/>
                </w:tcPr>
                <w:p w14:paraId="70737B8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距室内边界距离/m</w:t>
                  </w:r>
                </w:p>
              </w:tc>
              <w:tc>
                <w:tcPr>
                  <w:tcW w:w="894" w:type="dxa"/>
                  <w:vMerge w:val="restart"/>
                  <w:tcBorders>
                    <w:tl2br w:val="nil"/>
                    <w:tr2bl w:val="nil"/>
                  </w:tcBorders>
                  <w:shd w:val="clear" w:color="auto" w:fill="auto"/>
                  <w:noWrap/>
                  <w:vAlign w:val="center"/>
                </w:tcPr>
                <w:p w14:paraId="7BF1C50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室内边界声级/dB(A)</w:t>
                  </w:r>
                </w:p>
              </w:tc>
              <w:tc>
                <w:tcPr>
                  <w:tcW w:w="683" w:type="dxa"/>
                  <w:vMerge w:val="restart"/>
                  <w:tcBorders>
                    <w:tl2br w:val="nil"/>
                    <w:tr2bl w:val="nil"/>
                  </w:tcBorders>
                  <w:shd w:val="clear" w:color="auto" w:fill="auto"/>
                  <w:noWrap/>
                  <w:vAlign w:val="center"/>
                </w:tcPr>
                <w:p w14:paraId="4A0C9F3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运行时段</w:t>
                  </w:r>
                </w:p>
              </w:tc>
              <w:tc>
                <w:tcPr>
                  <w:tcW w:w="952" w:type="dxa"/>
                  <w:vMerge w:val="restart"/>
                  <w:tcBorders>
                    <w:tl2br w:val="nil"/>
                    <w:tr2bl w:val="nil"/>
                  </w:tcBorders>
                  <w:shd w:val="clear" w:color="auto" w:fill="auto"/>
                  <w:noWrap/>
                  <w:vAlign w:val="center"/>
                </w:tcPr>
                <w:p w14:paraId="5C3472A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建筑物插入损失/dB(A)</w:t>
                  </w:r>
                </w:p>
              </w:tc>
              <w:tc>
                <w:tcPr>
                  <w:tcW w:w="1564" w:type="dxa"/>
                  <w:gridSpan w:val="2"/>
                  <w:tcBorders>
                    <w:tl2br w:val="nil"/>
                    <w:tr2bl w:val="nil"/>
                  </w:tcBorders>
                  <w:shd w:val="clear" w:color="auto" w:fill="auto"/>
                  <w:noWrap/>
                  <w:vAlign w:val="center"/>
                </w:tcPr>
                <w:p w14:paraId="5AE7BEF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建筑物外噪声</w:t>
                  </w:r>
                </w:p>
              </w:tc>
            </w:tr>
            <w:tr w14:paraId="626350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8" w:hRule="atLeast"/>
                <w:jc w:val="center"/>
              </w:trPr>
              <w:tc>
                <w:tcPr>
                  <w:tcW w:w="612" w:type="dxa"/>
                  <w:vMerge w:val="continue"/>
                  <w:tcBorders>
                    <w:tl2br w:val="nil"/>
                    <w:tr2bl w:val="nil"/>
                  </w:tcBorders>
                  <w:shd w:val="clear" w:color="auto" w:fill="auto"/>
                  <w:noWrap/>
                  <w:vAlign w:val="center"/>
                </w:tcPr>
                <w:p w14:paraId="6D101CD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846" w:type="dxa"/>
                  <w:vMerge w:val="continue"/>
                  <w:tcBorders>
                    <w:tl2br w:val="nil"/>
                    <w:tr2bl w:val="nil"/>
                  </w:tcBorders>
                  <w:shd w:val="clear" w:color="auto" w:fill="auto"/>
                  <w:noWrap/>
                  <w:vAlign w:val="center"/>
                </w:tcPr>
                <w:p w14:paraId="3BDCD96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6000226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1019" w:type="dxa"/>
                  <w:tcBorders>
                    <w:tl2br w:val="nil"/>
                    <w:tr2bl w:val="nil"/>
                  </w:tcBorders>
                  <w:shd w:val="clear" w:color="auto" w:fill="auto"/>
                  <w:vAlign w:val="center"/>
                </w:tcPr>
                <w:p w14:paraId="27AAD18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声功率级/dB(A</w:t>
                  </w:r>
                </w:p>
              </w:tc>
              <w:tc>
                <w:tcPr>
                  <w:tcW w:w="1125" w:type="dxa"/>
                  <w:vMerge w:val="continue"/>
                  <w:tcBorders>
                    <w:tl2br w:val="nil"/>
                    <w:tr2bl w:val="nil"/>
                  </w:tcBorders>
                  <w:shd w:val="clear" w:color="auto" w:fill="auto"/>
                  <w:noWrap/>
                  <w:vAlign w:val="center"/>
                </w:tcPr>
                <w:p w14:paraId="273C40C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837" w:type="dxa"/>
                  <w:tcBorders>
                    <w:tl2br w:val="nil"/>
                    <w:tr2bl w:val="nil"/>
                  </w:tcBorders>
                  <w:shd w:val="clear" w:color="auto" w:fill="auto"/>
                  <w:noWrap/>
                  <w:vAlign w:val="center"/>
                </w:tcPr>
                <w:p w14:paraId="4263B3C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X</w:t>
                  </w:r>
                </w:p>
              </w:tc>
              <w:tc>
                <w:tcPr>
                  <w:tcW w:w="875" w:type="dxa"/>
                  <w:tcBorders>
                    <w:tl2br w:val="nil"/>
                    <w:tr2bl w:val="nil"/>
                  </w:tcBorders>
                  <w:shd w:val="clear" w:color="auto" w:fill="auto"/>
                  <w:noWrap/>
                  <w:vAlign w:val="center"/>
                </w:tcPr>
                <w:p w14:paraId="147E2AA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Y</w:t>
                  </w:r>
                </w:p>
              </w:tc>
              <w:tc>
                <w:tcPr>
                  <w:tcW w:w="567" w:type="dxa"/>
                  <w:tcBorders>
                    <w:tl2br w:val="nil"/>
                    <w:tr2bl w:val="nil"/>
                  </w:tcBorders>
                  <w:shd w:val="clear" w:color="auto" w:fill="auto"/>
                  <w:noWrap/>
                  <w:vAlign w:val="center"/>
                </w:tcPr>
                <w:p w14:paraId="006B04D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Z</w:t>
                  </w:r>
                </w:p>
              </w:tc>
              <w:tc>
                <w:tcPr>
                  <w:tcW w:w="452" w:type="dxa"/>
                  <w:vMerge w:val="continue"/>
                  <w:tcBorders>
                    <w:tl2br w:val="nil"/>
                    <w:tr2bl w:val="nil"/>
                  </w:tcBorders>
                  <w:shd w:val="clear" w:color="auto" w:fill="auto"/>
                  <w:noWrap/>
                  <w:vAlign w:val="center"/>
                </w:tcPr>
                <w:p w14:paraId="4C6D8B0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913" w:type="dxa"/>
                  <w:vMerge w:val="continue"/>
                  <w:tcBorders>
                    <w:tl2br w:val="nil"/>
                    <w:tr2bl w:val="nil"/>
                  </w:tcBorders>
                  <w:shd w:val="clear" w:color="auto" w:fill="auto"/>
                  <w:noWrap/>
                  <w:vAlign w:val="center"/>
                </w:tcPr>
                <w:p w14:paraId="450575C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894" w:type="dxa"/>
                  <w:vMerge w:val="continue"/>
                  <w:tcBorders>
                    <w:tl2br w:val="nil"/>
                    <w:tr2bl w:val="nil"/>
                  </w:tcBorders>
                  <w:shd w:val="clear" w:color="auto" w:fill="auto"/>
                  <w:noWrap/>
                  <w:vAlign w:val="center"/>
                </w:tcPr>
                <w:p w14:paraId="48F629F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683" w:type="dxa"/>
                  <w:vMerge w:val="continue"/>
                  <w:tcBorders>
                    <w:tl2br w:val="nil"/>
                    <w:tr2bl w:val="nil"/>
                  </w:tcBorders>
                  <w:shd w:val="clear" w:color="auto" w:fill="auto"/>
                  <w:noWrap/>
                  <w:vAlign w:val="center"/>
                </w:tcPr>
                <w:p w14:paraId="7C76A18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952" w:type="dxa"/>
                  <w:vMerge w:val="continue"/>
                  <w:tcBorders>
                    <w:tl2br w:val="nil"/>
                    <w:tr2bl w:val="nil"/>
                  </w:tcBorders>
                  <w:shd w:val="clear" w:color="auto" w:fill="auto"/>
                  <w:noWrap/>
                  <w:vAlign w:val="center"/>
                </w:tcPr>
                <w:p w14:paraId="73E7FFC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p>
              </w:tc>
              <w:tc>
                <w:tcPr>
                  <w:tcW w:w="815" w:type="dxa"/>
                  <w:tcBorders>
                    <w:tl2br w:val="nil"/>
                    <w:tr2bl w:val="nil"/>
                  </w:tcBorders>
                  <w:shd w:val="clear" w:color="auto" w:fill="auto"/>
                  <w:noWrap/>
                  <w:vAlign w:val="center"/>
                </w:tcPr>
                <w:p w14:paraId="5E139A4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声压级/dB(A)</w:t>
                  </w:r>
                </w:p>
              </w:tc>
              <w:tc>
                <w:tcPr>
                  <w:tcW w:w="749" w:type="dxa"/>
                  <w:tcBorders>
                    <w:tl2br w:val="nil"/>
                    <w:tr2bl w:val="nil"/>
                  </w:tcBorders>
                  <w:shd w:val="clear" w:color="auto" w:fill="auto"/>
                  <w:noWrap/>
                  <w:vAlign w:val="center"/>
                </w:tcPr>
                <w:p w14:paraId="40D3362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建筑物外距离</w:t>
                  </w:r>
                </w:p>
              </w:tc>
            </w:tr>
            <w:tr w14:paraId="5D4856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7DB7C0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846" w:type="dxa"/>
                  <w:vMerge w:val="restart"/>
                  <w:tcBorders>
                    <w:tl2br w:val="nil"/>
                    <w:tr2bl w:val="nil"/>
                  </w:tcBorders>
                  <w:shd w:val="clear" w:color="auto" w:fill="auto"/>
                  <w:noWrap/>
                  <w:vAlign w:val="center"/>
                </w:tcPr>
                <w:p w14:paraId="0C60765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屠宰与分割车间</w:t>
                  </w:r>
                </w:p>
              </w:tc>
              <w:tc>
                <w:tcPr>
                  <w:tcW w:w="1798" w:type="dxa"/>
                  <w:vMerge w:val="restart"/>
                  <w:tcBorders>
                    <w:tl2br w:val="nil"/>
                    <w:tr2bl w:val="nil"/>
                  </w:tcBorders>
                  <w:shd w:val="clear" w:color="auto" w:fill="auto"/>
                  <w:noWrap/>
                  <w:vAlign w:val="center"/>
                </w:tcPr>
                <w:p w14:paraId="523842EB">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劈半锯</w:t>
                  </w:r>
                </w:p>
              </w:tc>
              <w:tc>
                <w:tcPr>
                  <w:tcW w:w="1019" w:type="dxa"/>
                  <w:vMerge w:val="restart"/>
                  <w:tcBorders>
                    <w:tl2br w:val="nil"/>
                    <w:tr2bl w:val="nil"/>
                  </w:tcBorders>
                  <w:shd w:val="clear" w:color="auto" w:fill="auto"/>
                  <w:noWrap/>
                  <w:vAlign w:val="center"/>
                </w:tcPr>
                <w:p w14:paraId="40C6FDF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75</w:t>
                  </w:r>
                </w:p>
              </w:tc>
              <w:tc>
                <w:tcPr>
                  <w:tcW w:w="1125" w:type="dxa"/>
                  <w:vMerge w:val="restart"/>
                  <w:tcBorders>
                    <w:tl2br w:val="nil"/>
                    <w:tr2bl w:val="nil"/>
                  </w:tcBorders>
                  <w:shd w:val="clear" w:color="auto" w:fill="auto"/>
                  <w:noWrap/>
                  <w:vAlign w:val="center"/>
                </w:tcPr>
                <w:p w14:paraId="569EE18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采用低噪声设备、建筑隔声、合理布局、消声器等</w:t>
                  </w:r>
                </w:p>
              </w:tc>
              <w:tc>
                <w:tcPr>
                  <w:tcW w:w="837" w:type="dxa"/>
                  <w:vMerge w:val="restart"/>
                  <w:tcBorders>
                    <w:tl2br w:val="nil"/>
                    <w:tr2bl w:val="nil"/>
                  </w:tcBorders>
                  <w:shd w:val="clear" w:color="auto" w:fill="auto"/>
                  <w:noWrap/>
                  <w:vAlign w:val="center"/>
                </w:tcPr>
                <w:p w14:paraId="3C64DAF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406.11</w:t>
                  </w:r>
                </w:p>
              </w:tc>
              <w:tc>
                <w:tcPr>
                  <w:tcW w:w="875" w:type="dxa"/>
                  <w:vMerge w:val="restart"/>
                  <w:tcBorders>
                    <w:tl2br w:val="nil"/>
                    <w:tr2bl w:val="nil"/>
                  </w:tcBorders>
                  <w:shd w:val="clear" w:color="auto" w:fill="auto"/>
                  <w:noWrap/>
                  <w:vAlign w:val="center"/>
                </w:tcPr>
                <w:p w14:paraId="24A0E49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333.2</w:t>
                  </w:r>
                </w:p>
              </w:tc>
              <w:tc>
                <w:tcPr>
                  <w:tcW w:w="567" w:type="dxa"/>
                  <w:vMerge w:val="restart"/>
                  <w:tcBorders>
                    <w:tl2br w:val="nil"/>
                    <w:tr2bl w:val="nil"/>
                  </w:tcBorders>
                  <w:shd w:val="clear" w:color="auto" w:fill="auto"/>
                  <w:noWrap/>
                  <w:vAlign w:val="center"/>
                </w:tcPr>
                <w:p w14:paraId="56F62EF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2" w:type="dxa"/>
                  <w:tcBorders>
                    <w:tl2br w:val="nil"/>
                    <w:tr2bl w:val="nil"/>
                  </w:tcBorders>
                  <w:shd w:val="clear" w:color="auto" w:fill="auto"/>
                  <w:noWrap/>
                  <w:vAlign w:val="center"/>
                </w:tcPr>
                <w:p w14:paraId="73327BD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0A9719B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5.53</w:t>
                  </w:r>
                </w:p>
              </w:tc>
              <w:tc>
                <w:tcPr>
                  <w:tcW w:w="894" w:type="dxa"/>
                  <w:tcBorders>
                    <w:tl2br w:val="nil"/>
                    <w:tr2bl w:val="nil"/>
                  </w:tcBorders>
                  <w:shd w:val="clear" w:color="auto" w:fill="auto"/>
                  <w:noWrap/>
                  <w:vAlign w:val="center"/>
                </w:tcPr>
                <w:p w14:paraId="10E26D1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71.14</w:t>
                  </w:r>
                </w:p>
              </w:tc>
              <w:tc>
                <w:tcPr>
                  <w:tcW w:w="683" w:type="dxa"/>
                  <w:tcBorders>
                    <w:tl2br w:val="nil"/>
                    <w:tr2bl w:val="nil"/>
                  </w:tcBorders>
                  <w:shd w:val="clear" w:color="auto" w:fill="auto"/>
                  <w:noWrap/>
                  <w:vAlign w:val="center"/>
                </w:tcPr>
                <w:p w14:paraId="12921DD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13A4122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4C50B78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45.14</w:t>
                  </w:r>
                </w:p>
              </w:tc>
              <w:tc>
                <w:tcPr>
                  <w:tcW w:w="749" w:type="dxa"/>
                  <w:tcBorders>
                    <w:tl2br w:val="nil"/>
                    <w:tr2bl w:val="nil"/>
                  </w:tcBorders>
                  <w:shd w:val="clear" w:color="auto" w:fill="auto"/>
                  <w:noWrap/>
                  <w:vAlign w:val="center"/>
                </w:tcPr>
                <w:p w14:paraId="5BE5B57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E97F1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4044BC9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846" w:type="dxa"/>
                  <w:vMerge w:val="continue"/>
                  <w:tcBorders>
                    <w:tl2br w:val="nil"/>
                    <w:tr2bl w:val="nil"/>
                  </w:tcBorders>
                  <w:shd w:val="clear" w:color="auto" w:fill="auto"/>
                  <w:noWrap/>
                  <w:vAlign w:val="center"/>
                </w:tcPr>
                <w:p w14:paraId="5E99A88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1E18AF6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592F50E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47898E9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1D6EDEB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02D4127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099398B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5E2FFB9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56FD6B5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31.22</w:t>
                  </w:r>
                </w:p>
              </w:tc>
              <w:tc>
                <w:tcPr>
                  <w:tcW w:w="894" w:type="dxa"/>
                  <w:tcBorders>
                    <w:tl2br w:val="nil"/>
                    <w:tr2bl w:val="nil"/>
                  </w:tcBorders>
                  <w:shd w:val="clear" w:color="auto" w:fill="auto"/>
                  <w:noWrap/>
                  <w:vAlign w:val="center"/>
                </w:tcPr>
                <w:p w14:paraId="13B83C9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71.12</w:t>
                  </w:r>
                </w:p>
              </w:tc>
              <w:tc>
                <w:tcPr>
                  <w:tcW w:w="683" w:type="dxa"/>
                  <w:tcBorders>
                    <w:tl2br w:val="nil"/>
                    <w:tr2bl w:val="nil"/>
                  </w:tcBorders>
                  <w:shd w:val="clear" w:color="auto" w:fill="auto"/>
                  <w:noWrap/>
                  <w:vAlign w:val="center"/>
                </w:tcPr>
                <w:p w14:paraId="5DD4334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7C401E6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3F24CC4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45.12</w:t>
                  </w:r>
                </w:p>
              </w:tc>
              <w:tc>
                <w:tcPr>
                  <w:tcW w:w="749" w:type="dxa"/>
                  <w:tcBorders>
                    <w:tl2br w:val="nil"/>
                    <w:tr2bl w:val="nil"/>
                  </w:tcBorders>
                  <w:shd w:val="clear" w:color="auto" w:fill="auto"/>
                  <w:noWrap/>
                  <w:vAlign w:val="center"/>
                </w:tcPr>
                <w:p w14:paraId="12F9751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7D4592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24D859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846" w:type="dxa"/>
                  <w:vMerge w:val="continue"/>
                  <w:tcBorders>
                    <w:tl2br w:val="nil"/>
                    <w:tr2bl w:val="nil"/>
                  </w:tcBorders>
                  <w:shd w:val="clear" w:color="auto" w:fill="auto"/>
                  <w:noWrap/>
                  <w:vAlign w:val="center"/>
                </w:tcPr>
                <w:p w14:paraId="37B27B7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167BF40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1154EE1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7A7B5B5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19C92E8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5810361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464347A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497DD61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0A64F6E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5.63</w:t>
                  </w:r>
                </w:p>
              </w:tc>
              <w:tc>
                <w:tcPr>
                  <w:tcW w:w="894" w:type="dxa"/>
                  <w:tcBorders>
                    <w:tl2br w:val="nil"/>
                    <w:tr2bl w:val="nil"/>
                  </w:tcBorders>
                  <w:shd w:val="clear" w:color="auto" w:fill="auto"/>
                  <w:noWrap/>
                  <w:vAlign w:val="center"/>
                </w:tcPr>
                <w:p w14:paraId="7323B9B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71.14</w:t>
                  </w:r>
                </w:p>
              </w:tc>
              <w:tc>
                <w:tcPr>
                  <w:tcW w:w="683" w:type="dxa"/>
                  <w:tcBorders>
                    <w:tl2br w:val="nil"/>
                    <w:tr2bl w:val="nil"/>
                  </w:tcBorders>
                  <w:shd w:val="clear" w:color="auto" w:fill="auto"/>
                  <w:noWrap/>
                  <w:vAlign w:val="center"/>
                </w:tcPr>
                <w:p w14:paraId="015902D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775CB08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3A455F2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45.14</w:t>
                  </w:r>
                </w:p>
              </w:tc>
              <w:tc>
                <w:tcPr>
                  <w:tcW w:w="749" w:type="dxa"/>
                  <w:tcBorders>
                    <w:tl2br w:val="nil"/>
                    <w:tr2bl w:val="nil"/>
                  </w:tcBorders>
                  <w:shd w:val="clear" w:color="auto" w:fill="auto"/>
                  <w:noWrap/>
                  <w:vAlign w:val="center"/>
                </w:tcPr>
                <w:p w14:paraId="63289F8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53C845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C50724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846" w:type="dxa"/>
                  <w:vMerge w:val="continue"/>
                  <w:tcBorders>
                    <w:tl2br w:val="nil"/>
                    <w:tr2bl w:val="nil"/>
                  </w:tcBorders>
                  <w:shd w:val="clear" w:color="auto" w:fill="auto"/>
                  <w:noWrap/>
                  <w:vAlign w:val="center"/>
                </w:tcPr>
                <w:p w14:paraId="3C1554F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7F35E89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5D7829F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15BBC33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096A9DB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6CDE18D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0E97B64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7062A23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7604837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3.98</w:t>
                  </w:r>
                </w:p>
              </w:tc>
              <w:tc>
                <w:tcPr>
                  <w:tcW w:w="894" w:type="dxa"/>
                  <w:tcBorders>
                    <w:tl2br w:val="nil"/>
                    <w:tr2bl w:val="nil"/>
                  </w:tcBorders>
                  <w:shd w:val="clear" w:color="auto" w:fill="auto"/>
                  <w:noWrap/>
                  <w:vAlign w:val="center"/>
                </w:tcPr>
                <w:p w14:paraId="17A13D1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71.17</w:t>
                  </w:r>
                </w:p>
              </w:tc>
              <w:tc>
                <w:tcPr>
                  <w:tcW w:w="683" w:type="dxa"/>
                  <w:tcBorders>
                    <w:tl2br w:val="nil"/>
                    <w:tr2bl w:val="nil"/>
                  </w:tcBorders>
                  <w:shd w:val="clear" w:color="auto" w:fill="auto"/>
                  <w:noWrap/>
                  <w:vAlign w:val="center"/>
                </w:tcPr>
                <w:p w14:paraId="362A343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3F255CE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0D92B03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45.17</w:t>
                  </w:r>
                </w:p>
              </w:tc>
              <w:tc>
                <w:tcPr>
                  <w:tcW w:w="749" w:type="dxa"/>
                  <w:tcBorders>
                    <w:tl2br w:val="nil"/>
                    <w:tr2bl w:val="nil"/>
                  </w:tcBorders>
                  <w:shd w:val="clear" w:color="auto" w:fill="auto"/>
                  <w:noWrap/>
                  <w:vAlign w:val="center"/>
                </w:tcPr>
                <w:p w14:paraId="64A9963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25D07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6520352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846" w:type="dxa"/>
                  <w:vMerge w:val="restart"/>
                  <w:tcBorders>
                    <w:tl2br w:val="nil"/>
                    <w:tr2bl w:val="nil"/>
                  </w:tcBorders>
                  <w:shd w:val="clear" w:color="auto" w:fill="auto"/>
                  <w:noWrap/>
                  <w:vAlign w:val="center"/>
                </w:tcPr>
                <w:p w14:paraId="7F6485F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屠宰与分割车间</w:t>
                  </w:r>
                </w:p>
              </w:tc>
              <w:tc>
                <w:tcPr>
                  <w:tcW w:w="1798" w:type="dxa"/>
                  <w:vMerge w:val="restart"/>
                  <w:tcBorders>
                    <w:tl2br w:val="nil"/>
                    <w:tr2bl w:val="nil"/>
                  </w:tcBorders>
                  <w:shd w:val="clear" w:color="auto" w:fill="auto"/>
                  <w:noWrap/>
                  <w:vAlign w:val="center"/>
                </w:tcPr>
                <w:p w14:paraId="2EEF92B0">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空压机</w:t>
                  </w:r>
                </w:p>
              </w:tc>
              <w:tc>
                <w:tcPr>
                  <w:tcW w:w="1019" w:type="dxa"/>
                  <w:vMerge w:val="restart"/>
                  <w:tcBorders>
                    <w:tl2br w:val="nil"/>
                    <w:tr2bl w:val="nil"/>
                  </w:tcBorders>
                  <w:shd w:val="clear" w:color="auto" w:fill="auto"/>
                  <w:noWrap/>
                  <w:vAlign w:val="center"/>
                </w:tcPr>
                <w:p w14:paraId="3A82228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90</w:t>
                  </w:r>
                </w:p>
              </w:tc>
              <w:tc>
                <w:tcPr>
                  <w:tcW w:w="1125" w:type="dxa"/>
                  <w:vMerge w:val="continue"/>
                  <w:tcBorders>
                    <w:tl2br w:val="nil"/>
                    <w:tr2bl w:val="nil"/>
                  </w:tcBorders>
                  <w:shd w:val="clear" w:color="auto" w:fill="auto"/>
                  <w:noWrap/>
                  <w:vAlign w:val="center"/>
                </w:tcPr>
                <w:p w14:paraId="3F4B373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restart"/>
                  <w:tcBorders>
                    <w:tl2br w:val="nil"/>
                    <w:tr2bl w:val="nil"/>
                  </w:tcBorders>
                  <w:shd w:val="clear" w:color="auto" w:fill="auto"/>
                  <w:noWrap/>
                  <w:vAlign w:val="center"/>
                </w:tcPr>
                <w:p w14:paraId="629379F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358.59</w:t>
                  </w:r>
                </w:p>
              </w:tc>
              <w:tc>
                <w:tcPr>
                  <w:tcW w:w="875" w:type="dxa"/>
                  <w:vMerge w:val="restart"/>
                  <w:tcBorders>
                    <w:tl2br w:val="nil"/>
                    <w:tr2bl w:val="nil"/>
                  </w:tcBorders>
                  <w:shd w:val="clear" w:color="auto" w:fill="auto"/>
                  <w:noWrap/>
                  <w:vAlign w:val="center"/>
                </w:tcPr>
                <w:p w14:paraId="4E7040C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289.06</w:t>
                  </w:r>
                </w:p>
              </w:tc>
              <w:tc>
                <w:tcPr>
                  <w:tcW w:w="567" w:type="dxa"/>
                  <w:vMerge w:val="restart"/>
                  <w:tcBorders>
                    <w:tl2br w:val="nil"/>
                    <w:tr2bl w:val="nil"/>
                  </w:tcBorders>
                  <w:shd w:val="clear" w:color="auto" w:fill="auto"/>
                  <w:noWrap/>
                  <w:vAlign w:val="center"/>
                </w:tcPr>
                <w:p w14:paraId="1D3C0AF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452" w:type="dxa"/>
                  <w:tcBorders>
                    <w:tl2br w:val="nil"/>
                    <w:tr2bl w:val="nil"/>
                  </w:tcBorders>
                  <w:shd w:val="clear" w:color="auto" w:fill="auto"/>
                  <w:noWrap/>
                  <w:vAlign w:val="center"/>
                </w:tcPr>
                <w:p w14:paraId="21E6943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0431007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5.68</w:t>
                  </w:r>
                </w:p>
              </w:tc>
              <w:tc>
                <w:tcPr>
                  <w:tcW w:w="894" w:type="dxa"/>
                  <w:tcBorders>
                    <w:tl2br w:val="nil"/>
                    <w:tr2bl w:val="nil"/>
                  </w:tcBorders>
                  <w:shd w:val="clear" w:color="auto" w:fill="auto"/>
                  <w:noWrap/>
                  <w:vAlign w:val="center"/>
                </w:tcPr>
                <w:p w14:paraId="35918FB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86.14</w:t>
                  </w:r>
                </w:p>
              </w:tc>
              <w:tc>
                <w:tcPr>
                  <w:tcW w:w="683" w:type="dxa"/>
                  <w:tcBorders>
                    <w:tl2br w:val="nil"/>
                    <w:tr2bl w:val="nil"/>
                  </w:tcBorders>
                  <w:shd w:val="clear" w:color="auto" w:fill="auto"/>
                  <w:noWrap/>
                  <w:vAlign w:val="center"/>
                </w:tcPr>
                <w:p w14:paraId="292B0A9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406C81F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5FE42CF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60.14</w:t>
                  </w:r>
                </w:p>
              </w:tc>
              <w:tc>
                <w:tcPr>
                  <w:tcW w:w="749" w:type="dxa"/>
                  <w:tcBorders>
                    <w:tl2br w:val="nil"/>
                    <w:tr2bl w:val="nil"/>
                  </w:tcBorders>
                  <w:shd w:val="clear" w:color="auto" w:fill="auto"/>
                  <w:noWrap/>
                  <w:vAlign w:val="center"/>
                </w:tcPr>
                <w:p w14:paraId="7965214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D96C2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1A31FF3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846" w:type="dxa"/>
                  <w:vMerge w:val="continue"/>
                  <w:tcBorders>
                    <w:tl2br w:val="nil"/>
                    <w:tr2bl w:val="nil"/>
                  </w:tcBorders>
                  <w:shd w:val="clear" w:color="auto" w:fill="auto"/>
                  <w:noWrap/>
                  <w:vAlign w:val="center"/>
                </w:tcPr>
                <w:p w14:paraId="2BEDDDD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26608A6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447FDE0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1AFDE32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668B0F1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69C2756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04D0663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3D93CB2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61478E6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26.87</w:t>
                  </w:r>
                </w:p>
              </w:tc>
              <w:tc>
                <w:tcPr>
                  <w:tcW w:w="894" w:type="dxa"/>
                  <w:tcBorders>
                    <w:tl2br w:val="nil"/>
                    <w:tr2bl w:val="nil"/>
                  </w:tcBorders>
                  <w:shd w:val="clear" w:color="auto" w:fill="auto"/>
                  <w:noWrap/>
                  <w:vAlign w:val="center"/>
                </w:tcPr>
                <w:p w14:paraId="10CBE42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86.12</w:t>
                  </w:r>
                </w:p>
              </w:tc>
              <w:tc>
                <w:tcPr>
                  <w:tcW w:w="683" w:type="dxa"/>
                  <w:tcBorders>
                    <w:tl2br w:val="nil"/>
                    <w:tr2bl w:val="nil"/>
                  </w:tcBorders>
                  <w:shd w:val="clear" w:color="auto" w:fill="auto"/>
                  <w:noWrap/>
                  <w:vAlign w:val="center"/>
                </w:tcPr>
                <w:p w14:paraId="3CFEF59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15A2A37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77CF5BC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60.12</w:t>
                  </w:r>
                </w:p>
              </w:tc>
              <w:tc>
                <w:tcPr>
                  <w:tcW w:w="749" w:type="dxa"/>
                  <w:tcBorders>
                    <w:tl2br w:val="nil"/>
                    <w:tr2bl w:val="nil"/>
                  </w:tcBorders>
                  <w:shd w:val="clear" w:color="auto" w:fill="auto"/>
                  <w:noWrap/>
                  <w:vAlign w:val="center"/>
                </w:tcPr>
                <w:p w14:paraId="7B451F5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40563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F03590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846" w:type="dxa"/>
                  <w:vMerge w:val="continue"/>
                  <w:tcBorders>
                    <w:tl2br w:val="nil"/>
                    <w:tr2bl w:val="nil"/>
                  </w:tcBorders>
                  <w:shd w:val="clear" w:color="auto" w:fill="auto"/>
                  <w:noWrap/>
                  <w:vAlign w:val="center"/>
                </w:tcPr>
                <w:p w14:paraId="1DAFFD8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22FD534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1404BA2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6B1F70E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3EBBF87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3F5263D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6A3844A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63C3CAD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090851C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5.81</w:t>
                  </w:r>
                </w:p>
              </w:tc>
              <w:tc>
                <w:tcPr>
                  <w:tcW w:w="894" w:type="dxa"/>
                  <w:tcBorders>
                    <w:tl2br w:val="nil"/>
                    <w:tr2bl w:val="nil"/>
                  </w:tcBorders>
                  <w:shd w:val="clear" w:color="auto" w:fill="auto"/>
                  <w:noWrap/>
                  <w:vAlign w:val="center"/>
                </w:tcPr>
                <w:p w14:paraId="704C318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86.14</w:t>
                  </w:r>
                </w:p>
              </w:tc>
              <w:tc>
                <w:tcPr>
                  <w:tcW w:w="683" w:type="dxa"/>
                  <w:tcBorders>
                    <w:tl2br w:val="nil"/>
                    <w:tr2bl w:val="nil"/>
                  </w:tcBorders>
                  <w:shd w:val="clear" w:color="auto" w:fill="auto"/>
                  <w:noWrap/>
                  <w:vAlign w:val="center"/>
                </w:tcPr>
                <w:p w14:paraId="14EA50C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1BAB63F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2B04E42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60.14</w:t>
                  </w:r>
                </w:p>
              </w:tc>
              <w:tc>
                <w:tcPr>
                  <w:tcW w:w="749" w:type="dxa"/>
                  <w:tcBorders>
                    <w:tl2br w:val="nil"/>
                    <w:tr2bl w:val="nil"/>
                  </w:tcBorders>
                  <w:shd w:val="clear" w:color="auto" w:fill="auto"/>
                  <w:noWrap/>
                  <w:vAlign w:val="center"/>
                </w:tcPr>
                <w:p w14:paraId="1B43EBB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A0E71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6B902D2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846" w:type="dxa"/>
                  <w:vMerge w:val="continue"/>
                  <w:tcBorders>
                    <w:tl2br w:val="nil"/>
                    <w:tr2bl w:val="nil"/>
                  </w:tcBorders>
                  <w:shd w:val="clear" w:color="auto" w:fill="auto"/>
                  <w:noWrap/>
                  <w:vAlign w:val="center"/>
                </w:tcPr>
                <w:p w14:paraId="0A96FEF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08CF84D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1FE7B0F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72566F1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5C39FB6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3A36339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5AD4744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6857F21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0D49CA0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8.34</w:t>
                  </w:r>
                </w:p>
              </w:tc>
              <w:tc>
                <w:tcPr>
                  <w:tcW w:w="894" w:type="dxa"/>
                  <w:tcBorders>
                    <w:tl2br w:val="nil"/>
                    <w:tr2bl w:val="nil"/>
                  </w:tcBorders>
                  <w:shd w:val="clear" w:color="auto" w:fill="auto"/>
                  <w:noWrap/>
                  <w:vAlign w:val="center"/>
                </w:tcPr>
                <w:p w14:paraId="16CAF14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86.13</w:t>
                  </w:r>
                </w:p>
              </w:tc>
              <w:tc>
                <w:tcPr>
                  <w:tcW w:w="683" w:type="dxa"/>
                  <w:tcBorders>
                    <w:tl2br w:val="nil"/>
                    <w:tr2bl w:val="nil"/>
                  </w:tcBorders>
                  <w:shd w:val="clear" w:color="auto" w:fill="auto"/>
                  <w:noWrap/>
                  <w:vAlign w:val="center"/>
                </w:tcPr>
                <w:p w14:paraId="46B7DC7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854768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5BDCD82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60.13</w:t>
                  </w:r>
                </w:p>
              </w:tc>
              <w:tc>
                <w:tcPr>
                  <w:tcW w:w="749" w:type="dxa"/>
                  <w:tcBorders>
                    <w:tl2br w:val="nil"/>
                    <w:tr2bl w:val="nil"/>
                  </w:tcBorders>
                  <w:shd w:val="clear" w:color="auto" w:fill="auto"/>
                  <w:noWrap/>
                  <w:vAlign w:val="center"/>
                </w:tcPr>
                <w:p w14:paraId="77183ED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E19D0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4D8DDE0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p>
              </w:tc>
              <w:tc>
                <w:tcPr>
                  <w:tcW w:w="846" w:type="dxa"/>
                  <w:vMerge w:val="restart"/>
                  <w:tcBorders>
                    <w:tl2br w:val="nil"/>
                    <w:tr2bl w:val="nil"/>
                  </w:tcBorders>
                  <w:shd w:val="clear" w:color="auto" w:fill="auto"/>
                  <w:noWrap/>
                  <w:vAlign w:val="center"/>
                </w:tcPr>
                <w:p w14:paraId="316805C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屠宰与分割车间</w:t>
                  </w:r>
                </w:p>
              </w:tc>
              <w:tc>
                <w:tcPr>
                  <w:tcW w:w="1798" w:type="dxa"/>
                  <w:vMerge w:val="restart"/>
                  <w:tcBorders>
                    <w:tl2br w:val="nil"/>
                    <w:tr2bl w:val="nil"/>
                  </w:tcBorders>
                  <w:shd w:val="clear" w:color="auto" w:fill="auto"/>
                  <w:noWrap/>
                  <w:vAlign w:val="center"/>
                </w:tcPr>
                <w:p w14:paraId="64C6E3F7">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提升机</w:t>
                  </w:r>
                </w:p>
              </w:tc>
              <w:tc>
                <w:tcPr>
                  <w:tcW w:w="1019" w:type="dxa"/>
                  <w:vMerge w:val="restart"/>
                  <w:tcBorders>
                    <w:tl2br w:val="nil"/>
                    <w:tr2bl w:val="nil"/>
                  </w:tcBorders>
                  <w:shd w:val="clear" w:color="auto" w:fill="auto"/>
                  <w:noWrap/>
                  <w:vAlign w:val="center"/>
                </w:tcPr>
                <w:p w14:paraId="0C5B4DB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75</w:t>
                  </w:r>
                </w:p>
              </w:tc>
              <w:tc>
                <w:tcPr>
                  <w:tcW w:w="1125" w:type="dxa"/>
                  <w:vMerge w:val="continue"/>
                  <w:tcBorders>
                    <w:tl2br w:val="nil"/>
                    <w:tr2bl w:val="nil"/>
                  </w:tcBorders>
                  <w:shd w:val="clear" w:color="auto" w:fill="auto"/>
                  <w:noWrap/>
                  <w:vAlign w:val="center"/>
                </w:tcPr>
                <w:p w14:paraId="0BBDC23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restart"/>
                  <w:tcBorders>
                    <w:tl2br w:val="nil"/>
                    <w:tr2bl w:val="nil"/>
                  </w:tcBorders>
                  <w:shd w:val="clear" w:color="auto" w:fill="auto"/>
                  <w:noWrap/>
                  <w:vAlign w:val="center"/>
                </w:tcPr>
                <w:p w14:paraId="1D4DC2A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413.58</w:t>
                  </w:r>
                </w:p>
              </w:tc>
              <w:tc>
                <w:tcPr>
                  <w:tcW w:w="875" w:type="dxa"/>
                  <w:vMerge w:val="restart"/>
                  <w:tcBorders>
                    <w:tl2br w:val="nil"/>
                    <w:tr2bl w:val="nil"/>
                  </w:tcBorders>
                  <w:shd w:val="clear" w:color="auto" w:fill="auto"/>
                  <w:noWrap/>
                  <w:vAlign w:val="center"/>
                </w:tcPr>
                <w:p w14:paraId="7257EFE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326.97</w:t>
                  </w:r>
                </w:p>
              </w:tc>
              <w:tc>
                <w:tcPr>
                  <w:tcW w:w="567" w:type="dxa"/>
                  <w:vMerge w:val="restart"/>
                  <w:tcBorders>
                    <w:tl2br w:val="nil"/>
                    <w:tr2bl w:val="nil"/>
                  </w:tcBorders>
                  <w:shd w:val="clear" w:color="auto" w:fill="auto"/>
                  <w:noWrap/>
                  <w:vAlign w:val="center"/>
                </w:tcPr>
                <w:p w14:paraId="575DE6A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2" w:type="dxa"/>
                  <w:tcBorders>
                    <w:tl2br w:val="nil"/>
                    <w:tr2bl w:val="nil"/>
                  </w:tcBorders>
                  <w:shd w:val="clear" w:color="auto" w:fill="auto"/>
                  <w:noWrap/>
                  <w:vAlign w:val="center"/>
                </w:tcPr>
                <w:p w14:paraId="053CF7F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17D7367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5.93</w:t>
                  </w:r>
                </w:p>
              </w:tc>
              <w:tc>
                <w:tcPr>
                  <w:tcW w:w="894" w:type="dxa"/>
                  <w:tcBorders>
                    <w:tl2br w:val="nil"/>
                    <w:tr2bl w:val="nil"/>
                  </w:tcBorders>
                  <w:shd w:val="clear" w:color="auto" w:fill="auto"/>
                  <w:noWrap/>
                  <w:vAlign w:val="center"/>
                </w:tcPr>
                <w:p w14:paraId="4049815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71.14</w:t>
                  </w:r>
                </w:p>
              </w:tc>
              <w:tc>
                <w:tcPr>
                  <w:tcW w:w="683" w:type="dxa"/>
                  <w:tcBorders>
                    <w:tl2br w:val="nil"/>
                    <w:tr2bl w:val="nil"/>
                  </w:tcBorders>
                  <w:shd w:val="clear" w:color="auto" w:fill="auto"/>
                  <w:noWrap/>
                  <w:vAlign w:val="center"/>
                </w:tcPr>
                <w:p w14:paraId="53355B9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C52AD1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53F4F88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45.14</w:t>
                  </w:r>
                </w:p>
              </w:tc>
              <w:tc>
                <w:tcPr>
                  <w:tcW w:w="749" w:type="dxa"/>
                  <w:tcBorders>
                    <w:tl2br w:val="nil"/>
                    <w:tr2bl w:val="nil"/>
                  </w:tcBorders>
                  <w:shd w:val="clear" w:color="auto" w:fill="auto"/>
                  <w:noWrap/>
                  <w:vAlign w:val="center"/>
                </w:tcPr>
                <w:p w14:paraId="4315E00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CB2E3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B69D6A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846" w:type="dxa"/>
                  <w:vMerge w:val="continue"/>
                  <w:tcBorders>
                    <w:tl2br w:val="nil"/>
                    <w:tr2bl w:val="nil"/>
                  </w:tcBorders>
                  <w:shd w:val="clear" w:color="auto" w:fill="auto"/>
                  <w:noWrap/>
                  <w:vAlign w:val="center"/>
                </w:tcPr>
                <w:p w14:paraId="2DA2B60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770287B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3064D4F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0D1D083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2BAE6C5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61E3EB1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2A51E22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14412B9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39A62AB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21.55</w:t>
                  </w:r>
                </w:p>
              </w:tc>
              <w:tc>
                <w:tcPr>
                  <w:tcW w:w="894" w:type="dxa"/>
                  <w:tcBorders>
                    <w:tl2br w:val="nil"/>
                    <w:tr2bl w:val="nil"/>
                  </w:tcBorders>
                  <w:shd w:val="clear" w:color="auto" w:fill="auto"/>
                  <w:noWrap/>
                  <w:vAlign w:val="center"/>
                </w:tcPr>
                <w:p w14:paraId="2DD1E20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71.12</w:t>
                  </w:r>
                </w:p>
              </w:tc>
              <w:tc>
                <w:tcPr>
                  <w:tcW w:w="683" w:type="dxa"/>
                  <w:tcBorders>
                    <w:tl2br w:val="nil"/>
                    <w:tr2bl w:val="nil"/>
                  </w:tcBorders>
                  <w:shd w:val="clear" w:color="auto" w:fill="auto"/>
                  <w:noWrap/>
                  <w:vAlign w:val="center"/>
                </w:tcPr>
                <w:p w14:paraId="69351D2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14C6488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7575FAE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45.12</w:t>
                  </w:r>
                </w:p>
              </w:tc>
              <w:tc>
                <w:tcPr>
                  <w:tcW w:w="749" w:type="dxa"/>
                  <w:tcBorders>
                    <w:tl2br w:val="nil"/>
                    <w:tr2bl w:val="nil"/>
                  </w:tcBorders>
                  <w:shd w:val="clear" w:color="auto" w:fill="auto"/>
                  <w:noWrap/>
                  <w:vAlign w:val="center"/>
                </w:tcPr>
                <w:p w14:paraId="3374D3B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11907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A04045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w:t>
                  </w:r>
                </w:p>
              </w:tc>
              <w:tc>
                <w:tcPr>
                  <w:tcW w:w="846" w:type="dxa"/>
                  <w:vMerge w:val="continue"/>
                  <w:tcBorders>
                    <w:tl2br w:val="nil"/>
                    <w:tr2bl w:val="nil"/>
                  </w:tcBorders>
                  <w:shd w:val="clear" w:color="auto" w:fill="auto"/>
                  <w:noWrap/>
                  <w:vAlign w:val="center"/>
                </w:tcPr>
                <w:p w14:paraId="1F797BF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2AB3527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0C61D8D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452605C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2876A4E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7769B81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0205FE6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30ED15A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262F2ED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5.97</w:t>
                  </w:r>
                </w:p>
              </w:tc>
              <w:tc>
                <w:tcPr>
                  <w:tcW w:w="894" w:type="dxa"/>
                  <w:tcBorders>
                    <w:tl2br w:val="nil"/>
                    <w:tr2bl w:val="nil"/>
                  </w:tcBorders>
                  <w:shd w:val="clear" w:color="auto" w:fill="auto"/>
                  <w:noWrap/>
                  <w:vAlign w:val="center"/>
                </w:tcPr>
                <w:p w14:paraId="21BBA73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71.14</w:t>
                  </w:r>
                </w:p>
              </w:tc>
              <w:tc>
                <w:tcPr>
                  <w:tcW w:w="683" w:type="dxa"/>
                  <w:tcBorders>
                    <w:tl2br w:val="nil"/>
                    <w:tr2bl w:val="nil"/>
                  </w:tcBorders>
                  <w:shd w:val="clear" w:color="auto" w:fill="auto"/>
                  <w:noWrap/>
                  <w:vAlign w:val="center"/>
                </w:tcPr>
                <w:p w14:paraId="50C96F6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03FEEB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5DCEC20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45.14</w:t>
                  </w:r>
                </w:p>
              </w:tc>
              <w:tc>
                <w:tcPr>
                  <w:tcW w:w="749" w:type="dxa"/>
                  <w:tcBorders>
                    <w:tl2br w:val="nil"/>
                    <w:tr2bl w:val="nil"/>
                  </w:tcBorders>
                  <w:shd w:val="clear" w:color="auto" w:fill="auto"/>
                  <w:noWrap/>
                  <w:vAlign w:val="center"/>
                </w:tcPr>
                <w:p w14:paraId="684D049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281CA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F30D76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846" w:type="dxa"/>
                  <w:vMerge w:val="continue"/>
                  <w:tcBorders>
                    <w:tl2br w:val="nil"/>
                    <w:tr2bl w:val="nil"/>
                  </w:tcBorders>
                  <w:shd w:val="clear" w:color="auto" w:fill="auto"/>
                  <w:noWrap/>
                  <w:vAlign w:val="center"/>
                </w:tcPr>
                <w:p w14:paraId="19E8B2D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5D764D5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22273D9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254051A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6DAE2E7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0740A7D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2345083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21FF7A1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5DCA6E7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13.69</w:t>
                  </w:r>
                </w:p>
              </w:tc>
              <w:tc>
                <w:tcPr>
                  <w:tcW w:w="894" w:type="dxa"/>
                  <w:tcBorders>
                    <w:tl2br w:val="nil"/>
                    <w:tr2bl w:val="nil"/>
                  </w:tcBorders>
                  <w:shd w:val="clear" w:color="auto" w:fill="auto"/>
                  <w:noWrap/>
                  <w:vAlign w:val="center"/>
                </w:tcPr>
                <w:p w14:paraId="04C72FE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71.12</w:t>
                  </w:r>
                </w:p>
              </w:tc>
              <w:tc>
                <w:tcPr>
                  <w:tcW w:w="683" w:type="dxa"/>
                  <w:tcBorders>
                    <w:tl2br w:val="nil"/>
                    <w:tr2bl w:val="nil"/>
                  </w:tcBorders>
                  <w:shd w:val="clear" w:color="auto" w:fill="auto"/>
                  <w:noWrap/>
                  <w:vAlign w:val="center"/>
                </w:tcPr>
                <w:p w14:paraId="5D3FBFC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4AD1FBC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15" w:type="dxa"/>
                  <w:tcBorders>
                    <w:tl2br w:val="nil"/>
                    <w:tr2bl w:val="nil"/>
                  </w:tcBorders>
                  <w:shd w:val="clear" w:color="auto" w:fill="auto"/>
                  <w:noWrap/>
                  <w:vAlign w:val="center"/>
                </w:tcPr>
                <w:p w14:paraId="0438A59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45.12</w:t>
                  </w:r>
                </w:p>
              </w:tc>
              <w:tc>
                <w:tcPr>
                  <w:tcW w:w="749" w:type="dxa"/>
                  <w:tcBorders>
                    <w:tl2br w:val="nil"/>
                    <w:tr2bl w:val="nil"/>
                  </w:tcBorders>
                  <w:shd w:val="clear" w:color="auto" w:fill="auto"/>
                  <w:noWrap/>
                  <w:vAlign w:val="center"/>
                </w:tcPr>
                <w:p w14:paraId="68B62D1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4BE93B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77CDFFE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13</w:t>
                  </w:r>
                </w:p>
              </w:tc>
              <w:tc>
                <w:tcPr>
                  <w:tcW w:w="846" w:type="dxa"/>
                  <w:vMerge w:val="restart"/>
                  <w:tcBorders>
                    <w:tl2br w:val="nil"/>
                    <w:tr2bl w:val="nil"/>
                  </w:tcBorders>
                  <w:shd w:val="clear" w:color="auto" w:fill="auto"/>
                  <w:noWrap/>
                  <w:vAlign w:val="center"/>
                </w:tcPr>
                <w:p w14:paraId="4BB8C83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屠宰与分割车间</w:t>
                  </w:r>
                </w:p>
              </w:tc>
              <w:tc>
                <w:tcPr>
                  <w:tcW w:w="1798" w:type="dxa"/>
                  <w:vMerge w:val="restart"/>
                  <w:tcBorders>
                    <w:tl2br w:val="nil"/>
                    <w:tr2bl w:val="nil"/>
                  </w:tcBorders>
                  <w:shd w:val="clear" w:color="auto" w:fill="auto"/>
                  <w:noWrap/>
                  <w:vAlign w:val="center"/>
                </w:tcPr>
                <w:p w14:paraId="1647A64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刨毛机</w:t>
                  </w:r>
                </w:p>
              </w:tc>
              <w:tc>
                <w:tcPr>
                  <w:tcW w:w="1019" w:type="dxa"/>
                  <w:vMerge w:val="restart"/>
                  <w:tcBorders>
                    <w:tl2br w:val="nil"/>
                    <w:tr2bl w:val="nil"/>
                  </w:tcBorders>
                  <w:shd w:val="clear" w:color="auto" w:fill="auto"/>
                  <w:noWrap/>
                  <w:vAlign w:val="center"/>
                </w:tcPr>
                <w:p w14:paraId="1250300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75</w:t>
                  </w:r>
                </w:p>
              </w:tc>
              <w:tc>
                <w:tcPr>
                  <w:tcW w:w="1125" w:type="dxa"/>
                  <w:vMerge w:val="continue"/>
                  <w:tcBorders>
                    <w:tl2br w:val="nil"/>
                    <w:tr2bl w:val="nil"/>
                  </w:tcBorders>
                  <w:shd w:val="clear" w:color="auto" w:fill="auto"/>
                  <w:noWrap/>
                  <w:vAlign w:val="center"/>
                </w:tcPr>
                <w:p w14:paraId="1CC3F27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restart"/>
                  <w:tcBorders>
                    <w:tl2br w:val="nil"/>
                    <w:tr2bl w:val="nil"/>
                  </w:tcBorders>
                  <w:shd w:val="clear" w:color="auto" w:fill="auto"/>
                  <w:noWrap/>
                  <w:vAlign w:val="center"/>
                </w:tcPr>
                <w:p w14:paraId="171FC1A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417.05</w:t>
                  </w:r>
                </w:p>
              </w:tc>
              <w:tc>
                <w:tcPr>
                  <w:tcW w:w="875" w:type="dxa"/>
                  <w:vMerge w:val="restart"/>
                  <w:tcBorders>
                    <w:tl2br w:val="nil"/>
                    <w:tr2bl w:val="nil"/>
                  </w:tcBorders>
                  <w:shd w:val="clear" w:color="auto" w:fill="auto"/>
                  <w:noWrap/>
                  <w:vAlign w:val="center"/>
                </w:tcPr>
                <w:p w14:paraId="5644261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323.76</w:t>
                  </w:r>
                </w:p>
              </w:tc>
              <w:tc>
                <w:tcPr>
                  <w:tcW w:w="567" w:type="dxa"/>
                  <w:vMerge w:val="restart"/>
                  <w:tcBorders>
                    <w:tl2br w:val="nil"/>
                    <w:tr2bl w:val="nil"/>
                  </w:tcBorders>
                  <w:shd w:val="clear" w:color="auto" w:fill="auto"/>
                  <w:noWrap/>
                  <w:vAlign w:val="center"/>
                </w:tcPr>
                <w:p w14:paraId="03EA830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2" w:type="dxa"/>
                  <w:tcBorders>
                    <w:tl2br w:val="nil"/>
                    <w:tr2bl w:val="nil"/>
                  </w:tcBorders>
                  <w:shd w:val="clear" w:color="auto" w:fill="auto"/>
                  <w:noWrap/>
                  <w:vAlign w:val="center"/>
                </w:tcPr>
                <w:p w14:paraId="5349526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28E6B18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5.88</w:t>
                  </w:r>
                </w:p>
              </w:tc>
              <w:tc>
                <w:tcPr>
                  <w:tcW w:w="894" w:type="dxa"/>
                  <w:tcBorders>
                    <w:tl2br w:val="nil"/>
                    <w:tr2bl w:val="nil"/>
                  </w:tcBorders>
                  <w:shd w:val="clear" w:color="auto" w:fill="auto"/>
                  <w:noWrap/>
                  <w:vAlign w:val="center"/>
                </w:tcPr>
                <w:p w14:paraId="5E05904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71.14</w:t>
                  </w:r>
                </w:p>
              </w:tc>
              <w:tc>
                <w:tcPr>
                  <w:tcW w:w="683" w:type="dxa"/>
                  <w:tcBorders>
                    <w:tl2br w:val="nil"/>
                    <w:tr2bl w:val="nil"/>
                  </w:tcBorders>
                  <w:shd w:val="clear" w:color="auto" w:fill="auto"/>
                  <w:noWrap/>
                  <w:vAlign w:val="center"/>
                </w:tcPr>
                <w:p w14:paraId="450EA30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70E2FD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49C81F9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45.14</w:t>
                  </w:r>
                </w:p>
              </w:tc>
              <w:tc>
                <w:tcPr>
                  <w:tcW w:w="749" w:type="dxa"/>
                  <w:tcBorders>
                    <w:tl2br w:val="nil"/>
                    <w:tr2bl w:val="nil"/>
                  </w:tcBorders>
                  <w:shd w:val="clear" w:color="auto" w:fill="auto"/>
                  <w:noWrap/>
                  <w:vAlign w:val="center"/>
                </w:tcPr>
                <w:p w14:paraId="3F2AB98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2DB59D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503E81E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846" w:type="dxa"/>
                  <w:vMerge w:val="continue"/>
                  <w:tcBorders>
                    <w:tl2br w:val="nil"/>
                    <w:tr2bl w:val="nil"/>
                  </w:tcBorders>
                  <w:shd w:val="clear" w:color="auto" w:fill="auto"/>
                  <w:noWrap/>
                  <w:vAlign w:val="center"/>
                </w:tcPr>
                <w:p w14:paraId="3678542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1BBF68F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13A184C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2A4234E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359E8E5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5BF85D4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7C27829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2BEDBAF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09DF420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16.83</w:t>
                  </w:r>
                </w:p>
              </w:tc>
              <w:tc>
                <w:tcPr>
                  <w:tcW w:w="894" w:type="dxa"/>
                  <w:tcBorders>
                    <w:tl2br w:val="nil"/>
                    <w:tr2bl w:val="nil"/>
                  </w:tcBorders>
                  <w:shd w:val="clear" w:color="auto" w:fill="auto"/>
                  <w:noWrap/>
                  <w:vAlign w:val="center"/>
                </w:tcPr>
                <w:p w14:paraId="7B4A9DA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71.12</w:t>
                  </w:r>
                </w:p>
              </w:tc>
              <w:tc>
                <w:tcPr>
                  <w:tcW w:w="683" w:type="dxa"/>
                  <w:tcBorders>
                    <w:tl2br w:val="nil"/>
                    <w:tr2bl w:val="nil"/>
                  </w:tcBorders>
                  <w:shd w:val="clear" w:color="auto" w:fill="auto"/>
                  <w:noWrap/>
                  <w:vAlign w:val="center"/>
                </w:tcPr>
                <w:p w14:paraId="2220C01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4FB1E6C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3245EA0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45.12</w:t>
                  </w:r>
                </w:p>
              </w:tc>
              <w:tc>
                <w:tcPr>
                  <w:tcW w:w="749" w:type="dxa"/>
                  <w:tcBorders>
                    <w:tl2br w:val="nil"/>
                    <w:tr2bl w:val="nil"/>
                  </w:tcBorders>
                  <w:shd w:val="clear" w:color="auto" w:fill="auto"/>
                  <w:noWrap/>
                  <w:vAlign w:val="center"/>
                </w:tcPr>
                <w:p w14:paraId="471CBD5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D443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1E3A330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846" w:type="dxa"/>
                  <w:vMerge w:val="continue"/>
                  <w:tcBorders>
                    <w:tl2br w:val="nil"/>
                    <w:tr2bl w:val="nil"/>
                  </w:tcBorders>
                  <w:shd w:val="clear" w:color="auto" w:fill="auto"/>
                  <w:noWrap/>
                  <w:vAlign w:val="center"/>
                </w:tcPr>
                <w:p w14:paraId="53F9168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5307C07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5A9D603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3AAE20B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6E010D6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4B0C2C6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0DD058D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2BC7D10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2030951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6.38</w:t>
                  </w:r>
                </w:p>
              </w:tc>
              <w:tc>
                <w:tcPr>
                  <w:tcW w:w="894" w:type="dxa"/>
                  <w:tcBorders>
                    <w:tl2br w:val="nil"/>
                    <w:tr2bl w:val="nil"/>
                  </w:tcBorders>
                  <w:shd w:val="clear" w:color="auto" w:fill="auto"/>
                  <w:noWrap/>
                  <w:vAlign w:val="center"/>
                </w:tcPr>
                <w:p w14:paraId="2676210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71.13</w:t>
                  </w:r>
                </w:p>
              </w:tc>
              <w:tc>
                <w:tcPr>
                  <w:tcW w:w="683" w:type="dxa"/>
                  <w:tcBorders>
                    <w:tl2br w:val="nil"/>
                    <w:tr2bl w:val="nil"/>
                  </w:tcBorders>
                  <w:shd w:val="clear" w:color="auto" w:fill="auto"/>
                  <w:noWrap/>
                  <w:vAlign w:val="center"/>
                </w:tcPr>
                <w:p w14:paraId="7AE58B9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7CD4B79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16E0D41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45.13</w:t>
                  </w:r>
                </w:p>
              </w:tc>
              <w:tc>
                <w:tcPr>
                  <w:tcW w:w="749" w:type="dxa"/>
                  <w:tcBorders>
                    <w:tl2br w:val="nil"/>
                    <w:tr2bl w:val="nil"/>
                  </w:tcBorders>
                  <w:shd w:val="clear" w:color="auto" w:fill="auto"/>
                  <w:noWrap/>
                  <w:vAlign w:val="center"/>
                </w:tcPr>
                <w:p w14:paraId="0723CAA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D268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5467F1D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846" w:type="dxa"/>
                  <w:vMerge w:val="continue"/>
                  <w:tcBorders>
                    <w:tl2br w:val="nil"/>
                    <w:tr2bl w:val="nil"/>
                  </w:tcBorders>
                  <w:shd w:val="clear" w:color="auto" w:fill="auto"/>
                  <w:noWrap/>
                  <w:vAlign w:val="center"/>
                </w:tcPr>
                <w:p w14:paraId="7C12CD3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0FFB93C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448A3CA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restart"/>
                  <w:tcBorders>
                    <w:tl2br w:val="nil"/>
                    <w:tr2bl w:val="nil"/>
                  </w:tcBorders>
                  <w:shd w:val="clear" w:color="auto" w:fill="auto"/>
                  <w:noWrap/>
                  <w:vAlign w:val="center"/>
                </w:tcPr>
                <w:p w14:paraId="3FFAF4C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采用低噪声设备、建筑隔声、合理布局、消声器等</w:t>
                  </w:r>
                </w:p>
              </w:tc>
              <w:tc>
                <w:tcPr>
                  <w:tcW w:w="837" w:type="dxa"/>
                  <w:vMerge w:val="continue"/>
                  <w:tcBorders>
                    <w:tl2br w:val="nil"/>
                    <w:tr2bl w:val="nil"/>
                  </w:tcBorders>
                  <w:shd w:val="clear" w:color="auto" w:fill="auto"/>
                  <w:noWrap/>
                  <w:vAlign w:val="center"/>
                </w:tcPr>
                <w:p w14:paraId="3323B1C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7459030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7D59242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0B0B258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7D613D2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18.38</w:t>
                  </w:r>
                </w:p>
              </w:tc>
              <w:tc>
                <w:tcPr>
                  <w:tcW w:w="894" w:type="dxa"/>
                  <w:tcBorders>
                    <w:tl2br w:val="nil"/>
                    <w:tr2bl w:val="nil"/>
                  </w:tcBorders>
                  <w:shd w:val="clear" w:color="auto" w:fill="auto"/>
                  <w:noWrap/>
                  <w:vAlign w:val="center"/>
                </w:tcPr>
                <w:p w14:paraId="3C97351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71.12</w:t>
                  </w:r>
                </w:p>
              </w:tc>
              <w:tc>
                <w:tcPr>
                  <w:tcW w:w="683" w:type="dxa"/>
                  <w:tcBorders>
                    <w:tl2br w:val="nil"/>
                    <w:tr2bl w:val="nil"/>
                  </w:tcBorders>
                  <w:shd w:val="clear" w:color="auto" w:fill="auto"/>
                  <w:noWrap/>
                  <w:vAlign w:val="center"/>
                </w:tcPr>
                <w:p w14:paraId="23A53CD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727598F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35BBDED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45.12</w:t>
                  </w:r>
                </w:p>
              </w:tc>
              <w:tc>
                <w:tcPr>
                  <w:tcW w:w="749" w:type="dxa"/>
                  <w:tcBorders>
                    <w:tl2br w:val="nil"/>
                    <w:tr2bl w:val="nil"/>
                  </w:tcBorders>
                  <w:shd w:val="clear" w:color="auto" w:fill="auto"/>
                  <w:noWrap/>
                  <w:vAlign w:val="center"/>
                </w:tcPr>
                <w:p w14:paraId="133266D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66DC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3F9E794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w:t>
                  </w:r>
                </w:p>
              </w:tc>
              <w:tc>
                <w:tcPr>
                  <w:tcW w:w="846" w:type="dxa"/>
                  <w:vMerge w:val="restart"/>
                  <w:tcBorders>
                    <w:tl2br w:val="nil"/>
                    <w:tr2bl w:val="nil"/>
                  </w:tcBorders>
                  <w:shd w:val="clear" w:color="auto" w:fill="auto"/>
                  <w:noWrap/>
                  <w:vAlign w:val="center"/>
                </w:tcPr>
                <w:p w14:paraId="0467F4C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屠宰与分割车间</w:t>
                  </w:r>
                </w:p>
              </w:tc>
              <w:tc>
                <w:tcPr>
                  <w:tcW w:w="1798" w:type="dxa"/>
                  <w:vMerge w:val="restart"/>
                  <w:tcBorders>
                    <w:tl2br w:val="nil"/>
                    <w:tr2bl w:val="nil"/>
                  </w:tcBorders>
                  <w:shd w:val="clear" w:color="auto" w:fill="auto"/>
                  <w:noWrap/>
                  <w:vAlign w:val="center"/>
                </w:tcPr>
                <w:p w14:paraId="0EC869F6">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洗猪机</w:t>
                  </w:r>
                </w:p>
              </w:tc>
              <w:tc>
                <w:tcPr>
                  <w:tcW w:w="1019" w:type="dxa"/>
                  <w:vMerge w:val="restart"/>
                  <w:tcBorders>
                    <w:tl2br w:val="nil"/>
                    <w:tr2bl w:val="nil"/>
                  </w:tcBorders>
                  <w:shd w:val="clear" w:color="auto" w:fill="auto"/>
                  <w:noWrap/>
                  <w:vAlign w:val="center"/>
                </w:tcPr>
                <w:p w14:paraId="61F4934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80</w:t>
                  </w:r>
                </w:p>
              </w:tc>
              <w:tc>
                <w:tcPr>
                  <w:tcW w:w="1125" w:type="dxa"/>
                  <w:vMerge w:val="continue"/>
                  <w:tcBorders>
                    <w:tl2br w:val="nil"/>
                    <w:tr2bl w:val="nil"/>
                  </w:tcBorders>
                  <w:shd w:val="clear" w:color="auto" w:fill="auto"/>
                  <w:noWrap/>
                  <w:vAlign w:val="center"/>
                </w:tcPr>
                <w:p w14:paraId="458AEFE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restart"/>
                  <w:tcBorders>
                    <w:tl2br w:val="nil"/>
                    <w:tr2bl w:val="nil"/>
                  </w:tcBorders>
                  <w:shd w:val="clear" w:color="auto" w:fill="auto"/>
                  <w:noWrap/>
                  <w:vAlign w:val="center"/>
                </w:tcPr>
                <w:p w14:paraId="775247A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420.26</w:t>
                  </w:r>
                </w:p>
              </w:tc>
              <w:tc>
                <w:tcPr>
                  <w:tcW w:w="875" w:type="dxa"/>
                  <w:vMerge w:val="restart"/>
                  <w:tcBorders>
                    <w:tl2br w:val="nil"/>
                    <w:tr2bl w:val="nil"/>
                  </w:tcBorders>
                  <w:shd w:val="clear" w:color="auto" w:fill="auto"/>
                  <w:noWrap/>
                  <w:vAlign w:val="center"/>
                </w:tcPr>
                <w:p w14:paraId="36946EB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319.83</w:t>
                  </w:r>
                </w:p>
              </w:tc>
              <w:tc>
                <w:tcPr>
                  <w:tcW w:w="567" w:type="dxa"/>
                  <w:vMerge w:val="restart"/>
                  <w:tcBorders>
                    <w:tl2br w:val="nil"/>
                    <w:tr2bl w:val="nil"/>
                  </w:tcBorders>
                  <w:shd w:val="clear" w:color="auto" w:fill="auto"/>
                  <w:noWrap/>
                  <w:vAlign w:val="center"/>
                </w:tcPr>
                <w:p w14:paraId="283848A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2" w:type="dxa"/>
                  <w:tcBorders>
                    <w:tl2br w:val="nil"/>
                    <w:tr2bl w:val="nil"/>
                  </w:tcBorders>
                  <w:shd w:val="clear" w:color="auto" w:fill="auto"/>
                  <w:noWrap/>
                  <w:vAlign w:val="center"/>
                </w:tcPr>
                <w:p w14:paraId="7DD0B50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607AA6D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5.13</w:t>
                  </w:r>
                </w:p>
              </w:tc>
              <w:tc>
                <w:tcPr>
                  <w:tcW w:w="894" w:type="dxa"/>
                  <w:tcBorders>
                    <w:tl2br w:val="nil"/>
                    <w:tr2bl w:val="nil"/>
                  </w:tcBorders>
                  <w:shd w:val="clear" w:color="auto" w:fill="auto"/>
                  <w:noWrap/>
                  <w:vAlign w:val="center"/>
                </w:tcPr>
                <w:p w14:paraId="7F24443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76.15</w:t>
                  </w:r>
                </w:p>
              </w:tc>
              <w:tc>
                <w:tcPr>
                  <w:tcW w:w="683" w:type="dxa"/>
                  <w:tcBorders>
                    <w:tl2br w:val="nil"/>
                    <w:tr2bl w:val="nil"/>
                  </w:tcBorders>
                  <w:shd w:val="clear" w:color="auto" w:fill="auto"/>
                  <w:noWrap/>
                  <w:vAlign w:val="center"/>
                </w:tcPr>
                <w:p w14:paraId="7A2DC0F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5B7EB62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783EBC8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50.15</w:t>
                  </w:r>
                </w:p>
              </w:tc>
              <w:tc>
                <w:tcPr>
                  <w:tcW w:w="749" w:type="dxa"/>
                  <w:tcBorders>
                    <w:tl2br w:val="nil"/>
                    <w:tr2bl w:val="nil"/>
                  </w:tcBorders>
                  <w:shd w:val="clear" w:color="auto" w:fill="auto"/>
                  <w:noWrap/>
                  <w:vAlign w:val="center"/>
                </w:tcPr>
                <w:p w14:paraId="5C5C4A3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9C411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37D4D51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18</w:t>
                  </w:r>
                </w:p>
              </w:tc>
              <w:tc>
                <w:tcPr>
                  <w:tcW w:w="846" w:type="dxa"/>
                  <w:vMerge w:val="continue"/>
                  <w:tcBorders>
                    <w:tl2br w:val="nil"/>
                    <w:tr2bl w:val="nil"/>
                  </w:tcBorders>
                  <w:shd w:val="clear" w:color="auto" w:fill="auto"/>
                  <w:noWrap/>
                  <w:vAlign w:val="center"/>
                </w:tcPr>
                <w:p w14:paraId="1C05227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0C85C86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0879E45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3C1BEC6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0F9C21E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4EAFC82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7CFFA35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2BF12A0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26BF180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11.77</w:t>
                  </w:r>
                </w:p>
              </w:tc>
              <w:tc>
                <w:tcPr>
                  <w:tcW w:w="894" w:type="dxa"/>
                  <w:tcBorders>
                    <w:tl2br w:val="nil"/>
                    <w:tr2bl w:val="nil"/>
                  </w:tcBorders>
                  <w:shd w:val="clear" w:color="auto" w:fill="auto"/>
                  <w:noWrap/>
                  <w:vAlign w:val="center"/>
                </w:tcPr>
                <w:p w14:paraId="0A90443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76.12</w:t>
                  </w:r>
                </w:p>
              </w:tc>
              <w:tc>
                <w:tcPr>
                  <w:tcW w:w="683" w:type="dxa"/>
                  <w:tcBorders>
                    <w:tl2br w:val="nil"/>
                    <w:tr2bl w:val="nil"/>
                  </w:tcBorders>
                  <w:shd w:val="clear" w:color="auto" w:fill="auto"/>
                  <w:noWrap/>
                  <w:vAlign w:val="center"/>
                </w:tcPr>
                <w:p w14:paraId="64E3C62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D44FCA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4FBDD17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50.12</w:t>
                  </w:r>
                </w:p>
              </w:tc>
              <w:tc>
                <w:tcPr>
                  <w:tcW w:w="749" w:type="dxa"/>
                  <w:tcBorders>
                    <w:tl2br w:val="nil"/>
                    <w:tr2bl w:val="nil"/>
                  </w:tcBorders>
                  <w:shd w:val="clear" w:color="auto" w:fill="auto"/>
                  <w:noWrap/>
                  <w:vAlign w:val="center"/>
                </w:tcPr>
                <w:p w14:paraId="2ED20C8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7DC8A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4B39AB8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w:t>
                  </w:r>
                </w:p>
              </w:tc>
              <w:tc>
                <w:tcPr>
                  <w:tcW w:w="846" w:type="dxa"/>
                  <w:vMerge w:val="continue"/>
                  <w:tcBorders>
                    <w:tl2br w:val="nil"/>
                    <w:tr2bl w:val="nil"/>
                  </w:tcBorders>
                  <w:shd w:val="clear" w:color="auto" w:fill="auto"/>
                  <w:noWrap/>
                  <w:vAlign w:val="center"/>
                </w:tcPr>
                <w:p w14:paraId="4262515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0062335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07DB029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4F7EF7F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60FE1D2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1FE3482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451B436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086BC1F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243D0F9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7.52</w:t>
                  </w:r>
                </w:p>
              </w:tc>
              <w:tc>
                <w:tcPr>
                  <w:tcW w:w="894" w:type="dxa"/>
                  <w:tcBorders>
                    <w:tl2br w:val="nil"/>
                    <w:tr2bl w:val="nil"/>
                  </w:tcBorders>
                  <w:shd w:val="clear" w:color="auto" w:fill="auto"/>
                  <w:noWrap/>
                  <w:vAlign w:val="center"/>
                </w:tcPr>
                <w:p w14:paraId="4573F66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76.13</w:t>
                  </w:r>
                </w:p>
              </w:tc>
              <w:tc>
                <w:tcPr>
                  <w:tcW w:w="683" w:type="dxa"/>
                  <w:tcBorders>
                    <w:tl2br w:val="nil"/>
                    <w:tr2bl w:val="nil"/>
                  </w:tcBorders>
                  <w:shd w:val="clear" w:color="auto" w:fill="auto"/>
                  <w:noWrap/>
                  <w:vAlign w:val="center"/>
                </w:tcPr>
                <w:p w14:paraId="6C17C7E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5B131E8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2DBCA5F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50.13</w:t>
                  </w:r>
                </w:p>
              </w:tc>
              <w:tc>
                <w:tcPr>
                  <w:tcW w:w="749" w:type="dxa"/>
                  <w:tcBorders>
                    <w:tl2br w:val="nil"/>
                    <w:tr2bl w:val="nil"/>
                  </w:tcBorders>
                  <w:shd w:val="clear" w:color="auto" w:fill="auto"/>
                  <w:noWrap/>
                  <w:vAlign w:val="center"/>
                </w:tcPr>
                <w:p w14:paraId="206963B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23E30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42EA17C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w:t>
                  </w:r>
                </w:p>
              </w:tc>
              <w:tc>
                <w:tcPr>
                  <w:tcW w:w="846" w:type="dxa"/>
                  <w:vMerge w:val="continue"/>
                  <w:tcBorders>
                    <w:tl2br w:val="nil"/>
                    <w:tr2bl w:val="nil"/>
                  </w:tcBorders>
                  <w:shd w:val="clear" w:color="auto" w:fill="auto"/>
                  <w:noWrap/>
                  <w:vAlign w:val="center"/>
                </w:tcPr>
                <w:p w14:paraId="0F53F7D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4B746C7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574EE93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28777FD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73D91D0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6339008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7D3143C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6FC2918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11DF6C9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23.30</w:t>
                  </w:r>
                </w:p>
              </w:tc>
              <w:tc>
                <w:tcPr>
                  <w:tcW w:w="894" w:type="dxa"/>
                  <w:tcBorders>
                    <w:tl2br w:val="nil"/>
                    <w:tr2bl w:val="nil"/>
                  </w:tcBorders>
                  <w:shd w:val="clear" w:color="auto" w:fill="auto"/>
                  <w:noWrap/>
                  <w:vAlign w:val="center"/>
                </w:tcPr>
                <w:p w14:paraId="0494303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76.12</w:t>
                  </w:r>
                </w:p>
              </w:tc>
              <w:tc>
                <w:tcPr>
                  <w:tcW w:w="683" w:type="dxa"/>
                  <w:tcBorders>
                    <w:tl2br w:val="nil"/>
                    <w:tr2bl w:val="nil"/>
                  </w:tcBorders>
                  <w:shd w:val="clear" w:color="auto" w:fill="auto"/>
                  <w:noWrap/>
                  <w:vAlign w:val="center"/>
                </w:tcPr>
                <w:p w14:paraId="78E0617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5BA92C2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3E7AAA2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50.12</w:t>
                  </w:r>
                </w:p>
              </w:tc>
              <w:tc>
                <w:tcPr>
                  <w:tcW w:w="749" w:type="dxa"/>
                  <w:tcBorders>
                    <w:tl2br w:val="nil"/>
                    <w:tr2bl w:val="nil"/>
                  </w:tcBorders>
                  <w:shd w:val="clear" w:color="auto" w:fill="auto"/>
                  <w:noWrap/>
                  <w:vAlign w:val="center"/>
                </w:tcPr>
                <w:p w14:paraId="6BF5B9A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7B52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1AF3F01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21</w:t>
                  </w:r>
                </w:p>
              </w:tc>
              <w:tc>
                <w:tcPr>
                  <w:tcW w:w="846" w:type="dxa"/>
                  <w:vMerge w:val="restart"/>
                  <w:tcBorders>
                    <w:tl2br w:val="nil"/>
                    <w:tr2bl w:val="nil"/>
                  </w:tcBorders>
                  <w:shd w:val="clear" w:color="auto" w:fill="auto"/>
                  <w:noWrap/>
                  <w:vAlign w:val="center"/>
                </w:tcPr>
                <w:p w14:paraId="6E2F07F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屠宰与分割车间</w:t>
                  </w:r>
                </w:p>
              </w:tc>
              <w:tc>
                <w:tcPr>
                  <w:tcW w:w="1798" w:type="dxa"/>
                  <w:vMerge w:val="restart"/>
                  <w:tcBorders>
                    <w:tl2br w:val="nil"/>
                    <w:tr2bl w:val="nil"/>
                  </w:tcBorders>
                  <w:shd w:val="clear" w:color="auto" w:fill="auto"/>
                  <w:noWrap/>
                  <w:vAlign w:val="center"/>
                </w:tcPr>
                <w:p w14:paraId="0EA78DA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电麻机</w:t>
                  </w:r>
                </w:p>
              </w:tc>
              <w:tc>
                <w:tcPr>
                  <w:tcW w:w="1019" w:type="dxa"/>
                  <w:vMerge w:val="restart"/>
                  <w:tcBorders>
                    <w:tl2br w:val="nil"/>
                    <w:tr2bl w:val="nil"/>
                  </w:tcBorders>
                  <w:shd w:val="clear" w:color="auto" w:fill="auto"/>
                  <w:noWrap/>
                  <w:vAlign w:val="center"/>
                </w:tcPr>
                <w:p w14:paraId="14FF2B8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70</w:t>
                  </w:r>
                </w:p>
              </w:tc>
              <w:tc>
                <w:tcPr>
                  <w:tcW w:w="1125" w:type="dxa"/>
                  <w:vMerge w:val="continue"/>
                  <w:tcBorders>
                    <w:tl2br w:val="nil"/>
                    <w:tr2bl w:val="nil"/>
                  </w:tcBorders>
                  <w:shd w:val="clear" w:color="auto" w:fill="auto"/>
                  <w:noWrap/>
                  <w:vAlign w:val="center"/>
                </w:tcPr>
                <w:p w14:paraId="4F67187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restart"/>
                  <w:tcBorders>
                    <w:tl2br w:val="nil"/>
                    <w:tr2bl w:val="nil"/>
                  </w:tcBorders>
                  <w:shd w:val="clear" w:color="auto" w:fill="auto"/>
                  <w:noWrap/>
                  <w:vAlign w:val="center"/>
                </w:tcPr>
                <w:p w14:paraId="213954A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423.08</w:t>
                  </w:r>
                </w:p>
              </w:tc>
              <w:tc>
                <w:tcPr>
                  <w:tcW w:w="875" w:type="dxa"/>
                  <w:vMerge w:val="restart"/>
                  <w:tcBorders>
                    <w:tl2br w:val="nil"/>
                    <w:tr2bl w:val="nil"/>
                  </w:tcBorders>
                  <w:shd w:val="clear" w:color="auto" w:fill="auto"/>
                  <w:noWrap/>
                  <w:vAlign w:val="center"/>
                </w:tcPr>
                <w:p w14:paraId="4846804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317.99</w:t>
                  </w:r>
                </w:p>
              </w:tc>
              <w:tc>
                <w:tcPr>
                  <w:tcW w:w="567" w:type="dxa"/>
                  <w:vMerge w:val="restart"/>
                  <w:tcBorders>
                    <w:tl2br w:val="nil"/>
                    <w:tr2bl w:val="nil"/>
                  </w:tcBorders>
                  <w:shd w:val="clear" w:color="auto" w:fill="auto"/>
                  <w:noWrap/>
                  <w:vAlign w:val="center"/>
                </w:tcPr>
                <w:p w14:paraId="3766D8E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2" w:type="dxa"/>
                  <w:tcBorders>
                    <w:tl2br w:val="nil"/>
                    <w:tr2bl w:val="nil"/>
                  </w:tcBorders>
                  <w:shd w:val="clear" w:color="auto" w:fill="auto"/>
                  <w:noWrap/>
                  <w:vAlign w:val="center"/>
                </w:tcPr>
                <w:p w14:paraId="10DF570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0751CCD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5.66</w:t>
                  </w:r>
                </w:p>
              </w:tc>
              <w:tc>
                <w:tcPr>
                  <w:tcW w:w="894" w:type="dxa"/>
                  <w:tcBorders>
                    <w:tl2br w:val="nil"/>
                    <w:tr2bl w:val="nil"/>
                  </w:tcBorders>
                  <w:shd w:val="clear" w:color="auto" w:fill="auto"/>
                  <w:noWrap/>
                  <w:vAlign w:val="center"/>
                </w:tcPr>
                <w:p w14:paraId="07AB29B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66.14</w:t>
                  </w:r>
                </w:p>
              </w:tc>
              <w:tc>
                <w:tcPr>
                  <w:tcW w:w="683" w:type="dxa"/>
                  <w:tcBorders>
                    <w:tl2br w:val="nil"/>
                    <w:tr2bl w:val="nil"/>
                  </w:tcBorders>
                  <w:shd w:val="clear" w:color="auto" w:fill="auto"/>
                  <w:noWrap/>
                  <w:vAlign w:val="center"/>
                </w:tcPr>
                <w:p w14:paraId="6937B9D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7604EA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0EEBD94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40.14</w:t>
                  </w:r>
                </w:p>
              </w:tc>
              <w:tc>
                <w:tcPr>
                  <w:tcW w:w="749" w:type="dxa"/>
                  <w:tcBorders>
                    <w:tl2br w:val="nil"/>
                    <w:tr2bl w:val="nil"/>
                  </w:tcBorders>
                  <w:shd w:val="clear" w:color="auto" w:fill="auto"/>
                  <w:noWrap/>
                  <w:vAlign w:val="center"/>
                </w:tcPr>
                <w:p w14:paraId="4B7D8EE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C24A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2F99F4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22</w:t>
                  </w:r>
                </w:p>
              </w:tc>
              <w:tc>
                <w:tcPr>
                  <w:tcW w:w="846" w:type="dxa"/>
                  <w:vMerge w:val="continue"/>
                  <w:tcBorders>
                    <w:tl2br w:val="nil"/>
                    <w:tr2bl w:val="nil"/>
                  </w:tcBorders>
                  <w:shd w:val="clear" w:color="auto" w:fill="auto"/>
                  <w:noWrap/>
                  <w:vAlign w:val="center"/>
                </w:tcPr>
                <w:p w14:paraId="673FFB2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6F1CB40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5AFC49F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4C84D99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1F377AE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07A8C7F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4C9307C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426BB0A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7C20457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8.49</w:t>
                  </w:r>
                </w:p>
              </w:tc>
              <w:tc>
                <w:tcPr>
                  <w:tcW w:w="894" w:type="dxa"/>
                  <w:tcBorders>
                    <w:tl2br w:val="nil"/>
                    <w:tr2bl w:val="nil"/>
                  </w:tcBorders>
                  <w:shd w:val="clear" w:color="auto" w:fill="auto"/>
                  <w:noWrap/>
                  <w:vAlign w:val="center"/>
                </w:tcPr>
                <w:p w14:paraId="37FDE46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66.13</w:t>
                  </w:r>
                </w:p>
              </w:tc>
              <w:tc>
                <w:tcPr>
                  <w:tcW w:w="683" w:type="dxa"/>
                  <w:tcBorders>
                    <w:tl2br w:val="nil"/>
                    <w:tr2bl w:val="nil"/>
                  </w:tcBorders>
                  <w:shd w:val="clear" w:color="auto" w:fill="auto"/>
                  <w:noWrap/>
                  <w:vAlign w:val="center"/>
                </w:tcPr>
                <w:p w14:paraId="3806D3E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2E1A0E8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6E1BE0D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40.13</w:t>
                  </w:r>
                </w:p>
              </w:tc>
              <w:tc>
                <w:tcPr>
                  <w:tcW w:w="749" w:type="dxa"/>
                  <w:tcBorders>
                    <w:tl2br w:val="nil"/>
                    <w:tr2bl w:val="nil"/>
                  </w:tcBorders>
                  <w:shd w:val="clear" w:color="auto" w:fill="auto"/>
                  <w:noWrap/>
                  <w:vAlign w:val="center"/>
                </w:tcPr>
                <w:p w14:paraId="56E767B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4E7FF3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6936AAA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w:t>
                  </w:r>
                </w:p>
              </w:tc>
              <w:tc>
                <w:tcPr>
                  <w:tcW w:w="846" w:type="dxa"/>
                  <w:vMerge w:val="continue"/>
                  <w:tcBorders>
                    <w:tl2br w:val="nil"/>
                    <w:tr2bl w:val="nil"/>
                  </w:tcBorders>
                  <w:shd w:val="clear" w:color="auto" w:fill="auto"/>
                  <w:noWrap/>
                  <w:vAlign w:val="center"/>
                </w:tcPr>
                <w:p w14:paraId="3B28AB6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7090FC8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0D7DFB6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7C1DBB4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59986D3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33209E0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1D57B22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0086F39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408FEB8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7.25</w:t>
                  </w:r>
                </w:p>
              </w:tc>
              <w:tc>
                <w:tcPr>
                  <w:tcW w:w="894" w:type="dxa"/>
                  <w:tcBorders>
                    <w:tl2br w:val="nil"/>
                    <w:tr2bl w:val="nil"/>
                  </w:tcBorders>
                  <w:shd w:val="clear" w:color="auto" w:fill="auto"/>
                  <w:noWrap/>
                  <w:vAlign w:val="center"/>
                </w:tcPr>
                <w:p w14:paraId="025E394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66.13</w:t>
                  </w:r>
                </w:p>
              </w:tc>
              <w:tc>
                <w:tcPr>
                  <w:tcW w:w="683" w:type="dxa"/>
                  <w:tcBorders>
                    <w:tl2br w:val="nil"/>
                    <w:tr2bl w:val="nil"/>
                  </w:tcBorders>
                  <w:shd w:val="clear" w:color="auto" w:fill="auto"/>
                  <w:noWrap/>
                  <w:vAlign w:val="center"/>
                </w:tcPr>
                <w:p w14:paraId="6A09701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70A4AA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2F1D4C1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40.13</w:t>
                  </w:r>
                </w:p>
              </w:tc>
              <w:tc>
                <w:tcPr>
                  <w:tcW w:w="749" w:type="dxa"/>
                  <w:tcBorders>
                    <w:tl2br w:val="nil"/>
                    <w:tr2bl w:val="nil"/>
                  </w:tcBorders>
                  <w:shd w:val="clear" w:color="auto" w:fill="auto"/>
                  <w:noWrap/>
                  <w:vAlign w:val="center"/>
                </w:tcPr>
                <w:p w14:paraId="7F24C1F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40D2C2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7A2C5CA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24</w:t>
                  </w:r>
                </w:p>
              </w:tc>
              <w:tc>
                <w:tcPr>
                  <w:tcW w:w="846" w:type="dxa"/>
                  <w:vMerge w:val="continue"/>
                  <w:tcBorders>
                    <w:tl2br w:val="nil"/>
                    <w:tr2bl w:val="nil"/>
                  </w:tcBorders>
                  <w:shd w:val="clear" w:color="auto" w:fill="auto"/>
                  <w:noWrap/>
                  <w:vAlign w:val="center"/>
                </w:tcPr>
                <w:p w14:paraId="28BAD31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6D456C7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2DF9F4F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73ADA08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59BF5C3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7DC8CB2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6B67D37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78E5047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585D250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26.66</w:t>
                  </w:r>
                </w:p>
              </w:tc>
              <w:tc>
                <w:tcPr>
                  <w:tcW w:w="894" w:type="dxa"/>
                  <w:tcBorders>
                    <w:tl2br w:val="nil"/>
                    <w:tr2bl w:val="nil"/>
                  </w:tcBorders>
                  <w:shd w:val="clear" w:color="auto" w:fill="auto"/>
                  <w:noWrap/>
                  <w:vAlign w:val="center"/>
                </w:tcPr>
                <w:p w14:paraId="2EB146A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66.12</w:t>
                  </w:r>
                </w:p>
              </w:tc>
              <w:tc>
                <w:tcPr>
                  <w:tcW w:w="683" w:type="dxa"/>
                  <w:tcBorders>
                    <w:tl2br w:val="nil"/>
                    <w:tr2bl w:val="nil"/>
                  </w:tcBorders>
                  <w:shd w:val="clear" w:color="auto" w:fill="auto"/>
                  <w:noWrap/>
                  <w:vAlign w:val="center"/>
                </w:tcPr>
                <w:p w14:paraId="77AC05F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c>
                <w:tcPr>
                  <w:tcW w:w="952" w:type="dxa"/>
                  <w:tcBorders>
                    <w:tl2br w:val="nil"/>
                    <w:tr2bl w:val="nil"/>
                  </w:tcBorders>
                  <w:shd w:val="clear" w:color="auto" w:fill="auto"/>
                  <w:noWrap/>
                  <w:vAlign w:val="center"/>
                </w:tcPr>
                <w:p w14:paraId="02D6D6B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35401F9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40.12</w:t>
                  </w:r>
                </w:p>
              </w:tc>
              <w:tc>
                <w:tcPr>
                  <w:tcW w:w="749" w:type="dxa"/>
                  <w:tcBorders>
                    <w:tl2br w:val="nil"/>
                    <w:tr2bl w:val="nil"/>
                  </w:tcBorders>
                  <w:shd w:val="clear" w:color="auto" w:fill="auto"/>
                  <w:noWrap/>
                  <w:vAlign w:val="center"/>
                </w:tcPr>
                <w:p w14:paraId="7882043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2EFEF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5D115A1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25</w:t>
                  </w:r>
                </w:p>
              </w:tc>
              <w:tc>
                <w:tcPr>
                  <w:tcW w:w="846" w:type="dxa"/>
                  <w:vMerge w:val="restart"/>
                  <w:tcBorders>
                    <w:tl2br w:val="nil"/>
                    <w:tr2bl w:val="nil"/>
                  </w:tcBorders>
                  <w:shd w:val="clear" w:color="auto" w:fill="auto"/>
                  <w:noWrap/>
                  <w:vAlign w:val="center"/>
                </w:tcPr>
                <w:p w14:paraId="5549AFF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待宰圈</w:t>
                  </w:r>
                </w:p>
              </w:tc>
              <w:tc>
                <w:tcPr>
                  <w:tcW w:w="1798" w:type="dxa"/>
                  <w:vMerge w:val="restart"/>
                  <w:tcBorders>
                    <w:tl2br w:val="nil"/>
                    <w:tr2bl w:val="nil"/>
                  </w:tcBorders>
                  <w:shd w:val="clear" w:color="auto" w:fill="auto"/>
                  <w:noWrap/>
                  <w:vAlign w:val="center"/>
                </w:tcPr>
                <w:p w14:paraId="41F58C96">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猪叫声</w:t>
                  </w:r>
                </w:p>
              </w:tc>
              <w:tc>
                <w:tcPr>
                  <w:tcW w:w="1019" w:type="dxa"/>
                  <w:vMerge w:val="restart"/>
                  <w:tcBorders>
                    <w:tl2br w:val="nil"/>
                    <w:tr2bl w:val="nil"/>
                  </w:tcBorders>
                  <w:shd w:val="clear" w:color="auto" w:fill="auto"/>
                  <w:noWrap/>
                  <w:vAlign w:val="center"/>
                </w:tcPr>
                <w:p w14:paraId="6B0AF2A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85</w:t>
                  </w:r>
                </w:p>
              </w:tc>
              <w:tc>
                <w:tcPr>
                  <w:tcW w:w="1125" w:type="dxa"/>
                  <w:vMerge w:val="continue"/>
                  <w:tcBorders>
                    <w:tl2br w:val="nil"/>
                    <w:tr2bl w:val="nil"/>
                  </w:tcBorders>
                  <w:shd w:val="clear" w:color="auto" w:fill="auto"/>
                  <w:noWrap/>
                  <w:vAlign w:val="center"/>
                </w:tcPr>
                <w:p w14:paraId="6A3D84B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restart"/>
                  <w:tcBorders>
                    <w:tl2br w:val="nil"/>
                    <w:tr2bl w:val="nil"/>
                  </w:tcBorders>
                  <w:shd w:val="clear" w:color="auto" w:fill="auto"/>
                  <w:noWrap/>
                  <w:vAlign w:val="center"/>
                </w:tcPr>
                <w:p w14:paraId="5AF1866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426.03</w:t>
                  </w:r>
                </w:p>
              </w:tc>
              <w:tc>
                <w:tcPr>
                  <w:tcW w:w="875" w:type="dxa"/>
                  <w:vMerge w:val="restart"/>
                  <w:tcBorders>
                    <w:tl2br w:val="nil"/>
                    <w:tr2bl w:val="nil"/>
                  </w:tcBorders>
                  <w:shd w:val="clear" w:color="auto" w:fill="auto"/>
                  <w:noWrap/>
                  <w:vAlign w:val="center"/>
                </w:tcPr>
                <w:p w14:paraId="65DEFBE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315.5</w:t>
                  </w:r>
                </w:p>
              </w:tc>
              <w:tc>
                <w:tcPr>
                  <w:tcW w:w="567" w:type="dxa"/>
                  <w:vMerge w:val="restart"/>
                  <w:tcBorders>
                    <w:tl2br w:val="nil"/>
                    <w:tr2bl w:val="nil"/>
                  </w:tcBorders>
                  <w:shd w:val="clear" w:color="auto" w:fill="auto"/>
                  <w:noWrap/>
                  <w:vAlign w:val="center"/>
                </w:tcPr>
                <w:p w14:paraId="240F2209">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2" w:type="dxa"/>
                  <w:tcBorders>
                    <w:tl2br w:val="nil"/>
                    <w:tr2bl w:val="nil"/>
                  </w:tcBorders>
                  <w:shd w:val="clear" w:color="auto" w:fill="auto"/>
                  <w:noWrap/>
                  <w:vAlign w:val="center"/>
                </w:tcPr>
                <w:p w14:paraId="48BCF20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东</w:t>
                  </w:r>
                </w:p>
              </w:tc>
              <w:tc>
                <w:tcPr>
                  <w:tcW w:w="913" w:type="dxa"/>
                  <w:tcBorders>
                    <w:tl2br w:val="nil"/>
                    <w:tr2bl w:val="nil"/>
                  </w:tcBorders>
                  <w:shd w:val="clear" w:color="auto" w:fill="auto"/>
                  <w:noWrap/>
                  <w:vAlign w:val="center"/>
                </w:tcPr>
                <w:p w14:paraId="158CC0E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5.80</w:t>
                  </w:r>
                </w:p>
              </w:tc>
              <w:tc>
                <w:tcPr>
                  <w:tcW w:w="894" w:type="dxa"/>
                  <w:tcBorders>
                    <w:tl2br w:val="nil"/>
                    <w:tr2bl w:val="nil"/>
                  </w:tcBorders>
                  <w:shd w:val="clear" w:color="auto" w:fill="auto"/>
                  <w:noWrap/>
                  <w:vAlign w:val="center"/>
                </w:tcPr>
                <w:p w14:paraId="2533C8F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81.14</w:t>
                  </w:r>
                </w:p>
              </w:tc>
              <w:tc>
                <w:tcPr>
                  <w:tcW w:w="683" w:type="dxa"/>
                  <w:tcBorders>
                    <w:tl2br w:val="nil"/>
                    <w:tr2bl w:val="nil"/>
                  </w:tcBorders>
                  <w:shd w:val="clear" w:color="auto" w:fill="auto"/>
                  <w:noWrap/>
                  <w:vAlign w:val="center"/>
                </w:tcPr>
                <w:p w14:paraId="7A16FD7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952" w:type="dxa"/>
                  <w:tcBorders>
                    <w:tl2br w:val="nil"/>
                    <w:tr2bl w:val="nil"/>
                  </w:tcBorders>
                  <w:shd w:val="clear" w:color="auto" w:fill="auto"/>
                  <w:noWrap/>
                  <w:vAlign w:val="center"/>
                </w:tcPr>
                <w:p w14:paraId="0E18819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0ABED24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55.14</w:t>
                  </w:r>
                </w:p>
              </w:tc>
              <w:tc>
                <w:tcPr>
                  <w:tcW w:w="749" w:type="dxa"/>
                  <w:tcBorders>
                    <w:tl2br w:val="nil"/>
                    <w:tr2bl w:val="nil"/>
                  </w:tcBorders>
                  <w:shd w:val="clear" w:color="auto" w:fill="auto"/>
                  <w:noWrap/>
                  <w:vAlign w:val="center"/>
                </w:tcPr>
                <w:p w14:paraId="612C596D">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6B9EE8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612" w:type="dxa"/>
                  <w:tcBorders>
                    <w:tl2br w:val="nil"/>
                    <w:tr2bl w:val="nil"/>
                  </w:tcBorders>
                  <w:shd w:val="clear" w:color="auto" w:fill="auto"/>
                  <w:noWrap/>
                  <w:vAlign w:val="center"/>
                </w:tcPr>
                <w:p w14:paraId="483996E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846" w:type="dxa"/>
                  <w:vMerge w:val="continue"/>
                  <w:tcBorders>
                    <w:tl2br w:val="nil"/>
                    <w:tr2bl w:val="nil"/>
                  </w:tcBorders>
                  <w:shd w:val="clear" w:color="auto" w:fill="auto"/>
                  <w:noWrap/>
                  <w:vAlign w:val="center"/>
                </w:tcPr>
                <w:p w14:paraId="08F4C2E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3065205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4145A1F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0F8E7EC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4EA573B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427E886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0BBD5E2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1C1A34A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南</w:t>
                  </w:r>
                </w:p>
              </w:tc>
              <w:tc>
                <w:tcPr>
                  <w:tcW w:w="913" w:type="dxa"/>
                  <w:tcBorders>
                    <w:tl2br w:val="nil"/>
                    <w:tr2bl w:val="nil"/>
                  </w:tcBorders>
                  <w:shd w:val="clear" w:color="auto" w:fill="auto"/>
                  <w:noWrap/>
                  <w:vAlign w:val="center"/>
                </w:tcPr>
                <w:p w14:paraId="0AE30C9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4.65</w:t>
                  </w:r>
                </w:p>
              </w:tc>
              <w:tc>
                <w:tcPr>
                  <w:tcW w:w="894" w:type="dxa"/>
                  <w:tcBorders>
                    <w:tl2br w:val="nil"/>
                    <w:tr2bl w:val="nil"/>
                  </w:tcBorders>
                  <w:shd w:val="clear" w:color="auto" w:fill="auto"/>
                  <w:noWrap/>
                  <w:vAlign w:val="center"/>
                </w:tcPr>
                <w:p w14:paraId="1FF2E5CB">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81.15</w:t>
                  </w:r>
                </w:p>
              </w:tc>
              <w:tc>
                <w:tcPr>
                  <w:tcW w:w="683" w:type="dxa"/>
                  <w:tcBorders>
                    <w:tl2br w:val="nil"/>
                    <w:tr2bl w:val="nil"/>
                  </w:tcBorders>
                  <w:shd w:val="clear" w:color="auto" w:fill="auto"/>
                  <w:noWrap/>
                  <w:vAlign w:val="center"/>
                </w:tcPr>
                <w:p w14:paraId="58CACB9F">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952" w:type="dxa"/>
                  <w:tcBorders>
                    <w:tl2br w:val="nil"/>
                    <w:tr2bl w:val="nil"/>
                  </w:tcBorders>
                  <w:shd w:val="clear" w:color="auto" w:fill="auto"/>
                  <w:noWrap/>
                  <w:vAlign w:val="center"/>
                </w:tcPr>
                <w:p w14:paraId="17F8E5EE">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45EDF8E3">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55.15</w:t>
                  </w:r>
                </w:p>
              </w:tc>
              <w:tc>
                <w:tcPr>
                  <w:tcW w:w="749" w:type="dxa"/>
                  <w:tcBorders>
                    <w:tl2br w:val="nil"/>
                    <w:tr2bl w:val="nil"/>
                  </w:tcBorders>
                  <w:shd w:val="clear" w:color="auto" w:fill="auto"/>
                  <w:noWrap/>
                  <w:vAlign w:val="center"/>
                </w:tcPr>
                <w:p w14:paraId="2AC1AB9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6455EB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2E0E46C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27</w:t>
                  </w:r>
                </w:p>
              </w:tc>
              <w:tc>
                <w:tcPr>
                  <w:tcW w:w="846" w:type="dxa"/>
                  <w:vMerge w:val="continue"/>
                  <w:tcBorders>
                    <w:tl2br w:val="nil"/>
                    <w:tr2bl w:val="nil"/>
                  </w:tcBorders>
                  <w:shd w:val="clear" w:color="auto" w:fill="auto"/>
                  <w:noWrap/>
                  <w:vAlign w:val="center"/>
                </w:tcPr>
                <w:p w14:paraId="401E2E5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2461106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712D34C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3537A48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146F45B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7BE460E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27FD36F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6E4139D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西</w:t>
                  </w:r>
                </w:p>
              </w:tc>
              <w:tc>
                <w:tcPr>
                  <w:tcW w:w="913" w:type="dxa"/>
                  <w:tcBorders>
                    <w:tl2br w:val="nil"/>
                    <w:tr2bl w:val="nil"/>
                  </w:tcBorders>
                  <w:shd w:val="clear" w:color="auto" w:fill="auto"/>
                  <w:noWrap/>
                  <w:vAlign w:val="center"/>
                </w:tcPr>
                <w:p w14:paraId="4B24ADF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7.41</w:t>
                  </w:r>
                </w:p>
              </w:tc>
              <w:tc>
                <w:tcPr>
                  <w:tcW w:w="894" w:type="dxa"/>
                  <w:tcBorders>
                    <w:tl2br w:val="nil"/>
                    <w:tr2bl w:val="nil"/>
                  </w:tcBorders>
                  <w:shd w:val="clear" w:color="auto" w:fill="auto"/>
                  <w:noWrap/>
                  <w:vAlign w:val="center"/>
                </w:tcPr>
                <w:p w14:paraId="56C91F8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81.13</w:t>
                  </w:r>
                </w:p>
              </w:tc>
              <w:tc>
                <w:tcPr>
                  <w:tcW w:w="683" w:type="dxa"/>
                  <w:tcBorders>
                    <w:tl2br w:val="nil"/>
                    <w:tr2bl w:val="nil"/>
                  </w:tcBorders>
                  <w:shd w:val="clear" w:color="auto" w:fill="auto"/>
                  <w:noWrap/>
                  <w:vAlign w:val="center"/>
                </w:tcPr>
                <w:p w14:paraId="268F780A">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952" w:type="dxa"/>
                  <w:tcBorders>
                    <w:tl2br w:val="nil"/>
                    <w:tr2bl w:val="nil"/>
                  </w:tcBorders>
                  <w:shd w:val="clear" w:color="auto" w:fill="auto"/>
                  <w:noWrap/>
                  <w:vAlign w:val="center"/>
                </w:tcPr>
                <w:p w14:paraId="313377A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46C57981">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55.13</w:t>
                  </w:r>
                </w:p>
              </w:tc>
              <w:tc>
                <w:tcPr>
                  <w:tcW w:w="749" w:type="dxa"/>
                  <w:tcBorders>
                    <w:tl2br w:val="nil"/>
                    <w:tr2bl w:val="nil"/>
                  </w:tcBorders>
                  <w:shd w:val="clear" w:color="auto" w:fill="auto"/>
                  <w:noWrap/>
                  <w:vAlign w:val="center"/>
                </w:tcPr>
                <w:p w14:paraId="6A1FF0F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1869D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12" w:type="dxa"/>
                  <w:tcBorders>
                    <w:tl2br w:val="nil"/>
                    <w:tr2bl w:val="nil"/>
                  </w:tcBorders>
                  <w:shd w:val="clear" w:color="auto" w:fill="auto"/>
                  <w:noWrap/>
                  <w:vAlign w:val="center"/>
                </w:tcPr>
                <w:p w14:paraId="7A75777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28</w:t>
                  </w:r>
                </w:p>
              </w:tc>
              <w:tc>
                <w:tcPr>
                  <w:tcW w:w="846" w:type="dxa"/>
                  <w:vMerge w:val="continue"/>
                  <w:tcBorders>
                    <w:tl2br w:val="nil"/>
                    <w:tr2bl w:val="nil"/>
                  </w:tcBorders>
                  <w:shd w:val="clear" w:color="auto" w:fill="auto"/>
                  <w:noWrap/>
                  <w:vAlign w:val="center"/>
                </w:tcPr>
                <w:p w14:paraId="7103CF4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798" w:type="dxa"/>
                  <w:vMerge w:val="continue"/>
                  <w:tcBorders>
                    <w:tl2br w:val="nil"/>
                    <w:tr2bl w:val="nil"/>
                  </w:tcBorders>
                  <w:shd w:val="clear" w:color="auto" w:fill="auto"/>
                  <w:noWrap/>
                  <w:vAlign w:val="center"/>
                </w:tcPr>
                <w:p w14:paraId="1C0742B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p>
              </w:tc>
              <w:tc>
                <w:tcPr>
                  <w:tcW w:w="1019" w:type="dxa"/>
                  <w:vMerge w:val="continue"/>
                  <w:tcBorders>
                    <w:tl2br w:val="nil"/>
                    <w:tr2bl w:val="nil"/>
                  </w:tcBorders>
                  <w:shd w:val="clear" w:color="auto" w:fill="auto"/>
                  <w:noWrap/>
                  <w:vAlign w:val="center"/>
                </w:tcPr>
                <w:p w14:paraId="1BCDC41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125" w:type="dxa"/>
                  <w:vMerge w:val="continue"/>
                  <w:tcBorders>
                    <w:tl2br w:val="nil"/>
                    <w:tr2bl w:val="nil"/>
                  </w:tcBorders>
                  <w:shd w:val="clear" w:color="auto" w:fill="auto"/>
                  <w:noWrap/>
                  <w:vAlign w:val="center"/>
                </w:tcPr>
                <w:p w14:paraId="33F8C8B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37" w:type="dxa"/>
                  <w:vMerge w:val="continue"/>
                  <w:tcBorders>
                    <w:tl2br w:val="nil"/>
                    <w:tr2bl w:val="nil"/>
                  </w:tcBorders>
                  <w:shd w:val="clear" w:color="auto" w:fill="auto"/>
                  <w:noWrap/>
                  <w:vAlign w:val="center"/>
                </w:tcPr>
                <w:p w14:paraId="52739F3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5" w:type="dxa"/>
                  <w:vMerge w:val="continue"/>
                  <w:tcBorders>
                    <w:tl2br w:val="nil"/>
                    <w:tr2bl w:val="nil"/>
                  </w:tcBorders>
                  <w:shd w:val="clear" w:color="auto" w:fill="auto"/>
                  <w:noWrap/>
                  <w:vAlign w:val="center"/>
                </w:tcPr>
                <w:p w14:paraId="4E3914A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567" w:type="dxa"/>
                  <w:vMerge w:val="continue"/>
                  <w:tcBorders>
                    <w:tl2br w:val="nil"/>
                    <w:tr2bl w:val="nil"/>
                  </w:tcBorders>
                  <w:shd w:val="clear" w:color="auto" w:fill="auto"/>
                  <w:noWrap/>
                  <w:vAlign w:val="center"/>
                </w:tcPr>
                <w:p w14:paraId="4959AEC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452" w:type="dxa"/>
                  <w:tcBorders>
                    <w:tl2br w:val="nil"/>
                    <w:tr2bl w:val="nil"/>
                  </w:tcBorders>
                  <w:shd w:val="clear" w:color="auto" w:fill="auto"/>
                  <w:noWrap/>
                  <w:vAlign w:val="center"/>
                </w:tcPr>
                <w:p w14:paraId="5EBF15D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北</w:t>
                  </w:r>
                </w:p>
              </w:tc>
              <w:tc>
                <w:tcPr>
                  <w:tcW w:w="913" w:type="dxa"/>
                  <w:tcBorders>
                    <w:tl2br w:val="nil"/>
                    <w:tr2bl w:val="nil"/>
                  </w:tcBorders>
                  <w:shd w:val="clear" w:color="auto" w:fill="auto"/>
                  <w:noWrap/>
                  <w:vAlign w:val="center"/>
                </w:tcPr>
                <w:p w14:paraId="217EBEE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30.51</w:t>
                  </w:r>
                </w:p>
              </w:tc>
              <w:tc>
                <w:tcPr>
                  <w:tcW w:w="894" w:type="dxa"/>
                  <w:tcBorders>
                    <w:tl2br w:val="nil"/>
                    <w:tr2bl w:val="nil"/>
                  </w:tcBorders>
                  <w:shd w:val="clear" w:color="auto" w:fill="auto"/>
                  <w:noWrap/>
                  <w:vAlign w:val="center"/>
                </w:tcPr>
                <w:p w14:paraId="4F0CFF0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81.12</w:t>
                  </w:r>
                </w:p>
              </w:tc>
              <w:tc>
                <w:tcPr>
                  <w:tcW w:w="683" w:type="dxa"/>
                  <w:tcBorders>
                    <w:tl2br w:val="nil"/>
                    <w:tr2bl w:val="nil"/>
                  </w:tcBorders>
                  <w:shd w:val="clear" w:color="auto" w:fill="auto"/>
                  <w:noWrap/>
                  <w:vAlign w:val="center"/>
                </w:tcPr>
                <w:p w14:paraId="70AC1884">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昼间</w:t>
                  </w:r>
                </w:p>
              </w:tc>
              <w:tc>
                <w:tcPr>
                  <w:tcW w:w="952" w:type="dxa"/>
                  <w:tcBorders>
                    <w:tl2br w:val="nil"/>
                    <w:tr2bl w:val="nil"/>
                  </w:tcBorders>
                  <w:shd w:val="clear" w:color="auto" w:fill="auto"/>
                  <w:noWrap/>
                  <w:vAlign w:val="center"/>
                </w:tcPr>
                <w:p w14:paraId="4392AA68">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26</w:t>
                  </w:r>
                </w:p>
              </w:tc>
              <w:tc>
                <w:tcPr>
                  <w:tcW w:w="815" w:type="dxa"/>
                  <w:tcBorders>
                    <w:tl2br w:val="nil"/>
                    <w:tr2bl w:val="nil"/>
                  </w:tcBorders>
                  <w:shd w:val="clear" w:color="auto" w:fill="auto"/>
                  <w:noWrap/>
                  <w:vAlign w:val="center"/>
                </w:tcPr>
                <w:p w14:paraId="3A71AA5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55.12</w:t>
                  </w:r>
                </w:p>
              </w:tc>
              <w:tc>
                <w:tcPr>
                  <w:tcW w:w="749" w:type="dxa"/>
                  <w:tcBorders>
                    <w:tl2br w:val="nil"/>
                    <w:tr2bl w:val="nil"/>
                  </w:tcBorders>
                  <w:shd w:val="clear" w:color="auto" w:fill="auto"/>
                  <w:noWrap/>
                  <w:vAlign w:val="center"/>
                </w:tcPr>
                <w:p w14:paraId="283B170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bl>
          <w:p w14:paraId="2F9203E0">
            <w:pPr>
              <w:jc w:val="center"/>
              <w:rPr>
                <w:rFonts w:hint="default" w:ascii="Times New Roman" w:hAnsi="Times New Roman" w:eastAsia="宋体" w:cs="Times New Roman"/>
                <w:b/>
                <w:bCs/>
                <w:color w:val="auto"/>
                <w:sz w:val="21"/>
                <w:szCs w:val="21"/>
                <w:highlight w:val="none"/>
              </w:rPr>
            </w:pPr>
          </w:p>
          <w:p w14:paraId="493A680F">
            <w:pPr>
              <w:pStyle w:val="15"/>
              <w:numPr>
                <w:ilvl w:val="0"/>
                <w:numId w:val="19"/>
              </w:numPr>
              <w:ind w:left="425" w:leftChars="0" w:right="113" w:rightChars="0" w:hanging="425"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 xml:space="preserve"> 室外噪声源及源强</w:t>
            </w:r>
          </w:p>
          <w:tbl>
            <w:tblPr>
              <w:tblStyle w:val="32"/>
              <w:tblW w:w="1249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5"/>
              <w:gridCol w:w="2663"/>
              <w:gridCol w:w="878"/>
              <w:gridCol w:w="823"/>
              <w:gridCol w:w="794"/>
              <w:gridCol w:w="2079"/>
              <w:gridCol w:w="1824"/>
              <w:gridCol w:w="1602"/>
              <w:gridCol w:w="1325"/>
            </w:tblGrid>
            <w:tr w14:paraId="2B4FEA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5" w:type="dxa"/>
                  <w:vMerge w:val="restart"/>
                  <w:vAlign w:val="center"/>
                </w:tcPr>
                <w:p w14:paraId="6BB58EC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bookmarkStart w:id="18" w:name="PT_5"/>
                  <w:r>
                    <w:rPr>
                      <w:rFonts w:hint="default" w:ascii="Times New Roman" w:hAnsi="Times New Roman" w:eastAsia="宋体" w:cs="Times New Roman"/>
                      <w:b/>
                      <w:bCs/>
                      <w:color w:val="auto"/>
                      <w:sz w:val="21"/>
                      <w:szCs w:val="21"/>
                      <w:highlight w:val="none"/>
                      <w:lang w:val="en-US" w:eastAsia="zh-CN"/>
                    </w:rPr>
                    <w:t>序号</w:t>
                  </w:r>
                </w:p>
              </w:tc>
              <w:tc>
                <w:tcPr>
                  <w:tcW w:w="2663" w:type="dxa"/>
                  <w:vMerge w:val="restart"/>
                  <w:vAlign w:val="center"/>
                </w:tcPr>
                <w:p w14:paraId="697AC8D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声源名称</w:t>
                  </w:r>
                </w:p>
              </w:tc>
              <w:tc>
                <w:tcPr>
                  <w:tcW w:w="2495" w:type="dxa"/>
                  <w:gridSpan w:val="3"/>
                  <w:vAlign w:val="center"/>
                </w:tcPr>
                <w:p w14:paraId="20BAE4CC">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空间相对位置/m</w:t>
                  </w:r>
                </w:p>
              </w:tc>
              <w:tc>
                <w:tcPr>
                  <w:tcW w:w="3903" w:type="dxa"/>
                  <w:gridSpan w:val="2"/>
                  <w:vAlign w:val="center"/>
                </w:tcPr>
                <w:p w14:paraId="2D99B94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声源源强(任选一种</w:t>
                  </w:r>
                  <w:r>
                    <w:rPr>
                      <w:rFonts w:hint="eastAsia" w:cs="Times New Roman"/>
                      <w:b/>
                      <w:bCs/>
                      <w:color w:val="auto"/>
                      <w:sz w:val="21"/>
                      <w:szCs w:val="21"/>
                      <w:highlight w:val="none"/>
                      <w:lang w:val="en-US" w:eastAsia="zh-CN"/>
                    </w:rPr>
                    <w:t>）</w:t>
                  </w:r>
                </w:p>
              </w:tc>
              <w:tc>
                <w:tcPr>
                  <w:tcW w:w="1602" w:type="dxa"/>
                  <w:vMerge w:val="restart"/>
                  <w:vAlign w:val="center"/>
                </w:tcPr>
                <w:p w14:paraId="0CAEA35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声源控制措施</w:t>
                  </w:r>
                </w:p>
              </w:tc>
              <w:tc>
                <w:tcPr>
                  <w:tcW w:w="1325" w:type="dxa"/>
                  <w:vMerge w:val="restart"/>
                  <w:vAlign w:val="center"/>
                </w:tcPr>
                <w:p w14:paraId="2BFE444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运行时段</w:t>
                  </w:r>
                </w:p>
              </w:tc>
            </w:tr>
            <w:tr w14:paraId="2BD53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5" w:type="dxa"/>
                  <w:vMerge w:val="continue"/>
                  <w:shd w:val="clear" w:color="auto" w:fill="FFFFFF"/>
                  <w:vAlign w:val="center"/>
                </w:tcPr>
                <w:p w14:paraId="78062BE1">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2663" w:type="dxa"/>
                  <w:vMerge w:val="continue"/>
                  <w:shd w:val="clear" w:color="auto" w:fill="FFFFFF"/>
                  <w:vAlign w:val="center"/>
                </w:tcPr>
                <w:p w14:paraId="267110D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8" w:type="dxa"/>
                  <w:shd w:val="clear" w:color="auto" w:fill="auto"/>
                  <w:vAlign w:val="center"/>
                </w:tcPr>
                <w:p w14:paraId="21FE7E1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X</w:t>
                  </w:r>
                </w:p>
              </w:tc>
              <w:tc>
                <w:tcPr>
                  <w:tcW w:w="823" w:type="dxa"/>
                  <w:shd w:val="clear" w:color="auto" w:fill="auto"/>
                  <w:vAlign w:val="center"/>
                </w:tcPr>
                <w:p w14:paraId="57B7BF8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Y</w:t>
                  </w:r>
                </w:p>
              </w:tc>
              <w:tc>
                <w:tcPr>
                  <w:tcW w:w="794" w:type="dxa"/>
                  <w:shd w:val="clear" w:color="auto" w:fill="auto"/>
                  <w:vAlign w:val="center"/>
                </w:tcPr>
                <w:p w14:paraId="21B6481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Z</w:t>
                  </w:r>
                </w:p>
              </w:tc>
              <w:tc>
                <w:tcPr>
                  <w:tcW w:w="2079" w:type="dxa"/>
                  <w:shd w:val="clear" w:color="auto" w:fill="auto"/>
                  <w:vAlign w:val="center"/>
                </w:tcPr>
                <w:p w14:paraId="793E0F8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(声压级/距声源距离</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/(dB(A/m)</w:t>
                  </w:r>
                </w:p>
              </w:tc>
              <w:tc>
                <w:tcPr>
                  <w:tcW w:w="1824" w:type="dxa"/>
                  <w:shd w:val="clear" w:color="auto" w:fill="auto"/>
                  <w:vAlign w:val="center"/>
                </w:tcPr>
                <w:p w14:paraId="2845DB8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声功率级/dB(A)</w:t>
                  </w:r>
                </w:p>
              </w:tc>
              <w:tc>
                <w:tcPr>
                  <w:tcW w:w="1602" w:type="dxa"/>
                  <w:vMerge w:val="continue"/>
                  <w:shd w:val="clear" w:color="auto" w:fill="FFFFFF"/>
                  <w:vAlign w:val="center"/>
                </w:tcPr>
                <w:p w14:paraId="6F0C1BE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bookmarkEnd w:id="18"/>
              </w:tc>
              <w:tc>
                <w:tcPr>
                  <w:tcW w:w="1325" w:type="dxa"/>
                  <w:vMerge w:val="continue"/>
                  <w:shd w:val="clear" w:color="auto" w:fill="FFFFFF"/>
                  <w:vAlign w:val="center"/>
                </w:tcPr>
                <w:p w14:paraId="17EEC92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r>
            <w:tr w14:paraId="4040F9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77" w:hRule="atLeast"/>
              </w:trPr>
              <w:tc>
                <w:tcPr>
                  <w:tcW w:w="505" w:type="dxa"/>
                  <w:vMerge w:val="restart"/>
                  <w:shd w:val="clear" w:color="auto" w:fill="auto"/>
                  <w:vAlign w:val="center"/>
                </w:tcPr>
                <w:p w14:paraId="02B8100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2663" w:type="dxa"/>
                  <w:vMerge w:val="restart"/>
                  <w:shd w:val="clear" w:color="auto" w:fill="auto"/>
                  <w:vAlign w:val="center"/>
                </w:tcPr>
                <w:p w14:paraId="122EFAB7">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风机</w:t>
                  </w:r>
                </w:p>
              </w:tc>
              <w:tc>
                <w:tcPr>
                  <w:tcW w:w="878" w:type="dxa"/>
                  <w:vMerge w:val="restart"/>
                  <w:shd w:val="clear" w:color="auto" w:fill="auto"/>
                  <w:vAlign w:val="center"/>
                </w:tcPr>
                <w:p w14:paraId="435C7D6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390.3</w:t>
                  </w:r>
                </w:p>
              </w:tc>
              <w:tc>
                <w:tcPr>
                  <w:tcW w:w="823" w:type="dxa"/>
                  <w:vMerge w:val="restart"/>
                  <w:shd w:val="clear" w:color="auto" w:fill="auto"/>
                  <w:vAlign w:val="center"/>
                </w:tcPr>
                <w:p w14:paraId="0496BBF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267.85</w:t>
                  </w:r>
                </w:p>
              </w:tc>
              <w:tc>
                <w:tcPr>
                  <w:tcW w:w="794" w:type="dxa"/>
                  <w:vMerge w:val="restart"/>
                  <w:shd w:val="clear" w:color="auto" w:fill="auto"/>
                  <w:vAlign w:val="center"/>
                </w:tcPr>
                <w:p w14:paraId="01DD576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2079" w:type="dxa"/>
                  <w:vMerge w:val="restart"/>
                  <w:shd w:val="clear" w:color="auto" w:fill="auto"/>
                  <w:vAlign w:val="center"/>
                </w:tcPr>
                <w:p w14:paraId="7A657E4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824" w:type="dxa"/>
                  <w:vMerge w:val="restart"/>
                  <w:shd w:val="clear" w:color="auto" w:fill="auto"/>
                  <w:vAlign w:val="center"/>
                </w:tcPr>
                <w:p w14:paraId="12D01448">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85</w:t>
                  </w:r>
                </w:p>
              </w:tc>
              <w:tc>
                <w:tcPr>
                  <w:tcW w:w="1602" w:type="dxa"/>
                  <w:vMerge w:val="restart"/>
                  <w:shd w:val="clear" w:color="auto" w:fill="auto"/>
                  <w:vAlign w:val="center"/>
                </w:tcPr>
                <w:p w14:paraId="6BB4B05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color w:val="auto"/>
                      <w:spacing w:val="-2"/>
                      <w:sz w:val="18"/>
                      <w:szCs w:val="18"/>
                      <w:highlight w:val="none"/>
                    </w:rPr>
                    <w:t>隔声罩</w:t>
                  </w:r>
                  <w:r>
                    <w:rPr>
                      <w:rFonts w:ascii="Times New Roman" w:hAnsi="Times New Roman" w:eastAsia="Times New Roman" w:cs="Times New Roman"/>
                      <w:color w:val="auto"/>
                      <w:spacing w:val="-2"/>
                      <w:sz w:val="18"/>
                      <w:szCs w:val="18"/>
                      <w:highlight w:val="none"/>
                    </w:rPr>
                    <w:t>+</w:t>
                  </w:r>
                  <w:r>
                    <w:rPr>
                      <w:color w:val="auto"/>
                      <w:spacing w:val="-2"/>
                      <w:sz w:val="18"/>
                      <w:szCs w:val="18"/>
                      <w:highlight w:val="none"/>
                    </w:rPr>
                    <w:t>隔振元件</w:t>
                  </w:r>
                  <w:r>
                    <w:rPr>
                      <w:rFonts w:ascii="Times New Roman" w:hAnsi="Times New Roman" w:eastAsia="Times New Roman" w:cs="Times New Roman"/>
                      <w:color w:val="auto"/>
                      <w:spacing w:val="-2"/>
                      <w:sz w:val="18"/>
                      <w:szCs w:val="18"/>
                      <w:highlight w:val="none"/>
                    </w:rPr>
                    <w:t>+</w:t>
                  </w:r>
                  <w:r>
                    <w:rPr>
                      <w:color w:val="auto"/>
                      <w:spacing w:val="-2"/>
                      <w:sz w:val="18"/>
                      <w:szCs w:val="18"/>
                      <w:highlight w:val="none"/>
                    </w:rPr>
                    <w:t>弹性连接</w:t>
                  </w:r>
                </w:p>
              </w:tc>
              <w:tc>
                <w:tcPr>
                  <w:tcW w:w="1325" w:type="dxa"/>
                  <w:tcBorders>
                    <w:bottom w:val="single" w:color="000000" w:sz="8" w:space="0"/>
                  </w:tcBorders>
                  <w:shd w:val="clear" w:color="auto" w:fill="auto"/>
                  <w:vAlign w:val="center"/>
                </w:tcPr>
                <w:p w14:paraId="5EBD1A7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r>
            <w:tr w14:paraId="034AB4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05" w:hRule="atLeast"/>
              </w:trPr>
              <w:tc>
                <w:tcPr>
                  <w:tcW w:w="505" w:type="dxa"/>
                  <w:vMerge w:val="continue"/>
                  <w:shd w:val="clear" w:color="auto" w:fill="auto"/>
                  <w:vAlign w:val="center"/>
                </w:tcPr>
                <w:p w14:paraId="4E460AAC">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2663" w:type="dxa"/>
                  <w:vMerge w:val="continue"/>
                  <w:shd w:val="clear" w:color="auto" w:fill="auto"/>
                  <w:vAlign w:val="center"/>
                </w:tcPr>
                <w:p w14:paraId="1BCD9E16">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878" w:type="dxa"/>
                  <w:vMerge w:val="continue"/>
                  <w:shd w:val="clear" w:color="auto" w:fill="auto"/>
                  <w:vAlign w:val="center"/>
                </w:tcPr>
                <w:p w14:paraId="3EAB56A8">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823" w:type="dxa"/>
                  <w:vMerge w:val="continue"/>
                  <w:shd w:val="clear" w:color="auto" w:fill="auto"/>
                  <w:vAlign w:val="center"/>
                </w:tcPr>
                <w:p w14:paraId="3AD49274">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794" w:type="dxa"/>
                  <w:vMerge w:val="continue"/>
                  <w:shd w:val="clear" w:color="auto" w:fill="auto"/>
                  <w:vAlign w:val="center"/>
                </w:tcPr>
                <w:p w14:paraId="34F6122F">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2079" w:type="dxa"/>
                  <w:vMerge w:val="continue"/>
                  <w:shd w:val="clear" w:color="auto" w:fill="auto"/>
                  <w:vAlign w:val="center"/>
                </w:tcPr>
                <w:p w14:paraId="7E13B90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824" w:type="dxa"/>
                  <w:vMerge w:val="continue"/>
                  <w:shd w:val="clear" w:color="auto" w:fill="auto"/>
                  <w:vAlign w:val="center"/>
                </w:tcPr>
                <w:p w14:paraId="2626FE1B">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602" w:type="dxa"/>
                  <w:vMerge w:val="continue"/>
                  <w:shd w:val="clear" w:color="auto" w:fill="auto"/>
                  <w:vAlign w:val="center"/>
                </w:tcPr>
                <w:p w14:paraId="610E6A9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25" w:type="dxa"/>
                  <w:tcBorders>
                    <w:top w:val="single" w:color="000000" w:sz="8" w:space="0"/>
                  </w:tcBorders>
                  <w:shd w:val="clear" w:color="auto" w:fill="auto"/>
                  <w:vAlign w:val="center"/>
                </w:tcPr>
                <w:p w14:paraId="2B700F5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夜间</w:t>
                  </w:r>
                </w:p>
              </w:tc>
            </w:tr>
            <w:tr w14:paraId="435A4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77" w:hRule="atLeast"/>
              </w:trPr>
              <w:tc>
                <w:tcPr>
                  <w:tcW w:w="505" w:type="dxa"/>
                  <w:vMerge w:val="restart"/>
                  <w:shd w:val="clear" w:color="auto" w:fill="auto"/>
                  <w:vAlign w:val="center"/>
                </w:tcPr>
                <w:p w14:paraId="54B32F62">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2663" w:type="dxa"/>
                  <w:vMerge w:val="restart"/>
                  <w:shd w:val="clear" w:color="auto" w:fill="auto"/>
                  <w:vAlign w:val="center"/>
                </w:tcPr>
                <w:p w14:paraId="37716B7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污水泵</w:t>
                  </w:r>
                </w:p>
              </w:tc>
              <w:tc>
                <w:tcPr>
                  <w:tcW w:w="878" w:type="dxa"/>
                  <w:vMerge w:val="restart"/>
                  <w:shd w:val="clear" w:color="auto" w:fill="auto"/>
                  <w:vAlign w:val="center"/>
                </w:tcPr>
                <w:p w14:paraId="017034F5">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387.23</w:t>
                  </w:r>
                </w:p>
              </w:tc>
              <w:tc>
                <w:tcPr>
                  <w:tcW w:w="823" w:type="dxa"/>
                  <w:vMerge w:val="restart"/>
                  <w:shd w:val="clear" w:color="auto" w:fill="auto"/>
                  <w:vAlign w:val="center"/>
                </w:tcPr>
                <w:p w14:paraId="657C9B1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263.6</w:t>
                  </w:r>
                </w:p>
              </w:tc>
              <w:tc>
                <w:tcPr>
                  <w:tcW w:w="794" w:type="dxa"/>
                  <w:vMerge w:val="restart"/>
                  <w:shd w:val="clear" w:color="auto" w:fill="auto"/>
                  <w:vAlign w:val="center"/>
                </w:tcPr>
                <w:p w14:paraId="1B82412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2079" w:type="dxa"/>
                  <w:vMerge w:val="restart"/>
                  <w:shd w:val="clear" w:color="auto" w:fill="auto"/>
                  <w:vAlign w:val="center"/>
                </w:tcPr>
                <w:p w14:paraId="10A4A95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824" w:type="dxa"/>
                  <w:vMerge w:val="restart"/>
                  <w:shd w:val="clear" w:color="auto" w:fill="auto"/>
                  <w:vAlign w:val="center"/>
                </w:tcPr>
                <w:p w14:paraId="15FB1CB9">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80</w:t>
                  </w:r>
                </w:p>
              </w:tc>
              <w:tc>
                <w:tcPr>
                  <w:tcW w:w="1602" w:type="dxa"/>
                  <w:vMerge w:val="continue"/>
                  <w:shd w:val="clear" w:color="auto" w:fill="auto"/>
                  <w:vAlign w:val="center"/>
                </w:tcPr>
                <w:p w14:paraId="6576CE23">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25" w:type="dxa"/>
                  <w:tcBorders>
                    <w:bottom w:val="single" w:color="000000" w:sz="8" w:space="0"/>
                  </w:tcBorders>
                  <w:shd w:val="clear" w:color="auto" w:fill="auto"/>
                  <w:vAlign w:val="center"/>
                </w:tcPr>
                <w:p w14:paraId="6878C260">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昼间</w:t>
                  </w:r>
                </w:p>
              </w:tc>
            </w:tr>
            <w:tr w14:paraId="5A7D40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35" w:hRule="atLeast"/>
              </w:trPr>
              <w:tc>
                <w:tcPr>
                  <w:tcW w:w="505" w:type="dxa"/>
                  <w:vMerge w:val="continue"/>
                  <w:shd w:val="clear" w:color="auto" w:fill="auto"/>
                  <w:vAlign w:val="center"/>
                </w:tcPr>
                <w:p w14:paraId="623ECF5C">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2663" w:type="dxa"/>
                  <w:vMerge w:val="continue"/>
                  <w:shd w:val="clear" w:color="auto" w:fill="auto"/>
                  <w:vAlign w:val="center"/>
                </w:tcPr>
                <w:p w14:paraId="31EDAEF9">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878" w:type="dxa"/>
                  <w:vMerge w:val="continue"/>
                  <w:shd w:val="clear" w:color="auto" w:fill="auto"/>
                  <w:vAlign w:val="center"/>
                </w:tcPr>
                <w:p w14:paraId="63E81626">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823" w:type="dxa"/>
                  <w:vMerge w:val="continue"/>
                  <w:shd w:val="clear" w:color="auto" w:fill="auto"/>
                  <w:vAlign w:val="center"/>
                </w:tcPr>
                <w:p w14:paraId="71D59781">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794" w:type="dxa"/>
                  <w:vMerge w:val="continue"/>
                  <w:shd w:val="clear" w:color="auto" w:fill="auto"/>
                  <w:vAlign w:val="center"/>
                </w:tcPr>
                <w:p w14:paraId="4951C972">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p>
              </w:tc>
              <w:tc>
                <w:tcPr>
                  <w:tcW w:w="2079" w:type="dxa"/>
                  <w:vMerge w:val="continue"/>
                  <w:shd w:val="clear" w:color="auto" w:fill="auto"/>
                  <w:vAlign w:val="center"/>
                </w:tcPr>
                <w:p w14:paraId="212778EA">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824" w:type="dxa"/>
                  <w:vMerge w:val="continue"/>
                  <w:shd w:val="clear" w:color="auto" w:fill="auto"/>
                  <w:vAlign w:val="center"/>
                </w:tcPr>
                <w:p w14:paraId="2A37496F">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602" w:type="dxa"/>
                  <w:vMerge w:val="continue"/>
                  <w:shd w:val="clear" w:color="auto" w:fill="auto"/>
                  <w:vAlign w:val="center"/>
                </w:tcPr>
                <w:p w14:paraId="6921A59E">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25" w:type="dxa"/>
                  <w:tcBorders>
                    <w:top w:val="single" w:color="000000" w:sz="8" w:space="0"/>
                  </w:tcBorders>
                  <w:shd w:val="clear" w:color="auto" w:fill="auto"/>
                  <w:vAlign w:val="center"/>
                </w:tcPr>
                <w:p w14:paraId="4D5E3C24">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夜间</w:t>
                  </w:r>
                </w:p>
              </w:tc>
            </w:tr>
          </w:tbl>
          <w:p w14:paraId="49381754">
            <w:pPr>
              <w:ind w:firstLine="420"/>
              <w:jc w:val="center"/>
              <w:rPr>
                <w:rFonts w:hint="default" w:ascii="Times New Roman" w:hAnsi="Times New Roman" w:eastAsia="宋体" w:cs="Times New Roman"/>
                <w:color w:val="auto"/>
                <w:sz w:val="21"/>
                <w:szCs w:val="21"/>
                <w:highlight w:val="none"/>
              </w:rPr>
            </w:pPr>
          </w:p>
        </w:tc>
      </w:tr>
    </w:tbl>
    <w:p w14:paraId="6695BBEA">
      <w:pPr>
        <w:rPr>
          <w:rFonts w:hint="default" w:ascii="Times New Roman" w:hAnsi="Times New Roman" w:eastAsia="宋体" w:cs="Times New Roman"/>
          <w:color w:val="auto"/>
          <w:highlight w:val="none"/>
        </w:rPr>
        <w:sectPr>
          <w:pgSz w:w="16840" w:h="11907" w:orient="landscape"/>
          <w:pgMar w:top="1531" w:right="1701" w:bottom="1531" w:left="1559"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8452"/>
      </w:tblGrid>
      <w:tr w14:paraId="79EE07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06" w:hRule="atLeast"/>
          <w:jc w:val="center"/>
        </w:trPr>
        <w:tc>
          <w:tcPr>
            <w:tcW w:w="614" w:type="dxa"/>
            <w:tcMar>
              <w:left w:w="28" w:type="dxa"/>
              <w:right w:w="28" w:type="dxa"/>
            </w:tcMar>
            <w:vAlign w:val="center"/>
          </w:tcPr>
          <w:p w14:paraId="78EDADA2">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运营</w:t>
            </w:r>
          </w:p>
          <w:p w14:paraId="68C0BBCE">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期环</w:t>
            </w:r>
          </w:p>
          <w:p w14:paraId="38CCF8E5">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境影</w:t>
            </w:r>
          </w:p>
          <w:p w14:paraId="7DC66FDE">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响和</w:t>
            </w:r>
          </w:p>
          <w:p w14:paraId="147F5B26">
            <w:pPr>
              <w:adjustRightInd w:val="0"/>
              <w:snapToGrid w:val="0"/>
              <w:jc w:val="center"/>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保护</w:t>
            </w:r>
          </w:p>
          <w:p w14:paraId="1446B9B8">
            <w:pPr>
              <w:pStyle w:val="27"/>
              <w:adjustRightInd w:val="0"/>
              <w:snapToGrid w:val="0"/>
              <w:spacing w:before="0" w:beforeAutospacing="0" w:after="0" w:afterAutospacing="0"/>
              <w:jc w:val="center"/>
              <w:rPr>
                <w:rFonts w:hint="default" w:ascii="Times New Roman" w:hAnsi="Times New Roman" w:eastAsia="宋体" w:cs="Times New Roman"/>
                <w:color w:val="auto"/>
                <w:kern w:val="2"/>
                <w:szCs w:val="24"/>
                <w:highlight w:val="none"/>
              </w:rPr>
            </w:pPr>
            <w:r>
              <w:rPr>
                <w:rFonts w:hint="default" w:ascii="Times New Roman" w:hAnsi="Times New Roman" w:eastAsia="宋体" w:cs="Times New Roman"/>
                <w:bCs/>
                <w:color w:val="auto"/>
                <w:szCs w:val="24"/>
                <w:highlight w:val="none"/>
              </w:rPr>
              <w:t>措施</w:t>
            </w:r>
          </w:p>
        </w:tc>
        <w:tc>
          <w:tcPr>
            <w:tcW w:w="8367" w:type="dxa"/>
            <w:vAlign w:val="center"/>
          </w:tcPr>
          <w:p w14:paraId="68FD04C0">
            <w:pPr>
              <w:adjustRightInd w:val="0"/>
              <w:snapToGrid w:val="0"/>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2、治理措施</w:t>
            </w:r>
          </w:p>
          <w:p w14:paraId="4B06B54B">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为实现厂界噪声达标排放，降低噪声对周围环境的影响，环评要求建设 单位应采取以下噪声治理措施：</w:t>
            </w:r>
          </w:p>
          <w:p w14:paraId="64CE9C51">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（1）</w:t>
            </w:r>
            <w:r>
              <w:rPr>
                <w:rFonts w:hint="eastAsia" w:ascii="Times New Roman" w:hAnsi="Times New Roman" w:eastAsia="宋体" w:cs="Times New Roman"/>
                <w:snapToGrid w:val="0"/>
                <w:color w:val="auto"/>
                <w:highlight w:val="none"/>
                <w:lang w:val="en-US" w:eastAsia="zh-CN"/>
              </w:rPr>
              <w:t>猪</w:t>
            </w:r>
            <w:r>
              <w:rPr>
                <w:rFonts w:hint="default" w:ascii="Times New Roman" w:hAnsi="Times New Roman" w:eastAsia="宋体" w:cs="Times New Roman"/>
                <w:snapToGrid w:val="0"/>
                <w:color w:val="auto"/>
                <w:highlight w:val="none"/>
              </w:rPr>
              <w:t>叫声属于偶发噪声源，屠宰场通过加强管理、厂房隔声；同时应减少外界噪声对待宰圈的干扰，避免因惊吓而产生不安，使</w:t>
            </w:r>
            <w:r>
              <w:rPr>
                <w:rFonts w:hint="eastAsia" w:ascii="Times New Roman" w:hAnsi="Times New Roman" w:eastAsia="宋体" w:cs="Times New Roman"/>
                <w:snapToGrid w:val="0"/>
                <w:color w:val="auto"/>
                <w:highlight w:val="none"/>
                <w:lang w:val="en-US" w:eastAsia="zh-CN"/>
              </w:rPr>
              <w:t>猪</w:t>
            </w:r>
            <w:r>
              <w:rPr>
                <w:rFonts w:hint="default" w:ascii="Times New Roman" w:hAnsi="Times New Roman" w:eastAsia="宋体" w:cs="Times New Roman"/>
                <w:snapToGrid w:val="0"/>
                <w:color w:val="auto"/>
                <w:highlight w:val="none"/>
              </w:rPr>
              <w:t>保持安定平和的气氛，以缓解</w:t>
            </w:r>
            <w:r>
              <w:rPr>
                <w:rFonts w:hint="eastAsia" w:ascii="Times New Roman" w:hAnsi="Times New Roman" w:eastAsia="宋体" w:cs="Times New Roman"/>
                <w:snapToGrid w:val="0"/>
                <w:color w:val="auto"/>
                <w:highlight w:val="none"/>
                <w:lang w:val="en-US" w:eastAsia="zh-CN"/>
              </w:rPr>
              <w:t>猪</w:t>
            </w:r>
            <w:r>
              <w:rPr>
                <w:rFonts w:hint="default" w:ascii="Times New Roman" w:hAnsi="Times New Roman" w:eastAsia="宋体" w:cs="Times New Roman"/>
                <w:snapToGrid w:val="0"/>
                <w:color w:val="auto"/>
                <w:highlight w:val="none"/>
              </w:rPr>
              <w:t>的不安情绪，将</w:t>
            </w:r>
            <w:r>
              <w:rPr>
                <w:rFonts w:hint="eastAsia" w:ascii="Times New Roman" w:hAnsi="Times New Roman" w:eastAsia="宋体" w:cs="Times New Roman"/>
                <w:snapToGrid w:val="0"/>
                <w:color w:val="auto"/>
                <w:highlight w:val="none"/>
                <w:lang w:val="en-US" w:eastAsia="zh-CN"/>
              </w:rPr>
              <w:t>猪</w:t>
            </w:r>
            <w:r>
              <w:rPr>
                <w:rFonts w:hint="default" w:ascii="Times New Roman" w:hAnsi="Times New Roman" w:eastAsia="宋体" w:cs="Times New Roman"/>
                <w:snapToGrid w:val="0"/>
                <w:color w:val="auto"/>
                <w:highlight w:val="none"/>
              </w:rPr>
              <w:t>运进的时间安排在昼间，尽可能的减少</w:t>
            </w:r>
            <w:r>
              <w:rPr>
                <w:rFonts w:hint="eastAsia" w:ascii="Times New Roman" w:hAnsi="Times New Roman" w:eastAsia="宋体" w:cs="Times New Roman"/>
                <w:snapToGrid w:val="0"/>
                <w:color w:val="auto"/>
                <w:highlight w:val="none"/>
                <w:lang w:val="en-US" w:eastAsia="zh-CN"/>
              </w:rPr>
              <w:t>猪</w:t>
            </w:r>
            <w:r>
              <w:rPr>
                <w:rFonts w:hint="default" w:ascii="Times New Roman" w:hAnsi="Times New Roman" w:eastAsia="宋体" w:cs="Times New Roman"/>
                <w:snapToGrid w:val="0"/>
                <w:color w:val="auto"/>
                <w:highlight w:val="none"/>
              </w:rPr>
              <w:t>叫声对外环境的影响；</w:t>
            </w:r>
          </w:p>
          <w:p w14:paraId="5E3DBCE2">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（2）选用低噪声设备，定期进行设备检修，保证设备的正常运转，降低故障性噪声排放；</w:t>
            </w:r>
          </w:p>
          <w:p w14:paraId="2DF9FB0D">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（3）产噪设备合理布局，利用建筑隔声，有效利用距离衰减；</w:t>
            </w:r>
          </w:p>
          <w:p w14:paraId="1472696D">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（4）配套风机和水泵采用低噪声设备，进出口用软管连接，污水处理设备房、废气处理设备房采取吸声材料和隔声门窗加强隔声；</w:t>
            </w:r>
          </w:p>
          <w:p w14:paraId="7BEC48C5">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（5）</w:t>
            </w:r>
            <w:r>
              <w:rPr>
                <w:rFonts w:hint="eastAsia" w:ascii="Times New Roman" w:hAnsi="Times New Roman" w:eastAsia="宋体" w:cs="Times New Roman"/>
                <w:snapToGrid w:val="0"/>
                <w:color w:val="auto"/>
                <w:highlight w:val="none"/>
                <w:lang w:val="en-US" w:eastAsia="zh-CN"/>
              </w:rPr>
              <w:t>一体化</w:t>
            </w:r>
            <w:r>
              <w:rPr>
                <w:rFonts w:hint="default" w:ascii="Times New Roman" w:hAnsi="Times New Roman" w:eastAsia="宋体" w:cs="Times New Roman"/>
                <w:snapToGrid w:val="0"/>
                <w:color w:val="auto"/>
                <w:highlight w:val="none"/>
              </w:rPr>
              <w:t>污水处理</w:t>
            </w:r>
            <w:r>
              <w:rPr>
                <w:rFonts w:hint="eastAsia" w:ascii="Times New Roman" w:hAnsi="Times New Roman" w:eastAsia="宋体" w:cs="Times New Roman"/>
                <w:snapToGrid w:val="0"/>
                <w:color w:val="auto"/>
                <w:highlight w:val="none"/>
                <w:lang w:val="en-US" w:eastAsia="zh-CN"/>
              </w:rPr>
              <w:t>设施至于密闭房间内</w:t>
            </w:r>
            <w:r>
              <w:rPr>
                <w:rFonts w:hint="default" w:ascii="Times New Roman" w:hAnsi="Times New Roman" w:eastAsia="宋体" w:cs="Times New Roman"/>
                <w:snapToGrid w:val="0"/>
                <w:color w:val="auto"/>
                <w:highlight w:val="none"/>
              </w:rPr>
              <w:t>；</w:t>
            </w:r>
          </w:p>
          <w:p w14:paraId="08A54E27">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（6）进出场内车辆要求限速、禁止鸣笛；</w:t>
            </w:r>
          </w:p>
          <w:p w14:paraId="4CB22C97">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（7）加强场内绿化。</w:t>
            </w:r>
          </w:p>
          <w:p w14:paraId="35448045">
            <w:pPr>
              <w:autoSpaceDE w:val="0"/>
              <w:autoSpaceDN w:val="0"/>
              <w:adjustRightInd w:val="0"/>
              <w:snapToGrid w:val="0"/>
              <w:spacing w:line="360" w:lineRule="auto"/>
              <w:ind w:firstLine="482" w:firstLineChars="20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3、噪声影响分析</w:t>
            </w:r>
          </w:p>
          <w:p w14:paraId="5A08205F">
            <w:pPr>
              <w:autoSpaceDE w:val="0"/>
              <w:autoSpaceDN w:val="0"/>
              <w:adjustRightInd w:val="0"/>
              <w:snapToGrid w:val="0"/>
              <w:spacing w:line="360" w:lineRule="auto"/>
              <w:ind w:left="480" w:left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①预测模式</w:t>
            </w:r>
          </w:p>
          <w:p w14:paraId="256A66EE">
            <w:pPr>
              <w:pStyle w:val="101"/>
              <w:ind w:firstLine="482"/>
              <w:textAlignment w:val="baseline"/>
              <w:rPr>
                <w:rFonts w:hint="default" w:ascii="Times New Roman" w:hAnsi="Times New Roman" w:eastAsia="宋体" w:cs="Times New Roman"/>
                <w:b/>
                <w:bCs/>
                <w:snapToGrid w:val="0"/>
                <w:color w:val="auto"/>
                <w:highlight w:val="none"/>
              </w:rPr>
            </w:pPr>
            <w:r>
              <w:rPr>
                <w:rFonts w:hint="default" w:ascii="Times New Roman" w:hAnsi="Times New Roman" w:eastAsia="宋体" w:cs="Times New Roman"/>
                <w:b/>
                <w:bCs/>
                <w:snapToGrid w:val="0"/>
                <w:color w:val="auto"/>
                <w:highlight w:val="none"/>
              </w:rPr>
              <w:t>室内声源等效室外声源声功率级计算方法：</w:t>
            </w:r>
          </w:p>
          <w:p w14:paraId="007D4131">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设靠近开口处(或窗户</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室内、室外某倍频带的声压级或A声级分别为Lp1和Lp2。若声源所在室内声场为近似扩散声场，则室外的倍频带声压级可按式(B.1</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近似求出：</w:t>
            </w:r>
          </w:p>
          <w:p w14:paraId="09FC7440">
            <w:pPr>
              <w:pStyle w:val="101"/>
              <w:snapToGrid w:val="0"/>
              <w:ind w:firstLine="0" w:firstLineChars="0"/>
              <w:jc w:val="center"/>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drawing>
                <wp:inline distT="0" distB="0" distL="0" distR="0">
                  <wp:extent cx="2229485" cy="337820"/>
                  <wp:effectExtent l="0" t="0" r="18415" b="5080"/>
                  <wp:docPr id="128782780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827806" name="图片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2229485" cy="337820"/>
                          </a:xfrm>
                          <a:prstGeom prst="rect">
                            <a:avLst/>
                          </a:prstGeom>
                          <a:noFill/>
                          <a:ln>
                            <a:noFill/>
                          </a:ln>
                          <a:effectLst/>
                        </pic:spPr>
                      </pic:pic>
                    </a:graphicData>
                  </a:graphic>
                </wp:inline>
              </w:drawing>
            </w:r>
          </w:p>
          <w:p w14:paraId="59F9E7BC">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式中：L</w:t>
            </w:r>
            <w:r>
              <w:rPr>
                <w:rFonts w:hint="default" w:ascii="Times New Roman" w:hAnsi="Times New Roman" w:eastAsia="宋体" w:cs="Times New Roman"/>
                <w:snapToGrid w:val="0"/>
                <w:color w:val="auto"/>
                <w:highlight w:val="none"/>
                <w:vertAlign w:val="subscript"/>
              </w:rPr>
              <w:t>p1</w:t>
            </w:r>
            <w:r>
              <w:rPr>
                <w:rFonts w:hint="default" w:ascii="Times New Roman" w:hAnsi="Times New Roman" w:eastAsia="宋体" w:cs="Times New Roman"/>
                <w:snapToGrid w:val="0"/>
                <w:color w:val="auto"/>
                <w:highlight w:val="none"/>
              </w:rPr>
              <w:t>——靠近开口处(或窗户</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室内某倍频带的声压级或A声级，dB；</w:t>
            </w:r>
          </w:p>
          <w:p w14:paraId="3B74882F">
            <w:pPr>
              <w:pStyle w:val="101"/>
              <w:snapToGrid w:val="0"/>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L</w:t>
            </w:r>
            <w:r>
              <w:rPr>
                <w:rFonts w:hint="default" w:ascii="Times New Roman" w:hAnsi="Times New Roman" w:eastAsia="宋体" w:cs="Times New Roman"/>
                <w:snapToGrid w:val="0"/>
                <w:color w:val="auto"/>
                <w:highlight w:val="none"/>
                <w:vertAlign w:val="subscript"/>
              </w:rPr>
              <w:t>p2</w:t>
            </w:r>
            <w:r>
              <w:rPr>
                <w:rFonts w:hint="default" w:ascii="Times New Roman" w:hAnsi="Times New Roman" w:eastAsia="宋体" w:cs="Times New Roman"/>
                <w:snapToGrid w:val="0"/>
                <w:color w:val="auto"/>
                <w:highlight w:val="none"/>
              </w:rPr>
              <w:t>——靠近开口处(或窗户</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室外某倍频带的声压级或A声级，dB；</w:t>
            </w:r>
          </w:p>
          <w:p w14:paraId="01539049">
            <w:pPr>
              <w:pStyle w:val="101"/>
              <w:snapToGrid w:val="0"/>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TL——隔墙(或窗户</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倍频带或A声级的隔声量，dB。</w:t>
            </w:r>
          </w:p>
          <w:p w14:paraId="719FCF38">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也可按式(B.2</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计算某一室内声源靠近围护结构处产生的倍频带声压级或A 声级：</w:t>
            </w:r>
          </w:p>
          <w:p w14:paraId="623A97CF">
            <w:pPr>
              <w:pStyle w:val="101"/>
              <w:ind w:firstLine="0" w:firstLineChars="0"/>
              <w:jc w:val="center"/>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w:t>
            </w:r>
            <w:r>
              <w:rPr>
                <w:rFonts w:hint="default" w:ascii="Times New Roman" w:hAnsi="Times New Roman" w:eastAsia="宋体" w:cs="Times New Roman"/>
                <w:color w:val="auto"/>
                <w:highlight w:val="none"/>
              </w:rPr>
              <w:drawing>
                <wp:inline distT="0" distB="0" distL="0" distR="0">
                  <wp:extent cx="2665730" cy="485140"/>
                  <wp:effectExtent l="0" t="0" r="1270" b="10160"/>
                  <wp:docPr id="3432235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3537" name="图片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2665730" cy="485140"/>
                          </a:xfrm>
                          <a:prstGeom prst="rect">
                            <a:avLst/>
                          </a:prstGeom>
                          <a:noFill/>
                          <a:ln>
                            <a:noFill/>
                          </a:ln>
                          <a:effectLst/>
                        </pic:spPr>
                      </pic:pic>
                    </a:graphicData>
                  </a:graphic>
                </wp:inline>
              </w:drawing>
            </w:r>
          </w:p>
          <w:p w14:paraId="070972B8">
            <w:pPr>
              <w:pStyle w:val="101"/>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式中：L</w:t>
            </w:r>
            <w:r>
              <w:rPr>
                <w:rFonts w:hint="default" w:ascii="Times New Roman" w:hAnsi="Times New Roman" w:eastAsia="宋体" w:cs="Times New Roman"/>
                <w:snapToGrid w:val="0"/>
                <w:color w:val="auto"/>
                <w:highlight w:val="none"/>
                <w:vertAlign w:val="subscript"/>
              </w:rPr>
              <w:t>p1</w:t>
            </w:r>
            <w:r>
              <w:rPr>
                <w:rFonts w:hint="default" w:ascii="Times New Roman" w:hAnsi="Times New Roman" w:eastAsia="宋体" w:cs="Times New Roman"/>
                <w:snapToGrid w:val="0"/>
                <w:color w:val="auto"/>
                <w:highlight w:val="none"/>
              </w:rPr>
              <w:t>——靠近开口处(或窗户</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室内某倍频带的声压级或A声级，dB；</w:t>
            </w:r>
          </w:p>
          <w:p w14:paraId="3FDA5FC8">
            <w:pPr>
              <w:pStyle w:val="101"/>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Lw——点声源声功率级(A计权或倍频带</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，dB；</w:t>
            </w:r>
          </w:p>
          <w:p w14:paraId="2D147C31">
            <w:pPr>
              <w:pStyle w:val="101"/>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Q——指向性因数；通常对无指向性声源，当声源放在房间中心时，Q=1；当放在一面墙的中心时，Q=2；当放在两面墙夹角处时，Q=4；当放在三面墙夹角处时，Q=8；</w:t>
            </w:r>
          </w:p>
          <w:p w14:paraId="72B7F7A3">
            <w:pPr>
              <w:widowControl/>
              <w:spacing w:line="360" w:lineRule="auto"/>
              <w:ind w:firstLine="1200" w:firstLineChars="500"/>
              <w:jc w:val="left"/>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R——房间常数；R=Sα/(1—</w:t>
            </w:r>
            <w:r>
              <w:rPr>
                <w:rFonts w:hint="default" w:ascii="Times New Roman" w:hAnsi="Times New Roman" w:eastAsia="宋体" w:cs="Times New Roman"/>
                <w:i/>
                <w:iCs/>
                <w:color w:val="auto"/>
                <w:kern w:val="0"/>
                <w:highlight w:val="none"/>
                <w:lang w:bidi="ar"/>
              </w:rPr>
              <w:t>α</w:t>
            </w:r>
            <w:r>
              <w:rPr>
                <w:rFonts w:hint="default" w:ascii="Times New Roman" w:hAnsi="Times New Roman" w:eastAsia="宋体" w:cs="Times New Roman"/>
                <w:snapToGrid w:val="0"/>
                <w:color w:val="auto"/>
                <w:highlight w:val="none"/>
              </w:rPr>
              <w:t>)，S为房间内表面面积，m2；</w:t>
            </w:r>
            <w:r>
              <w:rPr>
                <w:rFonts w:hint="default" w:ascii="Times New Roman" w:hAnsi="Times New Roman" w:eastAsia="宋体" w:cs="Times New Roman"/>
                <w:i/>
                <w:iCs/>
                <w:color w:val="auto"/>
                <w:kern w:val="0"/>
                <w:highlight w:val="none"/>
                <w:lang w:bidi="ar"/>
              </w:rPr>
              <w:t>α</w:t>
            </w:r>
            <w:r>
              <w:rPr>
                <w:rFonts w:hint="default" w:ascii="Times New Roman" w:hAnsi="Times New Roman" w:eastAsia="宋体" w:cs="Times New Roman"/>
                <w:snapToGrid w:val="0"/>
                <w:color w:val="auto"/>
                <w:highlight w:val="none"/>
              </w:rPr>
              <w:t>为平均吸声系数；</w:t>
            </w:r>
          </w:p>
          <w:p w14:paraId="4E3E3678">
            <w:pPr>
              <w:pStyle w:val="101"/>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r——声源到靠近围护结构某点处的距离，m。</w:t>
            </w:r>
          </w:p>
          <w:p w14:paraId="778D909F">
            <w:pPr>
              <w:pStyle w:val="101"/>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然后按式(B.3</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计算出所有室内声源在围护结构处产生的i倍频带叠加声压级：</w:t>
            </w:r>
          </w:p>
          <w:p w14:paraId="1EA5B446">
            <w:pPr>
              <w:pStyle w:val="101"/>
              <w:ind w:firstLine="0" w:firstLineChars="0"/>
              <w:jc w:val="center"/>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color w:val="auto"/>
                <w:highlight w:val="none"/>
              </w:rPr>
              <w:drawing>
                <wp:inline distT="0" distB="0" distL="0" distR="0">
                  <wp:extent cx="2496820" cy="471170"/>
                  <wp:effectExtent l="0" t="0" r="17780" b="5080"/>
                  <wp:docPr id="114483299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832990" name="图片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2496820" cy="471170"/>
                          </a:xfrm>
                          <a:prstGeom prst="rect">
                            <a:avLst/>
                          </a:prstGeom>
                          <a:noFill/>
                          <a:ln>
                            <a:noFill/>
                          </a:ln>
                          <a:effectLst/>
                        </pic:spPr>
                      </pic:pic>
                    </a:graphicData>
                  </a:graphic>
                </wp:inline>
              </w:drawing>
            </w:r>
          </w:p>
          <w:p w14:paraId="352D3F3C">
            <w:pPr>
              <w:pStyle w:val="101"/>
              <w:snapToGrid w:val="0"/>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式中：LP1i(T)——靠近围护结构处室内N个声源i倍频带的叠加声压级，dB；</w:t>
            </w:r>
          </w:p>
          <w:p w14:paraId="15925DE6">
            <w:pPr>
              <w:pStyle w:val="101"/>
              <w:snapToGrid w:val="0"/>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LP1ij——室内j声源i倍频带的声压级，dB；</w:t>
            </w:r>
          </w:p>
          <w:p w14:paraId="6F609D91">
            <w:pPr>
              <w:pStyle w:val="101"/>
              <w:snapToGrid w:val="0"/>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N——室内声源总数。</w:t>
            </w:r>
          </w:p>
          <w:p w14:paraId="5FFD267B">
            <w:pPr>
              <w:pStyle w:val="101"/>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在室内近似为扩散声场时，按式(B.4</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计算出靠近室外围护结构处的声压级：</w:t>
            </w:r>
          </w:p>
          <w:p w14:paraId="5FDEC216">
            <w:pPr>
              <w:pStyle w:val="101"/>
              <w:ind w:firstLine="0" w:firstLineChars="0"/>
              <w:jc w:val="center"/>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color w:val="auto"/>
                <w:highlight w:val="none"/>
              </w:rPr>
              <w:drawing>
                <wp:inline distT="0" distB="0" distL="0" distR="0">
                  <wp:extent cx="2574290" cy="267335"/>
                  <wp:effectExtent l="0" t="0" r="16510" b="18415"/>
                  <wp:docPr id="11891206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120671" name="图片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2574290" cy="267335"/>
                          </a:xfrm>
                          <a:prstGeom prst="rect">
                            <a:avLst/>
                          </a:prstGeom>
                          <a:noFill/>
                          <a:ln>
                            <a:noFill/>
                          </a:ln>
                          <a:effectLst/>
                        </pic:spPr>
                      </pic:pic>
                    </a:graphicData>
                  </a:graphic>
                </wp:inline>
              </w:drawing>
            </w:r>
          </w:p>
          <w:p w14:paraId="5B4157BB">
            <w:pPr>
              <w:pStyle w:val="101"/>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式中：L</w:t>
            </w:r>
            <w:r>
              <w:rPr>
                <w:rFonts w:hint="default" w:ascii="Times New Roman" w:hAnsi="Times New Roman" w:eastAsia="宋体" w:cs="Times New Roman"/>
                <w:snapToGrid w:val="0"/>
                <w:color w:val="auto"/>
                <w:highlight w:val="none"/>
                <w:vertAlign w:val="subscript"/>
              </w:rPr>
              <w:t>P2</w:t>
            </w:r>
            <w:r>
              <w:rPr>
                <w:rFonts w:hint="default" w:ascii="Times New Roman" w:hAnsi="Times New Roman" w:eastAsia="宋体" w:cs="Times New Roman"/>
                <w:snapToGrid w:val="0"/>
                <w:color w:val="auto"/>
                <w:highlight w:val="none"/>
              </w:rPr>
              <w:t>i(T)——靠近围护结构处室外N个声源i倍频带的叠加声压级，dB；</w:t>
            </w:r>
          </w:p>
          <w:p w14:paraId="19CB2FFD">
            <w:pPr>
              <w:pStyle w:val="101"/>
              <w:ind w:firstLine="960" w:firstLineChars="4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L</w:t>
            </w:r>
            <w:r>
              <w:rPr>
                <w:rFonts w:hint="default" w:ascii="Times New Roman" w:hAnsi="Times New Roman" w:eastAsia="宋体" w:cs="Times New Roman"/>
                <w:snapToGrid w:val="0"/>
                <w:color w:val="auto"/>
                <w:highlight w:val="none"/>
                <w:vertAlign w:val="subscript"/>
              </w:rPr>
              <w:t>P1i</w:t>
            </w:r>
            <w:r>
              <w:rPr>
                <w:rFonts w:hint="default" w:ascii="Times New Roman" w:hAnsi="Times New Roman" w:eastAsia="宋体" w:cs="Times New Roman"/>
                <w:snapToGrid w:val="0"/>
                <w:color w:val="auto"/>
                <w:highlight w:val="none"/>
              </w:rPr>
              <w:t>(T)——靠近围护结构处室内N个声源i倍频带的叠加声压级，dB；</w:t>
            </w:r>
          </w:p>
          <w:p w14:paraId="70E4A400">
            <w:pPr>
              <w:pStyle w:val="101"/>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TL</w:t>
            </w:r>
            <w:r>
              <w:rPr>
                <w:rFonts w:hint="default" w:ascii="Times New Roman" w:hAnsi="Times New Roman" w:eastAsia="宋体" w:cs="Times New Roman"/>
                <w:snapToGrid w:val="0"/>
                <w:color w:val="auto"/>
                <w:highlight w:val="none"/>
                <w:vertAlign w:val="subscript"/>
              </w:rPr>
              <w:t>i</w:t>
            </w:r>
            <w:r>
              <w:rPr>
                <w:rFonts w:hint="default" w:ascii="Times New Roman" w:hAnsi="Times New Roman" w:eastAsia="宋体" w:cs="Times New Roman"/>
                <w:snapToGrid w:val="0"/>
                <w:color w:val="auto"/>
                <w:highlight w:val="none"/>
              </w:rPr>
              <w:t>——围护结构i倍频带的隔声量，dB。</w:t>
            </w:r>
          </w:p>
          <w:p w14:paraId="142CB359">
            <w:pPr>
              <w:pStyle w:val="101"/>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然后按式(B.5</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将室外声源的声压级和透过面积换算成等效的室外声源，</w:t>
            </w:r>
          </w:p>
          <w:p w14:paraId="4ED54F08">
            <w:pPr>
              <w:pStyle w:val="101"/>
              <w:ind w:firstLine="0" w:firstLineChars="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计算出中心位置位于透声面积(S</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处的等效声源的倍频带声功率级。</w:t>
            </w:r>
          </w:p>
          <w:p w14:paraId="73E2C6F3">
            <w:pPr>
              <w:pStyle w:val="101"/>
              <w:ind w:firstLine="480"/>
              <w:jc w:val="center"/>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color w:val="auto"/>
                <w:highlight w:val="none"/>
              </w:rPr>
              <w:drawing>
                <wp:inline distT="0" distB="0" distL="0" distR="0">
                  <wp:extent cx="2496820" cy="344805"/>
                  <wp:effectExtent l="0" t="0" r="17780" b="17145"/>
                  <wp:docPr id="5561998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199881" name="图片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2496820" cy="344805"/>
                          </a:xfrm>
                          <a:prstGeom prst="rect">
                            <a:avLst/>
                          </a:prstGeom>
                          <a:noFill/>
                          <a:ln>
                            <a:noFill/>
                          </a:ln>
                          <a:effectLst/>
                        </pic:spPr>
                      </pic:pic>
                    </a:graphicData>
                  </a:graphic>
                </wp:inline>
              </w:drawing>
            </w:r>
          </w:p>
          <w:p w14:paraId="031ACF11">
            <w:pPr>
              <w:pStyle w:val="101"/>
              <w:ind w:firstLine="48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式中：L</w:t>
            </w:r>
            <w:r>
              <w:rPr>
                <w:rFonts w:hint="default" w:ascii="Times New Roman" w:hAnsi="Times New Roman" w:eastAsia="宋体" w:cs="Times New Roman"/>
                <w:snapToGrid w:val="0"/>
                <w:color w:val="auto"/>
                <w:highlight w:val="none"/>
                <w:vertAlign w:val="subscript"/>
              </w:rPr>
              <w:t>W</w:t>
            </w:r>
            <w:r>
              <w:rPr>
                <w:rFonts w:hint="default" w:ascii="Times New Roman" w:hAnsi="Times New Roman" w:eastAsia="宋体" w:cs="Times New Roman"/>
                <w:snapToGrid w:val="0"/>
                <w:color w:val="auto"/>
                <w:highlight w:val="none"/>
              </w:rPr>
              <w:t>——中心位置位于透声面积(S</w:t>
            </w:r>
            <w:r>
              <w:rPr>
                <w:rFonts w:hint="eastAsia" w:ascii="Times New Roman" w:cs="Times New Roman"/>
                <w:snapToGrid w:val="0"/>
                <w:color w:val="auto"/>
                <w:highlight w:val="none"/>
                <w:lang w:eastAsia="zh-CN"/>
              </w:rPr>
              <w:t>）</w:t>
            </w:r>
            <w:r>
              <w:rPr>
                <w:rFonts w:hint="default" w:ascii="Times New Roman" w:hAnsi="Times New Roman" w:eastAsia="宋体" w:cs="Times New Roman"/>
                <w:snapToGrid w:val="0"/>
                <w:color w:val="auto"/>
                <w:highlight w:val="none"/>
              </w:rPr>
              <w:t>处的等效声源的倍频带声功率级，dB；</w:t>
            </w:r>
          </w:p>
          <w:p w14:paraId="2B1FDF12">
            <w:pPr>
              <w:pStyle w:val="101"/>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L</w:t>
            </w:r>
            <w:r>
              <w:rPr>
                <w:rFonts w:hint="default" w:ascii="Times New Roman" w:hAnsi="Times New Roman" w:eastAsia="宋体" w:cs="Times New Roman"/>
                <w:snapToGrid w:val="0"/>
                <w:color w:val="auto"/>
                <w:highlight w:val="none"/>
                <w:vertAlign w:val="subscript"/>
              </w:rPr>
              <w:t>P2</w:t>
            </w:r>
            <w:r>
              <w:rPr>
                <w:rFonts w:hint="default" w:ascii="Times New Roman" w:hAnsi="Times New Roman" w:eastAsia="宋体" w:cs="Times New Roman"/>
                <w:snapToGrid w:val="0"/>
                <w:color w:val="auto"/>
                <w:highlight w:val="none"/>
              </w:rPr>
              <w:t>(T)——靠近围护结构处室外声源的声压级，dB；</w:t>
            </w:r>
          </w:p>
          <w:p w14:paraId="42B43809">
            <w:pPr>
              <w:pStyle w:val="101"/>
              <w:ind w:firstLine="1200" w:firstLineChars="500"/>
              <w:textAlignment w:val="baseline"/>
              <w:rPr>
                <w:rFonts w:hint="default" w:ascii="Times New Roman" w:hAnsi="Times New Roman" w:eastAsia="宋体" w:cs="Times New Roman"/>
                <w:snapToGrid w:val="0"/>
                <w:color w:val="auto"/>
                <w:highlight w:val="none"/>
              </w:rPr>
            </w:pPr>
            <w:r>
              <w:rPr>
                <w:rFonts w:hint="default" w:ascii="Times New Roman" w:hAnsi="Times New Roman" w:eastAsia="宋体" w:cs="Times New Roman"/>
                <w:snapToGrid w:val="0"/>
                <w:color w:val="auto"/>
                <w:highlight w:val="none"/>
              </w:rPr>
              <w:t>S——透声面积，m</w:t>
            </w:r>
            <w:r>
              <w:rPr>
                <w:rFonts w:hint="default" w:ascii="Times New Roman" w:hAnsi="Times New Roman" w:eastAsia="宋体" w:cs="Times New Roman"/>
                <w:snapToGrid w:val="0"/>
                <w:color w:val="auto"/>
                <w:highlight w:val="none"/>
                <w:vertAlign w:val="superscript"/>
              </w:rPr>
              <w:t>2</w:t>
            </w:r>
            <w:r>
              <w:rPr>
                <w:rFonts w:hint="default" w:ascii="Times New Roman" w:hAnsi="Times New Roman" w:eastAsia="宋体" w:cs="Times New Roman"/>
                <w:snapToGrid w:val="0"/>
                <w:color w:val="auto"/>
                <w:highlight w:val="none"/>
              </w:rPr>
              <w:t>。</w:t>
            </w:r>
          </w:p>
          <w:p w14:paraId="792132D9">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本次评价拟采用《环境影响评价技术导则声环境》(HJ2.4-2009</w:t>
            </w:r>
            <w:r>
              <w:rPr>
                <w:rFonts w:hint="eastAsia"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推荐的噪声传播衰减方法进行预测，预测模式如下。</w:t>
            </w:r>
          </w:p>
          <w:p w14:paraId="614DA603">
            <w:pPr>
              <w:widowControl/>
              <w:jc w:val="center"/>
              <w:rPr>
                <w:rFonts w:hint="default" w:ascii="Times New Roman" w:hAnsi="Times New Roman" w:eastAsia="宋体" w:cs="Times New Roman"/>
                <w:color w:val="auto"/>
                <w:kern w:val="0"/>
                <w:highlight w:val="none"/>
                <w:lang w:bidi="ar"/>
              </w:rPr>
            </w:pPr>
            <w:r>
              <w:rPr>
                <w:rFonts w:hint="default" w:ascii="Times New Roman" w:hAnsi="Times New Roman" w:eastAsia="宋体" w:cs="Times New Roman"/>
                <w:color w:val="auto"/>
                <w:kern w:val="0"/>
                <w:highlight w:val="none"/>
                <w:lang w:bidi="ar"/>
              </w:rPr>
              <w:drawing>
                <wp:inline distT="0" distB="0" distL="114300" distR="114300">
                  <wp:extent cx="2000250" cy="533400"/>
                  <wp:effectExtent l="0" t="0" r="0" b="0"/>
                  <wp:docPr id="4"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4" descr="IMG_256"/>
                          <pic:cNvPicPr>
                            <a:picLocks noChangeAspect="1"/>
                          </pic:cNvPicPr>
                        </pic:nvPicPr>
                        <pic:blipFill>
                          <a:blip r:embed="rId45"/>
                          <a:stretch>
                            <a:fillRect/>
                          </a:stretch>
                        </pic:blipFill>
                        <pic:spPr>
                          <a:xfrm>
                            <a:off x="0" y="0"/>
                            <a:ext cx="2000250" cy="533400"/>
                          </a:xfrm>
                          <a:prstGeom prst="rect">
                            <a:avLst/>
                          </a:prstGeom>
                          <a:noFill/>
                          <a:ln w="9525">
                            <a:noFill/>
                          </a:ln>
                        </pic:spPr>
                      </pic:pic>
                    </a:graphicData>
                  </a:graphic>
                </wp:inline>
              </w:drawing>
            </w:r>
          </w:p>
          <w:p w14:paraId="471435AE">
            <w:pPr>
              <w:widowControl/>
              <w:jc w:val="center"/>
              <w:rPr>
                <w:rFonts w:hint="default" w:ascii="Times New Roman" w:hAnsi="Times New Roman" w:eastAsia="宋体" w:cs="Times New Roman"/>
                <w:color w:val="auto"/>
                <w:kern w:val="0"/>
                <w:highlight w:val="none"/>
                <w:lang w:bidi="ar"/>
              </w:rPr>
            </w:pPr>
          </w:p>
          <w:p w14:paraId="3E89FA88">
            <w:pPr>
              <w:pStyle w:val="81"/>
              <w:adjustRightInd w:val="0"/>
              <w:snapToGrid w:val="0"/>
              <w:spacing w:line="360" w:lineRule="auto"/>
              <w:ind w:left="480" w:leftChars="200"/>
              <w:textAlignment w:val="baseline"/>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rPr>
              <w:t>式中</w:t>
            </w:r>
            <w:r>
              <w:rPr>
                <w:rFonts w:hint="default" w:ascii="Times New Roman" w:hAnsi="Times New Roman" w:eastAsia="宋体" w:cs="Times New Roman"/>
                <w:color w:val="auto"/>
                <w:highlight w:val="none"/>
                <w:lang w:val="en-US"/>
              </w:rPr>
              <w:t>，Lpi—</w:t>
            </w:r>
            <w:r>
              <w:rPr>
                <w:rFonts w:hint="default" w:ascii="Times New Roman" w:hAnsi="Times New Roman" w:eastAsia="宋体" w:cs="Times New Roman"/>
                <w:color w:val="auto"/>
                <w:highlight w:val="none"/>
              </w:rPr>
              <w:t>第</w:t>
            </w:r>
            <w:r>
              <w:rPr>
                <w:rFonts w:hint="default" w:ascii="Times New Roman" w:hAnsi="Times New Roman" w:eastAsia="宋体" w:cs="Times New Roman"/>
                <w:color w:val="auto"/>
                <w:highlight w:val="none"/>
                <w:lang w:val="en-US"/>
              </w:rPr>
              <w:t>i</w:t>
            </w:r>
            <w:r>
              <w:rPr>
                <w:rFonts w:hint="default" w:ascii="Times New Roman" w:hAnsi="Times New Roman" w:eastAsia="宋体" w:cs="Times New Roman"/>
                <w:color w:val="auto"/>
                <w:highlight w:val="none"/>
              </w:rPr>
              <w:t>个噪声源衰减后的值</w:t>
            </w:r>
            <w:r>
              <w:rPr>
                <w:rFonts w:hint="default" w:ascii="Times New Roman" w:hAnsi="Times New Roman" w:eastAsia="宋体" w:cs="Times New Roman"/>
                <w:color w:val="auto"/>
                <w:highlight w:val="none"/>
                <w:lang w:val="en-US"/>
              </w:rPr>
              <w:t>，dB(A)；</w:t>
            </w:r>
          </w:p>
          <w:p w14:paraId="7233D587">
            <w:pPr>
              <w:pStyle w:val="81"/>
              <w:adjustRightInd w:val="0"/>
              <w:snapToGrid w:val="0"/>
              <w:spacing w:line="360" w:lineRule="auto"/>
              <w:ind w:left="480" w:leftChars="200" w:firstLine="720" w:firstLineChars="300"/>
              <w:textAlignment w:val="baseline"/>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L0i—</w:t>
            </w:r>
            <w:r>
              <w:rPr>
                <w:rFonts w:hint="default" w:ascii="Times New Roman" w:hAnsi="Times New Roman" w:eastAsia="宋体" w:cs="Times New Roman"/>
                <w:color w:val="auto"/>
                <w:highlight w:val="none"/>
              </w:rPr>
              <w:t>第</w:t>
            </w:r>
            <w:r>
              <w:rPr>
                <w:rFonts w:hint="default" w:ascii="Times New Roman" w:hAnsi="Times New Roman" w:eastAsia="宋体" w:cs="Times New Roman"/>
                <w:color w:val="auto"/>
                <w:highlight w:val="none"/>
                <w:lang w:val="en-US"/>
              </w:rPr>
              <w:t>i</w:t>
            </w:r>
            <w:r>
              <w:rPr>
                <w:rFonts w:hint="default" w:ascii="Times New Roman" w:hAnsi="Times New Roman" w:eastAsia="宋体" w:cs="Times New Roman"/>
                <w:color w:val="auto"/>
                <w:highlight w:val="none"/>
              </w:rPr>
              <w:t>个噪声源的</w:t>
            </w:r>
            <w:r>
              <w:rPr>
                <w:rFonts w:hint="default" w:ascii="Times New Roman" w:hAnsi="Times New Roman" w:eastAsia="宋体" w:cs="Times New Roman"/>
                <w:color w:val="auto"/>
                <w:highlight w:val="none"/>
                <w:lang w:val="en-US"/>
              </w:rPr>
              <w:t>A</w:t>
            </w:r>
            <w:r>
              <w:rPr>
                <w:rFonts w:hint="default" w:ascii="Times New Roman" w:hAnsi="Times New Roman" w:eastAsia="宋体" w:cs="Times New Roman"/>
                <w:color w:val="auto"/>
                <w:highlight w:val="none"/>
              </w:rPr>
              <w:t>声级</w:t>
            </w:r>
            <w:r>
              <w:rPr>
                <w:rFonts w:hint="default" w:ascii="Times New Roman" w:hAnsi="Times New Roman" w:eastAsia="宋体" w:cs="Times New Roman"/>
                <w:color w:val="auto"/>
                <w:highlight w:val="none"/>
                <w:lang w:val="en-US"/>
              </w:rPr>
              <w:t>，dB(A)；</w:t>
            </w:r>
          </w:p>
          <w:p w14:paraId="59CB07FB">
            <w:pPr>
              <w:pStyle w:val="81"/>
              <w:adjustRightInd w:val="0"/>
              <w:snapToGrid w:val="0"/>
              <w:spacing w:line="360" w:lineRule="auto"/>
              <w:ind w:left="480" w:leftChars="200" w:firstLine="720" w:firstLineChars="3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r</w:t>
            </w:r>
            <w:r>
              <w:rPr>
                <w:rFonts w:hint="default" w:ascii="Times New Roman" w:hAnsi="Times New Roman" w:eastAsia="宋体" w:cs="Times New Roman"/>
                <w:color w:val="auto"/>
                <w:highlight w:val="none"/>
                <w:vertAlign w:val="subscript"/>
              </w:rPr>
              <w:t>i</w:t>
            </w:r>
            <w:r>
              <w:rPr>
                <w:rFonts w:hint="default" w:ascii="Times New Roman" w:hAnsi="Times New Roman" w:eastAsia="宋体" w:cs="Times New Roman"/>
                <w:color w:val="auto"/>
                <w:highlight w:val="none"/>
              </w:rPr>
              <w:t>—第i个噪声源噪声衰减距离，m；</w:t>
            </w:r>
          </w:p>
          <w:p w14:paraId="736C8676">
            <w:pPr>
              <w:pStyle w:val="81"/>
              <w:adjustRightInd w:val="0"/>
              <w:snapToGrid w:val="0"/>
              <w:spacing w:line="360" w:lineRule="auto"/>
              <w:ind w:left="480" w:leftChars="200" w:firstLine="720" w:firstLineChars="3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r</w:t>
            </w:r>
            <w:r>
              <w:rPr>
                <w:rFonts w:hint="default" w:ascii="Times New Roman" w:hAnsi="Times New Roman" w:eastAsia="宋体" w:cs="Times New Roman"/>
                <w:color w:val="auto"/>
                <w:highlight w:val="none"/>
                <w:vertAlign w:val="subscript"/>
              </w:rPr>
              <w:t>0i</w:t>
            </w:r>
            <w:r>
              <w:rPr>
                <w:rFonts w:hint="default" w:ascii="Times New Roman" w:hAnsi="Times New Roman" w:eastAsia="宋体" w:cs="Times New Roman"/>
                <w:color w:val="auto"/>
                <w:highlight w:val="none"/>
              </w:rPr>
              <w:t>—距离声源1m处，m；</w:t>
            </w:r>
          </w:p>
          <w:p w14:paraId="2568C3FF">
            <w:pPr>
              <w:pStyle w:val="81"/>
              <w:adjustRightInd w:val="0"/>
              <w:snapToGrid w:val="0"/>
              <w:spacing w:line="360" w:lineRule="auto"/>
              <w:ind w:left="480" w:leftChars="200" w:firstLine="720" w:firstLineChars="3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ΔL—其它环境因素引起的衰减值，dB(A)。</w:t>
            </w:r>
          </w:p>
          <w:p w14:paraId="591DD5B6">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②噪声评价方法及结果</w:t>
            </w:r>
          </w:p>
          <w:p w14:paraId="7C052B18">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本项目为</w:t>
            </w:r>
            <w:r>
              <w:rPr>
                <w:rFonts w:hint="default" w:ascii="Times New Roman" w:hAnsi="Times New Roman" w:eastAsia="宋体" w:cs="Times New Roman"/>
                <w:color w:val="auto"/>
                <w:highlight w:val="none"/>
                <w:lang w:eastAsia="zh-CN"/>
              </w:rPr>
              <w:t>新建项目</w:t>
            </w:r>
            <w:r>
              <w:rPr>
                <w:rFonts w:hint="default" w:ascii="Times New Roman" w:hAnsi="Times New Roman" w:eastAsia="宋体" w:cs="Times New Roman"/>
                <w:color w:val="auto"/>
                <w:highlight w:val="none"/>
              </w:rPr>
              <w:t>，根据《环境影响评价技术导则声环境》(HJ2.4-2021)，新建项目以工程噪声贡献值的预测值作为评价量。</w:t>
            </w:r>
          </w:p>
          <w:p w14:paraId="4FADF29C">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噪声叠加公式：</w:t>
            </w:r>
          </w:p>
          <w:p w14:paraId="0B2DB3B8">
            <w:pPr>
              <w:widowControl/>
              <w:jc w:val="center"/>
              <w:rPr>
                <w:rFonts w:hint="default" w:ascii="Times New Roman" w:hAnsi="Times New Roman" w:eastAsia="宋体" w:cs="Times New Roman"/>
                <w:color w:val="auto"/>
                <w:kern w:val="0"/>
                <w:highlight w:val="none"/>
                <w:lang w:bidi="ar"/>
              </w:rPr>
            </w:pPr>
            <w:r>
              <w:rPr>
                <w:rFonts w:hint="default" w:ascii="Times New Roman" w:hAnsi="Times New Roman" w:eastAsia="宋体" w:cs="Times New Roman"/>
                <w:color w:val="auto"/>
                <w:kern w:val="0"/>
                <w:highlight w:val="none"/>
                <w:lang w:bidi="ar"/>
              </w:rPr>
              <w:drawing>
                <wp:inline distT="0" distB="0" distL="114300" distR="114300">
                  <wp:extent cx="1251585" cy="504190"/>
                  <wp:effectExtent l="0" t="0" r="5715" b="10160"/>
                  <wp:docPr id="5"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descr="IMG_256"/>
                          <pic:cNvPicPr>
                            <a:picLocks noChangeAspect="1"/>
                          </pic:cNvPicPr>
                        </pic:nvPicPr>
                        <pic:blipFill>
                          <a:blip r:embed="rId46"/>
                          <a:stretch>
                            <a:fillRect/>
                          </a:stretch>
                        </pic:blipFill>
                        <pic:spPr>
                          <a:xfrm>
                            <a:off x="0" y="0"/>
                            <a:ext cx="1267494" cy="510537"/>
                          </a:xfrm>
                          <a:prstGeom prst="rect">
                            <a:avLst/>
                          </a:prstGeom>
                          <a:noFill/>
                          <a:ln w="9525">
                            <a:noFill/>
                          </a:ln>
                        </pic:spPr>
                      </pic:pic>
                    </a:graphicData>
                  </a:graphic>
                </wp:inline>
              </w:drawing>
            </w:r>
          </w:p>
          <w:p w14:paraId="401087FC">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rPr>
              <w:t>式中</w:t>
            </w:r>
            <w:r>
              <w:rPr>
                <w:rFonts w:hint="default" w:ascii="Times New Roman" w:hAnsi="Times New Roman" w:eastAsia="宋体" w:cs="Times New Roman"/>
                <w:color w:val="auto"/>
                <w:highlight w:val="none"/>
                <w:lang w:val="en-US"/>
              </w:rPr>
              <w:t>：L—</w:t>
            </w:r>
            <w:r>
              <w:rPr>
                <w:rFonts w:hint="default" w:ascii="Times New Roman" w:hAnsi="Times New Roman" w:eastAsia="宋体" w:cs="Times New Roman"/>
                <w:color w:val="auto"/>
                <w:highlight w:val="none"/>
              </w:rPr>
              <w:t>某点噪声总叠加值</w:t>
            </w:r>
            <w:r>
              <w:rPr>
                <w:rFonts w:hint="default" w:ascii="Times New Roman" w:hAnsi="Times New Roman" w:eastAsia="宋体" w:cs="Times New Roman"/>
                <w:color w:val="auto"/>
                <w:highlight w:val="none"/>
                <w:lang w:val="en-US"/>
              </w:rPr>
              <w:t>，dB(A)；</w:t>
            </w:r>
          </w:p>
          <w:p w14:paraId="71404D91">
            <w:pPr>
              <w:pStyle w:val="81"/>
              <w:adjustRightInd w:val="0"/>
              <w:snapToGrid w:val="0"/>
              <w:spacing w:line="360" w:lineRule="auto"/>
              <w:ind w:firstLine="1200" w:firstLineChars="500"/>
              <w:textAlignment w:val="baseline"/>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Li—</w:t>
            </w:r>
            <w:r>
              <w:rPr>
                <w:rFonts w:hint="default" w:ascii="Times New Roman" w:hAnsi="Times New Roman" w:eastAsia="宋体" w:cs="Times New Roman"/>
                <w:color w:val="auto"/>
                <w:highlight w:val="none"/>
              </w:rPr>
              <w:t>第</w:t>
            </w:r>
            <w:r>
              <w:rPr>
                <w:rFonts w:hint="default" w:ascii="Times New Roman" w:hAnsi="Times New Roman" w:eastAsia="宋体" w:cs="Times New Roman"/>
                <w:color w:val="auto"/>
                <w:highlight w:val="none"/>
                <w:lang w:val="en-US"/>
              </w:rPr>
              <w:t>i</w:t>
            </w:r>
            <w:r>
              <w:rPr>
                <w:rFonts w:hint="default" w:ascii="Times New Roman" w:hAnsi="Times New Roman" w:eastAsia="宋体" w:cs="Times New Roman"/>
                <w:color w:val="auto"/>
                <w:highlight w:val="none"/>
              </w:rPr>
              <w:t>个声源的噪声值</w:t>
            </w:r>
            <w:r>
              <w:rPr>
                <w:rFonts w:hint="default" w:ascii="Times New Roman" w:hAnsi="Times New Roman" w:eastAsia="宋体" w:cs="Times New Roman"/>
                <w:color w:val="auto"/>
                <w:highlight w:val="none"/>
                <w:lang w:val="en-US"/>
              </w:rPr>
              <w:t>，dB(A)；</w:t>
            </w:r>
          </w:p>
          <w:p w14:paraId="135E4373">
            <w:pPr>
              <w:pStyle w:val="81"/>
              <w:adjustRightInd w:val="0"/>
              <w:snapToGrid w:val="0"/>
              <w:spacing w:line="360" w:lineRule="auto"/>
              <w:ind w:firstLine="1200" w:firstLineChars="500"/>
              <w:textAlignment w:val="baseline"/>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rPr>
              <w:t>n—</w:t>
            </w:r>
            <w:r>
              <w:rPr>
                <w:rFonts w:hint="default" w:ascii="Times New Roman" w:hAnsi="Times New Roman" w:eastAsia="宋体" w:cs="Times New Roman"/>
                <w:color w:val="auto"/>
                <w:highlight w:val="none"/>
              </w:rPr>
              <w:t>声源个数。</w:t>
            </w:r>
          </w:p>
          <w:p w14:paraId="36B34863">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③厂界噪声预测</w:t>
            </w:r>
          </w:p>
          <w:p w14:paraId="33689BE4">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本次以西南厂界为原点(</w:t>
            </w:r>
            <w:bookmarkStart w:id="19" w:name="OLE_LINK1"/>
            <w:r>
              <w:rPr>
                <w:rFonts w:hint="default" w:ascii="Times New Roman" w:hAnsi="Times New Roman" w:eastAsia="宋体" w:cs="Times New Roman"/>
                <w:color w:val="auto"/>
                <w:highlight w:val="none"/>
              </w:rPr>
              <w:t>E 103°4</w:t>
            </w:r>
            <w:r>
              <w:rPr>
                <w:rFonts w:hint="default" w:ascii="Times New Roman" w:hAnsi="Times New Roman" w:eastAsia="宋体" w:cs="Times New Roman"/>
                <w:color w:val="auto"/>
                <w:highlight w:val="none"/>
                <w:lang w:val="en-US" w:eastAsia="zh-CN"/>
              </w:rPr>
              <w:t>7</w:t>
            </w:r>
            <w:r>
              <w:rPr>
                <w:rFonts w:hint="default" w:ascii="Times New Roman" w:hAnsi="Times New Roman" w:eastAsia="宋体" w:cs="Times New Roman"/>
                <w:color w:val="auto"/>
                <w:highlight w:val="none"/>
              </w:rPr>
              <w:t>′22.50.57160″，N 30°39′33.1200</w:t>
            </w:r>
            <w:r>
              <w:rPr>
                <w:rFonts w:hint="default" w:ascii="Times New Roman" w:hAnsi="Times New Roman" w:eastAsia="宋体" w:cs="Times New Roman"/>
                <w:color w:val="auto"/>
                <w:highlight w:val="none"/>
                <w:lang w:val="en-US" w:eastAsia="zh-CN"/>
              </w:rPr>
              <w:t>1</w:t>
            </w:r>
            <w:r>
              <w:rPr>
                <w:rFonts w:hint="default" w:ascii="Times New Roman" w:hAnsi="Times New Roman" w:eastAsia="宋体" w:cs="Times New Roman"/>
                <w:color w:val="auto"/>
                <w:highlight w:val="none"/>
              </w:rPr>
              <w:t>″</w:t>
            </w:r>
            <w:bookmarkEnd w:id="19"/>
            <w:r>
              <w:rPr>
                <w:rFonts w:hint="eastAsia" w:ascii="Times New Roman" w:hAnsi="Times New Roman" w:cs="Times New Roman"/>
                <w:color w:val="auto"/>
                <w:highlight w:val="none"/>
                <w:lang w:eastAsia="zh-CN"/>
              </w:rPr>
              <w:t>）</w:t>
            </w:r>
            <w:r>
              <w:rPr>
                <w:rFonts w:hint="default" w:ascii="Times New Roman" w:hAnsi="Times New Roman" w:eastAsia="宋体" w:cs="Times New Roman"/>
                <w:color w:val="auto"/>
                <w:highlight w:val="none"/>
              </w:rPr>
              <w:t>，项目昼间主要噪声源厂界贡献值见下表。</w:t>
            </w:r>
          </w:p>
          <w:p w14:paraId="70A8A7DE">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p>
          <w:p w14:paraId="1D2D8468">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p>
          <w:p w14:paraId="3079628F">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p>
          <w:p w14:paraId="5D2276A9">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p>
          <w:p w14:paraId="7D916D6E">
            <w:pPr>
              <w:pStyle w:val="81"/>
              <w:adjustRightInd w:val="0"/>
              <w:snapToGrid w:val="0"/>
              <w:spacing w:line="360" w:lineRule="auto"/>
              <w:ind w:firstLine="480" w:firstLineChars="200"/>
              <w:textAlignment w:val="baseline"/>
              <w:rPr>
                <w:rFonts w:hint="default" w:ascii="Times New Roman" w:hAnsi="Times New Roman" w:eastAsia="宋体" w:cs="Times New Roman"/>
                <w:color w:val="auto"/>
                <w:highlight w:val="none"/>
              </w:rPr>
            </w:pPr>
          </w:p>
          <w:p w14:paraId="29E364FD">
            <w:pPr>
              <w:pStyle w:val="15"/>
              <w:numPr>
                <w:ilvl w:val="0"/>
                <w:numId w:val="19"/>
              </w:numPr>
              <w:ind w:left="425" w:leftChars="0" w:right="113" w:rightChars="0" w:hanging="425"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厂界噪声预测结果与达标分析表</w:t>
            </w:r>
          </w:p>
          <w:tbl>
            <w:tblPr>
              <w:tblStyle w:val="3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4"/>
              <w:gridCol w:w="1072"/>
              <w:gridCol w:w="1137"/>
              <w:gridCol w:w="682"/>
              <w:gridCol w:w="814"/>
              <w:gridCol w:w="1224"/>
              <w:gridCol w:w="1090"/>
              <w:gridCol w:w="1160"/>
            </w:tblGrid>
            <w:tr w14:paraId="6CA54D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0" w:type="pct"/>
                  <w:vMerge w:val="restart"/>
                  <w:tcBorders>
                    <w:bottom w:val="single" w:color="auto" w:sz="8" w:space="0"/>
                    <w:right w:val="single" w:color="auto" w:sz="8" w:space="0"/>
                  </w:tcBorders>
                  <w:shd w:val="clear" w:color="auto" w:fill="auto"/>
                  <w:vAlign w:val="center"/>
                </w:tcPr>
                <w:p w14:paraId="035EDC01">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预测</w:t>
                  </w:r>
                </w:p>
                <w:p w14:paraId="56BF8217">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方位</w:t>
                  </w:r>
                </w:p>
              </w:tc>
              <w:tc>
                <w:tcPr>
                  <w:tcW w:w="1755" w:type="pct"/>
                  <w:gridSpan w:val="3"/>
                  <w:tcBorders>
                    <w:left w:val="single" w:color="auto" w:sz="8" w:space="0"/>
                    <w:bottom w:val="single" w:color="auto" w:sz="8" w:space="0"/>
                    <w:right w:val="single" w:color="auto" w:sz="8" w:space="0"/>
                  </w:tcBorders>
                  <w:shd w:val="clear" w:color="auto" w:fill="auto"/>
                  <w:vAlign w:val="center"/>
                </w:tcPr>
                <w:p w14:paraId="08A5E939">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最大值点空间相对位置/m</w:t>
                  </w:r>
                </w:p>
              </w:tc>
              <w:tc>
                <w:tcPr>
                  <w:tcW w:w="494" w:type="pct"/>
                  <w:vMerge w:val="restart"/>
                  <w:tcBorders>
                    <w:left w:val="single" w:color="auto" w:sz="8" w:space="0"/>
                    <w:bottom w:val="single" w:color="auto" w:sz="8" w:space="0"/>
                    <w:right w:val="single" w:color="auto" w:sz="8" w:space="0"/>
                  </w:tcBorders>
                  <w:shd w:val="clear" w:color="auto" w:fill="auto"/>
                  <w:vAlign w:val="center"/>
                </w:tcPr>
                <w:p w14:paraId="47F85B71">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时段</w:t>
                  </w:r>
                </w:p>
              </w:tc>
              <w:tc>
                <w:tcPr>
                  <w:tcW w:w="743" w:type="pct"/>
                  <w:vMerge w:val="restart"/>
                  <w:tcBorders>
                    <w:left w:val="single" w:color="auto" w:sz="8" w:space="0"/>
                    <w:bottom w:val="single" w:color="auto" w:sz="8" w:space="0"/>
                    <w:right w:val="single" w:color="auto" w:sz="8" w:space="0"/>
                  </w:tcBorders>
                  <w:shd w:val="clear" w:color="auto" w:fill="auto"/>
                  <w:vAlign w:val="center"/>
                </w:tcPr>
                <w:p w14:paraId="407F0A80">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贡献值(dB(A))</w:t>
                  </w:r>
                </w:p>
              </w:tc>
              <w:tc>
                <w:tcPr>
                  <w:tcW w:w="662" w:type="pct"/>
                  <w:vMerge w:val="restart"/>
                  <w:tcBorders>
                    <w:left w:val="single" w:color="auto" w:sz="8" w:space="0"/>
                    <w:bottom w:val="single" w:color="auto" w:sz="8" w:space="0"/>
                    <w:right w:val="single" w:color="auto" w:sz="8" w:space="0"/>
                  </w:tcBorders>
                  <w:shd w:val="clear" w:color="auto" w:fill="auto"/>
                  <w:vAlign w:val="center"/>
                </w:tcPr>
                <w:p w14:paraId="28B536BA">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标准限值(dB(A))</w:t>
                  </w:r>
                </w:p>
              </w:tc>
              <w:tc>
                <w:tcPr>
                  <w:tcW w:w="704" w:type="pct"/>
                  <w:vMerge w:val="restart"/>
                  <w:tcBorders>
                    <w:left w:val="single" w:color="auto" w:sz="8" w:space="0"/>
                    <w:bottom w:val="single" w:color="auto" w:sz="8" w:space="0"/>
                  </w:tcBorders>
                  <w:shd w:val="clear" w:color="auto" w:fill="auto"/>
                  <w:vAlign w:val="center"/>
                </w:tcPr>
                <w:p w14:paraId="7CF10CD4">
                  <w:pPr>
                    <w:adjustRightInd w:val="0"/>
                    <w:snapToGrid w:val="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达标情况</w:t>
                  </w:r>
                </w:p>
              </w:tc>
            </w:tr>
            <w:tr w14:paraId="177E00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0" w:type="pct"/>
                  <w:vMerge w:val="continue"/>
                  <w:tcBorders>
                    <w:top w:val="single" w:color="auto" w:sz="8" w:space="0"/>
                    <w:bottom w:val="single" w:color="auto" w:sz="8" w:space="0"/>
                    <w:right w:val="single" w:color="auto" w:sz="8" w:space="0"/>
                  </w:tcBorders>
                  <w:shd w:val="clear" w:color="auto" w:fill="auto"/>
                  <w:vAlign w:val="center"/>
                </w:tcPr>
                <w:p w14:paraId="1FA65F48">
                  <w:pPr>
                    <w:adjustRightInd w:val="0"/>
                    <w:snapToGrid w:val="0"/>
                    <w:ind w:firstLine="420"/>
                    <w:jc w:val="center"/>
                    <w:rPr>
                      <w:rFonts w:hint="default" w:ascii="Times New Roman" w:hAnsi="Times New Roman" w:eastAsia="宋体" w:cs="Times New Roman"/>
                      <w:color w:val="auto"/>
                      <w:sz w:val="21"/>
                      <w:szCs w:val="21"/>
                      <w:highlight w:val="none"/>
                    </w:rPr>
                  </w:pPr>
                </w:p>
              </w:tc>
              <w:tc>
                <w:tcPr>
                  <w:tcW w:w="651" w:type="pct"/>
                  <w:tcBorders>
                    <w:top w:val="single" w:color="auto" w:sz="8" w:space="0"/>
                    <w:left w:val="single" w:color="auto" w:sz="8" w:space="0"/>
                    <w:bottom w:val="single" w:color="auto" w:sz="8" w:space="0"/>
                    <w:right w:val="single" w:color="auto" w:sz="8" w:space="0"/>
                  </w:tcBorders>
                  <w:shd w:val="clear" w:color="auto" w:fill="auto"/>
                  <w:vAlign w:val="center"/>
                </w:tcPr>
                <w:p w14:paraId="16997F94">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X</w:t>
                  </w:r>
                </w:p>
              </w:tc>
              <w:tc>
                <w:tcPr>
                  <w:tcW w:w="690" w:type="pct"/>
                  <w:tcBorders>
                    <w:top w:val="single" w:color="auto" w:sz="8" w:space="0"/>
                    <w:left w:val="single" w:color="auto" w:sz="8" w:space="0"/>
                    <w:bottom w:val="single" w:color="auto" w:sz="8" w:space="0"/>
                    <w:right w:val="single" w:color="auto" w:sz="8" w:space="0"/>
                  </w:tcBorders>
                  <w:shd w:val="clear" w:color="auto" w:fill="auto"/>
                  <w:vAlign w:val="center"/>
                </w:tcPr>
                <w:p w14:paraId="667358CA">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Y</w:t>
                  </w:r>
                </w:p>
              </w:tc>
              <w:tc>
                <w:tcPr>
                  <w:tcW w:w="412" w:type="pct"/>
                  <w:tcBorders>
                    <w:top w:val="single" w:color="auto" w:sz="8" w:space="0"/>
                    <w:left w:val="single" w:color="auto" w:sz="8" w:space="0"/>
                    <w:bottom w:val="single" w:color="auto" w:sz="8" w:space="0"/>
                    <w:right w:val="single" w:color="auto" w:sz="8" w:space="0"/>
                  </w:tcBorders>
                  <w:shd w:val="clear" w:color="auto" w:fill="auto"/>
                  <w:vAlign w:val="center"/>
                </w:tcPr>
                <w:p w14:paraId="120758C1">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Z</w:t>
                  </w:r>
                </w:p>
              </w:tc>
              <w:tc>
                <w:tcPr>
                  <w:tcW w:w="494"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1378317">
                  <w:pPr>
                    <w:adjustRightInd w:val="0"/>
                    <w:snapToGrid w:val="0"/>
                    <w:ind w:firstLine="420"/>
                    <w:jc w:val="center"/>
                    <w:rPr>
                      <w:rFonts w:hint="default" w:ascii="Times New Roman" w:hAnsi="Times New Roman" w:eastAsia="宋体" w:cs="Times New Roman"/>
                      <w:color w:val="auto"/>
                      <w:sz w:val="21"/>
                      <w:szCs w:val="21"/>
                      <w:highlight w:val="none"/>
                    </w:rPr>
                  </w:pPr>
                </w:p>
              </w:tc>
              <w:tc>
                <w:tcPr>
                  <w:tcW w:w="743"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2C8915C">
                  <w:pPr>
                    <w:adjustRightInd w:val="0"/>
                    <w:snapToGrid w:val="0"/>
                    <w:ind w:firstLine="420"/>
                    <w:jc w:val="center"/>
                    <w:rPr>
                      <w:rFonts w:hint="default" w:ascii="Times New Roman" w:hAnsi="Times New Roman" w:eastAsia="宋体" w:cs="Times New Roman"/>
                      <w:color w:val="auto"/>
                      <w:sz w:val="21"/>
                      <w:szCs w:val="21"/>
                      <w:highlight w:val="none"/>
                    </w:rPr>
                  </w:pPr>
                </w:p>
              </w:tc>
              <w:tc>
                <w:tcPr>
                  <w:tcW w:w="662"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5EBE72B">
                  <w:pPr>
                    <w:adjustRightInd w:val="0"/>
                    <w:snapToGrid w:val="0"/>
                    <w:ind w:firstLine="420"/>
                    <w:jc w:val="center"/>
                    <w:rPr>
                      <w:rFonts w:hint="default" w:ascii="Times New Roman" w:hAnsi="Times New Roman" w:eastAsia="宋体" w:cs="Times New Roman"/>
                      <w:color w:val="auto"/>
                      <w:sz w:val="21"/>
                      <w:szCs w:val="21"/>
                      <w:highlight w:val="none"/>
                    </w:rPr>
                  </w:pPr>
                </w:p>
              </w:tc>
              <w:tc>
                <w:tcPr>
                  <w:tcW w:w="704" w:type="pct"/>
                  <w:vMerge w:val="continue"/>
                  <w:tcBorders>
                    <w:top w:val="single" w:color="auto" w:sz="8" w:space="0"/>
                    <w:left w:val="single" w:color="auto" w:sz="8" w:space="0"/>
                    <w:bottom w:val="single" w:color="auto" w:sz="8" w:space="0"/>
                  </w:tcBorders>
                  <w:shd w:val="clear" w:color="auto" w:fill="auto"/>
                  <w:vAlign w:val="center"/>
                </w:tcPr>
                <w:p w14:paraId="62FE5339">
                  <w:pPr>
                    <w:adjustRightInd w:val="0"/>
                    <w:snapToGrid w:val="0"/>
                    <w:ind w:firstLine="420"/>
                    <w:jc w:val="center"/>
                    <w:rPr>
                      <w:rFonts w:hint="default" w:ascii="Times New Roman" w:hAnsi="Times New Roman" w:eastAsia="宋体" w:cs="Times New Roman"/>
                      <w:color w:val="auto"/>
                      <w:sz w:val="21"/>
                      <w:szCs w:val="21"/>
                      <w:highlight w:val="none"/>
                    </w:rPr>
                  </w:pPr>
                </w:p>
              </w:tc>
            </w:tr>
            <w:tr w14:paraId="74032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restart"/>
                  <w:tcBorders>
                    <w:top w:val="single" w:color="auto" w:sz="8" w:space="0"/>
                    <w:bottom w:val="single" w:color="auto" w:sz="8" w:space="0"/>
                    <w:right w:val="single" w:color="auto" w:sz="8" w:space="0"/>
                  </w:tcBorders>
                  <w:shd w:val="clear" w:color="auto" w:fill="auto"/>
                  <w:vAlign w:val="center"/>
                </w:tcPr>
                <w:p w14:paraId="5BBDD9E3">
                  <w:pPr>
                    <w:adjustRightInd w:val="0"/>
                    <w:snapToGrid w:val="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rPr>
                    <w:t>侧</w:t>
                  </w:r>
                </w:p>
              </w:tc>
              <w:tc>
                <w:tcPr>
                  <w:tcW w:w="651"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20D154B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446.67</w:t>
                  </w:r>
                </w:p>
              </w:tc>
              <w:tc>
                <w:tcPr>
                  <w:tcW w:w="690"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4C6D96F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318.15</w:t>
                  </w:r>
                </w:p>
              </w:tc>
              <w:tc>
                <w:tcPr>
                  <w:tcW w:w="412"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46B84BC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1B7AA81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昼间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4315193C">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56.09</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16539D85">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w:t>
                  </w:r>
                  <w:r>
                    <w:rPr>
                      <w:rFonts w:hint="eastAsia" w:cs="Times New Roman"/>
                      <w:color w:val="auto"/>
                      <w:sz w:val="21"/>
                      <w:szCs w:val="21"/>
                      <w:highlight w:val="none"/>
                      <w:lang w:val="en-US" w:eastAsia="zh-CN"/>
                    </w:rPr>
                    <w:t>0</w:t>
                  </w:r>
                </w:p>
              </w:tc>
              <w:tc>
                <w:tcPr>
                  <w:tcW w:w="704" w:type="pct"/>
                  <w:vMerge w:val="restart"/>
                  <w:tcBorders>
                    <w:top w:val="single" w:color="auto" w:sz="8" w:space="0"/>
                    <w:left w:val="single" w:color="auto" w:sz="8" w:space="0"/>
                    <w:bottom w:val="single" w:color="auto" w:sz="8" w:space="0"/>
                  </w:tcBorders>
                  <w:shd w:val="clear" w:color="auto" w:fill="auto"/>
                  <w:vAlign w:val="center"/>
                </w:tcPr>
                <w:p w14:paraId="481D5C42">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4287BE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continue"/>
                  <w:tcBorders>
                    <w:top w:val="single" w:color="auto" w:sz="8" w:space="0"/>
                    <w:bottom w:val="single" w:color="auto" w:sz="8" w:space="0"/>
                    <w:right w:val="single" w:color="auto" w:sz="8" w:space="0"/>
                  </w:tcBorders>
                  <w:shd w:val="clear" w:color="auto" w:fill="auto"/>
                  <w:vAlign w:val="center"/>
                </w:tcPr>
                <w:p w14:paraId="20F52A50">
                  <w:pPr>
                    <w:adjustRightInd w:val="0"/>
                    <w:snapToGrid w:val="0"/>
                    <w:jc w:val="center"/>
                    <w:rPr>
                      <w:rFonts w:hint="eastAsia" w:cs="Times New Roman"/>
                      <w:color w:val="auto"/>
                      <w:sz w:val="21"/>
                      <w:szCs w:val="21"/>
                      <w:highlight w:val="none"/>
                      <w:lang w:val="en-US" w:eastAsia="zh-CN"/>
                    </w:rPr>
                  </w:pPr>
                </w:p>
              </w:tc>
              <w:tc>
                <w:tcPr>
                  <w:tcW w:w="651"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17BA505">
                  <w:pPr>
                    <w:adjustRightInd w:val="0"/>
                    <w:snapToGrid w:val="0"/>
                    <w:jc w:val="center"/>
                    <w:rPr>
                      <w:rFonts w:hint="eastAsia" w:cs="Times New Roman"/>
                      <w:color w:val="auto"/>
                      <w:sz w:val="21"/>
                      <w:szCs w:val="21"/>
                      <w:highlight w:val="none"/>
                      <w:lang w:val="en-US" w:eastAsia="zh-CN"/>
                    </w:rPr>
                  </w:pPr>
                </w:p>
              </w:tc>
              <w:tc>
                <w:tcPr>
                  <w:tcW w:w="690"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C6972F8">
                  <w:pPr>
                    <w:adjustRightInd w:val="0"/>
                    <w:snapToGrid w:val="0"/>
                    <w:jc w:val="center"/>
                    <w:rPr>
                      <w:rFonts w:hint="eastAsia" w:cs="Times New Roman"/>
                      <w:color w:val="auto"/>
                      <w:sz w:val="21"/>
                      <w:szCs w:val="21"/>
                      <w:highlight w:val="none"/>
                      <w:lang w:val="en-US" w:eastAsia="zh-CN"/>
                    </w:rPr>
                  </w:pPr>
                </w:p>
              </w:tc>
              <w:tc>
                <w:tcPr>
                  <w:tcW w:w="412"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3126072">
                  <w:pPr>
                    <w:adjustRightInd w:val="0"/>
                    <w:snapToGrid w:val="0"/>
                    <w:jc w:val="center"/>
                    <w:rPr>
                      <w:rFonts w:hint="default" w:ascii="Times New Roman" w:hAnsi="Times New Roman" w:eastAsia="宋体" w:cs="Times New Roman"/>
                      <w:color w:val="auto"/>
                      <w:sz w:val="21"/>
                      <w:szCs w:val="21"/>
                      <w:highlight w:val="none"/>
                      <w:lang w:val="en-US" w:eastAsia="zh-CN"/>
                    </w:rPr>
                  </w:pP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5F24A634">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夜间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1F741DCF">
                  <w:pPr>
                    <w:adjustRightInd w:val="0"/>
                    <w:snapToGrid w:val="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43.64</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2AEC172F">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704" w:type="pct"/>
                  <w:vMerge w:val="continue"/>
                  <w:tcBorders>
                    <w:top w:val="single" w:color="auto" w:sz="8" w:space="0"/>
                    <w:left w:val="single" w:color="auto" w:sz="8" w:space="0"/>
                    <w:bottom w:val="single" w:color="auto" w:sz="8" w:space="0"/>
                  </w:tcBorders>
                  <w:shd w:val="clear" w:color="auto" w:fill="auto"/>
                  <w:vAlign w:val="center"/>
                </w:tcPr>
                <w:p w14:paraId="5A4E5762">
                  <w:pPr>
                    <w:adjustRightInd w:val="0"/>
                    <w:snapToGrid w:val="0"/>
                    <w:jc w:val="center"/>
                    <w:rPr>
                      <w:rFonts w:hint="default" w:ascii="Times New Roman" w:hAnsi="Times New Roman" w:eastAsia="宋体" w:cs="Times New Roman"/>
                      <w:color w:val="auto"/>
                      <w:sz w:val="21"/>
                      <w:szCs w:val="21"/>
                      <w:highlight w:val="none"/>
                    </w:rPr>
                  </w:pPr>
                </w:p>
              </w:tc>
            </w:tr>
            <w:tr w14:paraId="059F44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restart"/>
                  <w:tcBorders>
                    <w:top w:val="single" w:color="auto" w:sz="8" w:space="0"/>
                    <w:bottom w:val="single" w:color="auto" w:sz="8" w:space="0"/>
                    <w:right w:val="single" w:color="auto" w:sz="8" w:space="0"/>
                  </w:tcBorders>
                  <w:shd w:val="clear" w:color="auto" w:fill="auto"/>
                  <w:vAlign w:val="center"/>
                </w:tcPr>
                <w:p w14:paraId="60E73CE5">
                  <w:pPr>
                    <w:adjustRightInd w:val="0"/>
                    <w:snapToGrid w:val="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北</w:t>
                  </w:r>
                  <w:r>
                    <w:rPr>
                      <w:rFonts w:hint="default" w:ascii="Times New Roman" w:hAnsi="Times New Roman" w:eastAsia="宋体" w:cs="Times New Roman"/>
                      <w:color w:val="auto"/>
                      <w:sz w:val="21"/>
                      <w:szCs w:val="21"/>
                      <w:highlight w:val="none"/>
                    </w:rPr>
                    <w:t>侧</w:t>
                  </w:r>
                </w:p>
              </w:tc>
              <w:tc>
                <w:tcPr>
                  <w:tcW w:w="651"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48C1AFB1">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412.82</w:t>
                  </w:r>
                </w:p>
              </w:tc>
              <w:tc>
                <w:tcPr>
                  <w:tcW w:w="690"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6172BF1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363.86</w:t>
                  </w:r>
                </w:p>
              </w:tc>
              <w:tc>
                <w:tcPr>
                  <w:tcW w:w="412"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62809B3A">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644CC4D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昼间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1B70C57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51.53</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54840718">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w:t>
                  </w:r>
                  <w:r>
                    <w:rPr>
                      <w:rFonts w:hint="eastAsia" w:cs="Times New Roman"/>
                      <w:color w:val="auto"/>
                      <w:sz w:val="21"/>
                      <w:szCs w:val="21"/>
                      <w:highlight w:val="none"/>
                      <w:lang w:val="en-US" w:eastAsia="zh-CN"/>
                    </w:rPr>
                    <w:t>0</w:t>
                  </w:r>
                </w:p>
              </w:tc>
              <w:tc>
                <w:tcPr>
                  <w:tcW w:w="704" w:type="pct"/>
                  <w:vMerge w:val="restart"/>
                  <w:tcBorders>
                    <w:top w:val="single" w:color="auto" w:sz="8" w:space="0"/>
                    <w:left w:val="single" w:color="auto" w:sz="8" w:space="0"/>
                    <w:bottom w:val="single" w:color="auto" w:sz="8" w:space="0"/>
                  </w:tcBorders>
                  <w:shd w:val="clear" w:color="auto" w:fill="auto"/>
                  <w:vAlign w:val="center"/>
                </w:tcPr>
                <w:p w14:paraId="52F251CE">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7D9D89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continue"/>
                  <w:tcBorders>
                    <w:top w:val="single" w:color="auto" w:sz="8" w:space="0"/>
                    <w:bottom w:val="single" w:color="auto" w:sz="8" w:space="0"/>
                    <w:right w:val="single" w:color="auto" w:sz="8" w:space="0"/>
                  </w:tcBorders>
                  <w:shd w:val="clear" w:color="auto" w:fill="auto"/>
                  <w:vAlign w:val="center"/>
                </w:tcPr>
                <w:p w14:paraId="4D66DFE4">
                  <w:pPr>
                    <w:adjustRightInd w:val="0"/>
                    <w:snapToGrid w:val="0"/>
                    <w:jc w:val="center"/>
                    <w:rPr>
                      <w:rFonts w:hint="eastAsia" w:cs="Times New Roman"/>
                      <w:color w:val="auto"/>
                      <w:sz w:val="21"/>
                      <w:szCs w:val="21"/>
                      <w:highlight w:val="none"/>
                      <w:lang w:val="en-US" w:eastAsia="zh-CN"/>
                    </w:rPr>
                  </w:pPr>
                </w:p>
              </w:tc>
              <w:tc>
                <w:tcPr>
                  <w:tcW w:w="651"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C10FEAD">
                  <w:pPr>
                    <w:adjustRightInd w:val="0"/>
                    <w:snapToGrid w:val="0"/>
                    <w:jc w:val="center"/>
                    <w:rPr>
                      <w:rFonts w:hint="eastAsia" w:cs="Times New Roman"/>
                      <w:color w:val="auto"/>
                      <w:sz w:val="21"/>
                      <w:szCs w:val="21"/>
                      <w:highlight w:val="none"/>
                      <w:lang w:val="en-US" w:eastAsia="zh-CN"/>
                    </w:rPr>
                  </w:pPr>
                </w:p>
              </w:tc>
              <w:tc>
                <w:tcPr>
                  <w:tcW w:w="690"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6AA94E7">
                  <w:pPr>
                    <w:adjustRightInd w:val="0"/>
                    <w:snapToGrid w:val="0"/>
                    <w:jc w:val="center"/>
                    <w:rPr>
                      <w:rFonts w:hint="eastAsia" w:cs="Times New Roman"/>
                      <w:color w:val="auto"/>
                      <w:sz w:val="21"/>
                      <w:szCs w:val="21"/>
                      <w:highlight w:val="none"/>
                      <w:lang w:val="en-US" w:eastAsia="zh-CN"/>
                    </w:rPr>
                  </w:pPr>
                </w:p>
              </w:tc>
              <w:tc>
                <w:tcPr>
                  <w:tcW w:w="412"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5A12A2E">
                  <w:pPr>
                    <w:adjustRightInd w:val="0"/>
                    <w:snapToGrid w:val="0"/>
                    <w:jc w:val="center"/>
                    <w:rPr>
                      <w:rFonts w:hint="default" w:ascii="Times New Roman" w:hAnsi="Times New Roman" w:eastAsia="宋体" w:cs="Times New Roman"/>
                      <w:color w:val="auto"/>
                      <w:sz w:val="21"/>
                      <w:szCs w:val="21"/>
                      <w:highlight w:val="none"/>
                      <w:lang w:val="en-US" w:eastAsia="zh-CN"/>
                    </w:rPr>
                  </w:pP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04CF1BE7">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夜间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614BB52A">
                  <w:pPr>
                    <w:adjustRightInd w:val="0"/>
                    <w:snapToGrid w:val="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19.77</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2A6DA7E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704" w:type="pct"/>
                  <w:vMerge w:val="continue"/>
                  <w:tcBorders>
                    <w:top w:val="single" w:color="auto" w:sz="8" w:space="0"/>
                    <w:left w:val="single" w:color="auto" w:sz="8" w:space="0"/>
                    <w:bottom w:val="single" w:color="auto" w:sz="8" w:space="0"/>
                  </w:tcBorders>
                  <w:shd w:val="clear" w:color="auto" w:fill="auto"/>
                  <w:vAlign w:val="center"/>
                </w:tcPr>
                <w:p w14:paraId="3B19437E">
                  <w:pPr>
                    <w:adjustRightInd w:val="0"/>
                    <w:snapToGrid w:val="0"/>
                    <w:jc w:val="center"/>
                    <w:rPr>
                      <w:rFonts w:hint="default" w:ascii="Times New Roman" w:hAnsi="Times New Roman" w:eastAsia="宋体" w:cs="Times New Roman"/>
                      <w:color w:val="auto"/>
                      <w:sz w:val="21"/>
                      <w:szCs w:val="21"/>
                      <w:highlight w:val="none"/>
                    </w:rPr>
                  </w:pPr>
                </w:p>
              </w:tc>
            </w:tr>
            <w:tr w14:paraId="013498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restart"/>
                  <w:tcBorders>
                    <w:top w:val="single" w:color="auto" w:sz="8" w:space="0"/>
                    <w:bottom w:val="single" w:color="auto" w:sz="8" w:space="0"/>
                    <w:right w:val="single" w:color="auto" w:sz="8" w:space="0"/>
                  </w:tcBorders>
                  <w:shd w:val="clear" w:color="auto" w:fill="auto"/>
                  <w:vAlign w:val="center"/>
                </w:tcPr>
                <w:p w14:paraId="709B609E">
                  <w:pPr>
                    <w:adjustRightInd w:val="0"/>
                    <w:snapToGrid w:val="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西</w:t>
                  </w:r>
                  <w:r>
                    <w:rPr>
                      <w:rFonts w:hint="default" w:ascii="Times New Roman" w:hAnsi="Times New Roman" w:eastAsia="宋体" w:cs="Times New Roman"/>
                      <w:color w:val="auto"/>
                      <w:sz w:val="21"/>
                      <w:szCs w:val="21"/>
                      <w:highlight w:val="none"/>
                    </w:rPr>
                    <w:t>侧</w:t>
                  </w:r>
                </w:p>
              </w:tc>
              <w:tc>
                <w:tcPr>
                  <w:tcW w:w="651"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5498BE3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379.82</w:t>
                  </w:r>
                </w:p>
              </w:tc>
              <w:tc>
                <w:tcPr>
                  <w:tcW w:w="690"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576A9B88">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355.10</w:t>
                  </w:r>
                </w:p>
              </w:tc>
              <w:tc>
                <w:tcPr>
                  <w:tcW w:w="412"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A90776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642A23D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昼间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65B5A7C9">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52.43</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34BDA767">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w:t>
                  </w:r>
                  <w:r>
                    <w:rPr>
                      <w:rFonts w:hint="eastAsia" w:cs="Times New Roman"/>
                      <w:color w:val="auto"/>
                      <w:sz w:val="21"/>
                      <w:szCs w:val="21"/>
                      <w:highlight w:val="none"/>
                      <w:lang w:val="en-US" w:eastAsia="zh-CN"/>
                    </w:rPr>
                    <w:t>0</w:t>
                  </w:r>
                </w:p>
              </w:tc>
              <w:tc>
                <w:tcPr>
                  <w:tcW w:w="704" w:type="pct"/>
                  <w:vMerge w:val="restart"/>
                  <w:tcBorders>
                    <w:top w:val="single" w:color="auto" w:sz="8" w:space="0"/>
                    <w:left w:val="single" w:color="auto" w:sz="8" w:space="0"/>
                    <w:bottom w:val="single" w:color="auto" w:sz="8" w:space="0"/>
                  </w:tcBorders>
                  <w:shd w:val="clear" w:color="auto" w:fill="auto"/>
                  <w:vAlign w:val="center"/>
                </w:tcPr>
                <w:p w14:paraId="400719C4">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1CCD5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continue"/>
                  <w:tcBorders>
                    <w:top w:val="single" w:color="auto" w:sz="8" w:space="0"/>
                    <w:bottom w:val="single" w:color="auto" w:sz="8" w:space="0"/>
                    <w:right w:val="single" w:color="auto" w:sz="8" w:space="0"/>
                  </w:tcBorders>
                  <w:shd w:val="clear" w:color="auto" w:fill="auto"/>
                  <w:vAlign w:val="center"/>
                </w:tcPr>
                <w:p w14:paraId="6801ED15">
                  <w:pPr>
                    <w:adjustRightInd w:val="0"/>
                    <w:snapToGrid w:val="0"/>
                    <w:jc w:val="center"/>
                    <w:rPr>
                      <w:rFonts w:hint="eastAsia" w:cs="Times New Roman"/>
                      <w:color w:val="auto"/>
                      <w:sz w:val="21"/>
                      <w:szCs w:val="21"/>
                      <w:highlight w:val="none"/>
                      <w:lang w:val="en-US" w:eastAsia="zh-CN"/>
                    </w:rPr>
                  </w:pPr>
                </w:p>
              </w:tc>
              <w:tc>
                <w:tcPr>
                  <w:tcW w:w="651"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9B86108">
                  <w:pPr>
                    <w:adjustRightInd w:val="0"/>
                    <w:snapToGrid w:val="0"/>
                    <w:jc w:val="center"/>
                    <w:rPr>
                      <w:rFonts w:hint="eastAsia" w:cs="Times New Roman"/>
                      <w:color w:val="auto"/>
                      <w:sz w:val="21"/>
                      <w:szCs w:val="21"/>
                      <w:highlight w:val="none"/>
                      <w:lang w:val="en-US" w:eastAsia="zh-CN"/>
                    </w:rPr>
                  </w:pPr>
                </w:p>
              </w:tc>
              <w:tc>
                <w:tcPr>
                  <w:tcW w:w="690"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DA99DCB">
                  <w:pPr>
                    <w:adjustRightInd w:val="0"/>
                    <w:snapToGrid w:val="0"/>
                    <w:jc w:val="center"/>
                    <w:rPr>
                      <w:rFonts w:hint="eastAsia" w:cs="Times New Roman"/>
                      <w:color w:val="auto"/>
                      <w:sz w:val="21"/>
                      <w:szCs w:val="21"/>
                      <w:highlight w:val="none"/>
                      <w:lang w:val="en-US" w:eastAsia="zh-CN"/>
                    </w:rPr>
                  </w:pPr>
                </w:p>
              </w:tc>
              <w:tc>
                <w:tcPr>
                  <w:tcW w:w="412" w:type="pct"/>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375495E">
                  <w:pPr>
                    <w:adjustRightInd w:val="0"/>
                    <w:snapToGrid w:val="0"/>
                    <w:jc w:val="center"/>
                    <w:rPr>
                      <w:rFonts w:hint="default" w:ascii="Times New Roman" w:hAnsi="Times New Roman" w:eastAsia="宋体" w:cs="Times New Roman"/>
                      <w:color w:val="auto"/>
                      <w:sz w:val="21"/>
                      <w:szCs w:val="21"/>
                      <w:highlight w:val="none"/>
                      <w:lang w:val="en-US" w:eastAsia="zh-CN"/>
                    </w:rPr>
                  </w:pP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29543BFF">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夜间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682DBC50">
                  <w:pPr>
                    <w:adjustRightInd w:val="0"/>
                    <w:snapToGrid w:val="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28.88</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3B4F693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704" w:type="pct"/>
                  <w:vMerge w:val="continue"/>
                  <w:tcBorders>
                    <w:top w:val="single" w:color="auto" w:sz="8" w:space="0"/>
                    <w:left w:val="single" w:color="auto" w:sz="8" w:space="0"/>
                    <w:bottom w:val="single" w:color="auto" w:sz="8" w:space="0"/>
                  </w:tcBorders>
                  <w:shd w:val="clear" w:color="auto" w:fill="auto"/>
                  <w:vAlign w:val="center"/>
                </w:tcPr>
                <w:p w14:paraId="62C0671A">
                  <w:pPr>
                    <w:adjustRightInd w:val="0"/>
                    <w:snapToGrid w:val="0"/>
                    <w:jc w:val="center"/>
                    <w:rPr>
                      <w:rFonts w:hint="default" w:ascii="Times New Roman" w:hAnsi="Times New Roman" w:eastAsia="宋体" w:cs="Times New Roman"/>
                      <w:color w:val="auto"/>
                      <w:sz w:val="21"/>
                      <w:szCs w:val="21"/>
                      <w:highlight w:val="none"/>
                    </w:rPr>
                  </w:pPr>
                </w:p>
              </w:tc>
            </w:tr>
            <w:tr w14:paraId="565F4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restart"/>
                  <w:tcBorders>
                    <w:top w:val="single" w:color="auto" w:sz="8" w:space="0"/>
                    <w:bottom w:val="single" w:color="auto" w:sz="8" w:space="0"/>
                    <w:right w:val="single" w:color="auto" w:sz="8" w:space="0"/>
                  </w:tcBorders>
                  <w:shd w:val="clear" w:color="auto" w:fill="auto"/>
                  <w:vAlign w:val="center"/>
                </w:tcPr>
                <w:p w14:paraId="3CBB0858">
                  <w:pPr>
                    <w:adjustRightInd w:val="0"/>
                    <w:snapToGrid w:val="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南</w:t>
                  </w:r>
                  <w:r>
                    <w:rPr>
                      <w:rFonts w:hint="default" w:ascii="Times New Roman" w:hAnsi="Times New Roman" w:eastAsia="宋体" w:cs="Times New Roman"/>
                      <w:color w:val="auto"/>
                      <w:sz w:val="21"/>
                      <w:szCs w:val="21"/>
                      <w:highlight w:val="none"/>
                    </w:rPr>
                    <w:t>侧</w:t>
                  </w:r>
                </w:p>
              </w:tc>
              <w:tc>
                <w:tcPr>
                  <w:tcW w:w="651"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130E842D">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415.27</w:t>
                  </w:r>
                </w:p>
              </w:tc>
              <w:tc>
                <w:tcPr>
                  <w:tcW w:w="690"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CBDAD9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364.48</w:t>
                  </w:r>
                </w:p>
              </w:tc>
              <w:tc>
                <w:tcPr>
                  <w:tcW w:w="412" w:type="pct"/>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6A715819">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1.2</w:t>
                  </w:r>
                </w:p>
              </w:tc>
              <w:tc>
                <w:tcPr>
                  <w:tcW w:w="494" w:type="pct"/>
                  <w:tcBorders>
                    <w:top w:val="single" w:color="auto" w:sz="8" w:space="0"/>
                    <w:left w:val="single" w:color="auto" w:sz="8" w:space="0"/>
                    <w:bottom w:val="single" w:color="auto" w:sz="8" w:space="0"/>
                    <w:right w:val="single" w:color="auto" w:sz="8" w:space="0"/>
                  </w:tcBorders>
                  <w:shd w:val="clear" w:color="auto" w:fill="auto"/>
                  <w:vAlign w:val="center"/>
                </w:tcPr>
                <w:p w14:paraId="3D946DA2">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743" w:type="pct"/>
                  <w:tcBorders>
                    <w:top w:val="single" w:color="auto" w:sz="8" w:space="0"/>
                    <w:left w:val="single" w:color="auto" w:sz="8" w:space="0"/>
                    <w:bottom w:val="single" w:color="auto" w:sz="8" w:space="0"/>
                    <w:right w:val="single" w:color="auto" w:sz="8" w:space="0"/>
                  </w:tcBorders>
                  <w:shd w:val="clear" w:color="auto" w:fill="auto"/>
                  <w:vAlign w:val="center"/>
                </w:tcPr>
                <w:p w14:paraId="380683D5">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55.35</w:t>
                  </w:r>
                </w:p>
              </w:tc>
              <w:tc>
                <w:tcPr>
                  <w:tcW w:w="662" w:type="pct"/>
                  <w:tcBorders>
                    <w:top w:val="single" w:color="auto" w:sz="8" w:space="0"/>
                    <w:left w:val="single" w:color="auto" w:sz="8" w:space="0"/>
                    <w:bottom w:val="single" w:color="auto" w:sz="8" w:space="0"/>
                    <w:right w:val="single" w:color="auto" w:sz="8" w:space="0"/>
                  </w:tcBorders>
                  <w:shd w:val="clear" w:color="auto" w:fill="auto"/>
                  <w:vAlign w:val="center"/>
                </w:tcPr>
                <w:p w14:paraId="64FB3BFD">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w:t>
                  </w:r>
                  <w:r>
                    <w:rPr>
                      <w:rFonts w:hint="eastAsia" w:cs="Times New Roman"/>
                      <w:color w:val="auto"/>
                      <w:sz w:val="21"/>
                      <w:szCs w:val="21"/>
                      <w:highlight w:val="none"/>
                      <w:lang w:val="en-US" w:eastAsia="zh-CN"/>
                    </w:rPr>
                    <w:t>0</w:t>
                  </w:r>
                </w:p>
              </w:tc>
              <w:tc>
                <w:tcPr>
                  <w:tcW w:w="704" w:type="pct"/>
                  <w:vMerge w:val="restart"/>
                  <w:tcBorders>
                    <w:top w:val="single" w:color="auto" w:sz="8" w:space="0"/>
                    <w:left w:val="single" w:color="auto" w:sz="8" w:space="0"/>
                    <w:bottom w:val="single" w:color="auto" w:sz="8" w:space="0"/>
                  </w:tcBorders>
                  <w:shd w:val="clear" w:color="auto" w:fill="auto"/>
                  <w:vAlign w:val="center"/>
                </w:tcPr>
                <w:p w14:paraId="685211A4">
                  <w:pPr>
                    <w:adjustRightInd w:val="0"/>
                    <w:snapToGri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1008F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3" w:hRule="atLeast"/>
                <w:jc w:val="center"/>
              </w:trPr>
              <w:tc>
                <w:tcPr>
                  <w:tcW w:w="640" w:type="pct"/>
                  <w:vMerge w:val="continue"/>
                  <w:tcBorders>
                    <w:top w:val="single" w:color="auto" w:sz="8" w:space="0"/>
                    <w:right w:val="single" w:color="auto" w:sz="8" w:space="0"/>
                  </w:tcBorders>
                  <w:shd w:val="clear" w:color="auto" w:fill="auto"/>
                  <w:vAlign w:val="center"/>
                </w:tcPr>
                <w:p w14:paraId="26DB0FD4">
                  <w:pPr>
                    <w:adjustRightInd w:val="0"/>
                    <w:snapToGrid w:val="0"/>
                    <w:jc w:val="center"/>
                    <w:rPr>
                      <w:rFonts w:hint="eastAsia" w:cs="Times New Roman"/>
                      <w:color w:val="auto"/>
                      <w:sz w:val="21"/>
                      <w:szCs w:val="21"/>
                      <w:highlight w:val="none"/>
                      <w:lang w:val="en-US" w:eastAsia="zh-CN"/>
                    </w:rPr>
                  </w:pPr>
                </w:p>
              </w:tc>
              <w:tc>
                <w:tcPr>
                  <w:tcW w:w="651" w:type="pct"/>
                  <w:vMerge w:val="continue"/>
                  <w:tcBorders>
                    <w:top w:val="single" w:color="auto" w:sz="8" w:space="0"/>
                    <w:left w:val="single" w:color="auto" w:sz="8" w:space="0"/>
                    <w:right w:val="single" w:color="auto" w:sz="8" w:space="0"/>
                  </w:tcBorders>
                  <w:shd w:val="clear" w:color="auto" w:fill="auto"/>
                  <w:vAlign w:val="center"/>
                </w:tcPr>
                <w:p w14:paraId="69C517F4">
                  <w:pPr>
                    <w:adjustRightInd w:val="0"/>
                    <w:snapToGrid w:val="0"/>
                    <w:jc w:val="center"/>
                    <w:rPr>
                      <w:rFonts w:hint="eastAsia" w:cs="Times New Roman"/>
                      <w:color w:val="auto"/>
                      <w:sz w:val="21"/>
                      <w:szCs w:val="21"/>
                      <w:highlight w:val="none"/>
                      <w:lang w:val="en-US" w:eastAsia="zh-CN"/>
                    </w:rPr>
                  </w:pPr>
                </w:p>
              </w:tc>
              <w:tc>
                <w:tcPr>
                  <w:tcW w:w="690" w:type="pct"/>
                  <w:vMerge w:val="continue"/>
                  <w:tcBorders>
                    <w:top w:val="single" w:color="auto" w:sz="8" w:space="0"/>
                    <w:left w:val="single" w:color="auto" w:sz="8" w:space="0"/>
                    <w:right w:val="single" w:color="auto" w:sz="8" w:space="0"/>
                  </w:tcBorders>
                  <w:shd w:val="clear" w:color="auto" w:fill="auto"/>
                  <w:vAlign w:val="center"/>
                </w:tcPr>
                <w:p w14:paraId="4C1853F4">
                  <w:pPr>
                    <w:adjustRightInd w:val="0"/>
                    <w:snapToGrid w:val="0"/>
                    <w:jc w:val="center"/>
                    <w:rPr>
                      <w:rFonts w:hint="eastAsia" w:cs="Times New Roman"/>
                      <w:color w:val="auto"/>
                      <w:sz w:val="21"/>
                      <w:szCs w:val="21"/>
                      <w:highlight w:val="none"/>
                      <w:lang w:val="en-US" w:eastAsia="zh-CN"/>
                    </w:rPr>
                  </w:pPr>
                </w:p>
              </w:tc>
              <w:tc>
                <w:tcPr>
                  <w:tcW w:w="412" w:type="pct"/>
                  <w:vMerge w:val="continue"/>
                  <w:tcBorders>
                    <w:top w:val="single" w:color="auto" w:sz="8" w:space="0"/>
                    <w:left w:val="single" w:color="auto" w:sz="8" w:space="0"/>
                    <w:right w:val="single" w:color="auto" w:sz="8" w:space="0"/>
                  </w:tcBorders>
                  <w:shd w:val="clear" w:color="auto" w:fill="auto"/>
                  <w:vAlign w:val="center"/>
                </w:tcPr>
                <w:p w14:paraId="4D8EFB57">
                  <w:pPr>
                    <w:adjustRightInd w:val="0"/>
                    <w:snapToGrid w:val="0"/>
                    <w:jc w:val="center"/>
                    <w:rPr>
                      <w:rFonts w:hint="default" w:ascii="Times New Roman" w:hAnsi="Times New Roman" w:eastAsia="宋体" w:cs="Times New Roman"/>
                      <w:color w:val="auto"/>
                      <w:sz w:val="21"/>
                      <w:szCs w:val="21"/>
                      <w:highlight w:val="none"/>
                      <w:lang w:val="en-US" w:eastAsia="zh-CN"/>
                    </w:rPr>
                  </w:pPr>
                </w:p>
              </w:tc>
              <w:tc>
                <w:tcPr>
                  <w:tcW w:w="494" w:type="pct"/>
                  <w:tcBorders>
                    <w:top w:val="single" w:color="auto" w:sz="8" w:space="0"/>
                    <w:left w:val="single" w:color="auto" w:sz="8" w:space="0"/>
                    <w:right w:val="single" w:color="auto" w:sz="8" w:space="0"/>
                  </w:tcBorders>
                  <w:shd w:val="clear" w:color="auto" w:fill="auto"/>
                  <w:vAlign w:val="center"/>
                </w:tcPr>
                <w:p w14:paraId="514E04B5">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夜间</w:t>
                  </w:r>
                </w:p>
              </w:tc>
              <w:tc>
                <w:tcPr>
                  <w:tcW w:w="743" w:type="pct"/>
                  <w:tcBorders>
                    <w:top w:val="single" w:color="auto" w:sz="8" w:space="0"/>
                    <w:left w:val="single" w:color="auto" w:sz="8" w:space="0"/>
                    <w:right w:val="single" w:color="auto" w:sz="8" w:space="0"/>
                  </w:tcBorders>
                  <w:shd w:val="clear" w:color="auto" w:fill="auto"/>
                  <w:vAlign w:val="center"/>
                </w:tcPr>
                <w:p w14:paraId="485C3549">
                  <w:pPr>
                    <w:adjustRightInd w:val="0"/>
                    <w:snapToGrid w:val="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41.91</w:t>
                  </w:r>
                </w:p>
              </w:tc>
              <w:tc>
                <w:tcPr>
                  <w:tcW w:w="662" w:type="pct"/>
                  <w:tcBorders>
                    <w:top w:val="single" w:color="auto" w:sz="8" w:space="0"/>
                    <w:left w:val="single" w:color="auto" w:sz="8" w:space="0"/>
                    <w:right w:val="single" w:color="auto" w:sz="8" w:space="0"/>
                  </w:tcBorders>
                  <w:shd w:val="clear" w:color="auto" w:fill="auto"/>
                  <w:vAlign w:val="center"/>
                </w:tcPr>
                <w:p w14:paraId="1407E49B">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704" w:type="pct"/>
                  <w:vMerge w:val="continue"/>
                  <w:tcBorders>
                    <w:top w:val="single" w:color="auto" w:sz="8" w:space="0"/>
                    <w:left w:val="single" w:color="auto" w:sz="8" w:space="0"/>
                  </w:tcBorders>
                  <w:shd w:val="clear" w:color="auto" w:fill="auto"/>
                  <w:vAlign w:val="center"/>
                </w:tcPr>
                <w:p w14:paraId="4CACD418">
                  <w:pPr>
                    <w:adjustRightInd w:val="0"/>
                    <w:snapToGrid w:val="0"/>
                    <w:jc w:val="center"/>
                    <w:rPr>
                      <w:rFonts w:hint="default" w:ascii="Times New Roman" w:hAnsi="Times New Roman" w:eastAsia="宋体" w:cs="Times New Roman"/>
                      <w:color w:val="auto"/>
                      <w:sz w:val="21"/>
                      <w:szCs w:val="21"/>
                      <w:highlight w:val="none"/>
                    </w:rPr>
                  </w:pPr>
                </w:p>
              </w:tc>
            </w:tr>
          </w:tbl>
          <w:p w14:paraId="1F3C13F5">
            <w:pPr>
              <w:pStyle w:val="15"/>
              <w:numPr>
                <w:ilvl w:val="0"/>
                <w:numId w:val="19"/>
              </w:numPr>
              <w:ind w:left="425" w:leftChars="0" w:right="113" w:rightChars="0" w:hanging="425"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各预测点的噪声影响值</w:t>
            </w:r>
            <w:r>
              <w:rPr>
                <w:rFonts w:hint="eastAsia" w:ascii="Times New Roman" w:hAnsi="Times New Roman" w:eastAsia="宋体" w:cs="Times New Roman"/>
                <w:b/>
                <w:color w:val="auto"/>
                <w:kern w:val="2"/>
                <w:sz w:val="21"/>
                <w:szCs w:val="21"/>
                <w:highlight w:val="none"/>
                <w:lang w:val="en-US" w:eastAsia="zh-CN" w:bidi="ar-SA"/>
              </w:rPr>
              <w:t>汇总</w:t>
            </w:r>
          </w:p>
          <w:tbl>
            <w:tblPr>
              <w:tblStyle w:val="32"/>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11"/>
              <w:gridCol w:w="1189"/>
              <w:gridCol w:w="745"/>
              <w:gridCol w:w="810"/>
              <w:gridCol w:w="810"/>
              <w:gridCol w:w="810"/>
              <w:gridCol w:w="810"/>
              <w:gridCol w:w="811"/>
              <w:gridCol w:w="811"/>
              <w:gridCol w:w="821"/>
            </w:tblGrid>
            <w:tr w14:paraId="1BDFB7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1" w:type="pct"/>
                  <w:tcBorders>
                    <w:tl2br w:val="nil"/>
                    <w:tr2bl w:val="nil"/>
                  </w:tcBorders>
                  <w:noWrap w:val="0"/>
                  <w:vAlign w:val="center"/>
                </w:tcPr>
                <w:p w14:paraId="572235B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预测点位</w:t>
                  </w:r>
                </w:p>
              </w:tc>
              <w:tc>
                <w:tcPr>
                  <w:tcW w:w="722" w:type="pct"/>
                  <w:tcBorders>
                    <w:tl2br w:val="nil"/>
                    <w:tr2bl w:val="nil"/>
                  </w:tcBorders>
                  <w:noWrap w:val="0"/>
                  <w:vAlign w:val="center"/>
                </w:tcPr>
                <w:p w14:paraId="3D8962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lang w:val="en-US" w:eastAsia="zh-CN"/>
                    </w:rPr>
                  </w:pPr>
                  <w:r>
                    <w:rPr>
                      <w:rFonts w:hint="default" w:ascii="Times New Roman" w:hAnsi="Times New Roman" w:eastAsia="宋体" w:cs="Times New Roman"/>
                      <w:b/>
                      <w:bCs/>
                      <w:i w:val="0"/>
                      <w:iCs w:val="0"/>
                      <w:color w:val="auto"/>
                      <w:sz w:val="21"/>
                      <w:szCs w:val="21"/>
                      <w:highlight w:val="none"/>
                      <w:u w:val="none"/>
                      <w:lang w:val="en-US" w:eastAsia="zh-CN"/>
                    </w:rPr>
                    <w:t>项目</w:t>
                  </w:r>
                </w:p>
              </w:tc>
              <w:tc>
                <w:tcPr>
                  <w:tcW w:w="452" w:type="pct"/>
                  <w:tcBorders>
                    <w:tl2br w:val="nil"/>
                    <w:tr2bl w:val="nil"/>
                  </w:tcBorders>
                  <w:noWrap w:val="0"/>
                  <w:vAlign w:val="center"/>
                </w:tcPr>
                <w:p w14:paraId="02AAF6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时间</w:t>
                  </w:r>
                </w:p>
              </w:tc>
              <w:tc>
                <w:tcPr>
                  <w:tcW w:w="984" w:type="pct"/>
                  <w:gridSpan w:val="2"/>
                  <w:tcBorders>
                    <w:tl2br w:val="nil"/>
                    <w:tr2bl w:val="nil"/>
                  </w:tcBorders>
                  <w:noWrap w:val="0"/>
                  <w:vAlign w:val="center"/>
                </w:tcPr>
                <w:p w14:paraId="29C989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sz w:val="21"/>
                      <w:szCs w:val="21"/>
                      <w:highlight w:val="none"/>
                      <w:u w:val="none"/>
                      <w:lang w:eastAsia="zh-CN"/>
                    </w:rPr>
                  </w:pPr>
                  <w:r>
                    <w:rPr>
                      <w:rFonts w:hint="default" w:ascii="Times New Roman" w:hAnsi="Times New Roman" w:eastAsia="宋体" w:cs="Times New Roman"/>
                      <w:b/>
                      <w:bCs/>
                      <w:i w:val="0"/>
                      <w:iCs w:val="0"/>
                      <w:color w:val="auto"/>
                      <w:sz w:val="21"/>
                      <w:szCs w:val="21"/>
                      <w:highlight w:val="none"/>
                      <w:u w:val="none"/>
                      <w:lang w:eastAsia="zh-CN"/>
                    </w:rPr>
                    <w:t>相对位置</w:t>
                  </w:r>
                </w:p>
                <w:p w14:paraId="7AD585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sz w:val="21"/>
                      <w:szCs w:val="21"/>
                      <w:highlight w:val="none"/>
                      <w:u w:val="none"/>
                      <w:lang w:eastAsia="zh-CN"/>
                    </w:rPr>
                    <w:t>（</w:t>
                  </w:r>
                  <w:r>
                    <w:rPr>
                      <w:rFonts w:hint="default" w:ascii="Times New Roman" w:hAnsi="Times New Roman" w:eastAsia="宋体" w:cs="Times New Roman"/>
                      <w:b/>
                      <w:bCs/>
                      <w:i w:val="0"/>
                      <w:iCs w:val="0"/>
                      <w:color w:val="auto"/>
                      <w:sz w:val="21"/>
                      <w:szCs w:val="21"/>
                      <w:highlight w:val="none"/>
                      <w:u w:val="none"/>
                      <w:lang w:val="en-US" w:eastAsia="zh-CN"/>
                    </w:rPr>
                    <w:t>m</w:t>
                  </w:r>
                  <w:r>
                    <w:rPr>
                      <w:rFonts w:hint="default" w:ascii="Times New Roman" w:hAnsi="Times New Roman" w:eastAsia="宋体" w:cs="Times New Roman"/>
                      <w:b/>
                      <w:bCs/>
                      <w:i w:val="0"/>
                      <w:iCs w:val="0"/>
                      <w:color w:val="auto"/>
                      <w:sz w:val="21"/>
                      <w:szCs w:val="21"/>
                      <w:highlight w:val="none"/>
                      <w:u w:val="none"/>
                      <w:lang w:eastAsia="zh-CN"/>
                    </w:rPr>
                    <w:t>）</w:t>
                  </w:r>
                </w:p>
              </w:tc>
              <w:tc>
                <w:tcPr>
                  <w:tcW w:w="492" w:type="pct"/>
                  <w:tcBorders>
                    <w:tl2br w:val="nil"/>
                    <w:tr2bl w:val="nil"/>
                  </w:tcBorders>
                  <w:noWrap w:val="0"/>
                  <w:vAlign w:val="center"/>
                </w:tcPr>
                <w:p w14:paraId="1B2384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贡献值(dB</w:t>
                  </w:r>
                  <w:r>
                    <w:rPr>
                      <w:rFonts w:hint="eastAsia" w:cs="Times New Roman"/>
                      <w:b/>
                      <w:bCs/>
                      <w:i w:val="0"/>
                      <w:iCs w:val="0"/>
                      <w:color w:val="auto"/>
                      <w:kern w:val="0"/>
                      <w:sz w:val="21"/>
                      <w:szCs w:val="21"/>
                      <w:highlight w:val="none"/>
                      <w:u w:val="none"/>
                      <w:lang w:val="en-US" w:eastAsia="zh-CN" w:bidi="ar"/>
                    </w:rPr>
                    <w:t>）</w:t>
                  </w:r>
                </w:p>
              </w:tc>
              <w:tc>
                <w:tcPr>
                  <w:tcW w:w="492" w:type="pct"/>
                  <w:tcBorders>
                    <w:tl2br w:val="nil"/>
                    <w:tr2bl w:val="nil"/>
                  </w:tcBorders>
                  <w:noWrap w:val="0"/>
                  <w:vAlign w:val="center"/>
                </w:tcPr>
                <w:p w14:paraId="2A576C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背景值(dB</w:t>
                  </w:r>
                  <w:r>
                    <w:rPr>
                      <w:rFonts w:hint="eastAsia" w:cs="Times New Roman"/>
                      <w:b/>
                      <w:bCs/>
                      <w:i w:val="0"/>
                      <w:iCs w:val="0"/>
                      <w:color w:val="auto"/>
                      <w:kern w:val="0"/>
                      <w:sz w:val="21"/>
                      <w:szCs w:val="21"/>
                      <w:highlight w:val="none"/>
                      <w:u w:val="none"/>
                      <w:lang w:val="en-US" w:eastAsia="zh-CN" w:bidi="ar"/>
                    </w:rPr>
                    <w:t>）</w:t>
                  </w:r>
                </w:p>
              </w:tc>
              <w:tc>
                <w:tcPr>
                  <w:tcW w:w="492" w:type="pct"/>
                  <w:tcBorders>
                    <w:tl2br w:val="nil"/>
                    <w:tr2bl w:val="nil"/>
                  </w:tcBorders>
                  <w:noWrap w:val="0"/>
                  <w:vAlign w:val="center"/>
                </w:tcPr>
                <w:p w14:paraId="2D5A57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预测值(dB</w:t>
                  </w:r>
                  <w:r>
                    <w:rPr>
                      <w:rFonts w:hint="eastAsia" w:cs="Times New Roman"/>
                      <w:b/>
                      <w:bCs/>
                      <w:i w:val="0"/>
                      <w:iCs w:val="0"/>
                      <w:color w:val="auto"/>
                      <w:kern w:val="0"/>
                      <w:sz w:val="21"/>
                      <w:szCs w:val="21"/>
                      <w:highlight w:val="none"/>
                      <w:u w:val="none"/>
                      <w:lang w:val="en-US" w:eastAsia="zh-CN" w:bidi="ar"/>
                    </w:rPr>
                    <w:t>）</w:t>
                  </w:r>
                </w:p>
              </w:tc>
              <w:tc>
                <w:tcPr>
                  <w:tcW w:w="492" w:type="pct"/>
                  <w:tcBorders>
                    <w:tl2br w:val="nil"/>
                    <w:tr2bl w:val="nil"/>
                  </w:tcBorders>
                  <w:noWrap w:val="0"/>
                  <w:vAlign w:val="center"/>
                </w:tcPr>
                <w:p w14:paraId="51DA0A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eastAsia" w:cs="Times New Roman"/>
                      <w:b/>
                      <w:bCs/>
                      <w:i w:val="0"/>
                      <w:iCs w:val="0"/>
                      <w:color w:val="auto"/>
                      <w:kern w:val="0"/>
                      <w:sz w:val="21"/>
                      <w:szCs w:val="21"/>
                      <w:highlight w:val="none"/>
                      <w:u w:val="none"/>
                      <w:lang w:val="en-US" w:eastAsia="zh-CN" w:bidi="ar"/>
                    </w:rPr>
                    <w:t>敏感点</w:t>
                  </w:r>
                  <w:r>
                    <w:rPr>
                      <w:rFonts w:hint="default" w:ascii="Times New Roman" w:hAnsi="Times New Roman" w:eastAsia="宋体" w:cs="Times New Roman"/>
                      <w:b/>
                      <w:bCs/>
                      <w:i w:val="0"/>
                      <w:iCs w:val="0"/>
                      <w:color w:val="auto"/>
                      <w:kern w:val="0"/>
                      <w:sz w:val="21"/>
                      <w:szCs w:val="21"/>
                      <w:highlight w:val="none"/>
                      <w:u w:val="none"/>
                      <w:lang w:val="en-US" w:eastAsia="zh-CN" w:bidi="ar"/>
                    </w:rPr>
                    <w:t>标准值</w:t>
                  </w:r>
                </w:p>
              </w:tc>
              <w:tc>
                <w:tcPr>
                  <w:tcW w:w="498" w:type="pct"/>
                  <w:tcBorders>
                    <w:tl2br w:val="nil"/>
                    <w:tr2bl w:val="nil"/>
                  </w:tcBorders>
                  <w:noWrap w:val="0"/>
                  <w:vAlign w:val="center"/>
                </w:tcPr>
                <w:p w14:paraId="48DE92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是否达标</w:t>
                  </w:r>
                </w:p>
              </w:tc>
            </w:tr>
            <w:tr w14:paraId="10DA5B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1" w:type="pct"/>
                  <w:vMerge w:val="restart"/>
                  <w:tcBorders>
                    <w:tl2br w:val="nil"/>
                    <w:tr2bl w:val="nil"/>
                  </w:tcBorders>
                  <w:noWrap w:val="0"/>
                  <w:vAlign w:val="center"/>
                </w:tcPr>
                <w:p w14:paraId="7F18596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敏感点</w:t>
                  </w:r>
                </w:p>
              </w:tc>
              <w:tc>
                <w:tcPr>
                  <w:tcW w:w="722" w:type="pct"/>
                  <w:vMerge w:val="restart"/>
                  <w:tcBorders>
                    <w:tl2br w:val="nil"/>
                    <w:tr2bl w:val="nil"/>
                  </w:tcBorders>
                  <w:noWrap w:val="0"/>
                  <w:vAlign w:val="center"/>
                </w:tcPr>
                <w:p w14:paraId="36A303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居民</w:t>
                  </w:r>
                </w:p>
              </w:tc>
              <w:tc>
                <w:tcPr>
                  <w:tcW w:w="452" w:type="pct"/>
                  <w:tcBorders>
                    <w:tl2br w:val="nil"/>
                    <w:tr2bl w:val="nil"/>
                  </w:tcBorders>
                  <w:noWrap w:val="0"/>
                  <w:vAlign w:val="center"/>
                </w:tcPr>
                <w:p w14:paraId="4666DB3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昼间</w:t>
                  </w:r>
                </w:p>
              </w:tc>
              <w:tc>
                <w:tcPr>
                  <w:tcW w:w="802" w:type="dxa"/>
                  <w:vMerge w:val="restart"/>
                  <w:tcBorders>
                    <w:tl2br w:val="nil"/>
                    <w:tr2bl w:val="nil"/>
                  </w:tcBorders>
                  <w:noWrap w:val="0"/>
                  <w:vAlign w:val="center"/>
                </w:tcPr>
                <w:p w14:paraId="727CF6D8">
                  <w:pPr>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354.27</w:t>
                  </w:r>
                </w:p>
              </w:tc>
              <w:tc>
                <w:tcPr>
                  <w:tcW w:w="802" w:type="dxa"/>
                  <w:vMerge w:val="restart"/>
                  <w:tcBorders>
                    <w:tl2br w:val="nil"/>
                    <w:tr2bl w:val="nil"/>
                  </w:tcBorders>
                  <w:noWrap w:val="0"/>
                  <w:vAlign w:val="center"/>
                </w:tcPr>
                <w:p w14:paraId="6EDA59DA">
                  <w:pPr>
                    <w:adjustRightInd w:val="0"/>
                    <w:snapToGrid w:val="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color w:val="auto"/>
                      <w:sz w:val="21"/>
                      <w:szCs w:val="21"/>
                      <w:highlight w:val="none"/>
                      <w:lang w:val="en-US" w:eastAsia="zh-CN"/>
                    </w:rPr>
                    <w:t>364.49</w:t>
                  </w:r>
                </w:p>
              </w:tc>
              <w:tc>
                <w:tcPr>
                  <w:tcW w:w="492" w:type="pct"/>
                  <w:tcBorders>
                    <w:tl2br w:val="nil"/>
                    <w:tr2bl w:val="nil"/>
                  </w:tcBorders>
                  <w:noWrap w:val="0"/>
                  <w:vAlign w:val="center"/>
                </w:tcPr>
                <w:p w14:paraId="2C751B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44.94</w:t>
                  </w:r>
                </w:p>
              </w:tc>
              <w:tc>
                <w:tcPr>
                  <w:tcW w:w="492" w:type="pct"/>
                  <w:tcBorders>
                    <w:tl2br w:val="nil"/>
                    <w:tr2bl w:val="nil"/>
                  </w:tcBorders>
                  <w:noWrap w:val="0"/>
                  <w:vAlign w:val="center"/>
                </w:tcPr>
                <w:p w14:paraId="02BBCC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53.0</w:t>
                  </w:r>
                </w:p>
              </w:tc>
              <w:tc>
                <w:tcPr>
                  <w:tcW w:w="492" w:type="pct"/>
                  <w:tcBorders>
                    <w:tl2br w:val="nil"/>
                    <w:tr2bl w:val="nil"/>
                  </w:tcBorders>
                  <w:noWrap w:val="0"/>
                  <w:vAlign w:val="center"/>
                </w:tcPr>
                <w:p w14:paraId="618725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53.63</w:t>
                  </w:r>
                </w:p>
              </w:tc>
              <w:tc>
                <w:tcPr>
                  <w:tcW w:w="492" w:type="pct"/>
                  <w:tcBorders>
                    <w:tl2br w:val="nil"/>
                    <w:tr2bl w:val="nil"/>
                  </w:tcBorders>
                  <w:noWrap w:val="0"/>
                  <w:vAlign w:val="center"/>
                </w:tcPr>
                <w:p w14:paraId="470903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98" w:type="pct"/>
                  <w:tcBorders>
                    <w:tl2br w:val="nil"/>
                    <w:tr2bl w:val="nil"/>
                  </w:tcBorders>
                  <w:noWrap w:val="0"/>
                  <w:vAlign w:val="center"/>
                </w:tcPr>
                <w:p w14:paraId="3EEF505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r w14:paraId="051926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71" w:type="pct"/>
                  <w:vMerge w:val="continue"/>
                  <w:tcBorders>
                    <w:tl2br w:val="nil"/>
                    <w:tr2bl w:val="nil"/>
                  </w:tcBorders>
                  <w:noWrap w:val="0"/>
                  <w:vAlign w:val="center"/>
                </w:tcPr>
                <w:p w14:paraId="008721A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22" w:type="pct"/>
                  <w:vMerge w:val="continue"/>
                  <w:tcBorders>
                    <w:tl2br w:val="nil"/>
                    <w:tr2bl w:val="nil"/>
                  </w:tcBorders>
                  <w:noWrap w:val="0"/>
                  <w:vAlign w:val="center"/>
                </w:tcPr>
                <w:p w14:paraId="33682E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52" w:type="pct"/>
                  <w:tcBorders>
                    <w:tl2br w:val="nil"/>
                    <w:tr2bl w:val="nil"/>
                  </w:tcBorders>
                  <w:noWrap w:val="0"/>
                  <w:vAlign w:val="center"/>
                </w:tcPr>
                <w:p w14:paraId="2E632A0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夜间</w:t>
                  </w:r>
                </w:p>
              </w:tc>
              <w:tc>
                <w:tcPr>
                  <w:tcW w:w="492" w:type="pct"/>
                  <w:vMerge w:val="continue"/>
                  <w:tcBorders>
                    <w:tl2br w:val="nil"/>
                    <w:tr2bl w:val="nil"/>
                  </w:tcBorders>
                  <w:noWrap w:val="0"/>
                  <w:vAlign w:val="center"/>
                </w:tcPr>
                <w:p w14:paraId="2DBB0A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vMerge w:val="continue"/>
                  <w:tcBorders>
                    <w:tl2br w:val="nil"/>
                    <w:tr2bl w:val="nil"/>
                  </w:tcBorders>
                  <w:noWrap w:val="0"/>
                  <w:vAlign w:val="center"/>
                </w:tcPr>
                <w:p w14:paraId="221BDC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492" w:type="pct"/>
                  <w:tcBorders>
                    <w:tl2br w:val="nil"/>
                    <w:tr2bl w:val="nil"/>
                  </w:tcBorders>
                  <w:noWrap w:val="0"/>
                  <w:vAlign w:val="center"/>
                </w:tcPr>
                <w:p w14:paraId="38458F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20.23</w:t>
                  </w:r>
                </w:p>
              </w:tc>
              <w:tc>
                <w:tcPr>
                  <w:tcW w:w="492" w:type="pct"/>
                  <w:tcBorders>
                    <w:tl2br w:val="nil"/>
                    <w:tr2bl w:val="nil"/>
                  </w:tcBorders>
                  <w:noWrap w:val="0"/>
                  <w:vAlign w:val="center"/>
                </w:tcPr>
                <w:p w14:paraId="75595BE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41.7</w:t>
                  </w:r>
                </w:p>
              </w:tc>
              <w:tc>
                <w:tcPr>
                  <w:tcW w:w="492" w:type="pct"/>
                  <w:tcBorders>
                    <w:tl2br w:val="nil"/>
                    <w:tr2bl w:val="nil"/>
                  </w:tcBorders>
                  <w:noWrap w:val="0"/>
                  <w:vAlign w:val="center"/>
                </w:tcPr>
                <w:p w14:paraId="62C212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41.73</w:t>
                  </w:r>
                </w:p>
              </w:tc>
              <w:tc>
                <w:tcPr>
                  <w:tcW w:w="492" w:type="pct"/>
                  <w:tcBorders>
                    <w:tl2br w:val="nil"/>
                    <w:tr2bl w:val="nil"/>
                  </w:tcBorders>
                  <w:noWrap w:val="0"/>
                  <w:vAlign w:val="center"/>
                </w:tcPr>
                <w:p w14:paraId="09E9B9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498" w:type="pct"/>
                  <w:tcBorders>
                    <w:tl2br w:val="nil"/>
                    <w:tr2bl w:val="nil"/>
                  </w:tcBorders>
                  <w:noWrap w:val="0"/>
                  <w:vAlign w:val="center"/>
                </w:tcPr>
                <w:p w14:paraId="0860D18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是</w:t>
                  </w:r>
                </w:p>
              </w:tc>
            </w:tr>
          </w:tbl>
          <w:p w14:paraId="56B2021A">
            <w:pPr>
              <w:widowControl/>
              <w:spacing w:line="360" w:lineRule="auto"/>
              <w:ind w:firstLine="420" w:firstLineChars="200"/>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备注：背景值取敏感点噪声监测最大值</w:t>
            </w:r>
          </w:p>
          <w:p w14:paraId="3BDCC463">
            <w:pPr>
              <w:widowControl/>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根据预测结果可知，正常工况下，项目采取的隔声、减振等降噪措施，再通过建筑隔声、距离衰减后，项目所在建筑四周边界昼间噪声贡献值可满足《工业企业厂界环境噪声排放标准》(GB12348-2008</w:t>
            </w:r>
            <w:r>
              <w:rPr>
                <w:rFonts w:hint="eastAsia" w:cs="Times New Roman"/>
                <w:color w:val="auto"/>
                <w:highlight w:val="none"/>
                <w:lang w:eastAsia="zh-CN"/>
              </w:rPr>
              <w:t>）</w:t>
            </w:r>
            <w:r>
              <w:rPr>
                <w:rFonts w:hint="default" w:ascii="Times New Roman" w:hAnsi="Times New Roman" w:eastAsia="宋体" w:cs="Times New Roman"/>
                <w:color w:val="auto"/>
                <w:highlight w:val="none"/>
              </w:rPr>
              <w:t>中的</w:t>
            </w:r>
            <w:r>
              <w:rPr>
                <w:rFonts w:hint="eastAsia" w:cs="Times New Roman"/>
                <w:color w:val="auto"/>
                <w:highlight w:val="none"/>
                <w:lang w:val="en-US" w:eastAsia="zh-CN"/>
              </w:rPr>
              <w:t>2</w:t>
            </w:r>
            <w:r>
              <w:rPr>
                <w:rFonts w:hint="default" w:ascii="Times New Roman" w:hAnsi="Times New Roman" w:eastAsia="宋体" w:cs="Times New Roman"/>
                <w:color w:val="auto"/>
                <w:highlight w:val="none"/>
              </w:rPr>
              <w:t>类标准</w:t>
            </w:r>
            <w:r>
              <w:rPr>
                <w:rFonts w:hint="eastAsia" w:cs="Times New Roman"/>
                <w:color w:val="auto"/>
                <w:highlight w:val="none"/>
                <w:lang w:eastAsia="zh-CN"/>
              </w:rPr>
              <w:t>；</w:t>
            </w:r>
            <w:r>
              <w:rPr>
                <w:rFonts w:hint="eastAsia" w:cs="Times New Roman"/>
                <w:color w:val="auto"/>
                <w:highlight w:val="none"/>
                <w:lang w:val="en-US" w:eastAsia="zh-CN"/>
              </w:rPr>
              <w:t>敏感点处噪声预测值可满足《声环境质量标准》（GB3096-2008）中的2类标准</w:t>
            </w:r>
            <w:r>
              <w:rPr>
                <w:rFonts w:hint="default" w:ascii="Times New Roman" w:hAnsi="Times New Roman" w:eastAsia="宋体" w:cs="Times New Roman"/>
                <w:color w:val="auto"/>
                <w:highlight w:val="none"/>
              </w:rPr>
              <w:t>。</w:t>
            </w:r>
          </w:p>
          <w:p w14:paraId="13F2F2C3">
            <w:pPr>
              <w:spacing w:line="360" w:lineRule="auto"/>
              <w:ind w:firstLine="482" w:firstLineChars="200"/>
              <w:rPr>
                <w:rFonts w:hint="default" w:ascii="Times New Roman" w:hAnsi="Times New Roman" w:eastAsia="宋体" w:cs="Times New Roman"/>
                <w:b/>
                <w:bCs/>
                <w:color w:val="auto"/>
                <w:szCs w:val="32"/>
                <w:highlight w:val="none"/>
              </w:rPr>
            </w:pPr>
            <w:r>
              <w:rPr>
                <w:rFonts w:hint="default" w:ascii="Times New Roman" w:hAnsi="Times New Roman" w:eastAsia="宋体" w:cs="Times New Roman"/>
                <w:b/>
                <w:bCs/>
                <w:color w:val="auto"/>
                <w:szCs w:val="32"/>
                <w:highlight w:val="none"/>
              </w:rPr>
              <w:t>3、监测要求</w:t>
            </w:r>
          </w:p>
          <w:p w14:paraId="0319F00A">
            <w:pPr>
              <w:widowControl/>
              <w:adjustRightInd w:val="0"/>
              <w:snapToGrid w:val="0"/>
              <w:spacing w:line="360" w:lineRule="auto"/>
              <w:ind w:firstLine="480" w:firstLineChars="200"/>
              <w:jc w:val="left"/>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szCs w:val="32"/>
                <w:highlight w:val="none"/>
              </w:rPr>
              <w:t>项目营运期监测计划见下表。</w:t>
            </w:r>
          </w:p>
          <w:p w14:paraId="156297B9">
            <w:pPr>
              <w:pStyle w:val="15"/>
              <w:numPr>
                <w:ilvl w:val="0"/>
                <w:numId w:val="19"/>
              </w:numPr>
              <w:ind w:left="425" w:leftChars="0" w:right="113" w:rightChars="0" w:hanging="425" w:firstLineChars="0"/>
              <w:jc w:val="center"/>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项目营运期声环境监测计划</w:t>
            </w:r>
          </w:p>
          <w:tbl>
            <w:tblPr>
              <w:tblStyle w:val="3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710"/>
              <w:gridCol w:w="1198"/>
              <w:gridCol w:w="1708"/>
              <w:gridCol w:w="2948"/>
            </w:tblGrid>
            <w:tr w14:paraId="6A8F6A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 w:type="pct"/>
                  <w:vAlign w:val="center"/>
                </w:tcPr>
                <w:p w14:paraId="598BB3F3">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类别</w:t>
                  </w:r>
                </w:p>
              </w:tc>
              <w:tc>
                <w:tcPr>
                  <w:tcW w:w="1038" w:type="pct"/>
                  <w:vAlign w:val="center"/>
                </w:tcPr>
                <w:p w14:paraId="59C79E20">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污染源</w:t>
                  </w:r>
                </w:p>
              </w:tc>
              <w:tc>
                <w:tcPr>
                  <w:tcW w:w="727" w:type="pct"/>
                  <w:vAlign w:val="center"/>
                </w:tcPr>
                <w:p w14:paraId="183A9E24">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监测项目</w:t>
                  </w:r>
                </w:p>
              </w:tc>
              <w:tc>
                <w:tcPr>
                  <w:tcW w:w="1037" w:type="pct"/>
                  <w:vAlign w:val="center"/>
                </w:tcPr>
                <w:p w14:paraId="5F397BCD">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1790" w:type="pct"/>
                  <w:vAlign w:val="center"/>
                </w:tcPr>
                <w:p w14:paraId="5646849E">
                  <w:pPr>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监测频次</w:t>
                  </w:r>
                </w:p>
              </w:tc>
            </w:tr>
            <w:tr w14:paraId="708E5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 w:type="pct"/>
                  <w:vAlign w:val="center"/>
                </w:tcPr>
                <w:p w14:paraId="754E4CBA">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038" w:type="pct"/>
                  <w:vAlign w:val="center"/>
                </w:tcPr>
                <w:p w14:paraId="533F47A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设备运行噪声</w:t>
                  </w:r>
                </w:p>
              </w:tc>
              <w:tc>
                <w:tcPr>
                  <w:tcW w:w="727" w:type="pct"/>
                  <w:vAlign w:val="center"/>
                </w:tcPr>
                <w:p w14:paraId="4B99A26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037" w:type="pct"/>
                  <w:vAlign w:val="center"/>
                </w:tcPr>
                <w:p w14:paraId="79ABB291">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厂界四周</w:t>
                  </w:r>
                </w:p>
              </w:tc>
              <w:tc>
                <w:tcPr>
                  <w:tcW w:w="1790" w:type="pct"/>
                  <w:vAlign w:val="center"/>
                </w:tcPr>
                <w:p w14:paraId="4AB8C813">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每季度一次，每天昼间夜间各1次</w:t>
                  </w:r>
                </w:p>
              </w:tc>
            </w:tr>
          </w:tbl>
          <w:p w14:paraId="4120BBEA">
            <w:pPr>
              <w:spacing w:line="360" w:lineRule="auto"/>
              <w:ind w:firstLine="482" w:firstLineChars="200"/>
              <w:rPr>
                <w:rFonts w:hint="default" w:ascii="Times New Roman" w:hAnsi="Times New Roman" w:eastAsia="宋体" w:cs="Times New Roman"/>
                <w:b/>
                <w:bCs/>
                <w:color w:val="auto"/>
                <w:szCs w:val="32"/>
                <w:highlight w:val="none"/>
              </w:rPr>
            </w:pPr>
            <w:bookmarkStart w:id="20" w:name="_Toc26839_WPSOffice_Level3"/>
            <w:r>
              <w:rPr>
                <w:rFonts w:hint="default" w:ascii="Times New Roman" w:hAnsi="Times New Roman" w:eastAsia="宋体" w:cs="Times New Roman"/>
                <w:b/>
                <w:bCs/>
                <w:color w:val="auto"/>
                <w:szCs w:val="32"/>
                <w:highlight w:val="none"/>
              </w:rPr>
              <w:t>4.2.4固体废物</w:t>
            </w:r>
            <w:bookmarkEnd w:id="20"/>
          </w:p>
          <w:p w14:paraId="45AB2752">
            <w:pPr>
              <w:pStyle w:val="31"/>
              <w:spacing w:after="0" w:line="360" w:lineRule="auto"/>
              <w:ind w:left="0" w:leftChars="0" w:firstLine="480"/>
              <w:rPr>
                <w:rFonts w:hint="default"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lang w:val="en-US" w:eastAsia="zh-CN"/>
              </w:rPr>
              <w:t>本项目为生猪屠宰项目，根据本项目建设内容及产物环节分析，本项目营运期产生的固体废物主要为粪便及肠胃内容物、不可食用内脏和碎肉渣、病死猪、不合格胴体及内脏、厂区污水站格栅渣及污泥、隔油池废油脂、废含油棉纱手套、废矿物油、</w:t>
            </w:r>
            <w:r>
              <w:rPr>
                <w:rFonts w:hint="eastAsia" w:ascii="Times New Roman" w:hAnsi="Times New Roman" w:eastAsia="宋体" w:cs="Times New Roman"/>
                <w:color w:val="auto"/>
                <w:highlight w:val="none"/>
                <w:lang w:val="en-US" w:eastAsia="zh-CN" w:bidi="ar-SA"/>
              </w:rPr>
              <w:t>废活性炭、消毒剂废包装材料、生活垃圾</w:t>
            </w:r>
            <w:r>
              <w:rPr>
                <w:rFonts w:hint="eastAsia" w:ascii="Times New Roman" w:hAnsi="Times New Roman" w:eastAsia="宋体" w:cs="Times New Roman"/>
                <w:color w:val="auto"/>
                <w:szCs w:val="24"/>
                <w:highlight w:val="none"/>
                <w:lang w:val="en-US" w:eastAsia="zh-CN"/>
              </w:rPr>
              <w:t>。</w:t>
            </w:r>
          </w:p>
          <w:p w14:paraId="64DD9AC3">
            <w:pPr>
              <w:pStyle w:val="97"/>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其中一般固体废物包括：粪便及肠胃内容物、不可食用内脏和碎肉渣、病死猪、不合格胴体及内脏、厂区污水站格栅渣及污泥、隔油池废油脂、生活垃圾。</w:t>
            </w:r>
          </w:p>
          <w:p w14:paraId="7EC4A216">
            <w:pPr>
              <w:pStyle w:val="31"/>
              <w:spacing w:after="0" w:line="360" w:lineRule="auto"/>
              <w:ind w:left="0" w:leftChars="0" w:firstLine="480"/>
              <w:rPr>
                <w:rFonts w:hint="eastAsia" w:ascii="Times New Roman" w:hAnsi="Times New Roman" w:eastAsia="宋体" w:cs="Times New Roman"/>
                <w:color w:val="auto"/>
                <w:szCs w:val="24"/>
                <w:highlight w:val="none"/>
                <w:lang w:eastAsia="zh-CN"/>
              </w:rPr>
            </w:pPr>
            <w:r>
              <w:rPr>
                <w:rFonts w:hint="default" w:ascii="Times New Roman" w:hAnsi="Times New Roman" w:eastAsia="宋体" w:cs="Times New Roman"/>
                <w:color w:val="auto"/>
                <w:szCs w:val="24"/>
                <w:highlight w:val="none"/>
              </w:rPr>
              <w:t>危险废物包括：</w:t>
            </w:r>
            <w:r>
              <w:rPr>
                <w:rFonts w:hint="default" w:ascii="Times New Roman" w:hAnsi="Times New Roman" w:eastAsia="宋体" w:cs="Times New Roman"/>
                <w:color w:val="auto"/>
                <w:highlight w:val="none"/>
              </w:rPr>
              <w:t>废含油棉纱手套、废矿物油、废活性炭</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bidi="ar-SA"/>
              </w:rPr>
              <w:t>消毒剂废包装材料。</w:t>
            </w:r>
          </w:p>
          <w:p w14:paraId="26026D0D">
            <w:pPr>
              <w:adjustRightInd w:val="0"/>
              <w:snapToGrid w:val="0"/>
              <w:spacing w:line="360" w:lineRule="auto"/>
              <w:ind w:firstLine="482" w:firstLineChars="200"/>
              <w:rPr>
                <w:rFonts w:hint="default" w:ascii="Times New Roman" w:hAnsi="Times New Roman" w:eastAsia="宋体" w:cs="Times New Roman"/>
                <w:color w:val="auto"/>
                <w:highlight w:val="none"/>
              </w:rPr>
            </w:pPr>
            <w:r>
              <w:rPr>
                <w:rFonts w:hint="eastAsia" w:cs="Times New Roman"/>
                <w:b/>
                <w:bCs/>
                <w:color w:val="auto"/>
                <w:highlight w:val="none"/>
                <w:lang w:eastAsia="zh-CN"/>
              </w:rPr>
              <w:t>（</w:t>
            </w:r>
            <w:r>
              <w:rPr>
                <w:rFonts w:hint="eastAsia" w:cs="Times New Roman"/>
                <w:b/>
                <w:bCs/>
                <w:color w:val="auto"/>
                <w:highlight w:val="none"/>
                <w:lang w:val="en-US" w:eastAsia="zh-CN"/>
              </w:rPr>
              <w:t>1</w:t>
            </w:r>
            <w:r>
              <w:rPr>
                <w:rFonts w:hint="eastAsia" w:cs="Times New Roman"/>
                <w:b/>
                <w:bCs/>
                <w:color w:val="auto"/>
                <w:highlight w:val="none"/>
                <w:lang w:eastAsia="zh-CN"/>
              </w:rPr>
              <w:t>）</w:t>
            </w:r>
            <w:r>
              <w:rPr>
                <w:rFonts w:hint="default" w:ascii="Times New Roman" w:hAnsi="Times New Roman" w:eastAsia="宋体" w:cs="Times New Roman"/>
                <w:b/>
                <w:bCs/>
                <w:color w:val="auto"/>
                <w:highlight w:val="none"/>
              </w:rPr>
              <w:t>一般固废</w:t>
            </w:r>
          </w:p>
          <w:p w14:paraId="10D5F98C">
            <w:pPr>
              <w:pStyle w:val="97"/>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lang w:val="en-US" w:eastAsia="zh-CN"/>
              </w:rPr>
              <w:t>）病死猪、不合格胴体及内脏</w:t>
            </w:r>
          </w:p>
          <w:p w14:paraId="35D17135">
            <w:pPr>
              <w:pStyle w:val="97"/>
              <w:ind w:firstLine="480"/>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项目运营过程中会产生少量病死猪，对开膛后的猪胴体及内脏进行卫生检验过程会产生不合格胴体，根据物料平衡分析，该产生量约为3.212</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w:t>
            </w:r>
          </w:p>
          <w:p w14:paraId="4354E552">
            <w:pPr>
              <w:pStyle w:val="97"/>
              <w:ind w:firstLine="48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根据农业部关于印发《病死及病害动物无害化处理技术规范》的通知（农医发﹝2017﹞25 号），病死及病害动物和相关动物产品的处理方法有焚烧法、化制法、高温法、深埋法、化学处理法，</w:t>
            </w:r>
            <w:r>
              <w:rPr>
                <w:rFonts w:hint="eastAsia" w:cs="Times New Roman"/>
                <w:color w:val="auto"/>
                <w:highlight w:val="none"/>
                <w:lang w:val="en-US" w:eastAsia="zh-CN"/>
              </w:rPr>
              <w:t>本项目主要为海螺沟景区所在的磨西镇配套，靠近景区不适宜建设焚烧无害化装置。因此，本项目采用与泸定县城屠宰场一样的无害化处置方式，委托成都市科农动物无害化处置有限公司进行集中处置，</w:t>
            </w:r>
            <w:r>
              <w:rPr>
                <w:rFonts w:hint="eastAsia" w:ascii="Times New Roman" w:hAnsi="Times New Roman" w:eastAsia="宋体" w:cs="Times New Roman"/>
                <w:color w:val="auto"/>
                <w:highlight w:val="none"/>
                <w:lang w:val="en-US" w:eastAsia="zh-CN"/>
              </w:rPr>
              <w:t>并按《一般工业固体废物管理台账制定指南》（试行）要求完善相应台账。运输车辆</w:t>
            </w:r>
            <w:r>
              <w:rPr>
                <w:rFonts w:hint="eastAsia" w:cs="Times New Roman"/>
                <w:color w:val="auto"/>
                <w:highlight w:val="none"/>
                <w:lang w:val="en-US" w:eastAsia="zh-CN"/>
              </w:rPr>
              <w:t>由委托处置单位负责委派</w:t>
            </w:r>
            <w:r>
              <w:rPr>
                <w:rFonts w:hint="eastAsia" w:ascii="Times New Roman" w:hAnsi="Times New Roman" w:eastAsia="宋体" w:cs="Times New Roman"/>
                <w:color w:val="auto"/>
                <w:highlight w:val="none"/>
                <w:lang w:val="en-US" w:eastAsia="zh-CN"/>
              </w:rPr>
              <w:t>。</w:t>
            </w:r>
          </w:p>
          <w:p w14:paraId="18A5700C">
            <w:pPr>
              <w:pStyle w:val="97"/>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）粪便及肠胃内容物</w:t>
            </w:r>
          </w:p>
          <w:p w14:paraId="33A348B3">
            <w:pPr>
              <w:pStyle w:val="97"/>
              <w:ind w:firstLine="48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项目粪便及肠胃内容物主要来源于待宰间的排泄物和屠宰车间内脏处置，根据物料平衡分析，项目粪便及肠胃内容物产生量约40.15</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w:t>
            </w:r>
          </w:p>
          <w:p w14:paraId="3C1B0D22">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项目猪粪便采用干清粪工艺，经人工清扫后收集于专用密闭桶内，屠宰过程中产生的胃内容物，收集于专用密闭桶内，与粪便一同暂存于猪粪、猪毛及肠内容物暂存间，由附近村民运走做肥料，做到日产日清</w:t>
            </w:r>
            <w:r>
              <w:rPr>
                <w:rFonts w:hint="eastAsia" w:cs="Times New Roman"/>
                <w:color w:val="auto"/>
                <w:highlight w:val="none"/>
                <w:lang w:val="en-US" w:eastAsia="zh-CN"/>
              </w:rPr>
              <w:t>，不在厂内沤肥</w:t>
            </w:r>
            <w:r>
              <w:rPr>
                <w:rFonts w:hint="eastAsia" w:ascii="Times New Roman" w:hAnsi="Times New Roman" w:eastAsia="宋体" w:cs="Times New Roman"/>
                <w:color w:val="auto"/>
                <w:highlight w:val="none"/>
                <w:lang w:val="en-US" w:eastAsia="zh-CN"/>
              </w:rPr>
              <w:t>。</w:t>
            </w:r>
          </w:p>
          <w:p w14:paraId="6291E5A6">
            <w:pPr>
              <w:pStyle w:val="97"/>
              <w:ind w:firstLine="480"/>
              <w:rPr>
                <w:rFonts w:hint="eastAsia"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农肥消纳可行性分析：</w:t>
            </w:r>
          </w:p>
          <w:p w14:paraId="28CF8DCF">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根据《土地消纳畜禽粪污容量的初步分析》（环境科学与技术第</w:t>
            </w:r>
            <w:r>
              <w:rPr>
                <w:rFonts w:hint="default" w:ascii="Times New Roman" w:hAnsi="Times New Roman" w:eastAsia="宋体" w:cs="Times New Roman"/>
                <w:color w:val="auto"/>
                <w:highlight w:val="none"/>
                <w:lang w:val="en-US" w:eastAsia="zh-CN"/>
              </w:rPr>
              <w:t>34</w:t>
            </w:r>
            <w:r>
              <w:rPr>
                <w:rFonts w:hint="eastAsia" w:ascii="Times New Roman" w:hAnsi="Times New Roman" w:eastAsia="宋体" w:cs="Times New Roman"/>
                <w:color w:val="auto"/>
                <w:highlight w:val="none"/>
                <w:lang w:val="en-US" w:eastAsia="zh-CN"/>
              </w:rPr>
              <w:t>卷第</w:t>
            </w:r>
            <w:r>
              <w:rPr>
                <w:rFonts w:hint="default" w:ascii="Times New Roman" w:hAnsi="Times New Roman" w:eastAsia="宋体" w:cs="Times New Roman"/>
                <w:color w:val="auto"/>
                <w:highlight w:val="none"/>
                <w:lang w:val="en-US" w:eastAsia="zh-CN"/>
              </w:rPr>
              <w:t>6G</w:t>
            </w:r>
            <w:r>
              <w:rPr>
                <w:rFonts w:hint="eastAsia" w:ascii="Times New Roman" w:hAnsi="Times New Roman" w:eastAsia="宋体" w:cs="Times New Roman"/>
                <w:color w:val="auto"/>
                <w:highlight w:val="none"/>
                <w:lang w:val="en-US" w:eastAsia="zh-CN"/>
              </w:rPr>
              <w:t>期</w:t>
            </w:r>
            <w:r>
              <w:rPr>
                <w:rFonts w:hint="default" w:ascii="Times New Roman" w:hAnsi="Times New Roman" w:eastAsia="宋体" w:cs="Times New Roman"/>
                <w:color w:val="auto"/>
                <w:highlight w:val="none"/>
                <w:lang w:val="en-US" w:eastAsia="zh-CN"/>
              </w:rPr>
              <w:t>2011</w:t>
            </w:r>
            <w:r>
              <w:rPr>
                <w:rFonts w:hint="eastAsia" w:ascii="Times New Roman" w:hAnsi="Times New Roman" w:eastAsia="宋体" w:cs="Times New Roman"/>
                <w:color w:val="auto"/>
                <w:highlight w:val="none"/>
                <w:lang w:val="en-US" w:eastAsia="zh-CN"/>
              </w:rPr>
              <w:t>年</w:t>
            </w:r>
            <w:r>
              <w:rPr>
                <w:rFonts w:hint="default" w:ascii="Times New Roman" w:hAnsi="Times New Roman" w:eastAsia="宋体" w:cs="Times New Roman"/>
                <w:color w:val="auto"/>
                <w:highlight w:val="none"/>
                <w:lang w:val="en-US" w:eastAsia="zh-CN"/>
              </w:rPr>
              <w:t>6</w:t>
            </w:r>
            <w:r>
              <w:rPr>
                <w:rFonts w:hint="eastAsia" w:ascii="Times New Roman" w:hAnsi="Times New Roman" w:eastAsia="宋体" w:cs="Times New Roman"/>
                <w:color w:val="auto"/>
                <w:highlight w:val="none"/>
                <w:lang w:val="en-US" w:eastAsia="zh-CN"/>
              </w:rPr>
              <w:t>月），猪粪的含水率为</w:t>
            </w:r>
            <w:r>
              <w:rPr>
                <w:rFonts w:hint="default" w:ascii="Times New Roman" w:hAnsi="Times New Roman" w:eastAsia="宋体" w:cs="Times New Roman"/>
                <w:color w:val="auto"/>
                <w:highlight w:val="none"/>
                <w:lang w:val="en-US" w:eastAsia="zh-CN"/>
              </w:rPr>
              <w:t>81.5%</w:t>
            </w:r>
            <w:r>
              <w:rPr>
                <w:rFonts w:hint="eastAsia" w:ascii="Times New Roman" w:hAnsi="Times New Roman" w:eastAsia="宋体" w:cs="Times New Roman"/>
                <w:color w:val="auto"/>
                <w:highlight w:val="none"/>
                <w:lang w:val="en-US" w:eastAsia="zh-CN"/>
              </w:rPr>
              <w:t>，有机质为</w:t>
            </w:r>
            <w:r>
              <w:rPr>
                <w:rFonts w:hint="default" w:ascii="Times New Roman" w:hAnsi="Times New Roman" w:eastAsia="宋体" w:cs="Times New Roman"/>
                <w:color w:val="auto"/>
                <w:highlight w:val="none"/>
                <w:lang w:val="en-US" w:eastAsia="zh-CN"/>
              </w:rPr>
              <w:t>15%</w:t>
            </w:r>
            <w:r>
              <w:rPr>
                <w:rFonts w:hint="eastAsia" w:ascii="Times New Roman" w:hAnsi="Times New Roman" w:eastAsia="宋体" w:cs="Times New Roman"/>
                <w:color w:val="auto"/>
                <w:highlight w:val="none"/>
                <w:lang w:val="en-US" w:eastAsia="zh-CN"/>
              </w:rPr>
              <w:t>，氮、磷养分含量分别为</w:t>
            </w:r>
            <w:r>
              <w:rPr>
                <w:rFonts w:hint="default" w:ascii="Times New Roman" w:hAnsi="Times New Roman" w:eastAsia="宋体" w:cs="Times New Roman"/>
                <w:color w:val="auto"/>
                <w:highlight w:val="none"/>
                <w:lang w:val="en-US" w:eastAsia="zh-CN"/>
              </w:rPr>
              <w:t>0.6%</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0.4%</w:t>
            </w:r>
            <w:r>
              <w:rPr>
                <w:rFonts w:hint="eastAsia" w:ascii="Times New Roman" w:hAnsi="Times New Roman" w:eastAsia="宋体" w:cs="Times New Roman"/>
                <w:color w:val="auto"/>
                <w:highlight w:val="none"/>
                <w:lang w:val="en-US" w:eastAsia="zh-CN"/>
              </w:rPr>
              <w:t>。</w:t>
            </w:r>
          </w:p>
          <w:p w14:paraId="1B82F668">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本项目产生的粪便及肠胃内容物为40.15</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，产生的氮、磷养分分别为：0.2409</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、0.1606</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。根据《猪粪施用下稻麦轮作农田土壤磷素形态及其安全消纳量研究》（四川农业大学，</w:t>
            </w:r>
            <w:r>
              <w:rPr>
                <w:rFonts w:hint="default" w:ascii="Times New Roman" w:hAnsi="Times New Roman" w:eastAsia="宋体" w:cs="Times New Roman"/>
                <w:color w:val="auto"/>
                <w:highlight w:val="none"/>
                <w:lang w:val="en-US" w:eastAsia="zh-CN"/>
              </w:rPr>
              <w:t>2015</w:t>
            </w:r>
            <w:r>
              <w:rPr>
                <w:rFonts w:hint="eastAsia" w:ascii="Times New Roman" w:hAnsi="Times New Roman" w:eastAsia="宋体" w:cs="Times New Roman"/>
                <w:color w:val="auto"/>
                <w:highlight w:val="none"/>
                <w:lang w:val="en-US" w:eastAsia="zh-CN"/>
              </w:rPr>
              <w:t>年，易云亮），稻麦两季常规化肥</w:t>
            </w:r>
            <w:r>
              <w:rPr>
                <w:rFonts w:hint="default" w:ascii="Times New Roman" w:hAnsi="Times New Roman" w:eastAsia="宋体" w:cs="Times New Roman"/>
                <w:color w:val="auto"/>
                <w:highlight w:val="none"/>
                <w:lang w:val="en-US" w:eastAsia="zh-CN"/>
              </w:rPr>
              <w:t>N</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P2O5</w:t>
            </w:r>
            <w:r>
              <w:rPr>
                <w:rFonts w:hint="eastAsia" w:ascii="Times New Roman" w:hAnsi="Times New Roman" w:eastAsia="宋体" w:cs="Times New Roman"/>
                <w:color w:val="auto"/>
                <w:highlight w:val="none"/>
                <w:lang w:val="en-US" w:eastAsia="zh-CN"/>
              </w:rPr>
              <w:t>用量分别为</w:t>
            </w:r>
            <w:r>
              <w:rPr>
                <w:rFonts w:hint="default" w:ascii="Times New Roman" w:hAnsi="Times New Roman" w:eastAsia="宋体" w:cs="Times New Roman"/>
                <w:color w:val="auto"/>
                <w:highlight w:val="none"/>
                <w:lang w:val="en-US" w:eastAsia="zh-CN"/>
              </w:rPr>
              <w:t>180kg/hm</w:t>
            </w:r>
            <w:r>
              <w:rPr>
                <w:rFonts w:hint="default" w:ascii="Times New Roman" w:hAnsi="Times New Roman" w:eastAsia="宋体" w:cs="Times New Roman"/>
                <w:color w:val="auto"/>
                <w:highlight w:val="none"/>
                <w:vertAlign w:val="superscript"/>
                <w:lang w:val="en-US" w:eastAsia="zh-CN"/>
              </w:rPr>
              <w:t>2</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75kg/hm</w:t>
            </w:r>
            <w:r>
              <w:rPr>
                <w:rFonts w:hint="default" w:ascii="Times New Roman" w:hAnsi="Times New Roman" w:eastAsia="宋体" w:cs="Times New Roman"/>
                <w:color w:val="auto"/>
                <w:highlight w:val="none"/>
                <w:vertAlign w:val="superscript"/>
                <w:lang w:val="en-US" w:eastAsia="zh-CN"/>
              </w:rPr>
              <w:t>2</w:t>
            </w:r>
            <w:r>
              <w:rPr>
                <w:rFonts w:hint="eastAsia" w:ascii="Times New Roman" w:hAnsi="Times New Roman" w:eastAsia="宋体" w:cs="Times New Roman"/>
                <w:color w:val="auto"/>
                <w:highlight w:val="none"/>
                <w:lang w:val="en-US" w:eastAsia="zh-CN"/>
              </w:rPr>
              <w:t>。本项目产生的肥料所含养分需要的承载土地量分别为：氮20.075亩，磷32.12亩，最大需52.195亩的土地消纳。</w:t>
            </w:r>
          </w:p>
          <w:p w14:paraId="706026F4">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本项目建设单位分别已签订农灌协议，用于消纳的土地面积为</w:t>
            </w:r>
            <w:r>
              <w:rPr>
                <w:rFonts w:hint="eastAsia" w:cs="Times New Roman"/>
                <w:color w:val="auto"/>
                <w:highlight w:val="none"/>
                <w:lang w:val="en-US" w:eastAsia="zh-CN"/>
              </w:rPr>
              <w:t>58.4</w:t>
            </w:r>
            <w:r>
              <w:rPr>
                <w:rFonts w:hint="eastAsia" w:ascii="Times New Roman" w:hAnsi="Times New Roman" w:eastAsia="宋体" w:cs="Times New Roman"/>
                <w:color w:val="auto"/>
                <w:highlight w:val="none"/>
                <w:lang w:val="en-US" w:eastAsia="zh-CN"/>
              </w:rPr>
              <w:t>亩，即本项目产生的粪便及肠胃内容物完全能被土地消纳，措施可行。</w:t>
            </w:r>
          </w:p>
          <w:p w14:paraId="24657814">
            <w:pPr>
              <w:pStyle w:val="97"/>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）不可食用内脏和碎肉渣</w:t>
            </w:r>
          </w:p>
          <w:p w14:paraId="46FF4D35">
            <w:pPr>
              <w:pStyle w:val="97"/>
              <w:ind w:firstLine="48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项目不可食用内脏包括摘除腺体及淋巴，碎肉渣包括屠宰过程中会产生蹄壳、碎肉、血块及碎骨等下脚料，根据物料平衡分析，项目不可食用内脏和碎肉渣产生量约8.03</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w:t>
            </w:r>
          </w:p>
          <w:p w14:paraId="59A4C918">
            <w:pPr>
              <w:pStyle w:val="97"/>
              <w:ind w:firstLine="48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不可食用内脏和碎肉渣收集后经企业分类桶装集中收集后暂存在猪粪、猪毛及肠内容物暂存间，外售饲料加工企业生产饲料。</w:t>
            </w:r>
          </w:p>
          <w:p w14:paraId="38E7115F">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4）厂区污水站格栅渣及污泥</w:t>
            </w:r>
          </w:p>
          <w:p w14:paraId="323D035B">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本项目污水处理量约为4155.8t/a，项目自建污水处理设施运行过程中将产生一定量的废污泥，根据相关工程经验，剩余污泥排放量按照下式计算：</w:t>
            </w:r>
          </w:p>
          <w:p w14:paraId="3DE08FD9">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Y=Y</w:t>
            </w:r>
            <w:r>
              <w:rPr>
                <w:rFonts w:hint="eastAsia" w:ascii="Times New Roman" w:hAnsi="Times New Roman" w:eastAsia="宋体" w:cs="Times New Roman"/>
                <w:color w:val="auto"/>
                <w:highlight w:val="none"/>
                <w:vertAlign w:val="subscript"/>
                <w:lang w:val="en-US" w:eastAsia="zh-CN"/>
              </w:rPr>
              <w:t>T</w:t>
            </w:r>
            <w:r>
              <w:rPr>
                <w:rFonts w:hint="eastAsia" w:ascii="Times New Roman" w:hAnsi="Times New Roman" w:eastAsia="宋体" w:cs="Times New Roman"/>
                <w:color w:val="auto"/>
                <w:highlight w:val="none"/>
                <w:lang w:val="en-US" w:eastAsia="zh-CN"/>
              </w:rPr>
              <w:t>×Q×Lr</w:t>
            </w:r>
          </w:p>
          <w:p w14:paraId="7EDC7385">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式中：Y——绝干污泥产量，g/d； </w:t>
            </w:r>
          </w:p>
          <w:p w14:paraId="2D4073D7">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Q——处理量，约11.38m</w:t>
            </w:r>
            <w:r>
              <w:rPr>
                <w:rFonts w:hint="eastAsia" w:ascii="Times New Roman" w:hAnsi="Times New Roman" w:eastAsia="宋体" w:cs="Times New Roman"/>
                <w:color w:val="auto"/>
                <w:highlight w:val="none"/>
                <w:vertAlign w:val="superscript"/>
                <w:lang w:val="en-US" w:eastAsia="zh-CN"/>
              </w:rPr>
              <w:t>3</w:t>
            </w:r>
            <w:r>
              <w:rPr>
                <w:rFonts w:hint="eastAsia" w:ascii="Times New Roman" w:hAnsi="Times New Roman" w:eastAsia="宋体" w:cs="Times New Roman"/>
                <w:color w:val="auto"/>
                <w:highlight w:val="none"/>
                <w:lang w:val="en-US" w:eastAsia="zh-CN"/>
              </w:rPr>
              <w:t>/d；</w:t>
            </w:r>
          </w:p>
          <w:p w14:paraId="1CA28FD5">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Lr——去除的BOD浓度，本报告取685mg/L； </w:t>
            </w:r>
          </w:p>
          <w:p w14:paraId="52799AF8">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Y</w:t>
            </w:r>
            <w:r>
              <w:rPr>
                <w:rFonts w:hint="eastAsia" w:ascii="Times New Roman" w:hAnsi="Times New Roman" w:eastAsia="宋体" w:cs="Times New Roman"/>
                <w:color w:val="auto"/>
                <w:highlight w:val="none"/>
                <w:vertAlign w:val="subscript"/>
                <w:lang w:val="en-US" w:eastAsia="zh-CN"/>
              </w:rPr>
              <w:t>T</w:t>
            </w:r>
            <w:r>
              <w:rPr>
                <w:rFonts w:hint="eastAsia" w:ascii="Times New Roman" w:hAnsi="Times New Roman" w:eastAsia="宋体" w:cs="Times New Roman"/>
                <w:color w:val="auto"/>
                <w:highlight w:val="none"/>
                <w:lang w:val="en-US" w:eastAsia="zh-CN"/>
              </w:rPr>
              <w:t>——污泥产量系数，本环评取0.8。</w:t>
            </w:r>
          </w:p>
          <w:p w14:paraId="4C552FE0">
            <w:pPr>
              <w:pStyle w:val="97"/>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则项目污泥产生量约为2.28t/a，0.006t/d。污水站格栅渣及污泥定期由环卫部门清运。</w:t>
            </w:r>
          </w:p>
          <w:p w14:paraId="0CA06843">
            <w:pPr>
              <w:adjustRightInd w:val="0"/>
              <w:snapToGrid w:val="0"/>
              <w:spacing w:line="360" w:lineRule="auto"/>
              <w:ind w:firstLine="480" w:firstLineChars="200"/>
              <w:rPr>
                <w:rFonts w:hint="default" w:ascii="Times New Roman" w:hAnsi="Times New Roman" w:eastAsia="宋体" w:cs="Times New Roman"/>
                <w:bCs/>
                <w:color w:val="auto"/>
                <w:highlight w:val="none"/>
              </w:rPr>
            </w:pPr>
            <w:r>
              <w:rPr>
                <w:rFonts w:hint="eastAsia" w:ascii="Times New Roman" w:hAnsi="Times New Roman" w:eastAsia="宋体" w:cs="Times New Roman"/>
                <w:bCs/>
                <w:color w:val="auto"/>
                <w:highlight w:val="none"/>
                <w:lang w:val="en-US" w:eastAsia="zh-CN"/>
              </w:rPr>
              <w:t>5）废油脂</w:t>
            </w:r>
          </w:p>
          <w:p w14:paraId="684D477E">
            <w:pPr>
              <w:adjustRightInd w:val="0"/>
              <w:snapToGrid w:val="0"/>
              <w:spacing w:line="360" w:lineRule="auto"/>
              <w:ind w:firstLine="480" w:firstLineChars="200"/>
              <w:rPr>
                <w:rFonts w:hint="eastAsia" w:ascii="Times New Roman" w:hAnsi="Times New Roman" w:eastAsia="宋体" w:cs="Times New Roman"/>
                <w:bCs/>
                <w:color w:val="auto"/>
                <w:highlight w:val="none"/>
                <w:lang w:val="en-US" w:eastAsia="zh-CN"/>
              </w:rPr>
            </w:pPr>
            <w:r>
              <w:rPr>
                <w:rFonts w:hint="eastAsia" w:ascii="Times New Roman" w:hAnsi="Times New Roman" w:eastAsia="宋体" w:cs="Times New Roman"/>
                <w:bCs/>
                <w:color w:val="auto"/>
                <w:highlight w:val="none"/>
                <w:lang w:val="en-US" w:eastAsia="zh-CN"/>
              </w:rPr>
              <w:t>项目生产、生活污水经隔油处理时会产生一定量的浮油，产生量主要采用动植物油去除率进行计算，本项目日均废水排放量为11.38</w:t>
            </w:r>
            <w:r>
              <w:rPr>
                <w:rFonts w:hint="default" w:ascii="Times New Roman" w:hAnsi="Times New Roman" w:eastAsia="宋体" w:cs="Times New Roman"/>
                <w:bCs/>
                <w:color w:val="auto"/>
                <w:highlight w:val="none"/>
                <w:lang w:val="en-US" w:eastAsia="zh-CN"/>
              </w:rPr>
              <w:t>m3/d</w:t>
            </w:r>
            <w:r>
              <w:rPr>
                <w:rFonts w:hint="eastAsia" w:ascii="Times New Roman" w:hAnsi="Times New Roman" w:eastAsia="宋体" w:cs="Times New Roman"/>
                <w:bCs/>
                <w:color w:val="auto"/>
                <w:highlight w:val="none"/>
                <w:lang w:val="en-US" w:eastAsia="zh-CN"/>
              </w:rPr>
              <w:t>，4155.8</w:t>
            </w:r>
            <w:r>
              <w:rPr>
                <w:rFonts w:hint="default" w:ascii="Times New Roman" w:hAnsi="Times New Roman" w:eastAsia="宋体" w:cs="Times New Roman"/>
                <w:bCs/>
                <w:color w:val="auto"/>
                <w:highlight w:val="none"/>
                <w:lang w:val="en-US" w:eastAsia="zh-CN"/>
              </w:rPr>
              <w:t>m</w:t>
            </w:r>
            <w:r>
              <w:rPr>
                <w:rFonts w:hint="default" w:ascii="Times New Roman" w:hAnsi="Times New Roman" w:eastAsia="宋体" w:cs="Times New Roman"/>
                <w:bCs/>
                <w:color w:val="auto"/>
                <w:highlight w:val="none"/>
                <w:vertAlign w:val="superscript"/>
                <w:lang w:val="en-US" w:eastAsia="zh-CN"/>
              </w:rPr>
              <w:t>3</w:t>
            </w:r>
            <w:r>
              <w:rPr>
                <w:rFonts w:hint="default" w:ascii="Times New Roman" w:hAnsi="Times New Roman" w:eastAsia="宋体" w:cs="Times New Roman"/>
                <w:bCs/>
                <w:color w:val="auto"/>
                <w:highlight w:val="none"/>
                <w:lang w:val="en-US" w:eastAsia="zh-CN"/>
              </w:rPr>
              <w:t>/a</w:t>
            </w:r>
            <w:r>
              <w:rPr>
                <w:rFonts w:hint="eastAsia" w:ascii="Times New Roman" w:hAnsi="Times New Roman" w:eastAsia="宋体" w:cs="Times New Roman"/>
                <w:bCs/>
                <w:color w:val="auto"/>
                <w:highlight w:val="none"/>
                <w:lang w:val="en-US" w:eastAsia="zh-CN"/>
              </w:rPr>
              <w:t>，其进水中动植物油浓度为</w:t>
            </w:r>
            <w:r>
              <w:rPr>
                <w:rFonts w:hint="default" w:ascii="Times New Roman" w:hAnsi="Times New Roman" w:eastAsia="宋体" w:cs="Times New Roman"/>
                <w:bCs/>
                <w:color w:val="auto"/>
                <w:highlight w:val="none"/>
                <w:lang w:val="en-US" w:eastAsia="zh-CN"/>
              </w:rPr>
              <w:t>1</w:t>
            </w:r>
            <w:r>
              <w:rPr>
                <w:rFonts w:hint="eastAsia" w:ascii="Times New Roman" w:hAnsi="Times New Roman" w:eastAsia="宋体" w:cs="Times New Roman"/>
                <w:bCs/>
                <w:color w:val="auto"/>
                <w:highlight w:val="none"/>
                <w:lang w:val="en-US" w:eastAsia="zh-CN"/>
              </w:rPr>
              <w:t>11.98</w:t>
            </w:r>
            <w:r>
              <w:rPr>
                <w:rFonts w:hint="default" w:ascii="Times New Roman" w:hAnsi="Times New Roman" w:eastAsia="宋体" w:cs="Times New Roman"/>
                <w:bCs/>
                <w:color w:val="auto"/>
                <w:highlight w:val="none"/>
                <w:lang w:val="en-US" w:eastAsia="zh-CN"/>
              </w:rPr>
              <w:t>mg/L</w:t>
            </w:r>
            <w:r>
              <w:rPr>
                <w:rFonts w:hint="eastAsia" w:ascii="Times New Roman" w:hAnsi="Times New Roman" w:eastAsia="宋体" w:cs="Times New Roman"/>
                <w:bCs/>
                <w:color w:val="auto"/>
                <w:highlight w:val="none"/>
                <w:lang w:val="en-US" w:eastAsia="zh-CN"/>
              </w:rPr>
              <w:t>，出水中动植物油浓度为11.2</w:t>
            </w:r>
            <w:r>
              <w:rPr>
                <w:rFonts w:hint="default" w:ascii="Times New Roman" w:hAnsi="Times New Roman" w:eastAsia="宋体" w:cs="Times New Roman"/>
                <w:bCs/>
                <w:color w:val="auto"/>
                <w:highlight w:val="none"/>
                <w:lang w:val="en-US" w:eastAsia="zh-CN"/>
              </w:rPr>
              <w:t>mg/L</w:t>
            </w:r>
            <w:r>
              <w:rPr>
                <w:rFonts w:hint="eastAsia" w:ascii="Times New Roman" w:hAnsi="Times New Roman" w:eastAsia="宋体" w:cs="Times New Roman"/>
                <w:bCs/>
                <w:color w:val="auto"/>
                <w:highlight w:val="none"/>
                <w:lang w:val="en-US" w:eastAsia="zh-CN"/>
              </w:rPr>
              <w:t>，则项目污水处理设施废油脂产生量约0.418</w:t>
            </w:r>
            <w:r>
              <w:rPr>
                <w:rFonts w:hint="default" w:ascii="Times New Roman" w:hAnsi="Times New Roman" w:eastAsia="宋体" w:cs="Times New Roman"/>
                <w:bCs/>
                <w:color w:val="auto"/>
                <w:highlight w:val="none"/>
                <w:lang w:val="en-US" w:eastAsia="zh-CN"/>
              </w:rPr>
              <w:t>t/a</w:t>
            </w:r>
            <w:r>
              <w:rPr>
                <w:rFonts w:hint="eastAsia" w:ascii="Times New Roman" w:hAnsi="Times New Roman" w:eastAsia="宋体" w:cs="Times New Roman"/>
                <w:bCs/>
                <w:color w:val="auto"/>
                <w:highlight w:val="none"/>
                <w:lang w:val="en-US" w:eastAsia="zh-CN"/>
              </w:rPr>
              <w:t>，委托有资质的单位进行清掏处置。</w:t>
            </w:r>
          </w:p>
          <w:p w14:paraId="1801B9B2">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w:t>
            </w:r>
            <w:r>
              <w:rPr>
                <w:rFonts w:hint="eastAsia" w:cs="Times New Roman"/>
                <w:color w:val="auto"/>
                <w:highlight w:val="none"/>
                <w:lang w:eastAsia="zh-CN"/>
              </w:rPr>
              <w:t>）</w:t>
            </w:r>
            <w:r>
              <w:rPr>
                <w:rFonts w:hint="eastAsia" w:cs="Times New Roman"/>
                <w:color w:val="auto"/>
                <w:highlight w:val="none"/>
                <w:lang w:val="en-US" w:eastAsia="zh-CN"/>
              </w:rPr>
              <w:t>生活垃圾</w:t>
            </w:r>
          </w:p>
          <w:p w14:paraId="61EDAB4C">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highlight w:val="none"/>
              </w:rPr>
              <w:t>员工生活垃圾产生量按0.5kg/人·d计，项目职工</w:t>
            </w:r>
            <w:r>
              <w:rPr>
                <w:rFonts w:hint="default" w:ascii="Times New Roman" w:hAnsi="Times New Roman" w:eastAsia="宋体" w:cs="Times New Roman"/>
                <w:bCs/>
                <w:color w:val="auto"/>
                <w:highlight w:val="none"/>
                <w:lang w:val="en-US" w:eastAsia="zh-CN"/>
              </w:rPr>
              <w:t>1</w:t>
            </w:r>
            <w:r>
              <w:rPr>
                <w:rFonts w:hint="eastAsia" w:ascii="Times New Roman" w:hAnsi="Times New Roman" w:eastAsia="宋体" w:cs="Times New Roman"/>
                <w:bCs/>
                <w:color w:val="auto"/>
                <w:highlight w:val="none"/>
                <w:lang w:val="en-US" w:eastAsia="zh-CN"/>
              </w:rPr>
              <w:t>0</w:t>
            </w:r>
            <w:r>
              <w:rPr>
                <w:rFonts w:hint="default" w:ascii="Times New Roman" w:hAnsi="Times New Roman" w:eastAsia="宋体" w:cs="Times New Roman"/>
                <w:bCs/>
                <w:color w:val="auto"/>
                <w:highlight w:val="none"/>
              </w:rPr>
              <w:t>人，则员工生活垃圾产生量为</w:t>
            </w:r>
            <w:r>
              <w:rPr>
                <w:rFonts w:hint="eastAsia" w:ascii="Times New Roman" w:hAnsi="Times New Roman" w:eastAsia="宋体" w:cs="Times New Roman"/>
                <w:bCs/>
                <w:color w:val="auto"/>
                <w:highlight w:val="none"/>
                <w:lang w:val="en-US" w:eastAsia="zh-CN"/>
              </w:rPr>
              <w:t>5</w:t>
            </w:r>
            <w:r>
              <w:rPr>
                <w:rFonts w:hint="default" w:ascii="Times New Roman" w:hAnsi="Times New Roman" w:eastAsia="宋体" w:cs="Times New Roman"/>
                <w:bCs/>
                <w:color w:val="auto"/>
                <w:highlight w:val="none"/>
              </w:rPr>
              <w:t>kg/d，</w:t>
            </w:r>
            <w:r>
              <w:rPr>
                <w:rFonts w:hint="default" w:ascii="Times New Roman" w:hAnsi="Times New Roman" w:eastAsia="宋体" w:cs="Times New Roman"/>
                <w:bCs/>
                <w:color w:val="auto"/>
                <w:highlight w:val="none"/>
                <w:lang w:val="en-US" w:eastAsia="zh-CN"/>
              </w:rPr>
              <w:t>1</w:t>
            </w:r>
            <w:r>
              <w:rPr>
                <w:rFonts w:hint="eastAsia" w:ascii="Times New Roman" w:hAnsi="Times New Roman" w:eastAsia="宋体" w:cs="Times New Roman"/>
                <w:bCs/>
                <w:color w:val="auto"/>
                <w:highlight w:val="none"/>
                <w:lang w:val="en-US" w:eastAsia="zh-CN"/>
              </w:rPr>
              <w:t>.</w:t>
            </w:r>
            <w:r>
              <w:rPr>
                <w:rFonts w:hint="default" w:ascii="Times New Roman" w:hAnsi="Times New Roman" w:eastAsia="宋体" w:cs="Times New Roman"/>
                <w:bCs/>
                <w:color w:val="auto"/>
                <w:highlight w:val="none"/>
                <w:lang w:val="en-US" w:eastAsia="zh-CN"/>
              </w:rPr>
              <w:t>8</w:t>
            </w:r>
            <w:r>
              <w:rPr>
                <w:rFonts w:hint="eastAsia" w:ascii="Times New Roman" w:hAnsi="Times New Roman" w:eastAsia="宋体" w:cs="Times New Roman"/>
                <w:bCs/>
                <w:color w:val="auto"/>
                <w:highlight w:val="none"/>
                <w:lang w:val="en-US" w:eastAsia="zh-CN"/>
              </w:rPr>
              <w:t>25</w:t>
            </w:r>
            <w:r>
              <w:rPr>
                <w:rFonts w:hint="default" w:ascii="Times New Roman" w:hAnsi="Times New Roman" w:eastAsia="宋体" w:cs="Times New Roman"/>
                <w:bCs/>
                <w:color w:val="auto"/>
                <w:highlight w:val="none"/>
              </w:rPr>
              <w:t>t/a，</w:t>
            </w:r>
            <w:r>
              <w:rPr>
                <w:rFonts w:hint="default" w:ascii="Times New Roman" w:hAnsi="Times New Roman" w:eastAsia="宋体" w:cs="Times New Roman"/>
                <w:bCs/>
                <w:color w:val="auto"/>
                <w:highlight w:val="none"/>
                <w:lang w:val="en-US" w:eastAsia="zh-CN"/>
              </w:rPr>
              <w:t>厂区垃圾桶</w:t>
            </w:r>
            <w:r>
              <w:rPr>
                <w:rFonts w:hint="default" w:ascii="Times New Roman" w:hAnsi="Times New Roman" w:eastAsia="宋体" w:cs="Times New Roman"/>
                <w:bCs/>
                <w:color w:val="auto"/>
                <w:highlight w:val="none"/>
              </w:rPr>
              <w:t>收集后，由环卫部门</w:t>
            </w:r>
            <w:r>
              <w:rPr>
                <w:rFonts w:hint="default" w:ascii="Times New Roman" w:hAnsi="Times New Roman" w:eastAsia="宋体" w:cs="Times New Roman"/>
                <w:bCs/>
                <w:color w:val="auto"/>
                <w:highlight w:val="none"/>
                <w:lang w:val="en-US" w:eastAsia="zh-CN"/>
              </w:rPr>
              <w:t>统一</w:t>
            </w:r>
            <w:r>
              <w:rPr>
                <w:rFonts w:hint="default" w:ascii="Times New Roman" w:hAnsi="Times New Roman" w:eastAsia="宋体" w:cs="Times New Roman"/>
                <w:bCs/>
                <w:color w:val="auto"/>
                <w:highlight w:val="none"/>
              </w:rPr>
              <w:t>清运</w:t>
            </w:r>
            <w:r>
              <w:rPr>
                <w:rFonts w:hint="default" w:ascii="Times New Roman" w:hAnsi="Times New Roman" w:eastAsia="宋体" w:cs="Times New Roman"/>
                <w:bCs/>
                <w:color w:val="auto"/>
                <w:highlight w:val="none"/>
                <w:lang w:val="en-US" w:eastAsia="zh-CN"/>
              </w:rPr>
              <w:t>处理</w:t>
            </w:r>
            <w:r>
              <w:rPr>
                <w:rFonts w:hint="default" w:ascii="Times New Roman" w:hAnsi="Times New Roman" w:eastAsia="宋体" w:cs="Times New Roman"/>
                <w:bCs/>
                <w:color w:val="auto"/>
                <w:highlight w:val="none"/>
              </w:rPr>
              <w:t>。</w:t>
            </w:r>
          </w:p>
          <w:p w14:paraId="41D2F637">
            <w:pPr>
              <w:adjustRightInd w:val="0"/>
              <w:snapToGrid w:val="0"/>
              <w:spacing w:line="360" w:lineRule="auto"/>
              <w:ind w:firstLine="482" w:firstLineChars="200"/>
              <w:rPr>
                <w:rFonts w:hint="default" w:ascii="Times New Roman" w:hAnsi="Times New Roman" w:eastAsia="宋体" w:cs="Times New Roman"/>
                <w:color w:val="auto"/>
                <w:highlight w:val="none"/>
              </w:rPr>
            </w:pPr>
            <w:r>
              <w:rPr>
                <w:rFonts w:hint="eastAsia" w:cs="Times New Roman"/>
                <w:b/>
                <w:bCs/>
                <w:color w:val="auto"/>
                <w:highlight w:val="none"/>
                <w:lang w:eastAsia="zh-CN"/>
              </w:rPr>
              <w:t>（</w:t>
            </w:r>
            <w:r>
              <w:rPr>
                <w:rFonts w:hint="eastAsia" w:cs="Times New Roman"/>
                <w:b/>
                <w:bCs/>
                <w:color w:val="auto"/>
                <w:highlight w:val="none"/>
                <w:lang w:val="en-US" w:eastAsia="zh-CN"/>
              </w:rPr>
              <w:t>2</w:t>
            </w:r>
            <w:r>
              <w:rPr>
                <w:rFonts w:hint="eastAsia" w:cs="Times New Roman"/>
                <w:b/>
                <w:bCs/>
                <w:color w:val="auto"/>
                <w:highlight w:val="none"/>
                <w:lang w:eastAsia="zh-CN"/>
              </w:rPr>
              <w:t>）</w:t>
            </w:r>
            <w:r>
              <w:rPr>
                <w:rFonts w:hint="eastAsia" w:cs="Times New Roman"/>
                <w:b/>
                <w:bCs/>
                <w:color w:val="auto"/>
                <w:highlight w:val="none"/>
                <w:lang w:val="en-US" w:eastAsia="zh-CN"/>
              </w:rPr>
              <w:t>危险废物</w:t>
            </w:r>
          </w:p>
          <w:p w14:paraId="47331C6A">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1）废矿物油</w:t>
            </w:r>
          </w:p>
          <w:p w14:paraId="5A7F974E">
            <w:pPr>
              <w:adjustRightInd w:val="0"/>
              <w:snapToGrid w:val="0"/>
              <w:spacing w:line="360" w:lineRule="auto"/>
              <w:ind w:firstLine="480" w:firstLineChars="200"/>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本项目因机械维护及设备更换会产生废机油、废润滑油等废油，产生量约为</w:t>
            </w:r>
            <w:r>
              <w:rPr>
                <w:rFonts w:hint="default" w:ascii="Times New Roman" w:hAnsi="Times New Roman" w:eastAsia="宋体" w:cs="Times New Roman"/>
                <w:color w:val="auto"/>
                <w:highlight w:val="none"/>
                <w:lang w:val="en-US" w:eastAsia="zh-CN"/>
              </w:rPr>
              <w:t>0.</w:t>
            </w:r>
            <w:r>
              <w:rPr>
                <w:rFonts w:hint="eastAsia" w:ascii="Times New Roman" w:hAnsi="Times New Roman" w:eastAsia="宋体" w:cs="Times New Roman"/>
                <w:color w:val="auto"/>
                <w:highlight w:val="none"/>
                <w:lang w:val="en-US" w:eastAsia="zh-CN"/>
              </w:rPr>
              <w:t>1</w:t>
            </w:r>
            <w:r>
              <w:rPr>
                <w:rFonts w:hint="default" w:ascii="Times New Roman" w:hAnsi="Times New Roman" w:eastAsia="宋体" w:cs="Times New Roman"/>
                <w:color w:val="auto"/>
                <w:highlight w:val="none"/>
                <w:lang w:val="en-US" w:eastAsia="zh-CN"/>
              </w:rPr>
              <w:t>t/a</w:t>
            </w:r>
            <w:r>
              <w:rPr>
                <w:rFonts w:hint="eastAsia" w:ascii="Times New Roman" w:hAnsi="Times New Roman" w:eastAsia="宋体" w:cs="Times New Roman"/>
                <w:color w:val="auto"/>
                <w:highlight w:val="none"/>
                <w:lang w:val="en-US" w:eastAsia="zh-CN"/>
              </w:rPr>
              <w:t>，根据《国家危险废物名录（</w:t>
            </w:r>
            <w:r>
              <w:rPr>
                <w:rFonts w:hint="default" w:ascii="Times New Roman" w:hAnsi="Times New Roman" w:eastAsia="宋体" w:cs="Times New Roman"/>
                <w:color w:val="auto"/>
                <w:highlight w:val="none"/>
                <w:lang w:val="en-US" w:eastAsia="zh-CN"/>
              </w:rPr>
              <w:t>202</w:t>
            </w:r>
            <w:r>
              <w:rPr>
                <w:rFonts w:hint="eastAsia" w:ascii="Times New Roman" w:hAnsi="Times New Roman" w:eastAsia="宋体" w:cs="Times New Roman"/>
                <w:color w:val="auto"/>
                <w:highlight w:val="none"/>
                <w:lang w:val="en-US" w:eastAsia="zh-CN"/>
              </w:rPr>
              <w:t>5年版）》，该类固废属于危险废物，危废类别为</w:t>
            </w:r>
            <w:r>
              <w:rPr>
                <w:rFonts w:hint="default" w:ascii="Times New Roman" w:hAnsi="Times New Roman" w:eastAsia="宋体" w:cs="Times New Roman"/>
                <w:color w:val="auto"/>
                <w:highlight w:val="none"/>
                <w:lang w:val="en-US" w:eastAsia="zh-CN"/>
              </w:rPr>
              <w:t>HW08</w:t>
            </w:r>
            <w:r>
              <w:rPr>
                <w:rFonts w:hint="eastAsia" w:ascii="Times New Roman" w:hAnsi="Times New Roman" w:eastAsia="宋体" w:cs="Times New Roman"/>
                <w:color w:val="auto"/>
                <w:highlight w:val="none"/>
                <w:lang w:val="en-US" w:eastAsia="zh-CN"/>
              </w:rPr>
              <w:t>废矿物油与含矿物油废物，废物代码为</w:t>
            </w:r>
            <w:r>
              <w:rPr>
                <w:rFonts w:hint="default" w:ascii="Times New Roman" w:hAnsi="Times New Roman" w:eastAsia="宋体" w:cs="Times New Roman"/>
                <w:color w:val="auto"/>
                <w:highlight w:val="none"/>
                <w:lang w:val="en-US" w:eastAsia="zh-CN"/>
              </w:rPr>
              <w:t>900-214-08</w:t>
            </w:r>
            <w:r>
              <w:rPr>
                <w:rFonts w:hint="eastAsia" w:ascii="Times New Roman" w:hAnsi="Times New Roman" w:eastAsia="宋体" w:cs="Times New Roman"/>
                <w:color w:val="auto"/>
                <w:highlight w:val="none"/>
                <w:lang w:val="en-US" w:eastAsia="zh-CN"/>
              </w:rPr>
              <w:t>，收集后暂存于危废暂存间，交由有资质单位进行处置。</w:t>
            </w:r>
          </w:p>
          <w:p w14:paraId="0F8AC5FE">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2）废含油棉纱手套</w:t>
            </w:r>
          </w:p>
          <w:p w14:paraId="7EF02A3B">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对设备进行维修过程产生的含油棉纱手套约0.01t/a，其属于《国家危险废物名录》（2025年版）HW49其他废物中“含有或沾染毒性、感染性危险废物的废弃包装物、容器、过滤吸附介质”，废物代码为900-041-49，暂存于危废暂存间，交由有资质单位进行处置。</w:t>
            </w:r>
          </w:p>
          <w:p w14:paraId="47A2B801">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）废活性炭</w:t>
            </w:r>
          </w:p>
          <w:p w14:paraId="33D7C3DB">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kern w:val="0"/>
                <w:highlight w:val="none"/>
                <w:lang w:val="en-US" w:eastAsia="zh-CN"/>
              </w:rPr>
              <w:t>本项目</w:t>
            </w:r>
            <w:r>
              <w:rPr>
                <w:rFonts w:hint="eastAsia" w:ascii="Times New Roman" w:hAnsi="Times New Roman" w:eastAsia="宋体" w:cs="Times New Roman"/>
                <w:color w:val="auto"/>
                <w:kern w:val="0"/>
                <w:highlight w:val="none"/>
                <w:lang w:val="en-US" w:eastAsia="zh-CN"/>
              </w:rPr>
              <w:t>恶臭和有机废气</w:t>
            </w:r>
            <w:r>
              <w:rPr>
                <w:rFonts w:hint="default" w:ascii="Times New Roman" w:hAnsi="Times New Roman" w:eastAsia="宋体" w:cs="Times New Roman"/>
                <w:color w:val="auto"/>
                <w:kern w:val="0"/>
                <w:highlight w:val="none"/>
                <w:lang w:val="en-US" w:eastAsia="zh-CN"/>
              </w:rPr>
              <w:t>采用的活性炭吸附装置</w:t>
            </w:r>
            <w:r>
              <w:rPr>
                <w:rFonts w:hint="eastAsia" w:ascii="Times New Roman" w:hAnsi="Times New Roman" w:eastAsia="宋体" w:cs="Times New Roman"/>
                <w:color w:val="auto"/>
                <w:kern w:val="0"/>
                <w:highlight w:val="none"/>
                <w:lang w:val="en-US" w:eastAsia="zh-CN"/>
              </w:rPr>
              <w:t>，</w:t>
            </w:r>
            <w:r>
              <w:rPr>
                <w:rFonts w:hint="default" w:ascii="Times New Roman" w:hAnsi="Times New Roman" w:eastAsia="宋体" w:cs="Times New Roman"/>
                <w:color w:val="auto"/>
                <w:kern w:val="0"/>
                <w:highlight w:val="none"/>
                <w:lang w:val="en-US" w:eastAsia="zh-CN"/>
              </w:rPr>
              <w:t>处理废气过程中会产生废活性炭，年产生量约</w:t>
            </w:r>
            <w:r>
              <w:rPr>
                <w:rFonts w:hint="eastAsia" w:cs="Times New Roman"/>
                <w:color w:val="auto"/>
                <w:kern w:val="0"/>
                <w:highlight w:val="none"/>
                <w:lang w:val="en-US" w:eastAsia="zh-CN"/>
              </w:rPr>
              <w:t>6.624</w:t>
            </w:r>
            <w:r>
              <w:rPr>
                <w:rFonts w:hint="default" w:ascii="Times New Roman" w:hAnsi="Times New Roman" w:eastAsia="宋体" w:cs="Times New Roman"/>
                <w:color w:val="auto"/>
                <w:kern w:val="0"/>
                <w:highlight w:val="none"/>
                <w:lang w:val="en-US" w:eastAsia="zh-CN"/>
              </w:rPr>
              <w:t>t/a</w:t>
            </w:r>
            <w:r>
              <w:rPr>
                <w:rFonts w:hint="eastAsia" w:ascii="Times New Roman" w:hAnsi="Times New Roman" w:eastAsia="宋体" w:cs="Times New Roman"/>
                <w:color w:val="auto"/>
                <w:highlight w:val="none"/>
                <w:lang w:val="en-US" w:eastAsia="zh-CN"/>
              </w:rPr>
              <w:t>。根据《国家危险废物名录（</w:t>
            </w:r>
            <w:r>
              <w:rPr>
                <w:rFonts w:hint="default" w:ascii="Times New Roman" w:hAnsi="Times New Roman" w:eastAsia="宋体" w:cs="Times New Roman"/>
                <w:color w:val="auto"/>
                <w:highlight w:val="none"/>
                <w:lang w:val="en-US" w:eastAsia="zh-CN"/>
              </w:rPr>
              <w:t>202</w:t>
            </w:r>
            <w:r>
              <w:rPr>
                <w:rFonts w:hint="eastAsia" w:ascii="Times New Roman" w:hAnsi="Times New Roman" w:eastAsia="宋体" w:cs="Times New Roman"/>
                <w:color w:val="auto"/>
                <w:highlight w:val="none"/>
                <w:lang w:val="en-US" w:eastAsia="zh-CN"/>
              </w:rPr>
              <w:t>5年版）》，该类固废属于危险废物，危废类别为</w:t>
            </w:r>
            <w:r>
              <w:rPr>
                <w:rFonts w:hint="default" w:ascii="Times New Roman" w:hAnsi="Times New Roman" w:eastAsia="宋体" w:cs="Times New Roman"/>
                <w:color w:val="auto"/>
                <w:highlight w:val="none"/>
                <w:lang w:val="en-US" w:eastAsia="zh-CN"/>
              </w:rPr>
              <w:t>HW49</w:t>
            </w:r>
            <w:r>
              <w:rPr>
                <w:rFonts w:hint="eastAsia" w:ascii="Times New Roman" w:hAnsi="Times New Roman" w:eastAsia="宋体" w:cs="Times New Roman"/>
                <w:color w:val="auto"/>
                <w:highlight w:val="none"/>
                <w:lang w:val="en-US" w:eastAsia="zh-CN"/>
              </w:rPr>
              <w:t>其它废物，废物代码为</w:t>
            </w:r>
            <w:r>
              <w:rPr>
                <w:rFonts w:hint="default" w:ascii="Times New Roman" w:hAnsi="Times New Roman" w:eastAsia="宋体" w:cs="Times New Roman"/>
                <w:color w:val="auto"/>
                <w:highlight w:val="none"/>
                <w:lang w:val="en-US" w:eastAsia="zh-CN"/>
              </w:rPr>
              <w:t>900-039-49</w:t>
            </w:r>
            <w:r>
              <w:rPr>
                <w:rFonts w:hint="eastAsia" w:ascii="Times New Roman" w:hAnsi="Times New Roman" w:eastAsia="宋体" w:cs="Times New Roman"/>
                <w:color w:val="auto"/>
                <w:highlight w:val="none"/>
                <w:lang w:val="en-US" w:eastAsia="zh-CN"/>
              </w:rPr>
              <w:t>，分类收集后，暂存于危废暂存间，交由有资质单位进行处置。</w:t>
            </w:r>
          </w:p>
          <w:p w14:paraId="21F04EDA">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4</w:t>
            </w:r>
            <w:r>
              <w:rPr>
                <w:rFonts w:hint="eastAsia" w:ascii="Times New Roman" w:hAnsi="Times New Roman" w:eastAsia="宋体" w:cs="Times New Roman"/>
                <w:color w:val="auto"/>
                <w:highlight w:val="none"/>
                <w:lang w:val="en-US" w:eastAsia="zh-CN"/>
              </w:rPr>
              <w:t>）消毒剂废包装袋</w:t>
            </w:r>
          </w:p>
          <w:p w14:paraId="2B9357FC">
            <w:pPr>
              <w:adjustRightInd w:val="0"/>
              <w:snapToGrid w:val="0"/>
              <w:spacing w:line="360" w:lineRule="auto"/>
              <w:ind w:firstLine="48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使用次氯酸钠对污水处理站尾水进行消毒，废包装袋产生量约0.01t/a，其属于《国家危险废物名录》（2025年版）HW49其他废物中“含有或沾染毒性、感染性危险废物的废弃包装物、容器、过滤吸附介质”，废物代码为900-041-49，暂存于危废暂存间，交由有资质单位进行处置。</w:t>
            </w:r>
          </w:p>
          <w:p w14:paraId="64C4CAC4">
            <w:pPr>
              <w:spacing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本项目固体废弃物产生及处置情况见下表。</w:t>
            </w:r>
          </w:p>
          <w:p w14:paraId="49C331F3">
            <w:pPr>
              <w:pStyle w:val="15"/>
              <w:numPr>
                <w:ilvl w:val="0"/>
                <w:numId w:val="19"/>
              </w:numPr>
              <w:ind w:left="425" w:leftChars="0" w:right="113" w:rightChars="0" w:hanging="425"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本项目固体废弃物产生及处置情况</w:t>
            </w:r>
          </w:p>
          <w:tbl>
            <w:tblPr>
              <w:tblStyle w:val="33"/>
              <w:tblW w:w="823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503"/>
              <w:gridCol w:w="940"/>
              <w:gridCol w:w="737"/>
              <w:gridCol w:w="836"/>
              <w:gridCol w:w="638"/>
              <w:gridCol w:w="737"/>
              <w:gridCol w:w="737"/>
              <w:gridCol w:w="737"/>
              <w:gridCol w:w="737"/>
              <w:gridCol w:w="812"/>
              <w:gridCol w:w="822"/>
            </w:tblGrid>
            <w:tr w14:paraId="68E573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4747A7F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940" w:type="dxa"/>
                  <w:tcBorders>
                    <w:tl2br w:val="nil"/>
                    <w:tr2bl w:val="nil"/>
                  </w:tcBorders>
                  <w:vAlign w:val="center"/>
                </w:tcPr>
                <w:p w14:paraId="548766D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737" w:type="dxa"/>
                  <w:tcBorders>
                    <w:tl2br w:val="nil"/>
                    <w:tr2bl w:val="nil"/>
                  </w:tcBorders>
                  <w:vAlign w:val="center"/>
                </w:tcPr>
                <w:p w14:paraId="2A4A972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属性</w:t>
                  </w:r>
                </w:p>
              </w:tc>
              <w:tc>
                <w:tcPr>
                  <w:tcW w:w="836" w:type="dxa"/>
                  <w:tcBorders>
                    <w:tl2br w:val="nil"/>
                    <w:tr2bl w:val="nil"/>
                  </w:tcBorders>
                  <w:vAlign w:val="center"/>
                </w:tcPr>
                <w:p w14:paraId="76CFCBF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主要有毒有害物质名称</w:t>
                  </w:r>
                </w:p>
              </w:tc>
              <w:tc>
                <w:tcPr>
                  <w:tcW w:w="638" w:type="dxa"/>
                  <w:tcBorders>
                    <w:tl2br w:val="nil"/>
                    <w:tr2bl w:val="nil"/>
                  </w:tcBorders>
                  <w:vAlign w:val="center"/>
                </w:tcPr>
                <w:p w14:paraId="1C9BF1A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物理性状</w:t>
                  </w:r>
                </w:p>
              </w:tc>
              <w:tc>
                <w:tcPr>
                  <w:tcW w:w="737" w:type="dxa"/>
                  <w:tcBorders>
                    <w:tl2br w:val="nil"/>
                    <w:tr2bl w:val="nil"/>
                  </w:tcBorders>
                  <w:vAlign w:val="center"/>
                </w:tcPr>
                <w:p w14:paraId="05EE0404">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危险特性</w:t>
                  </w:r>
                </w:p>
              </w:tc>
              <w:tc>
                <w:tcPr>
                  <w:tcW w:w="737" w:type="dxa"/>
                  <w:tcBorders>
                    <w:tl2br w:val="nil"/>
                    <w:tr2bl w:val="nil"/>
                  </w:tcBorders>
                  <w:vAlign w:val="center"/>
                </w:tcPr>
                <w:p w14:paraId="2685C32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年产生量t/a</w:t>
                  </w:r>
                </w:p>
              </w:tc>
              <w:tc>
                <w:tcPr>
                  <w:tcW w:w="737" w:type="dxa"/>
                  <w:tcBorders>
                    <w:tl2br w:val="nil"/>
                    <w:tr2bl w:val="nil"/>
                  </w:tcBorders>
                  <w:vAlign w:val="center"/>
                </w:tcPr>
                <w:p w14:paraId="44E72AB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贮存方式</w:t>
                  </w:r>
                </w:p>
              </w:tc>
              <w:tc>
                <w:tcPr>
                  <w:tcW w:w="737" w:type="dxa"/>
                  <w:tcBorders>
                    <w:tl2br w:val="nil"/>
                    <w:tr2bl w:val="nil"/>
                  </w:tcBorders>
                  <w:vAlign w:val="center"/>
                </w:tcPr>
                <w:p w14:paraId="4EA4C49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利用</w:t>
                  </w:r>
                  <w:r>
                    <w:rPr>
                      <w:rFonts w:hint="default" w:ascii="Times New Roman" w:hAnsi="Times New Roman" w:eastAsia="宋体" w:cs="Times New Roman"/>
                      <w:b/>
                      <w:bCs/>
                      <w:color w:val="auto"/>
                      <w:sz w:val="21"/>
                      <w:szCs w:val="21"/>
                      <w:highlight w:val="none"/>
                      <w:lang w:val="en-US"/>
                    </w:rPr>
                    <w:t>/</w:t>
                  </w:r>
                  <w:r>
                    <w:rPr>
                      <w:rFonts w:hint="default" w:ascii="Times New Roman" w:hAnsi="Times New Roman" w:eastAsia="宋体" w:cs="Times New Roman"/>
                      <w:b/>
                      <w:bCs/>
                      <w:color w:val="auto"/>
                      <w:sz w:val="21"/>
                      <w:szCs w:val="21"/>
                      <w:highlight w:val="none"/>
                    </w:rPr>
                    <w:t>处置方式</w:t>
                  </w:r>
                </w:p>
              </w:tc>
              <w:tc>
                <w:tcPr>
                  <w:tcW w:w="812" w:type="dxa"/>
                  <w:tcBorders>
                    <w:tl2br w:val="nil"/>
                    <w:tr2bl w:val="nil"/>
                  </w:tcBorders>
                  <w:vAlign w:val="center"/>
                </w:tcPr>
                <w:p w14:paraId="5311F85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去向</w:t>
                  </w:r>
                </w:p>
              </w:tc>
              <w:tc>
                <w:tcPr>
                  <w:tcW w:w="822" w:type="dxa"/>
                  <w:tcBorders>
                    <w:tl2br w:val="nil"/>
                    <w:tr2bl w:val="nil"/>
                  </w:tcBorders>
                  <w:vAlign w:val="center"/>
                </w:tcPr>
                <w:p w14:paraId="6F72D79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利用/处置量t/a</w:t>
                  </w:r>
                </w:p>
              </w:tc>
            </w:tr>
            <w:tr w14:paraId="47F21E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76D557D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40" w:type="dxa"/>
                  <w:tcBorders>
                    <w:tl2br w:val="nil"/>
                    <w:tr2bl w:val="nil"/>
                  </w:tcBorders>
                  <w:vAlign w:val="center"/>
                </w:tcPr>
                <w:p w14:paraId="6F19857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生活垃圾</w:t>
                  </w:r>
                </w:p>
              </w:tc>
              <w:tc>
                <w:tcPr>
                  <w:tcW w:w="737" w:type="dxa"/>
                  <w:vMerge w:val="restart"/>
                  <w:tcBorders>
                    <w:tl2br w:val="nil"/>
                    <w:tr2bl w:val="nil"/>
                  </w:tcBorders>
                  <w:vAlign w:val="center"/>
                </w:tcPr>
                <w:p w14:paraId="783D768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一般固废</w:t>
                  </w:r>
                </w:p>
              </w:tc>
              <w:tc>
                <w:tcPr>
                  <w:tcW w:w="836" w:type="dxa"/>
                  <w:tcBorders>
                    <w:tl2br w:val="nil"/>
                    <w:tr2bl w:val="nil"/>
                  </w:tcBorders>
                  <w:vAlign w:val="center"/>
                </w:tcPr>
                <w:p w14:paraId="77C0041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38" w:type="dxa"/>
                  <w:tcBorders>
                    <w:tl2br w:val="nil"/>
                    <w:tr2bl w:val="nil"/>
                  </w:tcBorders>
                  <w:vAlign w:val="center"/>
                </w:tcPr>
                <w:p w14:paraId="6E26E6D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w:t>
                  </w:r>
                </w:p>
              </w:tc>
              <w:tc>
                <w:tcPr>
                  <w:tcW w:w="737" w:type="dxa"/>
                  <w:tcBorders>
                    <w:tl2br w:val="nil"/>
                    <w:tr2bl w:val="nil"/>
                  </w:tcBorders>
                  <w:vAlign w:val="center"/>
                </w:tcPr>
                <w:p w14:paraId="6272F3B1">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7" w:type="dxa"/>
                  <w:tcBorders>
                    <w:tl2br w:val="nil"/>
                    <w:tr2bl w:val="nil"/>
                  </w:tcBorders>
                  <w:vAlign w:val="center"/>
                </w:tcPr>
                <w:p w14:paraId="540F9FA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1.825</w:t>
                  </w:r>
                </w:p>
              </w:tc>
              <w:tc>
                <w:tcPr>
                  <w:tcW w:w="737" w:type="dxa"/>
                  <w:tcBorders>
                    <w:tl2br w:val="nil"/>
                    <w:tr2bl w:val="nil"/>
                  </w:tcBorders>
                  <w:vAlign w:val="center"/>
                </w:tcPr>
                <w:p w14:paraId="0547C0E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厂区垃圾桶</w:t>
                  </w:r>
                </w:p>
              </w:tc>
              <w:tc>
                <w:tcPr>
                  <w:tcW w:w="737" w:type="dxa"/>
                  <w:tcBorders>
                    <w:tl2br w:val="nil"/>
                    <w:tr2bl w:val="nil"/>
                  </w:tcBorders>
                  <w:vAlign w:val="center"/>
                </w:tcPr>
                <w:p w14:paraId="60ADF4C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环卫部门统一清运处置</w:t>
                  </w:r>
                </w:p>
              </w:tc>
              <w:tc>
                <w:tcPr>
                  <w:tcW w:w="812" w:type="dxa"/>
                  <w:tcBorders>
                    <w:tl2br w:val="nil"/>
                    <w:tr2bl w:val="nil"/>
                  </w:tcBorders>
                  <w:vAlign w:val="center"/>
                </w:tcPr>
                <w:p w14:paraId="01477A4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环卫部门</w:t>
                  </w:r>
                </w:p>
              </w:tc>
              <w:tc>
                <w:tcPr>
                  <w:tcW w:w="822" w:type="dxa"/>
                  <w:tcBorders>
                    <w:tl2br w:val="nil"/>
                    <w:tr2bl w:val="nil"/>
                  </w:tcBorders>
                  <w:vAlign w:val="center"/>
                </w:tcPr>
                <w:p w14:paraId="61810B8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1.825</w:t>
                  </w:r>
                </w:p>
              </w:tc>
            </w:tr>
            <w:tr w14:paraId="6F3B3E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24" w:hRule="atLeast"/>
              </w:trPr>
              <w:tc>
                <w:tcPr>
                  <w:tcW w:w="503" w:type="dxa"/>
                  <w:tcBorders>
                    <w:tl2br w:val="nil"/>
                    <w:tr2bl w:val="nil"/>
                  </w:tcBorders>
                  <w:vAlign w:val="center"/>
                </w:tcPr>
                <w:p w14:paraId="4DFE022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940" w:type="dxa"/>
                  <w:tcBorders>
                    <w:tl2br w:val="nil"/>
                    <w:tr2bl w:val="nil"/>
                  </w:tcBorders>
                  <w:vAlign w:val="center"/>
                </w:tcPr>
                <w:p w14:paraId="50C629E1">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病死猪、不合格胴体及内脏</w:t>
                  </w:r>
                </w:p>
              </w:tc>
              <w:tc>
                <w:tcPr>
                  <w:tcW w:w="737" w:type="dxa"/>
                  <w:vMerge w:val="continue"/>
                  <w:tcBorders>
                    <w:tl2br w:val="nil"/>
                    <w:tr2bl w:val="nil"/>
                  </w:tcBorders>
                  <w:vAlign w:val="center"/>
                </w:tcPr>
                <w:p w14:paraId="52937C0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6" w:type="dxa"/>
                  <w:tcBorders>
                    <w:tl2br w:val="nil"/>
                    <w:tr2bl w:val="nil"/>
                  </w:tcBorders>
                  <w:vAlign w:val="center"/>
                </w:tcPr>
                <w:p w14:paraId="54F9907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38" w:type="dxa"/>
                  <w:tcBorders>
                    <w:tl2br w:val="nil"/>
                    <w:tr2bl w:val="nil"/>
                  </w:tcBorders>
                  <w:vAlign w:val="center"/>
                </w:tcPr>
                <w:p w14:paraId="4295A37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固体</w:t>
                  </w:r>
                </w:p>
              </w:tc>
              <w:tc>
                <w:tcPr>
                  <w:tcW w:w="737" w:type="dxa"/>
                  <w:tcBorders>
                    <w:tl2br w:val="nil"/>
                    <w:tr2bl w:val="nil"/>
                  </w:tcBorders>
                  <w:vAlign w:val="center"/>
                </w:tcPr>
                <w:p w14:paraId="1E61CA7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w:t>
                  </w:r>
                </w:p>
              </w:tc>
              <w:tc>
                <w:tcPr>
                  <w:tcW w:w="737" w:type="dxa"/>
                  <w:tcBorders>
                    <w:tl2br w:val="nil"/>
                    <w:tr2bl w:val="nil"/>
                  </w:tcBorders>
                  <w:vAlign w:val="center"/>
                </w:tcPr>
                <w:p w14:paraId="311803E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3.212</w:t>
                  </w:r>
                </w:p>
              </w:tc>
              <w:tc>
                <w:tcPr>
                  <w:tcW w:w="737" w:type="dxa"/>
                  <w:tcBorders>
                    <w:bottom w:val="single" w:color="000000" w:sz="8" w:space="0"/>
                    <w:tl2br w:val="nil"/>
                    <w:tr2bl w:val="nil"/>
                  </w:tcBorders>
                  <w:vAlign w:val="center"/>
                </w:tcPr>
                <w:p w14:paraId="1A4863A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病体间</w:t>
                  </w:r>
                </w:p>
              </w:tc>
              <w:tc>
                <w:tcPr>
                  <w:tcW w:w="737" w:type="dxa"/>
                  <w:tcBorders>
                    <w:bottom w:val="single" w:color="000000" w:sz="8" w:space="0"/>
                    <w:tl2br w:val="nil"/>
                    <w:tr2bl w:val="nil"/>
                  </w:tcBorders>
                  <w:vAlign w:val="center"/>
                </w:tcPr>
                <w:p w14:paraId="5E96456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委托成都市科农动物无害化处置有限公司处置</w:t>
                  </w:r>
                </w:p>
              </w:tc>
              <w:tc>
                <w:tcPr>
                  <w:tcW w:w="812" w:type="dxa"/>
                  <w:tcBorders>
                    <w:tl2br w:val="nil"/>
                    <w:tr2bl w:val="nil"/>
                  </w:tcBorders>
                  <w:vAlign w:val="center"/>
                </w:tcPr>
                <w:p w14:paraId="224F7C8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外委处置</w:t>
                  </w:r>
                </w:p>
              </w:tc>
              <w:tc>
                <w:tcPr>
                  <w:tcW w:w="822" w:type="dxa"/>
                  <w:tcBorders>
                    <w:tl2br w:val="nil"/>
                    <w:tr2bl w:val="nil"/>
                  </w:tcBorders>
                  <w:vAlign w:val="center"/>
                </w:tcPr>
                <w:p w14:paraId="76D1F53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3.212</w:t>
                  </w:r>
                </w:p>
              </w:tc>
            </w:tr>
            <w:tr w14:paraId="25A3C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6D340DD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940" w:type="dxa"/>
                  <w:tcBorders>
                    <w:tl2br w:val="nil"/>
                    <w:tr2bl w:val="nil"/>
                  </w:tcBorders>
                  <w:vAlign w:val="center"/>
                </w:tcPr>
                <w:p w14:paraId="141FEF8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粪便及肠胃内容物</w:t>
                  </w:r>
                </w:p>
              </w:tc>
              <w:tc>
                <w:tcPr>
                  <w:tcW w:w="737" w:type="dxa"/>
                  <w:vMerge w:val="continue"/>
                  <w:tcBorders>
                    <w:tl2br w:val="nil"/>
                    <w:tr2bl w:val="nil"/>
                  </w:tcBorders>
                  <w:vAlign w:val="center"/>
                </w:tcPr>
                <w:p w14:paraId="1A73259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36" w:type="dxa"/>
                  <w:tcBorders>
                    <w:tl2br w:val="nil"/>
                    <w:tr2bl w:val="nil"/>
                  </w:tcBorders>
                  <w:vAlign w:val="center"/>
                </w:tcPr>
                <w:p w14:paraId="46FA657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38" w:type="dxa"/>
                  <w:tcBorders>
                    <w:tl2br w:val="nil"/>
                    <w:tr2bl w:val="nil"/>
                  </w:tcBorders>
                  <w:vAlign w:val="center"/>
                </w:tcPr>
                <w:p w14:paraId="389DF4F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固体</w:t>
                  </w:r>
                </w:p>
              </w:tc>
              <w:tc>
                <w:tcPr>
                  <w:tcW w:w="737" w:type="dxa"/>
                  <w:tcBorders>
                    <w:tl2br w:val="nil"/>
                    <w:tr2bl w:val="nil"/>
                  </w:tcBorders>
                  <w:vAlign w:val="center"/>
                </w:tcPr>
                <w:p w14:paraId="3E273C4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7" w:type="dxa"/>
                  <w:tcBorders>
                    <w:tl2br w:val="nil"/>
                    <w:tr2bl w:val="nil"/>
                  </w:tcBorders>
                  <w:vAlign w:val="center"/>
                </w:tcPr>
                <w:p w14:paraId="18D9C5D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40.15</w:t>
                  </w:r>
                </w:p>
              </w:tc>
              <w:tc>
                <w:tcPr>
                  <w:tcW w:w="737" w:type="dxa"/>
                  <w:vMerge w:val="restart"/>
                  <w:tcBorders>
                    <w:top w:val="single" w:color="000000" w:sz="8" w:space="0"/>
                    <w:tl2br w:val="nil"/>
                    <w:tr2bl w:val="nil"/>
                  </w:tcBorders>
                  <w:vAlign w:val="center"/>
                </w:tcPr>
                <w:p w14:paraId="54CD6C6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猪粪、猪毛及肠内容物暂存间</w:t>
                  </w:r>
                </w:p>
              </w:tc>
              <w:tc>
                <w:tcPr>
                  <w:tcW w:w="737" w:type="dxa"/>
                  <w:tcBorders>
                    <w:top w:val="single" w:color="000000" w:sz="8" w:space="0"/>
                    <w:bottom w:val="single" w:color="000000" w:sz="8" w:space="0"/>
                    <w:tl2br w:val="nil"/>
                    <w:tr2bl w:val="nil"/>
                  </w:tcBorders>
                  <w:vAlign w:val="center"/>
                </w:tcPr>
                <w:p w14:paraId="2094A3B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附近村民运走做肥料</w:t>
                  </w:r>
                </w:p>
              </w:tc>
              <w:tc>
                <w:tcPr>
                  <w:tcW w:w="812" w:type="dxa"/>
                  <w:tcBorders>
                    <w:bottom w:val="single" w:color="000000" w:sz="8" w:space="0"/>
                    <w:tl2br w:val="nil"/>
                    <w:tr2bl w:val="nil"/>
                  </w:tcBorders>
                  <w:vAlign w:val="center"/>
                </w:tcPr>
                <w:p w14:paraId="43E7E60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附近村民运走做肥料</w:t>
                  </w:r>
                </w:p>
              </w:tc>
              <w:tc>
                <w:tcPr>
                  <w:tcW w:w="822" w:type="dxa"/>
                  <w:tcBorders>
                    <w:bottom w:val="single" w:color="000000" w:sz="8" w:space="0"/>
                    <w:tl2br w:val="nil"/>
                    <w:tr2bl w:val="nil"/>
                  </w:tcBorders>
                  <w:vAlign w:val="center"/>
                </w:tcPr>
                <w:p w14:paraId="4AA9F99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40.15</w:t>
                  </w:r>
                </w:p>
              </w:tc>
            </w:tr>
            <w:tr w14:paraId="35C29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3F3412C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940" w:type="dxa"/>
                  <w:tcBorders>
                    <w:tl2br w:val="nil"/>
                    <w:tr2bl w:val="nil"/>
                  </w:tcBorders>
                  <w:vAlign w:val="center"/>
                </w:tcPr>
                <w:p w14:paraId="7093CE8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不可食用内脏和碎肉渣</w:t>
                  </w:r>
                </w:p>
              </w:tc>
              <w:tc>
                <w:tcPr>
                  <w:tcW w:w="737" w:type="dxa"/>
                  <w:vMerge w:val="continue"/>
                  <w:tcBorders>
                    <w:tl2br w:val="nil"/>
                    <w:tr2bl w:val="nil"/>
                  </w:tcBorders>
                  <w:vAlign w:val="center"/>
                </w:tcPr>
                <w:p w14:paraId="7600847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36" w:type="dxa"/>
                  <w:tcBorders>
                    <w:tl2br w:val="nil"/>
                    <w:tr2bl w:val="nil"/>
                  </w:tcBorders>
                  <w:vAlign w:val="center"/>
                </w:tcPr>
                <w:p w14:paraId="1C12F02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38" w:type="dxa"/>
                  <w:tcBorders>
                    <w:tl2br w:val="nil"/>
                    <w:tr2bl w:val="nil"/>
                  </w:tcBorders>
                  <w:vAlign w:val="center"/>
                </w:tcPr>
                <w:p w14:paraId="1D956BC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液体</w:t>
                  </w:r>
                </w:p>
              </w:tc>
              <w:tc>
                <w:tcPr>
                  <w:tcW w:w="737" w:type="dxa"/>
                  <w:tcBorders>
                    <w:tl2br w:val="nil"/>
                    <w:tr2bl w:val="nil"/>
                  </w:tcBorders>
                  <w:vAlign w:val="center"/>
                </w:tcPr>
                <w:p w14:paraId="3E1A512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7" w:type="dxa"/>
                  <w:tcBorders>
                    <w:tl2br w:val="nil"/>
                    <w:tr2bl w:val="nil"/>
                  </w:tcBorders>
                  <w:vAlign w:val="center"/>
                </w:tcPr>
                <w:p w14:paraId="372709E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8.03</w:t>
                  </w:r>
                </w:p>
              </w:tc>
              <w:tc>
                <w:tcPr>
                  <w:tcW w:w="737" w:type="dxa"/>
                  <w:vMerge w:val="continue"/>
                  <w:tcBorders>
                    <w:tl2br w:val="nil"/>
                    <w:tr2bl w:val="nil"/>
                  </w:tcBorders>
                  <w:vAlign w:val="center"/>
                </w:tcPr>
                <w:p w14:paraId="322960F1">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737" w:type="dxa"/>
                  <w:tcBorders>
                    <w:top w:val="single" w:color="000000" w:sz="8" w:space="0"/>
                    <w:tl2br w:val="nil"/>
                    <w:tr2bl w:val="nil"/>
                  </w:tcBorders>
                  <w:vAlign w:val="center"/>
                </w:tcPr>
                <w:p w14:paraId="024630A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外售饲料加工厂</w:t>
                  </w:r>
                </w:p>
              </w:tc>
              <w:tc>
                <w:tcPr>
                  <w:tcW w:w="812" w:type="dxa"/>
                  <w:tcBorders>
                    <w:top w:val="single" w:color="000000" w:sz="8" w:space="0"/>
                    <w:tl2br w:val="nil"/>
                    <w:tr2bl w:val="nil"/>
                  </w:tcBorders>
                  <w:vAlign w:val="center"/>
                </w:tcPr>
                <w:p w14:paraId="6823A56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外售</w:t>
                  </w:r>
                </w:p>
              </w:tc>
              <w:tc>
                <w:tcPr>
                  <w:tcW w:w="822" w:type="dxa"/>
                  <w:tcBorders>
                    <w:top w:val="single" w:color="000000" w:sz="8" w:space="0"/>
                    <w:tl2br w:val="nil"/>
                    <w:tr2bl w:val="nil"/>
                  </w:tcBorders>
                  <w:vAlign w:val="center"/>
                </w:tcPr>
                <w:p w14:paraId="75D88CC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8.03</w:t>
                  </w:r>
                </w:p>
              </w:tc>
            </w:tr>
            <w:tr w14:paraId="0FFD8D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782D286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940" w:type="dxa"/>
                  <w:tcBorders>
                    <w:tl2br w:val="nil"/>
                    <w:tr2bl w:val="nil"/>
                  </w:tcBorders>
                  <w:vAlign w:val="center"/>
                </w:tcPr>
                <w:p w14:paraId="651169FF">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厂区污水站格栅渣及污泥</w:t>
                  </w:r>
                </w:p>
              </w:tc>
              <w:tc>
                <w:tcPr>
                  <w:tcW w:w="737" w:type="dxa"/>
                  <w:vMerge w:val="continue"/>
                  <w:tcBorders>
                    <w:tl2br w:val="nil"/>
                    <w:tr2bl w:val="nil"/>
                  </w:tcBorders>
                  <w:vAlign w:val="center"/>
                </w:tcPr>
                <w:p w14:paraId="7E10262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36" w:type="dxa"/>
                  <w:tcBorders>
                    <w:tl2br w:val="nil"/>
                    <w:tr2bl w:val="nil"/>
                  </w:tcBorders>
                  <w:vAlign w:val="center"/>
                </w:tcPr>
                <w:p w14:paraId="63EBAAD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38" w:type="dxa"/>
                  <w:tcBorders>
                    <w:tl2br w:val="nil"/>
                    <w:tr2bl w:val="nil"/>
                  </w:tcBorders>
                  <w:vAlign w:val="center"/>
                </w:tcPr>
                <w:p w14:paraId="37244C2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w:t>
                  </w:r>
                </w:p>
              </w:tc>
              <w:tc>
                <w:tcPr>
                  <w:tcW w:w="737" w:type="dxa"/>
                  <w:tcBorders>
                    <w:tl2br w:val="nil"/>
                    <w:tr2bl w:val="nil"/>
                  </w:tcBorders>
                  <w:vAlign w:val="center"/>
                </w:tcPr>
                <w:p w14:paraId="7A719F3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7" w:type="dxa"/>
                  <w:tcBorders>
                    <w:tl2br w:val="nil"/>
                    <w:tr2bl w:val="nil"/>
                  </w:tcBorders>
                  <w:vAlign w:val="center"/>
                </w:tcPr>
                <w:p w14:paraId="20C54C9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2.28</w:t>
                  </w:r>
                </w:p>
              </w:tc>
              <w:tc>
                <w:tcPr>
                  <w:tcW w:w="737" w:type="dxa"/>
                  <w:tcBorders>
                    <w:tl2br w:val="nil"/>
                    <w:tr2bl w:val="nil"/>
                  </w:tcBorders>
                  <w:vAlign w:val="center"/>
                </w:tcPr>
                <w:p w14:paraId="1B52BE3F">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不在厂内储存</w:t>
                  </w:r>
                </w:p>
              </w:tc>
              <w:tc>
                <w:tcPr>
                  <w:tcW w:w="737" w:type="dxa"/>
                  <w:vMerge w:val="restart"/>
                  <w:tcBorders>
                    <w:tl2br w:val="nil"/>
                    <w:tr2bl w:val="nil"/>
                  </w:tcBorders>
                  <w:vAlign w:val="center"/>
                </w:tcPr>
                <w:p w14:paraId="444E2B51">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环卫部门统一清运处置</w:t>
                  </w:r>
                </w:p>
              </w:tc>
              <w:tc>
                <w:tcPr>
                  <w:tcW w:w="812" w:type="dxa"/>
                  <w:vMerge w:val="restart"/>
                  <w:tcBorders>
                    <w:tl2br w:val="nil"/>
                    <w:tr2bl w:val="nil"/>
                  </w:tcBorders>
                  <w:vAlign w:val="center"/>
                </w:tcPr>
                <w:p w14:paraId="518B6B7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环卫部门</w:t>
                  </w:r>
                </w:p>
              </w:tc>
              <w:tc>
                <w:tcPr>
                  <w:tcW w:w="822" w:type="dxa"/>
                  <w:tcBorders>
                    <w:tl2br w:val="nil"/>
                    <w:tr2bl w:val="nil"/>
                  </w:tcBorders>
                  <w:vAlign w:val="center"/>
                </w:tcPr>
                <w:p w14:paraId="19C09E9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2.28</w:t>
                  </w:r>
                </w:p>
              </w:tc>
            </w:tr>
            <w:tr w14:paraId="2F999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45845AC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940" w:type="dxa"/>
                  <w:tcBorders>
                    <w:tl2br w:val="nil"/>
                    <w:tr2bl w:val="nil"/>
                  </w:tcBorders>
                  <w:vAlign w:val="center"/>
                </w:tcPr>
                <w:p w14:paraId="30D8EE8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废油脂</w:t>
                  </w:r>
                </w:p>
              </w:tc>
              <w:tc>
                <w:tcPr>
                  <w:tcW w:w="737" w:type="dxa"/>
                  <w:vMerge w:val="continue"/>
                  <w:tcBorders>
                    <w:tl2br w:val="nil"/>
                    <w:tr2bl w:val="nil"/>
                  </w:tcBorders>
                  <w:vAlign w:val="center"/>
                </w:tcPr>
                <w:p w14:paraId="25B2673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36" w:type="dxa"/>
                  <w:tcBorders>
                    <w:tl2br w:val="nil"/>
                    <w:tr2bl w:val="nil"/>
                  </w:tcBorders>
                  <w:vAlign w:val="center"/>
                </w:tcPr>
                <w:p w14:paraId="658AB43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638" w:type="dxa"/>
                  <w:tcBorders>
                    <w:tl2br w:val="nil"/>
                    <w:tr2bl w:val="nil"/>
                  </w:tcBorders>
                  <w:vAlign w:val="center"/>
                </w:tcPr>
                <w:p w14:paraId="526B491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w:t>
                  </w:r>
                </w:p>
              </w:tc>
              <w:tc>
                <w:tcPr>
                  <w:tcW w:w="737" w:type="dxa"/>
                  <w:tcBorders>
                    <w:tl2br w:val="nil"/>
                    <w:tr2bl w:val="nil"/>
                  </w:tcBorders>
                  <w:vAlign w:val="center"/>
                </w:tcPr>
                <w:p w14:paraId="6EB4D30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37" w:type="dxa"/>
                  <w:tcBorders>
                    <w:tl2br w:val="nil"/>
                    <w:tr2bl w:val="nil"/>
                  </w:tcBorders>
                  <w:vAlign w:val="center"/>
                </w:tcPr>
                <w:p w14:paraId="29EFE7A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0.418</w:t>
                  </w:r>
                </w:p>
              </w:tc>
              <w:tc>
                <w:tcPr>
                  <w:tcW w:w="737" w:type="dxa"/>
                  <w:tcBorders>
                    <w:tl2br w:val="nil"/>
                    <w:tr2bl w:val="nil"/>
                  </w:tcBorders>
                  <w:vAlign w:val="center"/>
                </w:tcPr>
                <w:p w14:paraId="20FB15FF">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不在厂内储存</w:t>
                  </w:r>
                </w:p>
              </w:tc>
              <w:tc>
                <w:tcPr>
                  <w:tcW w:w="737" w:type="dxa"/>
                  <w:vMerge w:val="continue"/>
                  <w:tcBorders>
                    <w:tl2br w:val="nil"/>
                    <w:tr2bl w:val="nil"/>
                  </w:tcBorders>
                  <w:vAlign w:val="center"/>
                </w:tcPr>
                <w:p w14:paraId="636FC41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12" w:type="dxa"/>
                  <w:vMerge w:val="continue"/>
                  <w:tcBorders>
                    <w:tl2br w:val="nil"/>
                    <w:tr2bl w:val="nil"/>
                  </w:tcBorders>
                  <w:vAlign w:val="center"/>
                </w:tcPr>
                <w:p w14:paraId="72600CF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22" w:type="dxa"/>
                  <w:tcBorders>
                    <w:tl2br w:val="nil"/>
                    <w:tr2bl w:val="nil"/>
                  </w:tcBorders>
                  <w:vAlign w:val="center"/>
                </w:tcPr>
                <w:p w14:paraId="2E1C5B3F">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0.418</w:t>
                  </w:r>
                </w:p>
              </w:tc>
            </w:tr>
            <w:tr w14:paraId="159B7B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2" w:hRule="atLeast"/>
              </w:trPr>
              <w:tc>
                <w:tcPr>
                  <w:tcW w:w="503" w:type="dxa"/>
                  <w:tcBorders>
                    <w:tl2br w:val="nil"/>
                    <w:tr2bl w:val="nil"/>
                  </w:tcBorders>
                  <w:shd w:val="clear" w:color="auto" w:fill="auto"/>
                  <w:vAlign w:val="center"/>
                </w:tcPr>
                <w:p w14:paraId="746B607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cs="Times New Roman"/>
                      <w:color w:val="auto"/>
                      <w:kern w:val="2"/>
                      <w:sz w:val="21"/>
                      <w:szCs w:val="21"/>
                      <w:highlight w:val="none"/>
                      <w:lang w:val="en-US" w:eastAsia="zh-CN" w:bidi="zh-CN"/>
                    </w:rPr>
                    <w:t>7</w:t>
                  </w:r>
                </w:p>
              </w:tc>
              <w:tc>
                <w:tcPr>
                  <w:tcW w:w="940" w:type="dxa"/>
                  <w:tcBorders>
                    <w:tl2br w:val="nil"/>
                    <w:tr2bl w:val="nil"/>
                  </w:tcBorders>
                  <w:shd w:val="clear" w:color="auto" w:fill="auto"/>
                  <w:vAlign w:val="center"/>
                </w:tcPr>
                <w:p w14:paraId="0D54455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sz w:val="21"/>
                      <w:szCs w:val="21"/>
                      <w:highlight w:val="none"/>
                      <w:lang w:val="en-US" w:eastAsia="zh-CN"/>
                    </w:rPr>
                    <w:t>废矿物油</w:t>
                  </w:r>
                </w:p>
              </w:tc>
              <w:tc>
                <w:tcPr>
                  <w:tcW w:w="737" w:type="dxa"/>
                  <w:vMerge w:val="restart"/>
                  <w:tcBorders>
                    <w:tl2br w:val="nil"/>
                    <w:tr2bl w:val="nil"/>
                  </w:tcBorders>
                  <w:vAlign w:val="center"/>
                </w:tcPr>
                <w:p w14:paraId="5D1A817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危险废物</w:t>
                  </w:r>
                </w:p>
              </w:tc>
              <w:tc>
                <w:tcPr>
                  <w:tcW w:w="836" w:type="dxa"/>
                  <w:tcBorders>
                    <w:tl2br w:val="nil"/>
                    <w:tr2bl w:val="nil"/>
                  </w:tcBorders>
                  <w:vAlign w:val="center"/>
                </w:tcPr>
                <w:p w14:paraId="11591F2F">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矿物油</w:t>
                  </w:r>
                </w:p>
              </w:tc>
              <w:tc>
                <w:tcPr>
                  <w:tcW w:w="638" w:type="dxa"/>
                  <w:tcBorders>
                    <w:tl2br w:val="nil"/>
                    <w:tr2bl w:val="nil"/>
                  </w:tcBorders>
                  <w:vAlign w:val="center"/>
                </w:tcPr>
                <w:p w14:paraId="210521E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液体</w:t>
                  </w:r>
                </w:p>
              </w:tc>
              <w:tc>
                <w:tcPr>
                  <w:tcW w:w="737" w:type="dxa"/>
                  <w:tcBorders>
                    <w:tl2br w:val="nil"/>
                    <w:tr2bl w:val="nil"/>
                  </w:tcBorders>
                  <w:vAlign w:val="center"/>
                </w:tcPr>
                <w:p w14:paraId="13C817B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T/I</w:t>
                  </w:r>
                </w:p>
              </w:tc>
              <w:tc>
                <w:tcPr>
                  <w:tcW w:w="737" w:type="dxa"/>
                  <w:tcBorders>
                    <w:tl2br w:val="nil"/>
                    <w:tr2bl w:val="nil"/>
                  </w:tcBorders>
                  <w:vAlign w:val="center"/>
                </w:tcPr>
                <w:p w14:paraId="456C32B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c>
                <w:tcPr>
                  <w:tcW w:w="737" w:type="dxa"/>
                  <w:vMerge w:val="restart"/>
                  <w:tcBorders>
                    <w:tl2br w:val="nil"/>
                    <w:tr2bl w:val="nil"/>
                  </w:tcBorders>
                  <w:vAlign w:val="center"/>
                </w:tcPr>
                <w:p w14:paraId="23FAF474">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危废暂存间</w:t>
                  </w:r>
                </w:p>
              </w:tc>
              <w:tc>
                <w:tcPr>
                  <w:tcW w:w="737" w:type="dxa"/>
                  <w:vMerge w:val="restart"/>
                  <w:tcBorders>
                    <w:tl2br w:val="nil"/>
                    <w:tr2bl w:val="nil"/>
                  </w:tcBorders>
                  <w:vAlign w:val="center"/>
                </w:tcPr>
                <w:p w14:paraId="74B8098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交由有资质单位处理</w:t>
                  </w:r>
                </w:p>
              </w:tc>
              <w:tc>
                <w:tcPr>
                  <w:tcW w:w="812" w:type="dxa"/>
                  <w:vMerge w:val="restart"/>
                  <w:tcBorders>
                    <w:tl2br w:val="nil"/>
                    <w:tr2bl w:val="nil"/>
                  </w:tcBorders>
                  <w:vAlign w:val="center"/>
                </w:tcPr>
                <w:p w14:paraId="791A9D0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资质单位</w:t>
                  </w:r>
                </w:p>
              </w:tc>
              <w:tc>
                <w:tcPr>
                  <w:tcW w:w="822" w:type="dxa"/>
                  <w:tcBorders>
                    <w:tl2br w:val="nil"/>
                    <w:tr2bl w:val="nil"/>
                  </w:tcBorders>
                  <w:vAlign w:val="center"/>
                </w:tcPr>
                <w:p w14:paraId="1B7DC08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r>
            <w:tr w14:paraId="192B3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shd w:val="clear" w:color="auto" w:fill="auto"/>
                  <w:vAlign w:val="center"/>
                </w:tcPr>
                <w:p w14:paraId="7DA771C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cs="Times New Roman"/>
                      <w:color w:val="auto"/>
                      <w:kern w:val="2"/>
                      <w:sz w:val="21"/>
                      <w:szCs w:val="21"/>
                      <w:highlight w:val="none"/>
                      <w:lang w:val="en-US" w:eastAsia="zh-CN" w:bidi="zh-CN"/>
                    </w:rPr>
                    <w:t>8</w:t>
                  </w:r>
                </w:p>
              </w:tc>
              <w:tc>
                <w:tcPr>
                  <w:tcW w:w="940" w:type="dxa"/>
                  <w:tcBorders>
                    <w:tl2br w:val="nil"/>
                    <w:tr2bl w:val="nil"/>
                  </w:tcBorders>
                  <w:vAlign w:val="center"/>
                </w:tcPr>
                <w:p w14:paraId="0F60F34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消毒剂废包装袋</w:t>
                  </w:r>
                </w:p>
              </w:tc>
              <w:tc>
                <w:tcPr>
                  <w:tcW w:w="737" w:type="dxa"/>
                  <w:vMerge w:val="continue"/>
                  <w:tcBorders>
                    <w:tl2br w:val="nil"/>
                    <w:tr2bl w:val="nil"/>
                  </w:tcBorders>
                  <w:vAlign w:val="center"/>
                </w:tcPr>
                <w:p w14:paraId="3C3FFEA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6" w:type="dxa"/>
                  <w:tcBorders>
                    <w:tl2br w:val="nil"/>
                    <w:tr2bl w:val="nil"/>
                  </w:tcBorders>
                  <w:vAlign w:val="center"/>
                </w:tcPr>
                <w:p w14:paraId="2584360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化学品</w:t>
                  </w:r>
                </w:p>
              </w:tc>
              <w:tc>
                <w:tcPr>
                  <w:tcW w:w="638" w:type="dxa"/>
                  <w:tcBorders>
                    <w:tl2br w:val="nil"/>
                    <w:tr2bl w:val="nil"/>
                  </w:tcBorders>
                  <w:vAlign w:val="center"/>
                </w:tcPr>
                <w:p w14:paraId="3F7B1F1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固体</w:t>
                  </w:r>
                </w:p>
              </w:tc>
              <w:tc>
                <w:tcPr>
                  <w:tcW w:w="737" w:type="dxa"/>
                  <w:tcBorders>
                    <w:tl2br w:val="nil"/>
                    <w:tr2bl w:val="nil"/>
                  </w:tcBorders>
                  <w:vAlign w:val="center"/>
                </w:tcPr>
                <w:p w14:paraId="5258C58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T/I</w:t>
                  </w:r>
                </w:p>
              </w:tc>
              <w:tc>
                <w:tcPr>
                  <w:tcW w:w="737" w:type="dxa"/>
                  <w:tcBorders>
                    <w:tl2br w:val="nil"/>
                    <w:tr2bl w:val="nil"/>
                  </w:tcBorders>
                  <w:vAlign w:val="center"/>
                </w:tcPr>
                <w:p w14:paraId="731E384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0.01</w:t>
                  </w:r>
                </w:p>
              </w:tc>
              <w:tc>
                <w:tcPr>
                  <w:tcW w:w="737" w:type="dxa"/>
                  <w:vMerge w:val="continue"/>
                  <w:tcBorders>
                    <w:tl2br w:val="nil"/>
                    <w:tr2bl w:val="nil"/>
                  </w:tcBorders>
                  <w:vAlign w:val="center"/>
                </w:tcPr>
                <w:p w14:paraId="03C1964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737" w:type="dxa"/>
                  <w:vMerge w:val="continue"/>
                  <w:tcBorders>
                    <w:tl2br w:val="nil"/>
                    <w:tr2bl w:val="nil"/>
                  </w:tcBorders>
                  <w:vAlign w:val="center"/>
                </w:tcPr>
                <w:p w14:paraId="1BA890E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2" w:type="dxa"/>
                  <w:vMerge w:val="continue"/>
                  <w:tcBorders>
                    <w:tl2br w:val="nil"/>
                    <w:tr2bl w:val="nil"/>
                  </w:tcBorders>
                  <w:vAlign w:val="center"/>
                </w:tcPr>
                <w:p w14:paraId="4444CFF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22" w:type="dxa"/>
                  <w:tcBorders>
                    <w:tl2br w:val="nil"/>
                    <w:tr2bl w:val="nil"/>
                  </w:tcBorders>
                  <w:vAlign w:val="center"/>
                </w:tcPr>
                <w:p w14:paraId="36E8F68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0.01</w:t>
                  </w:r>
                </w:p>
              </w:tc>
            </w:tr>
            <w:tr w14:paraId="5C8CB7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083FD52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cs="Times New Roman"/>
                      <w:color w:val="auto"/>
                      <w:kern w:val="2"/>
                      <w:sz w:val="21"/>
                      <w:szCs w:val="21"/>
                      <w:highlight w:val="none"/>
                      <w:lang w:val="en-US" w:eastAsia="zh-CN" w:bidi="zh-CN"/>
                    </w:rPr>
                    <w:t>9</w:t>
                  </w:r>
                </w:p>
              </w:tc>
              <w:tc>
                <w:tcPr>
                  <w:tcW w:w="940" w:type="dxa"/>
                  <w:tcBorders>
                    <w:tl2br w:val="nil"/>
                    <w:tr2bl w:val="nil"/>
                  </w:tcBorders>
                  <w:vAlign w:val="center"/>
                </w:tcPr>
                <w:p w14:paraId="26AF1E9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737" w:type="dxa"/>
                  <w:vMerge w:val="continue"/>
                  <w:tcBorders>
                    <w:tl2br w:val="nil"/>
                    <w:tr2bl w:val="nil"/>
                  </w:tcBorders>
                  <w:vAlign w:val="center"/>
                </w:tcPr>
                <w:p w14:paraId="205470B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6" w:type="dxa"/>
                  <w:tcBorders>
                    <w:tl2br w:val="nil"/>
                    <w:tr2bl w:val="nil"/>
                  </w:tcBorders>
                  <w:vAlign w:val="center"/>
                </w:tcPr>
                <w:p w14:paraId="1CAD9E8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有机废气</w:t>
                  </w:r>
                </w:p>
              </w:tc>
              <w:tc>
                <w:tcPr>
                  <w:tcW w:w="638" w:type="dxa"/>
                  <w:tcBorders>
                    <w:tl2br w:val="nil"/>
                    <w:tr2bl w:val="nil"/>
                  </w:tcBorders>
                  <w:vAlign w:val="center"/>
                </w:tcPr>
                <w:p w14:paraId="6D4C128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w:t>
                  </w:r>
                </w:p>
              </w:tc>
              <w:tc>
                <w:tcPr>
                  <w:tcW w:w="737" w:type="dxa"/>
                  <w:tcBorders>
                    <w:tl2br w:val="nil"/>
                    <w:tr2bl w:val="nil"/>
                  </w:tcBorders>
                  <w:vAlign w:val="center"/>
                </w:tcPr>
                <w:p w14:paraId="1DA5E7C1">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T</w:t>
                  </w:r>
                </w:p>
              </w:tc>
              <w:tc>
                <w:tcPr>
                  <w:tcW w:w="737" w:type="dxa"/>
                  <w:tcBorders>
                    <w:tl2br w:val="nil"/>
                    <w:tr2bl w:val="nil"/>
                  </w:tcBorders>
                  <w:vAlign w:val="center"/>
                </w:tcPr>
                <w:p w14:paraId="10A471E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6.624</w:t>
                  </w:r>
                </w:p>
              </w:tc>
              <w:tc>
                <w:tcPr>
                  <w:tcW w:w="737" w:type="dxa"/>
                  <w:vMerge w:val="continue"/>
                  <w:tcBorders>
                    <w:tl2br w:val="nil"/>
                    <w:tr2bl w:val="nil"/>
                  </w:tcBorders>
                  <w:vAlign w:val="center"/>
                </w:tcPr>
                <w:p w14:paraId="6174DEB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p>
              </w:tc>
              <w:tc>
                <w:tcPr>
                  <w:tcW w:w="737" w:type="dxa"/>
                  <w:vMerge w:val="continue"/>
                  <w:tcBorders>
                    <w:tl2br w:val="nil"/>
                    <w:tr2bl w:val="nil"/>
                  </w:tcBorders>
                  <w:vAlign w:val="center"/>
                </w:tcPr>
                <w:p w14:paraId="5B4C215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2" w:type="dxa"/>
                  <w:vMerge w:val="continue"/>
                  <w:tcBorders>
                    <w:tl2br w:val="nil"/>
                    <w:tr2bl w:val="nil"/>
                  </w:tcBorders>
                  <w:vAlign w:val="center"/>
                </w:tcPr>
                <w:p w14:paraId="64FD92B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22" w:type="dxa"/>
                  <w:tcBorders>
                    <w:tl2br w:val="nil"/>
                    <w:tr2bl w:val="nil"/>
                  </w:tcBorders>
                  <w:vAlign w:val="center"/>
                </w:tcPr>
                <w:p w14:paraId="4439F8B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6.624</w:t>
                  </w:r>
                </w:p>
              </w:tc>
            </w:tr>
            <w:tr w14:paraId="147885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3" w:type="dxa"/>
                  <w:tcBorders>
                    <w:tl2br w:val="nil"/>
                    <w:tr2bl w:val="nil"/>
                  </w:tcBorders>
                  <w:vAlign w:val="center"/>
                </w:tcPr>
                <w:p w14:paraId="665D563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eastAsia" w:ascii="Times New Roman" w:hAnsi="Times New Roman" w:cs="Times New Roman"/>
                      <w:color w:val="auto"/>
                      <w:kern w:val="2"/>
                      <w:sz w:val="21"/>
                      <w:szCs w:val="21"/>
                      <w:highlight w:val="none"/>
                      <w:lang w:val="en-US" w:eastAsia="zh-CN" w:bidi="zh-CN"/>
                    </w:rPr>
                    <w:t>10</w:t>
                  </w:r>
                </w:p>
              </w:tc>
              <w:tc>
                <w:tcPr>
                  <w:tcW w:w="940" w:type="dxa"/>
                  <w:tcBorders>
                    <w:tl2br w:val="nil"/>
                    <w:tr2bl w:val="nil"/>
                  </w:tcBorders>
                  <w:vAlign w:val="center"/>
                </w:tcPr>
                <w:p w14:paraId="74409DE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含油废抹布及废棉纱手套</w:t>
                  </w:r>
                </w:p>
              </w:tc>
              <w:tc>
                <w:tcPr>
                  <w:tcW w:w="737" w:type="dxa"/>
                  <w:vMerge w:val="continue"/>
                  <w:tcBorders>
                    <w:tl2br w:val="nil"/>
                    <w:tr2bl w:val="nil"/>
                  </w:tcBorders>
                  <w:vAlign w:val="center"/>
                </w:tcPr>
                <w:p w14:paraId="6CB5524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6" w:type="dxa"/>
                  <w:tcBorders>
                    <w:tl2br w:val="nil"/>
                    <w:tr2bl w:val="nil"/>
                  </w:tcBorders>
                  <w:vAlign w:val="center"/>
                </w:tcPr>
                <w:p w14:paraId="6E67C58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矿物油</w:t>
                  </w:r>
                </w:p>
              </w:tc>
              <w:tc>
                <w:tcPr>
                  <w:tcW w:w="638" w:type="dxa"/>
                  <w:tcBorders>
                    <w:tl2br w:val="nil"/>
                    <w:tr2bl w:val="nil"/>
                  </w:tcBorders>
                  <w:vAlign w:val="center"/>
                </w:tcPr>
                <w:p w14:paraId="00A5614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固体</w:t>
                  </w:r>
                </w:p>
              </w:tc>
              <w:tc>
                <w:tcPr>
                  <w:tcW w:w="737" w:type="dxa"/>
                  <w:tcBorders>
                    <w:tl2br w:val="nil"/>
                    <w:tr2bl w:val="nil"/>
                  </w:tcBorders>
                  <w:vAlign w:val="center"/>
                </w:tcPr>
                <w:p w14:paraId="60DF982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rPr>
                    <w:t>T/I</w:t>
                  </w:r>
                </w:p>
              </w:tc>
              <w:tc>
                <w:tcPr>
                  <w:tcW w:w="737" w:type="dxa"/>
                  <w:tcBorders>
                    <w:tl2br w:val="nil"/>
                    <w:tr2bl w:val="nil"/>
                  </w:tcBorders>
                  <w:vAlign w:val="center"/>
                </w:tcPr>
                <w:p w14:paraId="3FF4B11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0.01</w:t>
                  </w:r>
                </w:p>
              </w:tc>
              <w:tc>
                <w:tcPr>
                  <w:tcW w:w="737" w:type="dxa"/>
                  <w:vMerge w:val="continue"/>
                  <w:tcBorders>
                    <w:tl2br w:val="nil"/>
                    <w:tr2bl w:val="nil"/>
                  </w:tcBorders>
                  <w:vAlign w:val="center"/>
                </w:tcPr>
                <w:p w14:paraId="21CC779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p>
              </w:tc>
              <w:tc>
                <w:tcPr>
                  <w:tcW w:w="737" w:type="dxa"/>
                  <w:vMerge w:val="continue"/>
                  <w:tcBorders>
                    <w:tl2br w:val="nil"/>
                    <w:tr2bl w:val="nil"/>
                  </w:tcBorders>
                  <w:vAlign w:val="center"/>
                </w:tcPr>
                <w:p w14:paraId="1D6F2BE4">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2" w:type="dxa"/>
                  <w:vMerge w:val="continue"/>
                  <w:tcBorders>
                    <w:tl2br w:val="nil"/>
                    <w:tr2bl w:val="nil"/>
                  </w:tcBorders>
                  <w:vAlign w:val="center"/>
                </w:tcPr>
                <w:p w14:paraId="4D0A19B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22" w:type="dxa"/>
                  <w:tcBorders>
                    <w:tl2br w:val="nil"/>
                    <w:tr2bl w:val="nil"/>
                  </w:tcBorders>
                  <w:vAlign w:val="center"/>
                </w:tcPr>
                <w:p w14:paraId="71AF84A4">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0.01</w:t>
                  </w:r>
                </w:p>
              </w:tc>
            </w:tr>
          </w:tbl>
          <w:p w14:paraId="2892B2EA">
            <w:pPr>
              <w:pStyle w:val="15"/>
              <w:numPr>
                <w:ilvl w:val="0"/>
                <w:numId w:val="19"/>
              </w:numPr>
              <w:ind w:left="425" w:leftChars="0" w:right="113" w:rightChars="0" w:hanging="425"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本项目危险废物汇总表</w:t>
            </w:r>
          </w:p>
          <w:tbl>
            <w:tblPr>
              <w:tblStyle w:val="33"/>
              <w:tblW w:w="820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4"/>
              <w:gridCol w:w="683"/>
              <w:gridCol w:w="845"/>
              <w:gridCol w:w="990"/>
              <w:gridCol w:w="747"/>
              <w:gridCol w:w="882"/>
              <w:gridCol w:w="618"/>
              <w:gridCol w:w="677"/>
              <w:gridCol w:w="598"/>
              <w:gridCol w:w="778"/>
              <w:gridCol w:w="934"/>
            </w:tblGrid>
            <w:tr w14:paraId="4102E0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66" w:type="dxa"/>
                  <w:tcBorders>
                    <w:tl2br w:val="nil"/>
                    <w:tr2bl w:val="nil"/>
                  </w:tcBorders>
                  <w:vAlign w:val="center"/>
                </w:tcPr>
                <w:p w14:paraId="7346CBD1">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序号</w:t>
                  </w:r>
                </w:p>
              </w:tc>
              <w:tc>
                <w:tcPr>
                  <w:tcW w:w="705" w:type="dxa"/>
                  <w:tcBorders>
                    <w:tl2br w:val="nil"/>
                    <w:tr2bl w:val="nil"/>
                  </w:tcBorders>
                  <w:vAlign w:val="center"/>
                </w:tcPr>
                <w:p w14:paraId="0B07736F">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名称</w:t>
                  </w:r>
                </w:p>
              </w:tc>
              <w:tc>
                <w:tcPr>
                  <w:tcW w:w="858" w:type="dxa"/>
                  <w:tcBorders>
                    <w:tl2br w:val="nil"/>
                    <w:tr2bl w:val="nil"/>
                  </w:tcBorders>
                  <w:vAlign w:val="center"/>
                </w:tcPr>
                <w:p w14:paraId="3182EA44">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危险废物类别</w:t>
                  </w:r>
                </w:p>
              </w:tc>
              <w:tc>
                <w:tcPr>
                  <w:tcW w:w="791" w:type="dxa"/>
                  <w:tcBorders>
                    <w:tl2br w:val="nil"/>
                    <w:tr2bl w:val="nil"/>
                  </w:tcBorders>
                  <w:vAlign w:val="center"/>
                </w:tcPr>
                <w:p w14:paraId="51237DF4">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危险废物代码</w:t>
                  </w:r>
                </w:p>
              </w:tc>
              <w:tc>
                <w:tcPr>
                  <w:tcW w:w="760" w:type="dxa"/>
                  <w:tcBorders>
                    <w:tl2br w:val="nil"/>
                    <w:tr2bl w:val="nil"/>
                  </w:tcBorders>
                  <w:vAlign w:val="center"/>
                </w:tcPr>
                <w:p w14:paraId="04060D9F">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年产生量t/a</w:t>
                  </w:r>
                </w:p>
              </w:tc>
              <w:tc>
                <w:tcPr>
                  <w:tcW w:w="914" w:type="dxa"/>
                  <w:tcBorders>
                    <w:tl2br w:val="nil"/>
                    <w:tr2bl w:val="nil"/>
                  </w:tcBorders>
                  <w:vAlign w:val="center"/>
                </w:tcPr>
                <w:p w14:paraId="65534CC2">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产生工序及装置</w:t>
                  </w:r>
                </w:p>
              </w:tc>
              <w:tc>
                <w:tcPr>
                  <w:tcW w:w="637" w:type="dxa"/>
                  <w:tcBorders>
                    <w:tl2br w:val="nil"/>
                    <w:tr2bl w:val="nil"/>
                  </w:tcBorders>
                  <w:vAlign w:val="center"/>
                </w:tcPr>
                <w:p w14:paraId="5476B602">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形态</w:t>
                  </w:r>
                </w:p>
              </w:tc>
              <w:tc>
                <w:tcPr>
                  <w:tcW w:w="699" w:type="dxa"/>
                  <w:tcBorders>
                    <w:tl2br w:val="nil"/>
                    <w:tr2bl w:val="nil"/>
                  </w:tcBorders>
                  <w:vAlign w:val="center"/>
                </w:tcPr>
                <w:p w14:paraId="60BC34BD">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有害成分</w:t>
                  </w:r>
                </w:p>
              </w:tc>
              <w:tc>
                <w:tcPr>
                  <w:tcW w:w="616" w:type="dxa"/>
                  <w:tcBorders>
                    <w:tl2br w:val="nil"/>
                    <w:tr2bl w:val="nil"/>
                  </w:tcBorders>
                  <w:vAlign w:val="center"/>
                </w:tcPr>
                <w:p w14:paraId="79A7E060">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产废周期</w:t>
                  </w:r>
                </w:p>
              </w:tc>
              <w:tc>
                <w:tcPr>
                  <w:tcW w:w="802" w:type="dxa"/>
                  <w:tcBorders>
                    <w:tl2br w:val="nil"/>
                    <w:tr2bl w:val="nil"/>
                  </w:tcBorders>
                  <w:vAlign w:val="center"/>
                </w:tcPr>
                <w:p w14:paraId="7902CC05">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危险特性</w:t>
                  </w:r>
                </w:p>
              </w:tc>
              <w:tc>
                <w:tcPr>
                  <w:tcW w:w="958" w:type="dxa"/>
                  <w:tcBorders>
                    <w:tl2br w:val="nil"/>
                    <w:tr2bl w:val="nil"/>
                  </w:tcBorders>
                  <w:vAlign w:val="center"/>
                </w:tcPr>
                <w:p w14:paraId="7B17B247">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污染防治措施</w:t>
                  </w:r>
                </w:p>
              </w:tc>
            </w:tr>
            <w:tr w14:paraId="5BBEF0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9" w:hRule="atLeast"/>
                <w:jc w:val="center"/>
              </w:trPr>
              <w:tc>
                <w:tcPr>
                  <w:tcW w:w="466" w:type="dxa"/>
                  <w:tcBorders>
                    <w:tl2br w:val="nil"/>
                    <w:tr2bl w:val="nil"/>
                  </w:tcBorders>
                  <w:vAlign w:val="center"/>
                </w:tcPr>
                <w:p w14:paraId="34AD9D9E">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705" w:type="dxa"/>
                  <w:tcBorders>
                    <w:tl2br w:val="nil"/>
                    <w:tr2bl w:val="nil"/>
                  </w:tcBorders>
                  <w:vAlign w:val="center"/>
                </w:tcPr>
                <w:p w14:paraId="69E7E671">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废矿物油</w:t>
                  </w:r>
                </w:p>
              </w:tc>
              <w:tc>
                <w:tcPr>
                  <w:tcW w:w="858" w:type="dxa"/>
                  <w:tcBorders>
                    <w:tl2br w:val="nil"/>
                    <w:tr2bl w:val="nil"/>
                  </w:tcBorders>
                  <w:vAlign w:val="center"/>
                </w:tcPr>
                <w:p w14:paraId="69821293">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HW</w:t>
                  </w:r>
                  <w:r>
                    <w:rPr>
                      <w:rFonts w:hint="eastAsia" w:ascii="Times New Roman" w:hAnsi="Times New Roman" w:cs="Times New Roman"/>
                      <w:color w:val="auto"/>
                      <w:sz w:val="21"/>
                      <w:szCs w:val="21"/>
                      <w:highlight w:val="none"/>
                      <w:lang w:val="en-US" w:eastAsia="zh-CN"/>
                    </w:rPr>
                    <w:t>08</w:t>
                  </w:r>
                </w:p>
              </w:tc>
              <w:tc>
                <w:tcPr>
                  <w:tcW w:w="791" w:type="dxa"/>
                  <w:tcBorders>
                    <w:tl2br w:val="nil"/>
                    <w:tr2bl w:val="nil"/>
                  </w:tcBorders>
                  <w:vAlign w:val="center"/>
                </w:tcPr>
                <w:p w14:paraId="4664DA28">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900-214-08</w:t>
                  </w:r>
                </w:p>
              </w:tc>
              <w:tc>
                <w:tcPr>
                  <w:tcW w:w="760" w:type="dxa"/>
                  <w:tcBorders>
                    <w:tl2br w:val="nil"/>
                    <w:tr2bl w:val="nil"/>
                  </w:tcBorders>
                  <w:vAlign w:val="center"/>
                </w:tcPr>
                <w:p w14:paraId="30D84B9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w:t>
                  </w:r>
                </w:p>
              </w:tc>
              <w:tc>
                <w:tcPr>
                  <w:tcW w:w="914" w:type="dxa"/>
                  <w:tcBorders>
                    <w:tl2br w:val="nil"/>
                    <w:tr2bl w:val="nil"/>
                  </w:tcBorders>
                  <w:vAlign w:val="center"/>
                </w:tcPr>
                <w:p w14:paraId="50AA6476">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设备润滑维护</w:t>
                  </w:r>
                </w:p>
              </w:tc>
              <w:tc>
                <w:tcPr>
                  <w:tcW w:w="637" w:type="dxa"/>
                  <w:tcBorders>
                    <w:tl2br w:val="nil"/>
                    <w:tr2bl w:val="nil"/>
                  </w:tcBorders>
                  <w:vAlign w:val="center"/>
                </w:tcPr>
                <w:p w14:paraId="692B65B5">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液</w:t>
                  </w:r>
                  <w:r>
                    <w:rPr>
                      <w:rFonts w:hint="default" w:ascii="Times New Roman" w:hAnsi="Times New Roman" w:eastAsia="宋体" w:cs="Times New Roman"/>
                      <w:color w:val="auto"/>
                      <w:sz w:val="21"/>
                      <w:szCs w:val="21"/>
                      <w:highlight w:val="none"/>
                      <w:lang w:val="en-US" w:eastAsia="zh-CN"/>
                    </w:rPr>
                    <w:t>态</w:t>
                  </w:r>
                </w:p>
              </w:tc>
              <w:tc>
                <w:tcPr>
                  <w:tcW w:w="699" w:type="dxa"/>
                  <w:tcBorders>
                    <w:tl2br w:val="nil"/>
                    <w:tr2bl w:val="nil"/>
                  </w:tcBorders>
                  <w:vAlign w:val="center"/>
                </w:tcPr>
                <w:p w14:paraId="036B603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矿物油</w:t>
                  </w:r>
                </w:p>
              </w:tc>
              <w:tc>
                <w:tcPr>
                  <w:tcW w:w="616" w:type="dxa"/>
                  <w:tcBorders>
                    <w:tl2br w:val="nil"/>
                    <w:tr2bl w:val="nil"/>
                  </w:tcBorders>
                  <w:vAlign w:val="center"/>
                </w:tcPr>
                <w:p w14:paraId="6F75BABF">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一年</w:t>
                  </w:r>
                </w:p>
              </w:tc>
              <w:tc>
                <w:tcPr>
                  <w:tcW w:w="802" w:type="dxa"/>
                  <w:tcBorders>
                    <w:tl2br w:val="nil"/>
                    <w:tr2bl w:val="nil"/>
                  </w:tcBorders>
                  <w:vAlign w:val="center"/>
                </w:tcPr>
                <w:p w14:paraId="4DB3AE2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T/I</w:t>
                  </w:r>
                </w:p>
              </w:tc>
              <w:tc>
                <w:tcPr>
                  <w:tcW w:w="958" w:type="dxa"/>
                  <w:vMerge w:val="restart"/>
                  <w:tcBorders>
                    <w:tl2br w:val="nil"/>
                    <w:tr2bl w:val="nil"/>
                  </w:tcBorders>
                  <w:vAlign w:val="center"/>
                </w:tcPr>
                <w:p w14:paraId="493DF86D">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暂存危废暂存间，定期交由有资质单位处理</w:t>
                  </w:r>
                </w:p>
              </w:tc>
            </w:tr>
            <w:tr w14:paraId="0086FC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66" w:type="dxa"/>
                  <w:tcBorders>
                    <w:tl2br w:val="nil"/>
                    <w:tr2bl w:val="nil"/>
                  </w:tcBorders>
                  <w:vAlign w:val="center"/>
                </w:tcPr>
                <w:p w14:paraId="79594685">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705" w:type="dxa"/>
                  <w:tcBorders>
                    <w:tl2br w:val="nil"/>
                    <w:tr2bl w:val="nil"/>
                  </w:tcBorders>
                  <w:vAlign w:val="center"/>
                </w:tcPr>
                <w:p w14:paraId="5EDB0B5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消毒剂废包装袋</w:t>
                  </w:r>
                </w:p>
              </w:tc>
              <w:tc>
                <w:tcPr>
                  <w:tcW w:w="858" w:type="dxa"/>
                  <w:tcBorders>
                    <w:tl2br w:val="nil"/>
                    <w:tr2bl w:val="nil"/>
                  </w:tcBorders>
                  <w:vAlign w:val="center"/>
                </w:tcPr>
                <w:p w14:paraId="601EA988">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HW</w:t>
                  </w:r>
                  <w:r>
                    <w:rPr>
                      <w:rFonts w:hint="eastAsia" w:ascii="Times New Roman" w:hAnsi="Times New Roman" w:cs="Times New Roman"/>
                      <w:color w:val="auto"/>
                      <w:sz w:val="21"/>
                      <w:szCs w:val="21"/>
                      <w:highlight w:val="none"/>
                      <w:lang w:val="en-US" w:eastAsia="zh-CN"/>
                    </w:rPr>
                    <w:t>49</w:t>
                  </w:r>
                </w:p>
              </w:tc>
              <w:tc>
                <w:tcPr>
                  <w:tcW w:w="791" w:type="dxa"/>
                  <w:tcBorders>
                    <w:tl2br w:val="nil"/>
                    <w:tr2bl w:val="nil"/>
                  </w:tcBorders>
                  <w:vAlign w:val="center"/>
                </w:tcPr>
                <w:p w14:paraId="7488B5B7">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900-041-49</w:t>
                  </w:r>
                </w:p>
              </w:tc>
              <w:tc>
                <w:tcPr>
                  <w:tcW w:w="760" w:type="dxa"/>
                  <w:tcBorders>
                    <w:tl2br w:val="nil"/>
                    <w:tr2bl w:val="nil"/>
                  </w:tcBorders>
                  <w:vAlign w:val="center"/>
                </w:tcPr>
                <w:p w14:paraId="5E9C379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0.01</w:t>
                  </w:r>
                </w:p>
              </w:tc>
              <w:tc>
                <w:tcPr>
                  <w:tcW w:w="914" w:type="dxa"/>
                  <w:tcBorders>
                    <w:bottom w:val="single" w:color="000000" w:sz="8" w:space="0"/>
                    <w:tl2br w:val="nil"/>
                    <w:tr2bl w:val="nil"/>
                  </w:tcBorders>
                  <w:vAlign w:val="center"/>
                </w:tcPr>
                <w:p w14:paraId="521C3A32">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灭菌消毒</w:t>
                  </w:r>
                </w:p>
              </w:tc>
              <w:tc>
                <w:tcPr>
                  <w:tcW w:w="637" w:type="dxa"/>
                  <w:tcBorders>
                    <w:bottom w:val="single" w:color="000000" w:sz="8" w:space="0"/>
                    <w:tl2br w:val="nil"/>
                    <w:tr2bl w:val="nil"/>
                  </w:tcBorders>
                  <w:vAlign w:val="center"/>
                </w:tcPr>
                <w:p w14:paraId="536C88A1">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固态</w:t>
                  </w:r>
                </w:p>
              </w:tc>
              <w:tc>
                <w:tcPr>
                  <w:tcW w:w="699" w:type="dxa"/>
                  <w:tcBorders>
                    <w:tl2br w:val="nil"/>
                    <w:tr2bl w:val="nil"/>
                  </w:tcBorders>
                  <w:vAlign w:val="center"/>
                </w:tcPr>
                <w:p w14:paraId="535AC8D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化学品</w:t>
                  </w:r>
                </w:p>
              </w:tc>
              <w:tc>
                <w:tcPr>
                  <w:tcW w:w="616" w:type="dxa"/>
                  <w:tcBorders>
                    <w:tl2br w:val="nil"/>
                    <w:tr2bl w:val="nil"/>
                  </w:tcBorders>
                  <w:vAlign w:val="center"/>
                </w:tcPr>
                <w:p w14:paraId="3BCD879C">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一年</w:t>
                  </w:r>
                </w:p>
              </w:tc>
              <w:tc>
                <w:tcPr>
                  <w:tcW w:w="802" w:type="dxa"/>
                  <w:tcBorders>
                    <w:tl2br w:val="nil"/>
                    <w:tr2bl w:val="nil"/>
                  </w:tcBorders>
                  <w:vAlign w:val="center"/>
                </w:tcPr>
                <w:p w14:paraId="2EB0185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T/I</w:t>
                  </w:r>
                </w:p>
              </w:tc>
              <w:tc>
                <w:tcPr>
                  <w:tcW w:w="958" w:type="dxa"/>
                  <w:vMerge w:val="continue"/>
                  <w:tcBorders>
                    <w:tl2br w:val="nil"/>
                    <w:tr2bl w:val="nil"/>
                  </w:tcBorders>
                  <w:vAlign w:val="center"/>
                </w:tcPr>
                <w:p w14:paraId="2DA2DD0C">
                  <w:pPr>
                    <w:pStyle w:val="81"/>
                    <w:adjustRightInd w:val="0"/>
                    <w:snapToGrid w:val="0"/>
                    <w:ind w:firstLine="420"/>
                    <w:jc w:val="center"/>
                    <w:textAlignment w:val="baseline"/>
                    <w:rPr>
                      <w:rFonts w:hint="default" w:ascii="Times New Roman" w:hAnsi="Times New Roman" w:eastAsia="宋体" w:cs="Times New Roman"/>
                      <w:color w:val="auto"/>
                      <w:sz w:val="21"/>
                      <w:szCs w:val="21"/>
                      <w:highlight w:val="none"/>
                    </w:rPr>
                  </w:pPr>
                </w:p>
              </w:tc>
            </w:tr>
            <w:tr w14:paraId="46DFA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66" w:type="dxa"/>
                  <w:tcBorders>
                    <w:tl2br w:val="nil"/>
                    <w:tr2bl w:val="nil"/>
                  </w:tcBorders>
                  <w:vAlign w:val="center"/>
                </w:tcPr>
                <w:p w14:paraId="7A0A35D1">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705" w:type="dxa"/>
                  <w:tcBorders>
                    <w:tl2br w:val="nil"/>
                    <w:tr2bl w:val="nil"/>
                  </w:tcBorders>
                  <w:vAlign w:val="center"/>
                </w:tcPr>
                <w:p w14:paraId="7AADCE1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858" w:type="dxa"/>
                  <w:tcBorders>
                    <w:tl2br w:val="nil"/>
                    <w:tr2bl w:val="nil"/>
                  </w:tcBorders>
                  <w:vAlign w:val="center"/>
                </w:tcPr>
                <w:p w14:paraId="40270F86">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HW49</w:t>
                  </w:r>
                </w:p>
              </w:tc>
              <w:tc>
                <w:tcPr>
                  <w:tcW w:w="791" w:type="dxa"/>
                  <w:tcBorders>
                    <w:tl2br w:val="nil"/>
                    <w:tr2bl w:val="nil"/>
                  </w:tcBorders>
                  <w:vAlign w:val="center"/>
                </w:tcPr>
                <w:p w14:paraId="156D3A3F">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900-039-49</w:t>
                  </w:r>
                </w:p>
              </w:tc>
              <w:tc>
                <w:tcPr>
                  <w:tcW w:w="760" w:type="dxa"/>
                  <w:tcBorders>
                    <w:tl2br w:val="nil"/>
                    <w:tr2bl w:val="nil"/>
                  </w:tcBorders>
                  <w:vAlign w:val="center"/>
                </w:tcPr>
                <w:p w14:paraId="14D1510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6.624</w:t>
                  </w:r>
                </w:p>
              </w:tc>
              <w:tc>
                <w:tcPr>
                  <w:tcW w:w="914" w:type="dxa"/>
                  <w:tcBorders>
                    <w:top w:val="single" w:color="000000" w:sz="8" w:space="0"/>
                    <w:tl2br w:val="nil"/>
                    <w:tr2bl w:val="nil"/>
                  </w:tcBorders>
                  <w:vAlign w:val="center"/>
                </w:tcPr>
                <w:p w14:paraId="39E9BED8">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废气处理</w:t>
                  </w:r>
                </w:p>
              </w:tc>
              <w:tc>
                <w:tcPr>
                  <w:tcW w:w="637" w:type="dxa"/>
                  <w:tcBorders>
                    <w:top w:val="single" w:color="000000" w:sz="8" w:space="0"/>
                    <w:tl2br w:val="nil"/>
                    <w:tr2bl w:val="nil"/>
                  </w:tcBorders>
                  <w:vAlign w:val="center"/>
                </w:tcPr>
                <w:p w14:paraId="314E9A9B">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固态</w:t>
                  </w:r>
                </w:p>
              </w:tc>
              <w:tc>
                <w:tcPr>
                  <w:tcW w:w="699" w:type="dxa"/>
                  <w:tcBorders>
                    <w:tl2br w:val="nil"/>
                    <w:tr2bl w:val="nil"/>
                  </w:tcBorders>
                  <w:vAlign w:val="center"/>
                </w:tcPr>
                <w:p w14:paraId="5374CB88">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有机废气</w:t>
                  </w:r>
                </w:p>
              </w:tc>
              <w:tc>
                <w:tcPr>
                  <w:tcW w:w="616" w:type="dxa"/>
                  <w:tcBorders>
                    <w:tl2br w:val="nil"/>
                    <w:tr2bl w:val="nil"/>
                  </w:tcBorders>
                  <w:vAlign w:val="center"/>
                </w:tcPr>
                <w:p w14:paraId="1010DB27">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3个月</w:t>
                  </w:r>
                </w:p>
              </w:tc>
              <w:tc>
                <w:tcPr>
                  <w:tcW w:w="802" w:type="dxa"/>
                  <w:tcBorders>
                    <w:tl2br w:val="nil"/>
                    <w:tr2bl w:val="nil"/>
                  </w:tcBorders>
                  <w:vAlign w:val="center"/>
                </w:tcPr>
                <w:p w14:paraId="6E9A838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T</w:t>
                  </w:r>
                </w:p>
              </w:tc>
              <w:tc>
                <w:tcPr>
                  <w:tcW w:w="958" w:type="dxa"/>
                  <w:vMerge w:val="continue"/>
                  <w:tcBorders>
                    <w:tl2br w:val="nil"/>
                    <w:tr2bl w:val="nil"/>
                  </w:tcBorders>
                  <w:vAlign w:val="center"/>
                </w:tcPr>
                <w:p w14:paraId="3057B356">
                  <w:pPr>
                    <w:pStyle w:val="81"/>
                    <w:adjustRightInd w:val="0"/>
                    <w:snapToGrid w:val="0"/>
                    <w:ind w:firstLine="420"/>
                    <w:jc w:val="center"/>
                    <w:textAlignment w:val="baseline"/>
                    <w:rPr>
                      <w:rFonts w:hint="default" w:ascii="Times New Roman" w:hAnsi="Times New Roman" w:eastAsia="宋体" w:cs="Times New Roman"/>
                      <w:color w:val="auto"/>
                      <w:sz w:val="21"/>
                      <w:szCs w:val="21"/>
                      <w:highlight w:val="none"/>
                    </w:rPr>
                  </w:pPr>
                </w:p>
              </w:tc>
            </w:tr>
            <w:tr w14:paraId="00FC4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66" w:type="dxa"/>
                  <w:tcBorders>
                    <w:tl2br w:val="nil"/>
                    <w:tr2bl w:val="nil"/>
                  </w:tcBorders>
                  <w:vAlign w:val="center"/>
                </w:tcPr>
                <w:p w14:paraId="4B3021FB">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705" w:type="dxa"/>
                  <w:tcBorders>
                    <w:tl2br w:val="nil"/>
                    <w:tr2bl w:val="nil"/>
                  </w:tcBorders>
                  <w:vAlign w:val="center"/>
                </w:tcPr>
                <w:p w14:paraId="2FA76B2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含油废抹布及废棉纱手套</w:t>
                  </w:r>
                </w:p>
              </w:tc>
              <w:tc>
                <w:tcPr>
                  <w:tcW w:w="858" w:type="dxa"/>
                  <w:tcBorders>
                    <w:tl2br w:val="nil"/>
                    <w:tr2bl w:val="nil"/>
                  </w:tcBorders>
                  <w:vAlign w:val="center"/>
                </w:tcPr>
                <w:p w14:paraId="2F9700C6">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HW49</w:t>
                  </w:r>
                </w:p>
              </w:tc>
              <w:tc>
                <w:tcPr>
                  <w:tcW w:w="791" w:type="dxa"/>
                  <w:tcBorders>
                    <w:tl2br w:val="nil"/>
                    <w:tr2bl w:val="nil"/>
                  </w:tcBorders>
                  <w:vAlign w:val="center"/>
                </w:tcPr>
                <w:p w14:paraId="2BA00365">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900-041-49</w:t>
                  </w:r>
                </w:p>
              </w:tc>
              <w:tc>
                <w:tcPr>
                  <w:tcW w:w="760" w:type="dxa"/>
                  <w:tcBorders>
                    <w:tl2br w:val="nil"/>
                    <w:tr2bl w:val="nil"/>
                  </w:tcBorders>
                  <w:vAlign w:val="center"/>
                </w:tcPr>
                <w:p w14:paraId="1862758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0.01</w:t>
                  </w:r>
                </w:p>
              </w:tc>
              <w:tc>
                <w:tcPr>
                  <w:tcW w:w="914" w:type="dxa"/>
                  <w:tcBorders>
                    <w:tl2br w:val="nil"/>
                    <w:tr2bl w:val="nil"/>
                  </w:tcBorders>
                  <w:vAlign w:val="center"/>
                </w:tcPr>
                <w:p w14:paraId="58B797FB">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设备维修保养</w:t>
                  </w:r>
                </w:p>
              </w:tc>
              <w:tc>
                <w:tcPr>
                  <w:tcW w:w="637" w:type="dxa"/>
                  <w:tcBorders>
                    <w:tl2br w:val="nil"/>
                    <w:tr2bl w:val="nil"/>
                  </w:tcBorders>
                  <w:vAlign w:val="center"/>
                </w:tcPr>
                <w:p w14:paraId="52051010">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固态</w:t>
                  </w:r>
                </w:p>
              </w:tc>
              <w:tc>
                <w:tcPr>
                  <w:tcW w:w="699" w:type="dxa"/>
                  <w:tcBorders>
                    <w:tl2br w:val="nil"/>
                    <w:tr2bl w:val="nil"/>
                  </w:tcBorders>
                  <w:vAlign w:val="center"/>
                </w:tcPr>
                <w:p w14:paraId="67608E1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矿物油</w:t>
                  </w:r>
                </w:p>
              </w:tc>
              <w:tc>
                <w:tcPr>
                  <w:tcW w:w="616" w:type="dxa"/>
                  <w:tcBorders>
                    <w:tl2br w:val="nil"/>
                    <w:tr2bl w:val="nil"/>
                  </w:tcBorders>
                  <w:vAlign w:val="center"/>
                </w:tcPr>
                <w:p w14:paraId="02EDE8A9">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一年</w:t>
                  </w:r>
                </w:p>
              </w:tc>
              <w:tc>
                <w:tcPr>
                  <w:tcW w:w="802" w:type="dxa"/>
                  <w:tcBorders>
                    <w:tl2br w:val="nil"/>
                    <w:tr2bl w:val="nil"/>
                  </w:tcBorders>
                  <w:vAlign w:val="center"/>
                </w:tcPr>
                <w:p w14:paraId="625B781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T/I</w:t>
                  </w:r>
                </w:p>
              </w:tc>
              <w:tc>
                <w:tcPr>
                  <w:tcW w:w="958" w:type="dxa"/>
                  <w:vMerge w:val="continue"/>
                  <w:tcBorders>
                    <w:tl2br w:val="nil"/>
                    <w:tr2bl w:val="nil"/>
                  </w:tcBorders>
                  <w:vAlign w:val="center"/>
                </w:tcPr>
                <w:p w14:paraId="795D2828">
                  <w:pPr>
                    <w:pStyle w:val="81"/>
                    <w:adjustRightInd w:val="0"/>
                    <w:snapToGrid w:val="0"/>
                    <w:ind w:firstLine="420"/>
                    <w:jc w:val="center"/>
                    <w:textAlignment w:val="baseline"/>
                    <w:rPr>
                      <w:rFonts w:hint="default" w:ascii="Times New Roman" w:hAnsi="Times New Roman" w:eastAsia="宋体" w:cs="Times New Roman"/>
                      <w:color w:val="auto"/>
                      <w:sz w:val="21"/>
                      <w:szCs w:val="21"/>
                      <w:highlight w:val="none"/>
                    </w:rPr>
                  </w:pPr>
                </w:p>
              </w:tc>
            </w:tr>
          </w:tbl>
          <w:p w14:paraId="5E4C2247">
            <w:pPr>
              <w:pStyle w:val="15"/>
              <w:numPr>
                <w:ilvl w:val="0"/>
                <w:numId w:val="19"/>
              </w:numPr>
              <w:ind w:left="425" w:leftChars="0" w:right="113" w:rightChars="0" w:hanging="425" w:firstLineChars="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危险废物贮存场所（设施）基本情况表</w:t>
            </w:r>
          </w:p>
          <w:tbl>
            <w:tblPr>
              <w:tblStyle w:val="33"/>
              <w:tblW w:w="815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5"/>
              <w:gridCol w:w="953"/>
              <w:gridCol w:w="862"/>
              <w:gridCol w:w="809"/>
              <w:gridCol w:w="1196"/>
              <w:gridCol w:w="761"/>
              <w:gridCol w:w="794"/>
              <w:gridCol w:w="900"/>
              <w:gridCol w:w="622"/>
              <w:gridCol w:w="761"/>
            </w:tblGrid>
            <w:tr w14:paraId="47491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tcBorders>
                    <w:tl2br w:val="nil"/>
                    <w:tr2bl w:val="nil"/>
                  </w:tcBorders>
                  <w:vAlign w:val="center"/>
                </w:tcPr>
                <w:p w14:paraId="2168B7F2">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序号</w:t>
                  </w:r>
                </w:p>
              </w:tc>
              <w:tc>
                <w:tcPr>
                  <w:tcW w:w="1004" w:type="dxa"/>
                  <w:tcBorders>
                    <w:tl2br w:val="nil"/>
                    <w:tr2bl w:val="nil"/>
                  </w:tcBorders>
                  <w:vAlign w:val="center"/>
                </w:tcPr>
                <w:p w14:paraId="1306F08A">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贮存场所（设施）名称</w:t>
                  </w:r>
                </w:p>
              </w:tc>
              <w:tc>
                <w:tcPr>
                  <w:tcW w:w="933" w:type="dxa"/>
                  <w:tcBorders>
                    <w:tl2br w:val="nil"/>
                    <w:tr2bl w:val="nil"/>
                  </w:tcBorders>
                  <w:vAlign w:val="center"/>
                </w:tcPr>
                <w:p w14:paraId="72850389">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危险废物名称</w:t>
                  </w:r>
                </w:p>
              </w:tc>
              <w:tc>
                <w:tcPr>
                  <w:tcW w:w="814" w:type="dxa"/>
                  <w:tcBorders>
                    <w:tl2br w:val="nil"/>
                    <w:tr2bl w:val="nil"/>
                  </w:tcBorders>
                  <w:vAlign w:val="center"/>
                </w:tcPr>
                <w:p w14:paraId="56D167D2">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危险废物类别</w:t>
                  </w:r>
                </w:p>
              </w:tc>
              <w:tc>
                <w:tcPr>
                  <w:tcW w:w="816" w:type="dxa"/>
                  <w:tcBorders>
                    <w:tl2br w:val="nil"/>
                    <w:tr2bl w:val="nil"/>
                  </w:tcBorders>
                  <w:vAlign w:val="center"/>
                </w:tcPr>
                <w:p w14:paraId="61649C33">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危险废物代码</w:t>
                  </w:r>
                </w:p>
              </w:tc>
              <w:tc>
                <w:tcPr>
                  <w:tcW w:w="816" w:type="dxa"/>
                  <w:tcBorders>
                    <w:tl2br w:val="nil"/>
                    <w:tr2bl w:val="nil"/>
                  </w:tcBorders>
                  <w:vAlign w:val="center"/>
                </w:tcPr>
                <w:p w14:paraId="420AAE53">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位置</w:t>
                  </w:r>
                </w:p>
              </w:tc>
              <w:tc>
                <w:tcPr>
                  <w:tcW w:w="816" w:type="dxa"/>
                  <w:tcBorders>
                    <w:tl2br w:val="nil"/>
                    <w:tr2bl w:val="nil"/>
                  </w:tcBorders>
                  <w:vAlign w:val="center"/>
                </w:tcPr>
                <w:p w14:paraId="1209E6F7">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占地面积</w:t>
                  </w:r>
                </w:p>
              </w:tc>
              <w:tc>
                <w:tcPr>
                  <w:tcW w:w="977" w:type="dxa"/>
                  <w:tcBorders>
                    <w:tl2br w:val="nil"/>
                    <w:tr2bl w:val="nil"/>
                  </w:tcBorders>
                  <w:vAlign w:val="center"/>
                </w:tcPr>
                <w:p w14:paraId="464A649E">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贮存方式</w:t>
                  </w:r>
                </w:p>
              </w:tc>
              <w:tc>
                <w:tcPr>
                  <w:tcW w:w="654" w:type="dxa"/>
                  <w:tcBorders>
                    <w:tl2br w:val="nil"/>
                    <w:tr2bl w:val="nil"/>
                  </w:tcBorders>
                  <w:vAlign w:val="center"/>
                </w:tcPr>
                <w:p w14:paraId="2B0A5939">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贮存能力</w:t>
                  </w:r>
                </w:p>
              </w:tc>
              <w:tc>
                <w:tcPr>
                  <w:tcW w:w="816" w:type="dxa"/>
                  <w:tcBorders>
                    <w:tl2br w:val="nil"/>
                    <w:tr2bl w:val="nil"/>
                  </w:tcBorders>
                  <w:vAlign w:val="center"/>
                </w:tcPr>
                <w:p w14:paraId="7E590508">
                  <w:pPr>
                    <w:pStyle w:val="81"/>
                    <w:spacing w:before="120" w:beforeLines="50"/>
                    <w:jc w:val="center"/>
                    <w:textAlignment w:val="baseline"/>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贮存周期</w:t>
                  </w:r>
                </w:p>
              </w:tc>
            </w:tr>
            <w:tr w14:paraId="7171B7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07" w:type="dxa"/>
                  <w:tcBorders>
                    <w:tl2br w:val="nil"/>
                    <w:tr2bl w:val="nil"/>
                  </w:tcBorders>
                  <w:vAlign w:val="center"/>
                </w:tcPr>
                <w:p w14:paraId="0D2BF3D8">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1004" w:type="dxa"/>
                  <w:vMerge w:val="restart"/>
                  <w:tcBorders>
                    <w:tl2br w:val="nil"/>
                    <w:tr2bl w:val="nil"/>
                  </w:tcBorders>
                  <w:vAlign w:val="center"/>
                </w:tcPr>
                <w:p w14:paraId="106906C5">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危废暂存间</w:t>
                  </w:r>
                </w:p>
              </w:tc>
              <w:tc>
                <w:tcPr>
                  <w:tcW w:w="933" w:type="dxa"/>
                  <w:tcBorders>
                    <w:tl2br w:val="nil"/>
                    <w:tr2bl w:val="nil"/>
                  </w:tcBorders>
                  <w:vAlign w:val="center"/>
                </w:tcPr>
                <w:p w14:paraId="7AF80D5E">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废矿物油</w:t>
                  </w:r>
                </w:p>
              </w:tc>
              <w:tc>
                <w:tcPr>
                  <w:tcW w:w="814" w:type="dxa"/>
                  <w:tcBorders>
                    <w:tl2br w:val="nil"/>
                    <w:tr2bl w:val="nil"/>
                  </w:tcBorders>
                  <w:vAlign w:val="center"/>
                </w:tcPr>
                <w:p w14:paraId="68A1F4CF">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HW</w:t>
                  </w:r>
                  <w:r>
                    <w:rPr>
                      <w:rFonts w:hint="eastAsia" w:ascii="Times New Roman" w:hAnsi="Times New Roman" w:cs="Times New Roman"/>
                      <w:color w:val="auto"/>
                      <w:sz w:val="21"/>
                      <w:szCs w:val="21"/>
                      <w:highlight w:val="none"/>
                      <w:lang w:val="en-US" w:eastAsia="zh-CN"/>
                    </w:rPr>
                    <w:t>08</w:t>
                  </w:r>
                </w:p>
              </w:tc>
              <w:tc>
                <w:tcPr>
                  <w:tcW w:w="816" w:type="dxa"/>
                  <w:tcBorders>
                    <w:tl2br w:val="nil"/>
                    <w:tr2bl w:val="nil"/>
                  </w:tcBorders>
                  <w:vAlign w:val="center"/>
                </w:tcPr>
                <w:p w14:paraId="4F8436F9">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900-214-08</w:t>
                  </w:r>
                </w:p>
              </w:tc>
              <w:tc>
                <w:tcPr>
                  <w:tcW w:w="816" w:type="dxa"/>
                  <w:vMerge w:val="restart"/>
                  <w:tcBorders>
                    <w:tl2br w:val="nil"/>
                    <w:tr2bl w:val="nil"/>
                  </w:tcBorders>
                  <w:vAlign w:val="center"/>
                </w:tcPr>
                <w:p w14:paraId="09D718FA">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eastAsia" w:ascii="Times New Roman" w:hAnsi="Times New Roman"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val="en-US" w:eastAsia="zh-CN"/>
                    </w:rPr>
                    <w:t>南侧</w:t>
                  </w:r>
                </w:p>
              </w:tc>
              <w:tc>
                <w:tcPr>
                  <w:tcW w:w="816" w:type="dxa"/>
                  <w:vMerge w:val="restart"/>
                  <w:tcBorders>
                    <w:tl2br w:val="nil"/>
                    <w:tr2bl w:val="nil"/>
                  </w:tcBorders>
                  <w:vAlign w:val="center"/>
                </w:tcPr>
                <w:p w14:paraId="3A85F6F4">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rPr>
                    <w:t>m</w:t>
                  </w:r>
                  <w:r>
                    <w:rPr>
                      <w:rFonts w:hint="default" w:ascii="Times New Roman" w:hAnsi="Times New Roman" w:eastAsia="宋体" w:cs="Times New Roman"/>
                      <w:color w:val="auto"/>
                      <w:sz w:val="21"/>
                      <w:szCs w:val="21"/>
                      <w:highlight w:val="none"/>
                      <w:vertAlign w:val="superscript"/>
                      <w:lang w:val="en-US"/>
                    </w:rPr>
                    <w:t>2</w:t>
                  </w:r>
                </w:p>
              </w:tc>
              <w:tc>
                <w:tcPr>
                  <w:tcW w:w="977" w:type="dxa"/>
                  <w:tcBorders>
                    <w:tl2br w:val="nil"/>
                    <w:tr2bl w:val="nil"/>
                  </w:tcBorders>
                  <w:vAlign w:val="center"/>
                </w:tcPr>
                <w:p w14:paraId="5FB6C3A8">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密封贮存</w:t>
                  </w:r>
                </w:p>
              </w:tc>
              <w:tc>
                <w:tcPr>
                  <w:tcW w:w="654" w:type="dxa"/>
                  <w:vMerge w:val="restart"/>
                  <w:tcBorders>
                    <w:tl2br w:val="nil"/>
                    <w:tr2bl w:val="nil"/>
                  </w:tcBorders>
                  <w:vAlign w:val="center"/>
                </w:tcPr>
                <w:p w14:paraId="3335D208">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t</w:t>
                  </w:r>
                </w:p>
              </w:tc>
              <w:tc>
                <w:tcPr>
                  <w:tcW w:w="816" w:type="dxa"/>
                  <w:tcBorders>
                    <w:tl2br w:val="nil"/>
                    <w:tr2bl w:val="nil"/>
                  </w:tcBorders>
                  <w:vAlign w:val="center"/>
                </w:tcPr>
                <w:p w14:paraId="38CCEB25">
                  <w:pPr>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1年</w:t>
                  </w:r>
                </w:p>
              </w:tc>
            </w:tr>
            <w:tr w14:paraId="0BE7A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tcBorders>
                    <w:tl2br w:val="nil"/>
                    <w:tr2bl w:val="nil"/>
                  </w:tcBorders>
                  <w:vAlign w:val="center"/>
                </w:tcPr>
                <w:p w14:paraId="72591673">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1004" w:type="dxa"/>
                  <w:vMerge w:val="continue"/>
                  <w:tcBorders>
                    <w:tl2br w:val="nil"/>
                    <w:tr2bl w:val="nil"/>
                  </w:tcBorders>
                  <w:vAlign w:val="center"/>
                </w:tcPr>
                <w:p w14:paraId="3E52A232">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933" w:type="dxa"/>
                  <w:tcBorders>
                    <w:tl2br w:val="nil"/>
                    <w:tr2bl w:val="nil"/>
                  </w:tcBorders>
                  <w:vAlign w:val="center"/>
                </w:tcPr>
                <w:p w14:paraId="7DB8384C">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消毒剂废包装袋</w:t>
                  </w:r>
                </w:p>
              </w:tc>
              <w:tc>
                <w:tcPr>
                  <w:tcW w:w="814" w:type="dxa"/>
                  <w:tcBorders>
                    <w:tl2br w:val="nil"/>
                    <w:tr2bl w:val="nil"/>
                  </w:tcBorders>
                  <w:vAlign w:val="center"/>
                </w:tcPr>
                <w:p w14:paraId="1B6A2243">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HW</w:t>
                  </w:r>
                  <w:r>
                    <w:rPr>
                      <w:rFonts w:hint="eastAsia" w:ascii="Times New Roman" w:hAnsi="Times New Roman" w:cs="Times New Roman"/>
                      <w:color w:val="auto"/>
                      <w:sz w:val="21"/>
                      <w:szCs w:val="21"/>
                      <w:highlight w:val="none"/>
                      <w:lang w:val="en-US" w:eastAsia="zh-CN"/>
                    </w:rPr>
                    <w:t>49</w:t>
                  </w:r>
                </w:p>
              </w:tc>
              <w:tc>
                <w:tcPr>
                  <w:tcW w:w="816" w:type="dxa"/>
                  <w:tcBorders>
                    <w:tl2br w:val="nil"/>
                    <w:tr2bl w:val="nil"/>
                  </w:tcBorders>
                  <w:vAlign w:val="center"/>
                </w:tcPr>
                <w:p w14:paraId="770F0FA3">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900-041-49</w:t>
                  </w:r>
                </w:p>
              </w:tc>
              <w:tc>
                <w:tcPr>
                  <w:tcW w:w="816" w:type="dxa"/>
                  <w:vMerge w:val="continue"/>
                  <w:tcBorders>
                    <w:tl2br w:val="nil"/>
                    <w:tr2bl w:val="nil"/>
                  </w:tcBorders>
                  <w:vAlign w:val="center"/>
                </w:tcPr>
                <w:p w14:paraId="6A761830">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6" w:type="dxa"/>
                  <w:vMerge w:val="continue"/>
                  <w:tcBorders>
                    <w:tl2br w:val="nil"/>
                    <w:tr2bl w:val="nil"/>
                  </w:tcBorders>
                  <w:vAlign w:val="center"/>
                </w:tcPr>
                <w:p w14:paraId="5EAE5D2C">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977" w:type="dxa"/>
                  <w:tcBorders>
                    <w:tl2br w:val="nil"/>
                    <w:tr2bl w:val="nil"/>
                  </w:tcBorders>
                  <w:vAlign w:val="center"/>
                </w:tcPr>
                <w:p w14:paraId="48F78757">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密封贮存</w:t>
                  </w:r>
                </w:p>
              </w:tc>
              <w:tc>
                <w:tcPr>
                  <w:tcW w:w="654" w:type="dxa"/>
                  <w:vMerge w:val="continue"/>
                  <w:tcBorders>
                    <w:tl2br w:val="nil"/>
                    <w:tr2bl w:val="nil"/>
                  </w:tcBorders>
                  <w:vAlign w:val="center"/>
                </w:tcPr>
                <w:p w14:paraId="415188B9">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6" w:type="dxa"/>
                  <w:tcBorders>
                    <w:tl2br w:val="nil"/>
                    <w:tr2bl w:val="nil"/>
                  </w:tcBorders>
                  <w:vAlign w:val="center"/>
                </w:tcPr>
                <w:p w14:paraId="213342DD">
                  <w:pPr>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1年</w:t>
                  </w:r>
                </w:p>
              </w:tc>
            </w:tr>
            <w:tr w14:paraId="0CCFE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tcBorders>
                    <w:tl2br w:val="nil"/>
                    <w:tr2bl w:val="nil"/>
                  </w:tcBorders>
                  <w:vAlign w:val="center"/>
                </w:tcPr>
                <w:p w14:paraId="17531164">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1004" w:type="dxa"/>
                  <w:vMerge w:val="continue"/>
                  <w:tcBorders>
                    <w:tl2br w:val="nil"/>
                    <w:tr2bl w:val="nil"/>
                  </w:tcBorders>
                  <w:vAlign w:val="center"/>
                </w:tcPr>
                <w:p w14:paraId="5F13F9D4">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933" w:type="dxa"/>
                  <w:tcBorders>
                    <w:tl2br w:val="nil"/>
                    <w:tr2bl w:val="nil"/>
                  </w:tcBorders>
                  <w:vAlign w:val="center"/>
                </w:tcPr>
                <w:p w14:paraId="508C98D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814" w:type="dxa"/>
                  <w:tcBorders>
                    <w:tl2br w:val="nil"/>
                    <w:tr2bl w:val="nil"/>
                  </w:tcBorders>
                  <w:vAlign w:val="center"/>
                </w:tcPr>
                <w:p w14:paraId="48605C9A">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HW49</w:t>
                  </w:r>
                </w:p>
              </w:tc>
              <w:tc>
                <w:tcPr>
                  <w:tcW w:w="816" w:type="dxa"/>
                  <w:tcBorders>
                    <w:tl2br w:val="nil"/>
                    <w:tr2bl w:val="nil"/>
                  </w:tcBorders>
                  <w:vAlign w:val="center"/>
                </w:tcPr>
                <w:p w14:paraId="701B4DC6">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900-039-49</w:t>
                  </w:r>
                </w:p>
              </w:tc>
              <w:tc>
                <w:tcPr>
                  <w:tcW w:w="816" w:type="dxa"/>
                  <w:vMerge w:val="continue"/>
                  <w:tcBorders>
                    <w:tl2br w:val="nil"/>
                    <w:tr2bl w:val="nil"/>
                  </w:tcBorders>
                  <w:vAlign w:val="center"/>
                </w:tcPr>
                <w:p w14:paraId="5FBAB28B">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6" w:type="dxa"/>
                  <w:vMerge w:val="continue"/>
                  <w:tcBorders>
                    <w:tl2br w:val="nil"/>
                    <w:tr2bl w:val="nil"/>
                  </w:tcBorders>
                  <w:vAlign w:val="center"/>
                </w:tcPr>
                <w:p w14:paraId="167D79BC">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977" w:type="dxa"/>
                  <w:tcBorders>
                    <w:tl2br w:val="nil"/>
                    <w:tr2bl w:val="nil"/>
                  </w:tcBorders>
                  <w:vAlign w:val="center"/>
                </w:tcPr>
                <w:p w14:paraId="1BBD280B">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密封贮存</w:t>
                  </w:r>
                </w:p>
              </w:tc>
              <w:tc>
                <w:tcPr>
                  <w:tcW w:w="654" w:type="dxa"/>
                  <w:vMerge w:val="continue"/>
                  <w:tcBorders>
                    <w:tl2br w:val="nil"/>
                    <w:tr2bl w:val="nil"/>
                  </w:tcBorders>
                  <w:vAlign w:val="center"/>
                </w:tcPr>
                <w:p w14:paraId="19B8CD4D">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6" w:type="dxa"/>
                  <w:tcBorders>
                    <w:tl2br w:val="nil"/>
                    <w:tr2bl w:val="nil"/>
                  </w:tcBorders>
                  <w:vAlign w:val="center"/>
                </w:tcPr>
                <w:p w14:paraId="04473057">
                  <w:pPr>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1年</w:t>
                  </w:r>
                </w:p>
              </w:tc>
            </w:tr>
            <w:tr w14:paraId="4C1A6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7" w:type="dxa"/>
                  <w:tcBorders>
                    <w:tl2br w:val="nil"/>
                    <w:tr2bl w:val="nil"/>
                  </w:tcBorders>
                  <w:vAlign w:val="center"/>
                </w:tcPr>
                <w:p w14:paraId="03D41E51">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1004" w:type="dxa"/>
                  <w:vMerge w:val="continue"/>
                  <w:tcBorders>
                    <w:tl2br w:val="nil"/>
                    <w:tr2bl w:val="nil"/>
                  </w:tcBorders>
                  <w:vAlign w:val="center"/>
                </w:tcPr>
                <w:p w14:paraId="5EE7AFBC">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933" w:type="dxa"/>
                  <w:tcBorders>
                    <w:tl2br w:val="nil"/>
                    <w:tr2bl w:val="nil"/>
                  </w:tcBorders>
                  <w:vAlign w:val="center"/>
                </w:tcPr>
                <w:p w14:paraId="4ABF864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含油废抹布及废棉纱手套</w:t>
                  </w:r>
                </w:p>
              </w:tc>
              <w:tc>
                <w:tcPr>
                  <w:tcW w:w="814" w:type="dxa"/>
                  <w:tcBorders>
                    <w:tl2br w:val="nil"/>
                    <w:tr2bl w:val="nil"/>
                  </w:tcBorders>
                  <w:vAlign w:val="center"/>
                </w:tcPr>
                <w:p w14:paraId="00F50C04">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HW49</w:t>
                  </w:r>
                </w:p>
              </w:tc>
              <w:tc>
                <w:tcPr>
                  <w:tcW w:w="816" w:type="dxa"/>
                  <w:tcBorders>
                    <w:tl2br w:val="nil"/>
                    <w:tr2bl w:val="nil"/>
                  </w:tcBorders>
                  <w:vAlign w:val="center"/>
                </w:tcPr>
                <w:p w14:paraId="4C0BCA0F">
                  <w:pPr>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eastAsia="zh-CN"/>
                    </w:rPr>
                    <w:t>900-041-49</w:t>
                  </w:r>
                </w:p>
              </w:tc>
              <w:tc>
                <w:tcPr>
                  <w:tcW w:w="816" w:type="dxa"/>
                  <w:vMerge w:val="continue"/>
                  <w:tcBorders>
                    <w:tl2br w:val="nil"/>
                    <w:tr2bl w:val="nil"/>
                  </w:tcBorders>
                  <w:vAlign w:val="center"/>
                </w:tcPr>
                <w:p w14:paraId="51C4F149">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6" w:type="dxa"/>
                  <w:vMerge w:val="continue"/>
                  <w:tcBorders>
                    <w:tl2br w:val="nil"/>
                    <w:tr2bl w:val="nil"/>
                  </w:tcBorders>
                  <w:vAlign w:val="center"/>
                </w:tcPr>
                <w:p w14:paraId="6E72E946">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977" w:type="dxa"/>
                  <w:tcBorders>
                    <w:tl2br w:val="nil"/>
                    <w:tr2bl w:val="nil"/>
                  </w:tcBorders>
                  <w:vAlign w:val="center"/>
                </w:tcPr>
                <w:p w14:paraId="3A076809">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rPr>
                    <w:t>密封贮存</w:t>
                  </w:r>
                </w:p>
              </w:tc>
              <w:tc>
                <w:tcPr>
                  <w:tcW w:w="654" w:type="dxa"/>
                  <w:vMerge w:val="continue"/>
                  <w:tcBorders>
                    <w:tl2br w:val="nil"/>
                    <w:tr2bl w:val="nil"/>
                  </w:tcBorders>
                  <w:vAlign w:val="center"/>
                </w:tcPr>
                <w:p w14:paraId="1CD82436">
                  <w:pPr>
                    <w:pStyle w:val="81"/>
                    <w:adjustRightInd w:val="0"/>
                    <w:snapToGrid w:val="0"/>
                    <w:jc w:val="center"/>
                    <w:textAlignment w:val="baseline"/>
                    <w:rPr>
                      <w:rFonts w:hint="default" w:ascii="Times New Roman" w:hAnsi="Times New Roman" w:eastAsia="宋体" w:cs="Times New Roman"/>
                      <w:color w:val="auto"/>
                      <w:sz w:val="21"/>
                      <w:szCs w:val="21"/>
                      <w:highlight w:val="none"/>
                      <w:lang w:val="en-US"/>
                    </w:rPr>
                  </w:pPr>
                </w:p>
              </w:tc>
              <w:tc>
                <w:tcPr>
                  <w:tcW w:w="816" w:type="dxa"/>
                  <w:tcBorders>
                    <w:tl2br w:val="nil"/>
                    <w:tr2bl w:val="nil"/>
                  </w:tcBorders>
                  <w:vAlign w:val="center"/>
                </w:tcPr>
                <w:p w14:paraId="647639AF">
                  <w:pPr>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1年</w:t>
                  </w:r>
                </w:p>
              </w:tc>
            </w:tr>
          </w:tbl>
          <w:p w14:paraId="2B0A80E1">
            <w:pPr>
              <w:spacing w:line="360" w:lineRule="auto"/>
              <w:ind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本环评要求，项目设置专门的危险废物暂存间及</w:t>
            </w:r>
            <w:r>
              <w:rPr>
                <w:rFonts w:hint="default" w:ascii="Times New Roman" w:hAnsi="Times New Roman" w:eastAsia="宋体" w:cs="Times New Roman"/>
                <w:color w:val="auto"/>
                <w:highlight w:val="none"/>
                <w:lang w:eastAsia="zh-CN"/>
              </w:rPr>
              <w:t>一般固废暂存间</w:t>
            </w:r>
            <w:r>
              <w:rPr>
                <w:rFonts w:hint="default" w:ascii="Times New Roman" w:hAnsi="Times New Roman" w:eastAsia="宋体" w:cs="Times New Roman"/>
                <w:color w:val="auto"/>
                <w:highlight w:val="none"/>
              </w:rPr>
              <w:t>，对产生的固体废物进行分类存储。</w:t>
            </w:r>
          </w:p>
          <w:p w14:paraId="5933141E">
            <w:pPr>
              <w:spacing w:line="360" w:lineRule="auto"/>
              <w:ind w:firstLine="482" w:firstLineChars="200"/>
              <w:jc w:val="left"/>
              <w:rPr>
                <w:rFonts w:hint="default" w:ascii="Times New Roman" w:hAnsi="Times New Roman" w:eastAsia="宋体" w:cs="Times New Roman"/>
                <w:b/>
                <w:color w:val="auto"/>
                <w:highlight w:val="none"/>
              </w:rPr>
            </w:pPr>
            <w:r>
              <w:rPr>
                <w:rFonts w:hint="eastAsia" w:cs="Times New Roman"/>
                <w:b/>
                <w:color w:val="auto"/>
                <w:highlight w:val="none"/>
                <w:lang w:eastAsia="zh-CN"/>
              </w:rPr>
              <w:t>（</w:t>
            </w:r>
            <w:r>
              <w:rPr>
                <w:rFonts w:hint="eastAsia" w:cs="Times New Roman"/>
                <w:b/>
                <w:color w:val="auto"/>
                <w:highlight w:val="none"/>
                <w:lang w:val="en-US" w:eastAsia="zh-CN"/>
              </w:rPr>
              <w:t>3</w:t>
            </w:r>
            <w:r>
              <w:rPr>
                <w:rFonts w:hint="eastAsia" w:cs="Times New Roman"/>
                <w:b/>
                <w:color w:val="auto"/>
                <w:highlight w:val="none"/>
                <w:lang w:eastAsia="zh-CN"/>
              </w:rPr>
              <w:t>）</w:t>
            </w:r>
            <w:r>
              <w:rPr>
                <w:rFonts w:hint="default" w:ascii="Times New Roman" w:hAnsi="Times New Roman" w:eastAsia="宋体" w:cs="Times New Roman"/>
                <w:b/>
                <w:color w:val="auto"/>
                <w:highlight w:val="none"/>
              </w:rPr>
              <w:t>拟采取的措施：</w:t>
            </w:r>
          </w:p>
          <w:p w14:paraId="36741DB6">
            <w:pPr>
              <w:spacing w:line="360" w:lineRule="auto"/>
              <w:ind w:firstLine="482" w:firstLineChars="200"/>
              <w:jc w:val="left"/>
              <w:rPr>
                <w:rFonts w:hint="default" w:ascii="Times New Roman" w:hAnsi="Times New Roman" w:eastAsia="宋体" w:cs="Times New Roman"/>
                <w:b/>
                <w:color w:val="auto"/>
                <w:highlight w:val="none"/>
              </w:rPr>
            </w:pPr>
            <w:r>
              <w:rPr>
                <w:rFonts w:hint="eastAsia" w:cs="Times New Roman"/>
                <w:b/>
                <w:color w:val="auto"/>
                <w:highlight w:val="none"/>
                <w:lang w:val="en-US" w:eastAsia="zh-CN"/>
              </w:rPr>
              <w:t>1）</w:t>
            </w:r>
            <w:r>
              <w:rPr>
                <w:rFonts w:hint="default" w:ascii="Times New Roman" w:hAnsi="Times New Roman" w:eastAsia="宋体" w:cs="Times New Roman"/>
                <w:b/>
                <w:color w:val="auto"/>
                <w:highlight w:val="none"/>
              </w:rPr>
              <w:t>固废暂存间建设</w:t>
            </w:r>
          </w:p>
          <w:p w14:paraId="60837A7A">
            <w:pPr>
              <w:spacing w:line="360" w:lineRule="auto"/>
              <w:ind w:firstLine="482" w:firstLineChars="200"/>
              <w:jc w:val="left"/>
              <w:rPr>
                <w:rFonts w:hint="default" w:ascii="Times New Roman" w:hAnsi="Times New Roman" w:eastAsia="宋体" w:cs="Times New Roman"/>
                <w:b/>
                <w:color w:val="auto"/>
                <w:highlight w:val="none"/>
              </w:rPr>
            </w:pPr>
            <w:r>
              <w:rPr>
                <w:rFonts w:hint="default" w:ascii="Times New Roman" w:hAnsi="Times New Roman" w:eastAsia="宋体" w:cs="Times New Roman"/>
                <w:b/>
                <w:bCs/>
                <w:color w:val="auto"/>
                <w:szCs w:val="24"/>
                <w:highlight w:val="none"/>
                <w:lang w:eastAsia="zh-CN"/>
              </w:rPr>
              <w:t>一般固废暂存间</w:t>
            </w:r>
            <w:r>
              <w:rPr>
                <w:rFonts w:hint="eastAsia" w:cs="Times New Roman"/>
                <w:b/>
                <w:bCs/>
                <w:color w:val="auto"/>
                <w:szCs w:val="24"/>
                <w:highlight w:val="none"/>
                <w:lang w:eastAsia="zh-CN"/>
              </w:rPr>
              <w:t>（猪粪、猪毛及肠内容物暂存间）</w:t>
            </w:r>
            <w:r>
              <w:rPr>
                <w:rFonts w:hint="default" w:ascii="Times New Roman" w:hAnsi="Times New Roman" w:eastAsia="宋体" w:cs="Times New Roman"/>
                <w:b/>
                <w:bCs/>
                <w:color w:val="auto"/>
                <w:szCs w:val="24"/>
                <w:highlight w:val="none"/>
              </w:rPr>
              <w:t>：</w:t>
            </w:r>
            <w:r>
              <w:rPr>
                <w:rFonts w:hint="default" w:ascii="Times New Roman" w:hAnsi="Times New Roman" w:eastAsia="宋体" w:cs="Times New Roman"/>
                <w:color w:val="auto"/>
                <w:szCs w:val="24"/>
                <w:highlight w:val="none"/>
              </w:rPr>
              <w:t>建设于</w:t>
            </w:r>
            <w:r>
              <w:rPr>
                <w:rFonts w:hint="eastAsia" w:cs="Times New Roman"/>
                <w:color w:val="auto"/>
                <w:szCs w:val="24"/>
                <w:highlight w:val="none"/>
                <w:lang w:val="en-US" w:eastAsia="zh-CN"/>
              </w:rPr>
              <w:t>项目东南侧</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lang w:val="en-US" w:eastAsia="zh-CN"/>
              </w:rPr>
              <w:t>1</w:t>
            </w:r>
            <w:r>
              <w:rPr>
                <w:rFonts w:hint="eastAsia" w:cs="Times New Roman"/>
                <w:color w:val="auto"/>
                <w:szCs w:val="24"/>
                <w:highlight w:val="none"/>
                <w:lang w:val="en-US" w:eastAsia="zh-CN"/>
              </w:rPr>
              <w:t>0</w:t>
            </w:r>
            <w:r>
              <w:rPr>
                <w:rFonts w:hint="default" w:ascii="Times New Roman" w:hAnsi="Times New Roman" w:eastAsia="宋体" w:cs="Times New Roman"/>
                <w:color w:val="auto"/>
                <w:szCs w:val="24"/>
                <w:highlight w:val="none"/>
                <w:lang w:val="en-US" w:eastAsia="zh-CN"/>
              </w:rPr>
              <w:t>m</w:t>
            </w:r>
            <w:r>
              <w:rPr>
                <w:rFonts w:hint="default" w:ascii="Times New Roman" w:hAnsi="Times New Roman" w:eastAsia="宋体" w:cs="Times New Roman"/>
                <w:color w:val="auto"/>
                <w:szCs w:val="24"/>
                <w:highlight w:val="none"/>
                <w:vertAlign w:val="superscript"/>
                <w:lang w:val="en-US" w:eastAsia="zh-CN"/>
              </w:rPr>
              <w:t>2</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w:t>
            </w:r>
            <w:r>
              <w:rPr>
                <w:rFonts w:hint="default" w:ascii="Times New Roman" w:hAnsi="Times New Roman" w:eastAsia="宋体" w:cs="Times New Roman"/>
                <w:color w:val="auto"/>
                <w:highlight w:val="none"/>
              </w:rPr>
              <w:t>袋装和桶装储存，</w:t>
            </w:r>
            <w:r>
              <w:rPr>
                <w:rFonts w:hint="default" w:ascii="Times New Roman" w:hAnsi="Times New Roman" w:eastAsia="宋体" w:cs="Times New Roman"/>
                <w:color w:val="auto"/>
                <w:szCs w:val="24"/>
                <w:highlight w:val="none"/>
              </w:rPr>
              <w:t>应做好防雨淋、防扬散、防渗漏等措施，设置明显的标识，做好一般固废台账管理，并加强管理。</w:t>
            </w:r>
          </w:p>
          <w:p w14:paraId="7E52C4DC">
            <w:pPr>
              <w:spacing w:line="360" w:lineRule="auto"/>
              <w:ind w:firstLine="482" w:firstLineChars="200"/>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
                <w:color w:val="auto"/>
                <w:highlight w:val="none"/>
              </w:rPr>
              <w:t>危废暂存间：</w:t>
            </w:r>
            <w:r>
              <w:rPr>
                <w:rFonts w:hint="default" w:ascii="Times New Roman" w:hAnsi="Times New Roman" w:eastAsia="宋体" w:cs="Times New Roman"/>
                <w:bCs/>
                <w:color w:val="auto"/>
                <w:highlight w:val="none"/>
              </w:rPr>
              <w:t>建设于</w:t>
            </w:r>
            <w:r>
              <w:rPr>
                <w:rFonts w:hint="eastAsia" w:cs="Times New Roman"/>
                <w:color w:val="auto"/>
                <w:szCs w:val="24"/>
                <w:highlight w:val="none"/>
                <w:lang w:val="en-US" w:eastAsia="zh-CN"/>
              </w:rPr>
              <w:t>项目东南侧</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lang w:val="en-US" w:eastAsia="zh-CN"/>
              </w:rPr>
              <w:t>1</w:t>
            </w:r>
            <w:r>
              <w:rPr>
                <w:rFonts w:hint="eastAsia" w:cs="Times New Roman"/>
                <w:color w:val="auto"/>
                <w:szCs w:val="24"/>
                <w:highlight w:val="none"/>
                <w:lang w:val="en-US" w:eastAsia="zh-CN"/>
              </w:rPr>
              <w:t>0</w:t>
            </w:r>
            <w:r>
              <w:rPr>
                <w:rFonts w:hint="default" w:ascii="Times New Roman" w:hAnsi="Times New Roman" w:eastAsia="宋体" w:cs="Times New Roman"/>
                <w:color w:val="auto"/>
                <w:szCs w:val="24"/>
                <w:highlight w:val="none"/>
                <w:lang w:val="en-US" w:eastAsia="zh-CN"/>
              </w:rPr>
              <w:t>m</w:t>
            </w:r>
            <w:r>
              <w:rPr>
                <w:rFonts w:hint="default" w:ascii="Times New Roman" w:hAnsi="Times New Roman" w:eastAsia="宋体" w:cs="Times New Roman"/>
                <w:color w:val="auto"/>
                <w:szCs w:val="24"/>
                <w:highlight w:val="none"/>
                <w:vertAlign w:val="superscript"/>
                <w:lang w:val="en-US" w:eastAsia="zh-CN"/>
              </w:rPr>
              <w:t>2</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bCs/>
                <w:color w:val="auto"/>
                <w:highlight w:val="none"/>
              </w:rPr>
              <w:t>，做好防渗措施，</w:t>
            </w:r>
            <w:r>
              <w:rPr>
                <w:rFonts w:hint="default" w:ascii="Times New Roman" w:hAnsi="Times New Roman" w:eastAsia="宋体" w:cs="Times New Roman"/>
                <w:color w:val="auto"/>
                <w:kern w:val="0"/>
                <w:highlight w:val="none"/>
              </w:rPr>
              <w:t>设置10cm高围堰</w:t>
            </w:r>
            <w:r>
              <w:rPr>
                <w:rFonts w:hint="default" w:ascii="Times New Roman" w:hAnsi="Times New Roman" w:eastAsia="宋体" w:cs="Times New Roman"/>
                <w:color w:val="auto"/>
                <w:highlight w:val="none"/>
              </w:rPr>
              <w:t>及金属防渗托盘（</w:t>
            </w:r>
            <w:r>
              <w:rPr>
                <w:rFonts w:hint="default" w:ascii="Times New Roman" w:hAnsi="Times New Roman" w:eastAsia="宋体" w:cs="Times New Roman"/>
                <w:color w:val="auto"/>
                <w:kern w:val="0"/>
                <w:highlight w:val="none"/>
              </w:rPr>
              <w:t>托盘边缘高度20cm</w:t>
            </w:r>
            <w:r>
              <w:rPr>
                <w:rFonts w:hint="eastAsia" w:cs="Times New Roman"/>
                <w:color w:val="auto"/>
                <w:kern w:val="0"/>
                <w:highlight w:val="none"/>
                <w:lang w:eastAsia="zh-CN"/>
              </w:rPr>
              <w:t>）</w:t>
            </w:r>
            <w:r>
              <w:rPr>
                <w:rFonts w:hint="default" w:ascii="Times New Roman" w:hAnsi="Times New Roman" w:eastAsia="宋体" w:cs="Times New Roman"/>
                <w:color w:val="auto"/>
                <w:highlight w:val="none"/>
              </w:rPr>
              <w:t>，</w:t>
            </w:r>
            <w:r>
              <w:rPr>
                <w:rFonts w:hint="default" w:ascii="Times New Roman" w:hAnsi="Times New Roman" w:eastAsia="宋体" w:cs="Times New Roman"/>
                <w:bCs/>
                <w:color w:val="auto"/>
                <w:highlight w:val="none"/>
              </w:rPr>
              <w:t>规范分类堆放危险废物；</w:t>
            </w:r>
            <w:r>
              <w:rPr>
                <w:rFonts w:hint="default" w:ascii="Times New Roman" w:hAnsi="Times New Roman" w:eastAsia="宋体" w:cs="Times New Roman"/>
                <w:color w:val="auto"/>
                <w:szCs w:val="32"/>
                <w:highlight w:val="none"/>
              </w:rPr>
              <w:t>根据</w:t>
            </w:r>
            <w:r>
              <w:rPr>
                <w:rFonts w:hint="default" w:ascii="Times New Roman" w:hAnsi="Times New Roman" w:eastAsia="宋体" w:cs="Times New Roman"/>
                <w:color w:val="auto"/>
                <w:highlight w:val="none"/>
              </w:rPr>
              <w:t>《危险废物贮存污染控制标准》(GB18597-2023</w:t>
            </w:r>
            <w:r>
              <w:rPr>
                <w:rFonts w:hint="eastAsia" w:cs="Times New Roman"/>
                <w:color w:val="auto"/>
                <w:highlight w:val="none"/>
                <w:lang w:eastAsia="zh-CN"/>
              </w:rPr>
              <w:t>）</w:t>
            </w:r>
            <w:r>
              <w:rPr>
                <w:rFonts w:hint="default" w:ascii="Times New Roman" w:hAnsi="Times New Roman" w:eastAsia="宋体" w:cs="Times New Roman"/>
                <w:color w:val="auto"/>
                <w:highlight w:val="none"/>
              </w:rPr>
              <w:t>以及《危险废物识别标志设置技术规范》(HJ1276-2022</w:t>
            </w:r>
            <w:r>
              <w:rPr>
                <w:rFonts w:hint="eastAsia" w:cs="Times New Roman"/>
                <w:color w:val="auto"/>
                <w:highlight w:val="none"/>
                <w:lang w:eastAsia="zh-CN"/>
              </w:rPr>
              <w:t>）</w:t>
            </w:r>
            <w:r>
              <w:rPr>
                <w:rFonts w:hint="default" w:ascii="Times New Roman" w:hAnsi="Times New Roman" w:eastAsia="宋体" w:cs="Times New Roman"/>
                <w:color w:val="auto"/>
                <w:highlight w:val="none"/>
              </w:rPr>
              <w:t>的要求设置标识标牌，制定危废管理制度并上墙，并做好台账及“无废四川”平台管理，及时申报危废计划，按要求转运危险废物，每次转运需要做好危废联单管理。</w:t>
            </w:r>
          </w:p>
          <w:p w14:paraId="184979CD">
            <w:pPr>
              <w:adjustRightInd w:val="0"/>
              <w:snapToGrid w:val="0"/>
              <w:spacing w:line="360" w:lineRule="auto"/>
              <w:ind w:firstLine="482" w:firstLineChars="200"/>
              <w:rPr>
                <w:rFonts w:hint="default" w:ascii="Times New Roman" w:hAnsi="Times New Roman" w:eastAsia="宋体" w:cs="Times New Roman"/>
                <w:b/>
                <w:color w:val="auto"/>
                <w:highlight w:val="none"/>
              </w:rPr>
            </w:pPr>
            <w:r>
              <w:rPr>
                <w:rFonts w:hint="eastAsia" w:cs="Times New Roman"/>
                <w:b/>
                <w:color w:val="auto"/>
                <w:highlight w:val="none"/>
                <w:lang w:val="en-US" w:eastAsia="zh-CN"/>
              </w:rPr>
              <w:t>2）</w:t>
            </w:r>
            <w:r>
              <w:rPr>
                <w:rFonts w:hint="default" w:ascii="Times New Roman" w:hAnsi="Times New Roman" w:eastAsia="宋体" w:cs="Times New Roman"/>
                <w:b/>
                <w:color w:val="auto"/>
                <w:highlight w:val="none"/>
              </w:rPr>
              <w:t>危废暂存间贮存设施污染控制要求：</w:t>
            </w:r>
          </w:p>
          <w:p w14:paraId="4769B023">
            <w:pPr>
              <w:keepNext w:val="0"/>
              <w:keepLines w:val="0"/>
              <w:pageBreakBefore w:val="0"/>
              <w:kinsoku/>
              <w:wordWrap/>
              <w:overflowPunct/>
              <w:topLinePunct w:val="0"/>
              <w:bidi w:val="0"/>
              <w:adjustRightInd/>
              <w:snapToGrid/>
              <w:spacing w:line="360" w:lineRule="auto"/>
              <w:ind w:right="0" w:firstLine="480" w:firstLineChars="200"/>
              <w:rPr>
                <w:rFonts w:hint="eastAsia" w:hAnsi="宋体" w:eastAsia="宋体"/>
                <w:b w:val="0"/>
                <w:bCs w:val="0"/>
                <w:color w:val="auto"/>
                <w:sz w:val="24"/>
                <w:szCs w:val="24"/>
                <w:highlight w:val="none"/>
                <w:lang w:val="en-US" w:eastAsia="zh-CN"/>
              </w:rPr>
            </w:pPr>
            <w:r>
              <w:rPr>
                <w:rFonts w:hint="eastAsia" w:hAnsi="宋体"/>
                <w:b w:val="0"/>
                <w:bCs w:val="0"/>
                <w:color w:val="auto"/>
                <w:sz w:val="24"/>
                <w:szCs w:val="24"/>
                <w:highlight w:val="none"/>
              </w:rPr>
              <w:t>危险固废环境管理要求</w:t>
            </w:r>
            <w:r>
              <w:rPr>
                <w:rFonts w:hint="eastAsia" w:hAnsi="宋体"/>
                <w:b w:val="0"/>
                <w:bCs w:val="0"/>
                <w:color w:val="auto"/>
                <w:sz w:val="24"/>
                <w:szCs w:val="24"/>
                <w:highlight w:val="none"/>
                <w:lang w:eastAsia="zh-CN"/>
              </w:rPr>
              <w:t>：</w:t>
            </w:r>
          </w:p>
          <w:p w14:paraId="471EE3DB">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hAnsi="宋体"/>
                <w:b w:val="0"/>
                <w:bCs w:val="0"/>
                <w:color w:val="auto"/>
                <w:sz w:val="24"/>
                <w:szCs w:val="24"/>
                <w:highlight w:val="none"/>
                <w:lang w:val="en-US" w:eastAsia="zh-CN"/>
              </w:rPr>
              <w:t>环评要求：</w:t>
            </w:r>
            <w:r>
              <w:rPr>
                <w:rFonts w:hint="eastAsia" w:ascii="Times New Roman" w:hAnsi="宋体" w:eastAsia="宋体" w:cs="Times New Roman"/>
                <w:b w:val="0"/>
                <w:bCs w:val="0"/>
                <w:color w:val="auto"/>
                <w:sz w:val="24"/>
                <w:szCs w:val="24"/>
                <w:highlight w:val="none"/>
                <w:lang w:val="en-US" w:eastAsia="zh-CN"/>
              </w:rPr>
              <w:t>本项目新建1间危废暂存间（建筑面积约</w:t>
            </w:r>
            <w:r>
              <w:rPr>
                <w:rFonts w:hint="eastAsia" w:hAnsi="宋体" w:cs="Times New Roman"/>
                <w:b w:val="0"/>
                <w:bCs w:val="0"/>
                <w:color w:val="auto"/>
                <w:sz w:val="24"/>
                <w:szCs w:val="24"/>
                <w:highlight w:val="none"/>
                <w:lang w:val="en-US" w:eastAsia="zh-CN"/>
              </w:rPr>
              <w:t>10</w:t>
            </w:r>
            <w:r>
              <w:rPr>
                <w:rFonts w:hint="eastAsia" w:ascii="Times New Roman" w:hAnsi="宋体" w:eastAsia="宋体" w:cs="Times New Roman"/>
                <w:b w:val="0"/>
                <w:bCs w:val="0"/>
                <w:color w:val="auto"/>
                <w:sz w:val="24"/>
                <w:szCs w:val="24"/>
                <w:highlight w:val="none"/>
                <w:lang w:val="en-US" w:eastAsia="zh-CN"/>
              </w:rPr>
              <w:t>m</w:t>
            </w:r>
            <w:r>
              <w:rPr>
                <w:rFonts w:hint="eastAsia" w:ascii="Times New Roman" w:hAnsi="宋体" w:eastAsia="宋体" w:cs="Times New Roman"/>
                <w:b w:val="0"/>
                <w:bCs w:val="0"/>
                <w:color w:val="auto"/>
                <w:sz w:val="24"/>
                <w:szCs w:val="24"/>
                <w:highlight w:val="none"/>
                <w:vertAlign w:val="superscript"/>
                <w:lang w:val="en-US" w:eastAsia="zh-CN"/>
              </w:rPr>
              <w:t>2</w:t>
            </w:r>
            <w:r>
              <w:rPr>
                <w:rFonts w:hint="eastAsia" w:ascii="Times New Roman" w:hAnsi="宋体" w:eastAsia="宋体" w:cs="Times New Roman"/>
                <w:b w:val="0"/>
                <w:bCs w:val="0"/>
                <w:color w:val="auto"/>
                <w:sz w:val="24"/>
                <w:szCs w:val="24"/>
                <w:highlight w:val="none"/>
                <w:lang w:val="en-US" w:eastAsia="zh-CN"/>
              </w:rPr>
              <w:t>）</w:t>
            </w:r>
            <w:r>
              <w:rPr>
                <w:rFonts w:hint="eastAsia" w:hAnsi="宋体"/>
                <w:b w:val="0"/>
                <w:bCs w:val="0"/>
                <w:color w:val="auto"/>
                <w:sz w:val="24"/>
                <w:szCs w:val="24"/>
                <w:highlight w:val="none"/>
                <w:lang w:val="en-US" w:eastAsia="zh-CN"/>
              </w:rPr>
              <w:t>，</w:t>
            </w:r>
            <w:r>
              <w:rPr>
                <w:rFonts w:hint="eastAsia" w:hAnsi="宋体"/>
                <w:b w:val="0"/>
                <w:bCs w:val="0"/>
                <w:color w:val="auto"/>
                <w:sz w:val="24"/>
                <w:szCs w:val="24"/>
                <w:highlight w:val="none"/>
              </w:rPr>
              <w:t>危险废物的储存过程达到一定量后（存放期不超过一年），及时由有危险废物处置资质的单位进行运输、处置。危险废物须按照</w:t>
            </w:r>
            <w:r>
              <w:rPr>
                <w:color w:val="auto"/>
                <w:sz w:val="24"/>
                <w:highlight w:val="none"/>
              </w:rPr>
              <w:t>《危险废物贮存污染控制标准》</w:t>
            </w:r>
            <w:r>
              <w:rPr>
                <w:rFonts w:hint="eastAsia"/>
                <w:color w:val="auto"/>
                <w:sz w:val="24"/>
                <w:highlight w:val="none"/>
              </w:rPr>
              <w:t>（</w:t>
            </w:r>
            <w:r>
              <w:rPr>
                <w:color w:val="auto"/>
                <w:sz w:val="24"/>
                <w:highlight w:val="none"/>
              </w:rPr>
              <w:t>GB18597-2023</w:t>
            </w:r>
            <w:r>
              <w:rPr>
                <w:rFonts w:hint="eastAsia"/>
                <w:color w:val="auto"/>
                <w:sz w:val="24"/>
                <w:highlight w:val="none"/>
              </w:rPr>
              <w:t>）</w:t>
            </w:r>
            <w:r>
              <w:rPr>
                <w:rFonts w:hint="eastAsia" w:hAnsi="宋体"/>
                <w:b w:val="0"/>
                <w:bCs w:val="0"/>
                <w:color w:val="auto"/>
                <w:sz w:val="24"/>
                <w:szCs w:val="24"/>
                <w:highlight w:val="none"/>
              </w:rPr>
              <w:t>管理规定的要求进行</w:t>
            </w:r>
            <w:r>
              <w:rPr>
                <w:rFonts w:hint="eastAsia" w:hAnsi="宋体"/>
                <w:b w:val="0"/>
                <w:bCs w:val="0"/>
                <w:color w:val="auto"/>
                <w:sz w:val="24"/>
                <w:szCs w:val="24"/>
                <w:highlight w:val="none"/>
                <w:lang w:val="en-US" w:eastAsia="zh-CN"/>
              </w:rPr>
              <w:t>分类</w:t>
            </w:r>
            <w:r>
              <w:rPr>
                <w:rFonts w:hint="eastAsia" w:hAnsi="宋体"/>
                <w:b w:val="0"/>
                <w:bCs w:val="0"/>
                <w:color w:val="auto"/>
                <w:sz w:val="24"/>
                <w:szCs w:val="24"/>
                <w:highlight w:val="none"/>
              </w:rPr>
              <w:t>收集、暂存、交接以及转运，具体要求如下：</w:t>
            </w:r>
          </w:p>
          <w:p w14:paraId="46691D53">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hAnsi="宋体"/>
                <w:b w:val="0"/>
                <w:bCs w:val="0"/>
                <w:color w:val="auto"/>
                <w:sz w:val="24"/>
                <w:szCs w:val="24"/>
                <w:highlight w:val="none"/>
                <w:lang w:val="en-US" w:eastAsia="zh-CN"/>
              </w:rPr>
              <w:t>1）</w:t>
            </w:r>
            <w:r>
              <w:rPr>
                <w:rFonts w:hint="eastAsia" w:hAnsi="宋体"/>
                <w:b w:val="0"/>
                <w:bCs w:val="0"/>
                <w:color w:val="auto"/>
                <w:sz w:val="24"/>
                <w:szCs w:val="24"/>
                <w:highlight w:val="none"/>
              </w:rPr>
              <w:t>收集要求</w:t>
            </w:r>
          </w:p>
          <w:p w14:paraId="0AB6E2D3">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hAnsi="宋体"/>
                <w:b w:val="0"/>
                <w:bCs w:val="0"/>
                <w:color w:val="auto"/>
                <w:sz w:val="24"/>
                <w:szCs w:val="24"/>
                <w:highlight w:val="none"/>
              </w:rPr>
              <w:t>根据</w:t>
            </w:r>
            <w:r>
              <w:rPr>
                <w:color w:val="auto"/>
                <w:sz w:val="24"/>
                <w:highlight w:val="none"/>
              </w:rPr>
              <w:t>《危险废物贮存污染控制标准》</w:t>
            </w:r>
            <w:r>
              <w:rPr>
                <w:rFonts w:hint="eastAsia"/>
                <w:color w:val="auto"/>
                <w:sz w:val="24"/>
                <w:highlight w:val="none"/>
              </w:rPr>
              <w:t>（</w:t>
            </w:r>
            <w:r>
              <w:rPr>
                <w:color w:val="auto"/>
                <w:sz w:val="24"/>
                <w:highlight w:val="none"/>
              </w:rPr>
              <w:t>GB18597-2023</w:t>
            </w:r>
            <w:r>
              <w:rPr>
                <w:rFonts w:hint="eastAsia"/>
                <w:color w:val="auto"/>
                <w:sz w:val="24"/>
                <w:highlight w:val="none"/>
              </w:rPr>
              <w:t>）</w:t>
            </w:r>
            <w:r>
              <w:rPr>
                <w:rFonts w:hint="eastAsia" w:hAnsi="宋体"/>
                <w:b w:val="0"/>
                <w:bCs w:val="0"/>
                <w:color w:val="auto"/>
                <w:sz w:val="24"/>
                <w:szCs w:val="24"/>
                <w:highlight w:val="none"/>
              </w:rPr>
              <w:t>，本项目危险废物的收集应按腐蚀性、毒性、易燃性、反应性等危险特性对危险废物进行分类收集；并按照其不同性质采用不同材质（塑料、钢等）的收集桶；收集桶和暂存室张贴相应的标志及标签。性质类似的废物可收集到同一容器中，性质不相容的危险废物不应混合包装；挥发性、液体需要灌装或桶装并密闭。危险废物包装应能有效隔断危险废物迁移扩散途径，并达到防渗、防漏要求。包装好的危险废物应设置相应的标签，标签信息应填写完整详实。盛装过危险废物的包装袋或包装容器破损后应按危险废物进行管理和处置。</w:t>
            </w:r>
          </w:p>
          <w:p w14:paraId="320D97E1">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hAnsi="宋体"/>
                <w:b w:val="0"/>
                <w:bCs w:val="0"/>
                <w:color w:val="auto"/>
                <w:sz w:val="24"/>
                <w:szCs w:val="24"/>
                <w:highlight w:val="none"/>
                <w:lang w:val="en-US" w:eastAsia="zh-CN"/>
              </w:rPr>
              <w:t>2）</w:t>
            </w:r>
            <w:r>
              <w:rPr>
                <w:rFonts w:hint="eastAsia" w:hAnsi="宋体"/>
                <w:b w:val="0"/>
                <w:bCs w:val="0"/>
                <w:color w:val="auto"/>
                <w:sz w:val="24"/>
                <w:szCs w:val="24"/>
                <w:highlight w:val="none"/>
              </w:rPr>
              <w:t>暂存要求</w:t>
            </w:r>
          </w:p>
          <w:p w14:paraId="1CA3938E">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strike w:val="0"/>
                <w:color w:val="auto"/>
                <w:sz w:val="24"/>
                <w:szCs w:val="24"/>
                <w:highlight w:val="none"/>
                <w:u w:val="single"/>
              </w:rPr>
            </w:pPr>
            <w:r>
              <w:rPr>
                <w:rFonts w:hint="eastAsia" w:hAnsi="宋体"/>
                <w:b w:val="0"/>
                <w:bCs w:val="0"/>
                <w:color w:val="auto"/>
                <w:sz w:val="24"/>
                <w:szCs w:val="24"/>
                <w:highlight w:val="none"/>
              </w:rPr>
              <w:t>根据《危险废物贮存污染控制标准》（GB18597-2023）的管理规定，环评要求应建造专用的危险废物贮存设施</w:t>
            </w:r>
            <w:r>
              <w:rPr>
                <w:rFonts w:hint="eastAsia" w:hAnsi="宋体"/>
                <w:b w:val="0"/>
                <w:bCs w:val="0"/>
                <w:color w:val="auto"/>
                <w:sz w:val="24"/>
                <w:szCs w:val="24"/>
                <w:highlight w:val="none"/>
                <w:lang w:eastAsia="zh-CN"/>
              </w:rPr>
              <w:t>，</w:t>
            </w:r>
            <w:r>
              <w:rPr>
                <w:rFonts w:hint="eastAsia" w:hAnsi="宋体"/>
                <w:b w:val="0"/>
                <w:bCs w:val="0"/>
                <w:color w:val="auto"/>
                <w:sz w:val="24"/>
                <w:szCs w:val="24"/>
                <w:highlight w:val="none"/>
                <w:lang w:val="en-US" w:eastAsia="zh-CN"/>
              </w:rPr>
              <w:t>采取必要的防风、防晒、防雨、防漏、防渗、防腐以及其他环境污染防治措施</w:t>
            </w:r>
            <w:r>
              <w:rPr>
                <w:rFonts w:hint="eastAsia" w:hAnsi="宋体"/>
                <w:b w:val="0"/>
                <w:bCs w:val="0"/>
                <w:color w:val="auto"/>
                <w:sz w:val="24"/>
                <w:szCs w:val="24"/>
                <w:highlight w:val="none"/>
              </w:rPr>
              <w:t>；项目废液采用收集桶收集暂存；为防止废液收集桶发生泄漏事故，本次评价要求在</w:t>
            </w:r>
            <w:r>
              <w:rPr>
                <w:rFonts w:hint="eastAsia" w:hAnsi="宋体"/>
                <w:b/>
                <w:bCs/>
                <w:strike w:val="0"/>
                <w:color w:val="auto"/>
                <w:sz w:val="24"/>
                <w:szCs w:val="24"/>
                <w:highlight w:val="none"/>
                <w:u w:val="single"/>
              </w:rPr>
              <w:t>对危废暂存间地面、暂存区周围10cm高墙体及围堰进行防渗漏处理，防渗系数≤10</w:t>
            </w:r>
            <w:r>
              <w:rPr>
                <w:rFonts w:hint="eastAsia" w:hAnsi="宋体"/>
                <w:b/>
                <w:bCs/>
                <w:strike w:val="0"/>
                <w:color w:val="auto"/>
                <w:sz w:val="24"/>
                <w:szCs w:val="24"/>
                <w:highlight w:val="none"/>
                <w:u w:val="single"/>
                <w:vertAlign w:val="superscript"/>
              </w:rPr>
              <w:t>-10</w:t>
            </w:r>
            <w:r>
              <w:rPr>
                <w:rFonts w:hint="eastAsia" w:hAnsi="宋体"/>
                <w:b/>
                <w:bCs/>
                <w:strike w:val="0"/>
                <w:color w:val="auto"/>
                <w:sz w:val="24"/>
                <w:szCs w:val="24"/>
                <w:highlight w:val="none"/>
                <w:u w:val="single"/>
              </w:rPr>
              <w:t>cm/s。</w:t>
            </w:r>
          </w:p>
          <w:p w14:paraId="11ED996C">
            <w:pPr>
              <w:spacing w:line="360" w:lineRule="auto"/>
              <w:ind w:firstLine="482" w:firstLineChars="200"/>
              <w:rPr>
                <w:rFonts w:ascii="宋体" w:hAnsi="宋体" w:cs="宋体"/>
                <w:b/>
                <w:bCs/>
                <w:color w:val="auto"/>
                <w:sz w:val="24"/>
                <w:highlight w:val="none"/>
              </w:rPr>
            </w:pPr>
            <w:r>
              <w:rPr>
                <w:rFonts w:ascii="宋体" w:hAnsi="宋体" w:cs="宋体"/>
                <w:b/>
                <w:bCs/>
                <w:color w:val="auto"/>
                <w:sz w:val="24"/>
                <w:highlight w:val="none"/>
              </w:rPr>
              <w:t>贮存过程污染控制要求</w:t>
            </w:r>
            <w:r>
              <w:rPr>
                <w:rFonts w:hint="eastAsia" w:ascii="宋体" w:hAnsi="宋体" w:cs="宋体"/>
                <w:b/>
                <w:bCs/>
                <w:color w:val="auto"/>
                <w:sz w:val="24"/>
                <w:highlight w:val="none"/>
              </w:rPr>
              <w:t>：</w:t>
            </w:r>
          </w:p>
          <w:p w14:paraId="493E497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①在常温常压下不易水解、不易挥发的固态危险废物可分类堆放贮存，其他固态危险废物应装入容器或包装物内贮存。</w:t>
            </w:r>
          </w:p>
          <w:p w14:paraId="5DCB6A7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②</w:t>
            </w:r>
            <w:r>
              <w:rPr>
                <w:rFonts w:ascii="宋体" w:hAnsi="宋体" w:cs="宋体"/>
                <w:color w:val="auto"/>
                <w:sz w:val="24"/>
                <w:highlight w:val="none"/>
              </w:rPr>
              <w:t>液态危险废物应装入容器内贮存，或直接采用贮存池、贮存罐区贮存。</w:t>
            </w:r>
          </w:p>
          <w:p w14:paraId="3D5314A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③半固态危险废物应装入容器或包装袋内贮存，或直接采用贮存池贮存。</w:t>
            </w:r>
          </w:p>
          <w:p w14:paraId="28A5DD1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④具有热塑性的危险废物应装入容器或包装袋内进行贮存。</w:t>
            </w:r>
          </w:p>
          <w:p w14:paraId="6E00983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⑤易产生粉尘、</w:t>
            </w:r>
            <w:r>
              <w:rPr>
                <w:color w:val="auto"/>
                <w:sz w:val="24"/>
                <w:highlight w:val="none"/>
              </w:rPr>
              <w:t>VOCs</w:t>
            </w:r>
            <w:r>
              <w:rPr>
                <w:rFonts w:hint="eastAsia" w:ascii="宋体" w:hAnsi="宋体" w:cs="宋体"/>
                <w:color w:val="auto"/>
                <w:sz w:val="24"/>
                <w:highlight w:val="none"/>
              </w:rPr>
              <w:t>、有毒有害大气污染物和刺激性气味气体的危险废物应装入闭口容器或包装物内贮存。</w:t>
            </w:r>
          </w:p>
          <w:p w14:paraId="1E68F63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⑥危险废物贮存过程中易产生粉尘等无组织排放的，应采取抑尘等有效措施。</w:t>
            </w:r>
          </w:p>
          <w:p w14:paraId="695FAD85">
            <w:pPr>
              <w:spacing w:line="360" w:lineRule="auto"/>
              <w:ind w:firstLine="482" w:firstLineChars="200"/>
              <w:rPr>
                <w:rFonts w:ascii="宋体" w:hAnsi="宋体" w:cs="宋体"/>
                <w:color w:val="auto"/>
                <w:sz w:val="24"/>
                <w:highlight w:val="none"/>
              </w:rPr>
            </w:pPr>
            <w:r>
              <w:rPr>
                <w:rFonts w:ascii="宋体" w:hAnsi="宋体" w:cs="宋体"/>
                <w:b/>
                <w:bCs/>
                <w:color w:val="auto"/>
                <w:sz w:val="24"/>
                <w:highlight w:val="none"/>
              </w:rPr>
              <w:t>贮存设施运行环境管理要求</w:t>
            </w:r>
            <w:r>
              <w:rPr>
                <w:rFonts w:hint="eastAsia" w:ascii="宋体" w:hAnsi="宋体" w:cs="宋体"/>
                <w:b/>
                <w:bCs/>
                <w:color w:val="auto"/>
                <w:sz w:val="24"/>
                <w:highlight w:val="none"/>
              </w:rPr>
              <w:t>：</w:t>
            </w:r>
          </w:p>
          <w:p w14:paraId="298BE98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①危险废物存入贮存设施前应对危险废物类别和特性与危险废物标签等危险废物识别标志的一致性进行核验，不一致的或类别、特性不明的不应存入。</w:t>
            </w:r>
          </w:p>
          <w:p w14:paraId="44B38BC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②应定期检查危险废物的贮存状况，及时清理贮存设施地面，更换破损泄漏的危险废物贮存容器和包装物，保证堆存危险废物的防雨、防风、防扬尘等设施功能完好。</w:t>
            </w:r>
          </w:p>
          <w:p w14:paraId="45C84CF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③作业设备及车辆等结束作业离开贮存设施时，应对其残留的危险废物进行清理，清理的废物或清洗废水应收集处理。</w:t>
            </w:r>
          </w:p>
          <w:p w14:paraId="60E75F8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④贮存设施运行期间，应按国家有关标准和规定建立危险废物管理台账并保存。</w:t>
            </w:r>
          </w:p>
          <w:p w14:paraId="6A1FB07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⑤贮存设施所有者或运营者应建立贮存设施环境管理制度、管理人员岗位职责制度、设施运行操作制度、人员岗位培训制度等。</w:t>
            </w:r>
          </w:p>
          <w:p w14:paraId="31C9E83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⑥贮存设施所有者或运营者应依据国家土壤和地下水污染防治的有关规定，结合贮存设施特点建立土壤和地下水污染隐患排查制度，并定期开展隐患排查；发现隐患应及时采取措施消除隐患，并建立档案。</w:t>
            </w:r>
          </w:p>
          <w:p w14:paraId="0DB0745B">
            <w:pPr>
              <w:spacing w:line="360" w:lineRule="auto"/>
              <w:ind w:firstLine="480" w:firstLineChars="200"/>
              <w:rPr>
                <w:color w:val="auto"/>
                <w:sz w:val="24"/>
                <w:highlight w:val="none"/>
              </w:rPr>
            </w:pPr>
            <w:r>
              <w:rPr>
                <w:rFonts w:hint="eastAsia" w:ascii="宋体" w:hAnsi="宋体" w:cs="宋体"/>
                <w:color w:val="auto"/>
                <w:sz w:val="24"/>
                <w:highlight w:val="none"/>
              </w:rPr>
              <w:t>⑦贮存设施所有者或运营者应建立贮存设施全部档案，包括设计、施工、验收、运行、监测和环境应急等，应按国家有关档案管理的法律法规进行整理和归档。</w:t>
            </w:r>
          </w:p>
          <w:p w14:paraId="76AE45CA">
            <w:pPr>
              <w:keepNext w:val="0"/>
              <w:keepLines w:val="0"/>
              <w:pageBreakBefore w:val="0"/>
              <w:kinsoku/>
              <w:wordWrap/>
              <w:overflowPunct/>
              <w:topLinePunct w:val="0"/>
              <w:bidi w:val="0"/>
              <w:adjustRightInd/>
              <w:snapToGrid/>
              <w:spacing w:line="360" w:lineRule="auto"/>
              <w:ind w:right="0"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贮存点环境管理要求</w:t>
            </w:r>
            <w:r>
              <w:rPr>
                <w:rFonts w:hint="eastAsia" w:ascii="Times New Roman" w:hAnsi="Times New Roman" w:eastAsia="宋体" w:cs="Times New Roman"/>
                <w:b/>
                <w:bCs/>
                <w:color w:val="auto"/>
                <w:sz w:val="24"/>
                <w:szCs w:val="24"/>
                <w:highlight w:val="none"/>
                <w:lang w:val="en-US" w:eastAsia="zh-CN"/>
              </w:rPr>
              <w:t>：</w:t>
            </w:r>
          </w:p>
          <w:p w14:paraId="752E022C">
            <w:pPr>
              <w:keepNext w:val="0"/>
              <w:keepLines w:val="0"/>
              <w:pageBreakBefore w:val="0"/>
              <w:kinsoku/>
              <w:wordWrap/>
              <w:overflowPunct/>
              <w:topLinePunct w:val="0"/>
              <w:bidi w:val="0"/>
              <w:adjustRightInd/>
              <w:snapToGrid/>
              <w:spacing w:line="360" w:lineRule="auto"/>
              <w:ind w:right="0" w:firstLine="480" w:firstLineChars="200"/>
              <w:rPr>
                <w:rFonts w:hint="default" w:ascii="Times New Roman" w:hAnsi="Times New Roman" w:eastAsia="宋体" w:cs="Times New Roman"/>
                <w:color w:val="auto"/>
                <w:sz w:val="24"/>
                <w:szCs w:val="24"/>
                <w:highlight w:val="none"/>
                <w:lang w:val="en-US" w:eastAsia="zh-CN"/>
              </w:rPr>
            </w:pPr>
            <w:r>
              <w:rPr>
                <w:rFonts w:hint="eastAsia" w:ascii="宋体" w:hAnsi="宋体" w:cs="宋体"/>
                <w:color w:val="auto"/>
                <w:sz w:val="24"/>
                <w:highlight w:val="none"/>
              </w:rPr>
              <w:t>①</w:t>
            </w:r>
            <w:r>
              <w:rPr>
                <w:rFonts w:hint="default" w:ascii="Times New Roman" w:hAnsi="Times New Roman" w:eastAsia="宋体" w:cs="Times New Roman"/>
                <w:color w:val="auto"/>
                <w:sz w:val="24"/>
                <w:szCs w:val="24"/>
                <w:highlight w:val="none"/>
                <w:lang w:val="en-US" w:eastAsia="zh-CN"/>
              </w:rPr>
              <w:t>贮存点应具有固定的区域边界，并应采取与其他区域进行隔离的措施</w:t>
            </w:r>
            <w:r>
              <w:rPr>
                <w:rFonts w:hint="eastAsia" w:ascii="Times New Roman" w:hAnsi="Times New Roman" w:eastAsia="宋体" w:cs="Times New Roman"/>
                <w:color w:val="auto"/>
                <w:sz w:val="24"/>
                <w:szCs w:val="24"/>
                <w:highlight w:val="none"/>
                <w:lang w:val="en-US" w:eastAsia="zh-CN"/>
              </w:rPr>
              <w:t>。</w:t>
            </w:r>
          </w:p>
          <w:p w14:paraId="20F0270C">
            <w:pPr>
              <w:keepNext w:val="0"/>
              <w:keepLines w:val="0"/>
              <w:pageBreakBefore w:val="0"/>
              <w:kinsoku/>
              <w:wordWrap/>
              <w:overflowPunct/>
              <w:topLinePunct w:val="0"/>
              <w:bidi w:val="0"/>
              <w:adjustRightInd/>
              <w:snapToGrid/>
              <w:spacing w:line="360" w:lineRule="auto"/>
              <w:ind w:right="0" w:firstLine="480" w:firstLineChars="200"/>
              <w:rPr>
                <w:rFonts w:hint="default" w:ascii="Times New Roman" w:hAnsi="Times New Roman" w:eastAsia="宋体" w:cs="Times New Roman"/>
                <w:color w:val="auto"/>
                <w:sz w:val="24"/>
                <w:szCs w:val="24"/>
                <w:highlight w:val="none"/>
                <w:lang w:val="en-US" w:eastAsia="zh-CN"/>
              </w:rPr>
            </w:pPr>
            <w:r>
              <w:rPr>
                <w:rFonts w:hint="eastAsia" w:ascii="宋体" w:hAnsi="宋体" w:cs="宋体"/>
                <w:color w:val="auto"/>
                <w:sz w:val="24"/>
                <w:highlight w:val="none"/>
              </w:rPr>
              <w:t>②</w:t>
            </w:r>
            <w:r>
              <w:rPr>
                <w:rFonts w:hint="default" w:ascii="Times New Roman" w:hAnsi="Times New Roman" w:eastAsia="宋体" w:cs="Times New Roman"/>
                <w:color w:val="auto"/>
                <w:sz w:val="24"/>
                <w:szCs w:val="24"/>
                <w:highlight w:val="none"/>
                <w:lang w:val="en-US" w:eastAsia="zh-CN"/>
              </w:rPr>
              <w:t>贮存点应采取防风、防雨、防晒和防止危险废物流失、扬散等措施。</w:t>
            </w:r>
          </w:p>
          <w:p w14:paraId="36496D9A">
            <w:pPr>
              <w:keepNext w:val="0"/>
              <w:keepLines w:val="0"/>
              <w:pageBreakBefore w:val="0"/>
              <w:kinsoku/>
              <w:wordWrap/>
              <w:overflowPunct/>
              <w:topLinePunct w:val="0"/>
              <w:bidi w:val="0"/>
              <w:adjustRightInd/>
              <w:snapToGrid/>
              <w:spacing w:line="360" w:lineRule="auto"/>
              <w:ind w:right="0" w:firstLine="480" w:firstLineChars="200"/>
              <w:rPr>
                <w:rFonts w:ascii="宋体" w:hAnsi="宋体" w:eastAsia="宋体" w:cs="宋体"/>
                <w:color w:val="auto"/>
                <w:sz w:val="24"/>
                <w:szCs w:val="24"/>
                <w:highlight w:val="none"/>
              </w:rPr>
            </w:pPr>
            <w:r>
              <w:rPr>
                <w:rFonts w:hint="eastAsia" w:ascii="宋体" w:hAnsi="宋体" w:cs="宋体"/>
                <w:color w:val="auto"/>
                <w:sz w:val="24"/>
                <w:highlight w:val="none"/>
              </w:rPr>
              <w:t>③</w:t>
            </w:r>
            <w:r>
              <w:rPr>
                <w:rFonts w:hint="default" w:ascii="Times New Roman" w:hAnsi="Times New Roman" w:eastAsia="宋体" w:cs="Times New Roman"/>
                <w:color w:val="auto"/>
                <w:sz w:val="24"/>
                <w:szCs w:val="24"/>
                <w:highlight w:val="none"/>
                <w:lang w:val="en-US" w:eastAsia="zh-CN"/>
              </w:rPr>
              <w:t>贮存点贮存的危险废物应置于容器或包装</w:t>
            </w:r>
            <w:r>
              <w:rPr>
                <w:rFonts w:ascii="宋体" w:hAnsi="宋体" w:eastAsia="宋体" w:cs="宋体"/>
                <w:color w:val="auto"/>
                <w:sz w:val="24"/>
                <w:szCs w:val="24"/>
                <w:highlight w:val="none"/>
              </w:rPr>
              <w:t>物中，不应直接散堆。</w:t>
            </w:r>
          </w:p>
          <w:p w14:paraId="69ABAE53">
            <w:pPr>
              <w:keepNext w:val="0"/>
              <w:keepLines w:val="0"/>
              <w:pageBreakBefore w:val="0"/>
              <w:kinsoku/>
              <w:wordWrap/>
              <w:overflowPunct/>
              <w:topLinePunct w:val="0"/>
              <w:bidi w:val="0"/>
              <w:adjustRightInd/>
              <w:snapToGrid/>
              <w:spacing w:line="360" w:lineRule="auto"/>
              <w:ind w:right="0"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highlight w:val="none"/>
              </w:rPr>
              <w:t>④</w:t>
            </w:r>
            <w:r>
              <w:rPr>
                <w:rFonts w:ascii="宋体" w:hAnsi="宋体" w:eastAsia="宋体" w:cs="宋体"/>
                <w:color w:val="auto"/>
                <w:sz w:val="24"/>
                <w:szCs w:val="24"/>
                <w:highlight w:val="none"/>
              </w:rPr>
              <w:t>贮存点应根据危险废物的形态、物理化学性质、包装形式等，采取防渗、防漏等污染防治措施或采用具有相应功能的装置</w:t>
            </w:r>
            <w:r>
              <w:rPr>
                <w:rFonts w:hint="eastAsia" w:ascii="宋体" w:hAnsi="宋体" w:eastAsia="宋体" w:cs="宋体"/>
                <w:color w:val="auto"/>
                <w:sz w:val="24"/>
                <w:szCs w:val="24"/>
                <w:highlight w:val="none"/>
                <w:lang w:eastAsia="zh-CN"/>
              </w:rPr>
              <w:t>。</w:t>
            </w:r>
          </w:p>
          <w:p w14:paraId="492E62E6">
            <w:pPr>
              <w:keepNext w:val="0"/>
              <w:keepLines w:val="0"/>
              <w:pageBreakBefore w:val="0"/>
              <w:kinsoku/>
              <w:wordWrap/>
              <w:overflowPunct/>
              <w:topLinePunct w:val="0"/>
              <w:bidi w:val="0"/>
              <w:adjustRightInd/>
              <w:snapToGrid/>
              <w:spacing w:line="360" w:lineRule="auto"/>
              <w:ind w:right="0" w:firstLine="480" w:firstLineChars="200"/>
              <w:rPr>
                <w:rFonts w:hint="default" w:ascii="Times New Roman" w:hAnsi="Times New Roman" w:cs="Times New Roman"/>
                <w:b w:val="0"/>
                <w:bCs w:val="0"/>
                <w:color w:val="auto"/>
                <w:sz w:val="24"/>
                <w:szCs w:val="24"/>
                <w:highlight w:val="none"/>
              </w:rPr>
            </w:pPr>
            <w:r>
              <w:rPr>
                <w:rFonts w:hint="eastAsia" w:ascii="宋体" w:hAnsi="宋体" w:cs="宋体"/>
                <w:color w:val="auto"/>
                <w:sz w:val="24"/>
                <w:highlight w:val="none"/>
              </w:rPr>
              <w:t>⑤</w:t>
            </w:r>
            <w:r>
              <w:rPr>
                <w:rFonts w:hint="default" w:ascii="Times New Roman" w:hAnsi="Times New Roman" w:eastAsia="宋体" w:cs="Times New Roman"/>
                <w:color w:val="auto"/>
                <w:sz w:val="24"/>
                <w:szCs w:val="24"/>
                <w:highlight w:val="none"/>
              </w:rPr>
              <w:t>贮存点应及时清运贮存的危险废物，实时贮存量不应超过3吨。</w:t>
            </w:r>
          </w:p>
          <w:p w14:paraId="171AFC68">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hAnsi="宋体"/>
                <w:b w:val="0"/>
                <w:bCs w:val="0"/>
                <w:color w:val="auto"/>
                <w:sz w:val="24"/>
                <w:szCs w:val="24"/>
                <w:highlight w:val="none"/>
              </w:rPr>
              <w:t>同时危险废物贮存容器应当符合以下标准：</w:t>
            </w:r>
          </w:p>
          <w:p w14:paraId="192B8699">
            <w:pPr>
              <w:keepNext w:val="0"/>
              <w:keepLines w:val="0"/>
              <w:pageBreakBefore w:val="0"/>
              <w:kinsoku/>
              <w:wordWrap/>
              <w:overflowPunct/>
              <w:topLinePunct w:val="0"/>
              <w:bidi w:val="0"/>
              <w:adjustRightInd/>
              <w:snapToGrid/>
              <w:spacing w:line="360" w:lineRule="auto"/>
              <w:ind w:right="0" w:firstLine="480" w:firstLineChars="200"/>
              <w:rPr>
                <w:rFonts w:ascii="宋体" w:hAnsi="宋体" w:eastAsia="宋体" w:cs="宋体"/>
                <w:color w:val="auto"/>
                <w:sz w:val="24"/>
                <w:szCs w:val="24"/>
                <w:highlight w:val="none"/>
              </w:rPr>
            </w:pPr>
            <w:r>
              <w:rPr>
                <w:rFonts w:hint="eastAsia" w:ascii="Times New Roman" w:hAnsi="Times New Roman" w:eastAsia="宋体" w:cs="Times New Roman"/>
                <w:color w:val="auto"/>
                <w:sz w:val="24"/>
                <w:szCs w:val="24"/>
                <w:highlight w:val="none"/>
                <w:lang w:val="en-US" w:eastAsia="zh-CN"/>
              </w:rPr>
              <w:t>①</w:t>
            </w:r>
            <w:r>
              <w:rPr>
                <w:rFonts w:ascii="宋体" w:hAnsi="宋体" w:eastAsia="宋体" w:cs="宋体"/>
                <w:color w:val="auto"/>
                <w:sz w:val="24"/>
                <w:szCs w:val="24"/>
                <w:highlight w:val="none"/>
              </w:rPr>
              <w:t>容器和包装物材质、内衬应与盛装的危险废物相容。</w:t>
            </w:r>
          </w:p>
          <w:p w14:paraId="046102F8">
            <w:pPr>
              <w:keepNext w:val="0"/>
              <w:keepLines w:val="0"/>
              <w:pageBreakBefore w:val="0"/>
              <w:kinsoku/>
              <w:wordWrap/>
              <w:overflowPunct/>
              <w:topLinePunct w:val="0"/>
              <w:bidi w:val="0"/>
              <w:adjustRightInd/>
              <w:snapToGrid/>
              <w:spacing w:line="360" w:lineRule="auto"/>
              <w:ind w:right="0"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②</w:t>
            </w:r>
            <w:r>
              <w:rPr>
                <w:rFonts w:ascii="宋体" w:hAnsi="宋体" w:eastAsia="宋体" w:cs="宋体"/>
                <w:color w:val="auto"/>
                <w:sz w:val="24"/>
                <w:szCs w:val="24"/>
                <w:highlight w:val="none"/>
              </w:rPr>
              <w:t>针对不同类别、形态、物理化学性质的危险废物，其容器和包装物应满足相应的防渗、防漏、</w:t>
            </w:r>
            <w:r>
              <w:rPr>
                <w:rFonts w:hint="eastAsia" w:ascii="Times New Roman" w:hAnsi="Times New Roman" w:eastAsia="宋体" w:cs="Times New Roman"/>
                <w:color w:val="auto"/>
                <w:sz w:val="24"/>
                <w:szCs w:val="24"/>
                <w:highlight w:val="none"/>
                <w:lang w:val="en-US" w:eastAsia="zh-CN"/>
              </w:rPr>
              <w:t>防腐和强度等要求。</w:t>
            </w:r>
          </w:p>
          <w:p w14:paraId="0FCB6BB4">
            <w:pPr>
              <w:keepNext w:val="0"/>
              <w:keepLines w:val="0"/>
              <w:pageBreakBefore w:val="0"/>
              <w:kinsoku/>
              <w:wordWrap/>
              <w:overflowPunct/>
              <w:topLinePunct w:val="0"/>
              <w:bidi w:val="0"/>
              <w:adjustRightInd/>
              <w:snapToGrid/>
              <w:spacing w:line="360" w:lineRule="auto"/>
              <w:ind w:right="0"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③硬质容器和包装物及其支护结构堆叠码放时不应有明显变形，无破损泄漏。</w:t>
            </w:r>
          </w:p>
          <w:p w14:paraId="385D6532">
            <w:pPr>
              <w:keepNext w:val="0"/>
              <w:keepLines w:val="0"/>
              <w:pageBreakBefore w:val="0"/>
              <w:kinsoku/>
              <w:wordWrap/>
              <w:overflowPunct/>
              <w:topLinePunct w:val="0"/>
              <w:bidi w:val="0"/>
              <w:adjustRightInd/>
              <w:snapToGrid/>
              <w:spacing w:line="360" w:lineRule="auto"/>
              <w:ind w:right="0"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④柔性容器和包装物堆叠码放时应封口严密，无破损泄漏。</w:t>
            </w:r>
          </w:p>
          <w:p w14:paraId="7216F8CB">
            <w:pPr>
              <w:keepNext w:val="0"/>
              <w:keepLines w:val="0"/>
              <w:pageBreakBefore w:val="0"/>
              <w:kinsoku/>
              <w:wordWrap/>
              <w:overflowPunct/>
              <w:topLinePunct w:val="0"/>
              <w:bidi w:val="0"/>
              <w:adjustRightInd/>
              <w:snapToGrid/>
              <w:spacing w:line="360" w:lineRule="auto"/>
              <w:ind w:right="0"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⑤使用容器盛装液态、半固态危险废物时，容器内部应留有适当的空间，以适应因温度变化等可能引发的收缩和膨胀，防止其导致容器渗漏或永久变形。</w:t>
            </w:r>
          </w:p>
          <w:p w14:paraId="1861BB7A">
            <w:pPr>
              <w:keepNext w:val="0"/>
              <w:keepLines w:val="0"/>
              <w:pageBreakBefore w:val="0"/>
              <w:kinsoku/>
              <w:wordWrap/>
              <w:overflowPunct/>
              <w:topLinePunct w:val="0"/>
              <w:bidi w:val="0"/>
              <w:adjustRightInd/>
              <w:snapToGrid/>
              <w:spacing w:line="360" w:lineRule="auto"/>
              <w:ind w:right="0" w:firstLine="480" w:firstLineChars="200"/>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⑥容器和包装物外表面应保持清</w:t>
            </w:r>
            <w:r>
              <w:rPr>
                <w:rFonts w:ascii="宋体" w:hAnsi="宋体" w:eastAsia="宋体" w:cs="宋体"/>
                <w:color w:val="auto"/>
                <w:sz w:val="24"/>
                <w:szCs w:val="24"/>
                <w:highlight w:val="none"/>
              </w:rPr>
              <w:t>洁</w:t>
            </w:r>
            <w:r>
              <w:rPr>
                <w:rFonts w:hint="eastAsia" w:ascii="宋体" w:hAnsi="宋体" w:eastAsia="宋体" w:cs="宋体"/>
                <w:color w:val="auto"/>
                <w:sz w:val="24"/>
                <w:szCs w:val="24"/>
                <w:highlight w:val="none"/>
                <w:lang w:eastAsia="zh-CN"/>
              </w:rPr>
              <w:t>。</w:t>
            </w:r>
          </w:p>
          <w:p w14:paraId="0B5B6647">
            <w:pPr>
              <w:keepNext w:val="0"/>
              <w:keepLines w:val="0"/>
              <w:pageBreakBefore w:val="0"/>
              <w:kinsoku/>
              <w:wordWrap/>
              <w:overflowPunct/>
              <w:topLinePunct w:val="0"/>
              <w:bidi w:val="0"/>
              <w:adjustRightInd/>
              <w:snapToGrid/>
              <w:spacing w:line="360" w:lineRule="auto"/>
              <w:ind w:right="0" w:firstLine="482" w:firstLineChars="200"/>
              <w:rPr>
                <w:rFonts w:hint="eastAsia" w:hAnsi="宋体"/>
                <w:b/>
                <w:bCs/>
                <w:color w:val="auto"/>
                <w:sz w:val="24"/>
                <w:szCs w:val="24"/>
                <w:highlight w:val="none"/>
              </w:rPr>
            </w:pPr>
            <w:r>
              <w:rPr>
                <w:rFonts w:hint="eastAsia" w:hAnsi="宋体"/>
                <w:b/>
                <w:bCs/>
                <w:color w:val="auto"/>
                <w:sz w:val="24"/>
                <w:szCs w:val="24"/>
                <w:highlight w:val="none"/>
              </w:rPr>
              <w:t>交接要求：</w:t>
            </w:r>
          </w:p>
          <w:p w14:paraId="328A6376">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①</w:t>
            </w:r>
            <w:r>
              <w:rPr>
                <w:rFonts w:hint="eastAsia" w:hAnsi="宋体"/>
                <w:b w:val="0"/>
                <w:bCs w:val="0"/>
                <w:color w:val="auto"/>
                <w:sz w:val="24"/>
                <w:szCs w:val="24"/>
                <w:highlight w:val="none"/>
              </w:rPr>
              <w:t>废物转运应当依照《中华人民共和国固体废物污染环境防治法</w:t>
            </w:r>
            <w:r>
              <w:rPr>
                <w:rFonts w:hint="eastAsia" w:hAnsi="宋体"/>
                <w:b w:val="0"/>
                <w:bCs w:val="0"/>
                <w:color w:val="auto"/>
                <w:sz w:val="24"/>
                <w:szCs w:val="24"/>
                <w:highlight w:val="none"/>
                <w:lang w:eastAsia="zh-CN"/>
              </w:rPr>
              <w:t>》《危险废物转移管理办法》（生态环境部公安部交通运输部部令第23号）</w:t>
            </w:r>
            <w:r>
              <w:rPr>
                <w:rFonts w:hint="eastAsia" w:hAnsi="宋体"/>
                <w:b w:val="0"/>
                <w:bCs w:val="0"/>
                <w:color w:val="auto"/>
                <w:sz w:val="24"/>
                <w:szCs w:val="24"/>
                <w:highlight w:val="none"/>
              </w:rPr>
              <w:t>的规定，执行危险废物转移联单管理制度。应当对危险废物进行登记，登记内容应当包括危险废物的来源、种类、重量或者数量、交接时间、处置方法、最终去向以及经办人签名等项目。对承运人或者接受人的主体资格和技术能力进行核实，依法签订书面合同，并在合同中约定运输、贮存、利用、处置危险废物的污染防治要求及相关责任</w:t>
            </w:r>
            <w:r>
              <w:rPr>
                <w:rFonts w:hint="eastAsia" w:hAnsi="宋体"/>
                <w:b w:val="0"/>
                <w:bCs w:val="0"/>
                <w:color w:val="auto"/>
                <w:sz w:val="24"/>
                <w:szCs w:val="24"/>
                <w:highlight w:val="none"/>
                <w:lang w:eastAsia="zh-CN"/>
              </w:rPr>
              <w:t>。</w:t>
            </w:r>
            <w:r>
              <w:rPr>
                <w:rFonts w:hint="eastAsia" w:hAnsi="宋体"/>
                <w:b w:val="0"/>
                <w:bCs w:val="0"/>
                <w:color w:val="auto"/>
                <w:sz w:val="24"/>
                <w:szCs w:val="24"/>
                <w:highlight w:val="none"/>
              </w:rPr>
              <w:t>危险废物电子转移联单数据应当在信息系统中至少保存十年。在危险废物转移过程中应当采取防扬散、防流失、防渗漏或者其他防止污染环境的措施，不得擅自倾倒、堆放、丢弃、遗撒危险废物，并对所造成的环境污染及生态破坏依法承担责任。</w:t>
            </w:r>
          </w:p>
          <w:p w14:paraId="03F02968">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宋体" w:hAnsi="宋体" w:cs="宋体"/>
                <w:color w:val="auto"/>
                <w:sz w:val="24"/>
                <w:highlight w:val="none"/>
              </w:rPr>
              <w:t>②</w:t>
            </w:r>
            <w:r>
              <w:rPr>
                <w:rFonts w:hint="eastAsia" w:hAnsi="宋体"/>
                <w:b w:val="0"/>
                <w:bCs w:val="0"/>
                <w:color w:val="auto"/>
                <w:sz w:val="24"/>
                <w:szCs w:val="24"/>
                <w:highlight w:val="none"/>
              </w:rPr>
              <w:t>每车每次运送的危险废物采用《危险废物运送登记卡》管理，一车一卡，由危险废物管理人员交接时填写并签字。当危险废物运至处置单位时，处置厂接收人员确认该登记卡上填写的危险废物数量真实、准确后签收。</w:t>
            </w:r>
          </w:p>
          <w:p w14:paraId="7D5C8D00">
            <w:pPr>
              <w:keepNext w:val="0"/>
              <w:keepLines w:val="0"/>
              <w:pageBreakBefore w:val="0"/>
              <w:kinsoku/>
              <w:wordWrap/>
              <w:overflowPunct/>
              <w:topLinePunct w:val="0"/>
              <w:bidi w:val="0"/>
              <w:adjustRightInd/>
              <w:snapToGrid/>
              <w:spacing w:line="360" w:lineRule="auto"/>
              <w:ind w:right="0" w:firstLine="482" w:firstLineChars="200"/>
              <w:rPr>
                <w:rFonts w:hint="eastAsia" w:hAnsi="宋体"/>
                <w:b/>
                <w:bCs/>
                <w:color w:val="auto"/>
                <w:sz w:val="24"/>
                <w:szCs w:val="24"/>
                <w:highlight w:val="none"/>
              </w:rPr>
            </w:pPr>
            <w:r>
              <w:rPr>
                <w:rFonts w:hint="eastAsia" w:hAnsi="宋体"/>
                <w:b/>
                <w:bCs/>
                <w:color w:val="auto"/>
                <w:sz w:val="24"/>
                <w:szCs w:val="24"/>
                <w:highlight w:val="none"/>
              </w:rPr>
              <w:t>转运要求：</w:t>
            </w:r>
          </w:p>
          <w:p w14:paraId="6A54231E">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①</w:t>
            </w:r>
            <w:r>
              <w:rPr>
                <w:rFonts w:hint="eastAsia" w:hAnsi="宋体"/>
                <w:b w:val="0"/>
                <w:bCs w:val="0"/>
                <w:color w:val="auto"/>
                <w:sz w:val="24"/>
                <w:szCs w:val="24"/>
                <w:highlight w:val="none"/>
              </w:rPr>
              <w:t>本项目危险废物由处置单专用车辆定期运送到相应处置单位。危险废物转运车应符合相关要求。</w:t>
            </w:r>
          </w:p>
          <w:p w14:paraId="750C2B16">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宋体" w:hAnsi="宋体" w:cs="宋体"/>
                <w:color w:val="auto"/>
                <w:sz w:val="24"/>
                <w:highlight w:val="none"/>
              </w:rPr>
              <w:t>②</w:t>
            </w:r>
            <w:r>
              <w:rPr>
                <w:rFonts w:hint="eastAsia" w:hAnsi="宋体"/>
                <w:b w:val="0"/>
                <w:bCs w:val="0"/>
                <w:color w:val="auto"/>
                <w:sz w:val="24"/>
                <w:szCs w:val="24"/>
                <w:highlight w:val="none"/>
              </w:rPr>
              <w:t>运送路线应尽量避开人口密集区域和交通拥堵道路。驾驶室与货箱完全隔开，以保证驾驶人员的安全。</w:t>
            </w:r>
          </w:p>
          <w:p w14:paraId="4A38E00E">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③</w:t>
            </w:r>
            <w:r>
              <w:rPr>
                <w:rFonts w:hint="eastAsia" w:hAnsi="宋体"/>
                <w:b w:val="0"/>
                <w:bCs w:val="0"/>
                <w:color w:val="auto"/>
                <w:sz w:val="24"/>
                <w:szCs w:val="24"/>
                <w:highlight w:val="none"/>
              </w:rPr>
              <w:t>车厢应经防渗处理，在装载货物时，即使车厢内部有液体，也不会渗漏到厢体和外部环境中；车厢底部应设置具有良好气密性的排水孔，在清洗车厢内部时，能够有效收集和排出污水，不可使清洗污水直接漫流到外部环境中；正常运输使用时应具有良好气密性。</w:t>
            </w:r>
          </w:p>
          <w:p w14:paraId="1D4C48B4">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④</w:t>
            </w:r>
            <w:r>
              <w:rPr>
                <w:rFonts w:hint="eastAsia" w:hAnsi="宋体"/>
                <w:b w:val="0"/>
                <w:bCs w:val="0"/>
                <w:color w:val="auto"/>
                <w:sz w:val="24"/>
                <w:szCs w:val="24"/>
                <w:highlight w:val="none"/>
              </w:rPr>
              <w:t>危险废物运送前，处置单位必须对每辆运送车的车况进行检查，确保车况良好后方可出车。危险废物运送车辆不得搭乘其他无关人员，不得装载或混装其他货物和动植物。车辆行驶时应锁闭车厢门，确保安全，不得丢失、遗撒和打开包装取出危险废物。</w:t>
            </w:r>
          </w:p>
          <w:p w14:paraId="65D94346">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⑤</w:t>
            </w:r>
            <w:r>
              <w:rPr>
                <w:rFonts w:hint="eastAsia" w:hAnsi="宋体"/>
                <w:b w:val="0"/>
                <w:bCs w:val="0"/>
                <w:color w:val="auto"/>
                <w:sz w:val="24"/>
                <w:szCs w:val="24"/>
                <w:highlight w:val="none"/>
              </w:rPr>
              <w:t>危险废物转运车应在明显部位固定产品标牌。危险废物转运车应在车辆的前部、后部及车厢两侧喷涂警示性标志；驾驶室两侧应标明危险废物处置转运单位名称。</w:t>
            </w:r>
          </w:p>
          <w:p w14:paraId="5FBC2BAC">
            <w:pPr>
              <w:pStyle w:val="41"/>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textAlignment w:val="auto"/>
              <w:rPr>
                <w:rFonts w:hint="eastAsia" w:eastAsia="宋体"/>
                <w:color w:val="auto"/>
                <w:sz w:val="24"/>
                <w:szCs w:val="24"/>
                <w:highlight w:val="none"/>
                <w:lang w:val="en-US" w:eastAsia="zh-CN"/>
              </w:rPr>
            </w:pPr>
            <w:r>
              <w:rPr>
                <w:rFonts w:hint="eastAsia"/>
                <w:color w:val="auto"/>
                <w:sz w:val="24"/>
                <w:szCs w:val="24"/>
                <w:highlight w:val="none"/>
                <w:lang w:val="en-US" w:eastAsia="zh-CN"/>
              </w:rPr>
              <w:t>f.移出人应当按照国家有关要求开展危险废物鉴别。禁止将危险废物以副产品等名义提供或者委托给无危险废物经营许可证的单位或者其他生产经营者从事收集、贮存、利用、处置活动。</w:t>
            </w:r>
          </w:p>
          <w:p w14:paraId="18222041">
            <w:pPr>
              <w:keepNext w:val="0"/>
              <w:keepLines w:val="0"/>
              <w:pageBreakBefore w:val="0"/>
              <w:kinsoku/>
              <w:wordWrap/>
              <w:overflowPunct/>
              <w:topLinePunct w:val="0"/>
              <w:bidi w:val="0"/>
              <w:adjustRightInd/>
              <w:snapToGrid/>
              <w:spacing w:line="360" w:lineRule="auto"/>
              <w:ind w:right="0" w:firstLine="482" w:firstLineChars="200"/>
              <w:rPr>
                <w:rFonts w:hint="eastAsia" w:hAnsi="宋体"/>
                <w:b/>
                <w:bCs/>
                <w:color w:val="auto"/>
                <w:sz w:val="24"/>
                <w:szCs w:val="24"/>
                <w:highlight w:val="none"/>
              </w:rPr>
            </w:pPr>
            <w:r>
              <w:rPr>
                <w:rFonts w:hint="eastAsia" w:hAnsi="宋体"/>
                <w:b/>
                <w:bCs/>
                <w:color w:val="auto"/>
                <w:sz w:val="24"/>
                <w:szCs w:val="24"/>
                <w:highlight w:val="none"/>
              </w:rPr>
              <w:t>其他应注意的事项：</w:t>
            </w:r>
          </w:p>
          <w:p w14:paraId="20B7BDF9">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①</w:t>
            </w:r>
            <w:r>
              <w:rPr>
                <w:rFonts w:hint="eastAsia" w:hAnsi="宋体"/>
                <w:b w:val="0"/>
                <w:bCs w:val="0"/>
                <w:color w:val="auto"/>
                <w:sz w:val="24"/>
                <w:szCs w:val="24"/>
                <w:highlight w:val="none"/>
              </w:rPr>
              <w:t>应当制定与危险废物安全处置有关的规章制度和在发生意外事故时的应急方案；设置监控部门或者专（兼）职人员，负责检查、督促、落实本项目危险废物的管理工作。</w:t>
            </w:r>
          </w:p>
          <w:p w14:paraId="03856F60">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宋体" w:hAnsi="宋体" w:cs="宋体"/>
                <w:color w:val="auto"/>
                <w:sz w:val="24"/>
                <w:highlight w:val="none"/>
              </w:rPr>
              <w:t>②</w:t>
            </w:r>
            <w:r>
              <w:rPr>
                <w:rFonts w:hint="eastAsia" w:hAnsi="宋体"/>
                <w:b w:val="0"/>
                <w:bCs w:val="0"/>
                <w:color w:val="auto"/>
                <w:sz w:val="24"/>
                <w:szCs w:val="24"/>
                <w:highlight w:val="none"/>
              </w:rPr>
              <w:t>应当对本项目从事危险废物收集、运送、贮存、处置等工作的人员和管理人员，进行相关法律和专业技术、安全防护以及紧急处理等知识的培训。</w:t>
            </w:r>
          </w:p>
          <w:p w14:paraId="74BFD44A">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③</w:t>
            </w:r>
            <w:r>
              <w:rPr>
                <w:rFonts w:hint="eastAsia" w:hAnsi="宋体"/>
                <w:b w:val="0"/>
                <w:bCs w:val="0"/>
                <w:color w:val="auto"/>
                <w:sz w:val="24"/>
                <w:szCs w:val="24"/>
                <w:highlight w:val="none"/>
              </w:rPr>
              <w:t>禁止任何单位和个人转让、买卖危险废物。禁止在运送过程中丢弃危险废物；禁止在非贮存地点倾倒、堆放危险废物或者将危险废物混入其他废物和生活垃圾。</w:t>
            </w:r>
          </w:p>
          <w:p w14:paraId="657FA572">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④</w:t>
            </w:r>
            <w:r>
              <w:rPr>
                <w:rFonts w:hint="eastAsia" w:hAnsi="宋体"/>
                <w:b w:val="0"/>
                <w:bCs w:val="0"/>
                <w:color w:val="auto"/>
                <w:sz w:val="24"/>
                <w:szCs w:val="24"/>
                <w:highlight w:val="none"/>
              </w:rPr>
              <w:t>禁止邮寄危险废物。禁止通过铁路、航空运输危险废物。有陆路通道的，禁止通过水路运输危险废物；没有陆路通道必须经水路运输危险废物的，应当经设区的市级以上人民政府环境保护行政主管部门批准，并采取严格的环境保护措施后，方可通过水路运输。禁止将危险废物与旅客在同一运输工具上载运。</w:t>
            </w:r>
          </w:p>
          <w:p w14:paraId="28DBBC6D">
            <w:pPr>
              <w:keepNext w:val="0"/>
              <w:keepLines w:val="0"/>
              <w:pageBreakBefore w:val="0"/>
              <w:kinsoku/>
              <w:wordWrap/>
              <w:overflowPunct/>
              <w:topLinePunct w:val="0"/>
              <w:bidi w:val="0"/>
              <w:adjustRightInd/>
              <w:snapToGrid/>
              <w:spacing w:line="360" w:lineRule="auto"/>
              <w:ind w:right="0" w:firstLine="480" w:firstLineChars="200"/>
              <w:rPr>
                <w:rFonts w:hint="eastAsia" w:hAnsi="宋体"/>
                <w:b w:val="0"/>
                <w:bCs w:val="0"/>
                <w:color w:val="auto"/>
                <w:sz w:val="24"/>
                <w:szCs w:val="24"/>
                <w:highlight w:val="none"/>
              </w:rPr>
            </w:pPr>
            <w:r>
              <w:rPr>
                <w:rFonts w:hint="eastAsia" w:ascii="Times New Roman" w:hAnsi="Times New Roman" w:eastAsia="宋体" w:cs="Times New Roman"/>
                <w:color w:val="auto"/>
                <w:sz w:val="24"/>
                <w:szCs w:val="24"/>
                <w:highlight w:val="none"/>
                <w:lang w:val="en-US" w:eastAsia="zh-CN"/>
              </w:rPr>
              <w:t>⑤</w:t>
            </w:r>
            <w:r>
              <w:rPr>
                <w:rFonts w:hint="eastAsia" w:hAnsi="宋体"/>
                <w:b w:val="0"/>
                <w:bCs w:val="0"/>
                <w:color w:val="auto"/>
                <w:sz w:val="24"/>
                <w:szCs w:val="24"/>
                <w:highlight w:val="none"/>
              </w:rPr>
              <w:t>加强技术人员的技能培训，增强厂区管理，严禁将废液直接倒入下水道。危险废物应建立危险废物贮存的台账制度，危险废物出入实行联单制度，确保危险废物的不遗失。危险废物与一般固废应分别收集、暂存。</w:t>
            </w:r>
          </w:p>
          <w:p w14:paraId="521A535B">
            <w:pPr>
              <w:keepNext w:val="0"/>
              <w:keepLines w:val="0"/>
              <w:pageBreakBefore w:val="0"/>
              <w:kinsoku/>
              <w:wordWrap/>
              <w:overflowPunct/>
              <w:topLinePunct w:val="0"/>
              <w:bidi w:val="0"/>
              <w:adjustRightInd/>
              <w:snapToGrid/>
              <w:spacing w:line="360" w:lineRule="auto"/>
              <w:ind w:right="0" w:firstLine="480" w:firstLineChars="200"/>
              <w:rPr>
                <w:rFonts w:hAnsi="宋体"/>
                <w:b w:val="0"/>
                <w:bCs w:val="0"/>
                <w:color w:val="auto"/>
                <w:sz w:val="24"/>
                <w:szCs w:val="24"/>
                <w:highlight w:val="none"/>
              </w:rPr>
            </w:pPr>
            <w:r>
              <w:rPr>
                <w:rFonts w:hint="eastAsia" w:hAnsi="宋体"/>
                <w:b w:val="0"/>
                <w:bCs w:val="0"/>
                <w:color w:val="auto"/>
                <w:sz w:val="24"/>
                <w:szCs w:val="24"/>
                <w:highlight w:val="none"/>
              </w:rPr>
              <w:t>综上，本项目一般固废处置满足</w:t>
            </w:r>
            <w:r>
              <w:rPr>
                <w:rFonts w:hint="eastAsia" w:hAnsi="宋体"/>
                <w:b w:val="0"/>
                <w:bCs w:val="0"/>
                <w:color w:val="auto"/>
                <w:sz w:val="24"/>
                <w:szCs w:val="24"/>
                <w:highlight w:val="none"/>
                <w:lang w:val="en-US" w:eastAsia="zh-CN"/>
              </w:rPr>
              <w:t>设置</w:t>
            </w:r>
            <w:r>
              <w:rPr>
                <w:rFonts w:hint="eastAsia" w:hAnsi="宋体"/>
                <w:b w:val="0"/>
                <w:bCs w:val="0"/>
                <w:color w:val="auto"/>
                <w:sz w:val="24"/>
                <w:szCs w:val="24"/>
                <w:highlight w:val="none"/>
              </w:rPr>
              <w:t>要求，危险废物处置满足</w:t>
            </w:r>
            <w:r>
              <w:rPr>
                <w:color w:val="auto"/>
                <w:sz w:val="24"/>
                <w:szCs w:val="24"/>
                <w:highlight w:val="none"/>
              </w:rPr>
              <w:t>《</w:t>
            </w:r>
            <w:r>
              <w:rPr>
                <w:rFonts w:hint="eastAsia"/>
                <w:color w:val="auto"/>
                <w:sz w:val="24"/>
                <w:szCs w:val="24"/>
                <w:highlight w:val="none"/>
              </w:rPr>
              <w:t>危险废物贮存污染控制标准</w:t>
            </w:r>
            <w:r>
              <w:rPr>
                <w:color w:val="auto"/>
                <w:sz w:val="24"/>
                <w:szCs w:val="24"/>
                <w:highlight w:val="none"/>
              </w:rPr>
              <w:t>》（GB18597-20</w:t>
            </w:r>
            <w:r>
              <w:rPr>
                <w:rFonts w:hint="eastAsia"/>
                <w:color w:val="auto"/>
                <w:sz w:val="24"/>
                <w:szCs w:val="24"/>
                <w:highlight w:val="none"/>
                <w:lang w:val="en-US" w:eastAsia="zh-CN"/>
              </w:rPr>
              <w:t>23</w:t>
            </w:r>
            <w:r>
              <w:rPr>
                <w:color w:val="auto"/>
                <w:sz w:val="24"/>
                <w:szCs w:val="24"/>
                <w:highlight w:val="none"/>
              </w:rPr>
              <w:t>）</w:t>
            </w:r>
            <w:r>
              <w:rPr>
                <w:rFonts w:hint="eastAsia"/>
                <w:color w:val="auto"/>
                <w:sz w:val="24"/>
                <w:szCs w:val="24"/>
                <w:highlight w:val="none"/>
                <w:lang w:val="en-US" w:eastAsia="zh-CN"/>
              </w:rPr>
              <w:t>要求</w:t>
            </w:r>
            <w:r>
              <w:rPr>
                <w:rFonts w:hint="eastAsia" w:hAnsi="宋体"/>
                <w:b w:val="0"/>
                <w:bCs w:val="0"/>
                <w:color w:val="auto"/>
                <w:sz w:val="24"/>
                <w:szCs w:val="24"/>
                <w:highlight w:val="none"/>
              </w:rPr>
              <w:t>。本项目产生的固体废物去向明确，有效地防止了固体废物对环境的二次污染，不会对周围环境造成影响。</w:t>
            </w:r>
          </w:p>
          <w:p w14:paraId="6FC675A6">
            <w:pPr>
              <w:pStyle w:val="12"/>
              <w:keepNext w:val="0"/>
              <w:keepLines w:val="0"/>
              <w:pageBreakBefore w:val="0"/>
              <w:kinsoku/>
              <w:wordWrap/>
              <w:overflowPunct/>
              <w:topLinePunct w:val="0"/>
              <w:autoSpaceDE w:val="0"/>
              <w:autoSpaceDN w:val="0"/>
              <w:bidi w:val="0"/>
              <w:adjustRightInd/>
              <w:snapToGrid/>
              <w:spacing w:before="0" w:after="0" w:line="360" w:lineRule="auto"/>
              <w:ind w:right="0" w:firstLine="482" w:firstLineChars="200"/>
              <w:textAlignment w:val="baseline"/>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cs="Times New Roman"/>
                <w:b/>
                <w:bCs/>
                <w:color w:val="auto"/>
                <w:sz w:val="24"/>
                <w:szCs w:val="24"/>
                <w:highlight w:val="none"/>
              </w:rPr>
              <w:t>在严格落实以上措施后，本项目产生的固废去向明确，有效地防止了固体废弃物的逸散和对环境的二次污染，不会对周围环境造成影响。</w:t>
            </w:r>
          </w:p>
          <w:p w14:paraId="298A458F">
            <w:pPr>
              <w:spacing w:line="360" w:lineRule="auto"/>
              <w:ind w:firstLine="482" w:firstLineChars="200"/>
              <w:rPr>
                <w:rFonts w:hint="default" w:ascii="Times New Roman" w:hAnsi="Times New Roman" w:eastAsia="宋体" w:cs="Times New Roman"/>
                <w:b/>
                <w:bCs/>
                <w:color w:val="auto"/>
                <w:szCs w:val="32"/>
                <w:highlight w:val="none"/>
                <w:lang w:val="en-US" w:eastAsia="zh-CN"/>
              </w:rPr>
            </w:pPr>
            <w:r>
              <w:rPr>
                <w:rFonts w:hint="default" w:ascii="Times New Roman" w:hAnsi="Times New Roman" w:eastAsia="宋体" w:cs="Times New Roman"/>
                <w:b/>
                <w:bCs/>
                <w:color w:val="auto"/>
                <w:szCs w:val="32"/>
                <w:highlight w:val="none"/>
              </w:rPr>
              <w:t>4.2.5地下水</w:t>
            </w:r>
            <w:r>
              <w:rPr>
                <w:rFonts w:hint="eastAsia" w:cs="Times New Roman"/>
                <w:b/>
                <w:bCs/>
                <w:color w:val="auto"/>
                <w:szCs w:val="32"/>
                <w:highlight w:val="none"/>
                <w:lang w:eastAsia="zh-CN"/>
              </w:rPr>
              <w:t>、</w:t>
            </w:r>
            <w:r>
              <w:rPr>
                <w:rFonts w:hint="eastAsia" w:cs="Times New Roman"/>
                <w:b/>
                <w:bCs/>
                <w:color w:val="auto"/>
                <w:szCs w:val="32"/>
                <w:highlight w:val="none"/>
                <w:lang w:val="en-US" w:eastAsia="zh-CN"/>
              </w:rPr>
              <w:t>土壤</w:t>
            </w:r>
          </w:p>
          <w:p w14:paraId="480264B8">
            <w:pPr>
              <w:pStyle w:val="78"/>
              <w:numPr>
                <w:ilvl w:val="0"/>
                <w:numId w:val="24"/>
              </w:numPr>
              <w:snapToGrid w:val="0"/>
              <w:ind w:firstLine="48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污染途径</w:t>
            </w:r>
          </w:p>
          <w:p w14:paraId="56CF6D74">
            <w:pPr>
              <w:pStyle w:val="81"/>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营运期</w:t>
            </w:r>
            <w:r>
              <w:rPr>
                <w:rFonts w:hint="default" w:ascii="Times New Roman" w:hAnsi="Times New Roman" w:eastAsia="宋体" w:cs="Times New Roman"/>
                <w:color w:val="auto"/>
                <w:highlight w:val="none"/>
              </w:rPr>
              <w:t>污染物进入地下水环境的途径：主要是废水泄漏通过垂直渗透进入包气带，进入包气带的污染物在物理、化学和生物作用下经吸附、转化、迁移和分解后输入地下水，</w:t>
            </w:r>
            <w:r>
              <w:rPr>
                <w:rFonts w:hint="default" w:ascii="Times New Roman" w:hAnsi="Times New Roman" w:eastAsia="宋体" w:cs="Times New Roman"/>
                <w:color w:val="auto"/>
                <w:highlight w:val="none"/>
                <w:lang w:eastAsia="zh-CN"/>
              </w:rPr>
              <w:t>营运期</w:t>
            </w:r>
            <w:r>
              <w:rPr>
                <w:rFonts w:hint="default" w:ascii="Times New Roman" w:hAnsi="Times New Roman" w:eastAsia="宋体" w:cs="Times New Roman"/>
                <w:color w:val="auto"/>
                <w:highlight w:val="none"/>
              </w:rPr>
              <w:t>因渗漏可能产生的污染地下水环节为污水管网、一体化废水处理装置发生“跑、冒、滴、漏”使污染物进入地下水环境。</w:t>
            </w:r>
          </w:p>
          <w:p w14:paraId="7F6018DC">
            <w:pPr>
              <w:pStyle w:val="78"/>
              <w:numPr>
                <w:ilvl w:val="0"/>
                <w:numId w:val="24"/>
              </w:numPr>
              <w:adjustRightInd/>
              <w:ind w:firstLine="48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拟采取的环保措施</w:t>
            </w:r>
          </w:p>
          <w:p w14:paraId="5F8FF209">
            <w:pPr>
              <w:pStyle w:val="81"/>
              <w:spacing w:before="2" w:line="364" w:lineRule="auto"/>
              <w:ind w:right="-15" w:firstLine="480" w:firstLineChars="200"/>
              <w:jc w:val="left"/>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lang w:val="en-US"/>
              </w:rPr>
              <w:t>根据</w:t>
            </w:r>
            <w:r>
              <w:rPr>
                <w:rFonts w:hint="default" w:ascii="Times New Roman" w:hAnsi="Times New Roman" w:eastAsia="宋体" w:cs="Times New Roman"/>
                <w:bCs/>
                <w:color w:val="auto"/>
                <w:highlight w:val="none"/>
              </w:rPr>
              <w:t>污染防治措施和对策，坚持“源头控制、分区防治、污染监控、应急响应”的原则。</w:t>
            </w:r>
            <w:r>
              <w:rPr>
                <w:rFonts w:hint="default" w:ascii="Times New Roman" w:hAnsi="Times New Roman" w:eastAsia="宋体" w:cs="Times New Roman"/>
                <w:color w:val="auto"/>
                <w:highlight w:val="none"/>
              </w:rPr>
              <w:t>结合本项目特点，本环评仅对源头控制和分区防治措施进行说明。</w:t>
            </w:r>
          </w:p>
          <w:p w14:paraId="20BB0DB0">
            <w:pPr>
              <w:spacing w:line="360" w:lineRule="auto"/>
              <w:ind w:firstLine="482" w:firstLineChars="200"/>
              <w:rPr>
                <w:rFonts w:hint="default" w:ascii="Times New Roman" w:hAnsi="Times New Roman" w:eastAsia="宋体" w:cs="Times New Roman"/>
                <w:b/>
                <w:color w:val="auto"/>
                <w:highlight w:val="none"/>
              </w:rPr>
            </w:pPr>
            <w:r>
              <w:rPr>
                <w:rFonts w:hint="eastAsia" w:cs="Times New Roman"/>
                <w:b/>
                <w:color w:val="auto"/>
                <w:highlight w:val="none"/>
                <w:lang w:eastAsia="zh-CN"/>
              </w:rPr>
              <w:t>（</w:t>
            </w:r>
            <w:r>
              <w:rPr>
                <w:rFonts w:hint="eastAsia" w:cs="Times New Roman"/>
                <w:b/>
                <w:color w:val="auto"/>
                <w:highlight w:val="none"/>
                <w:lang w:val="en-US" w:eastAsia="zh-CN"/>
              </w:rPr>
              <w:t>1</w:t>
            </w:r>
            <w:r>
              <w:rPr>
                <w:rFonts w:hint="eastAsia" w:cs="Times New Roman"/>
                <w:b/>
                <w:color w:val="auto"/>
                <w:highlight w:val="none"/>
                <w:lang w:eastAsia="zh-CN"/>
              </w:rPr>
              <w:t>）</w:t>
            </w:r>
            <w:r>
              <w:rPr>
                <w:rFonts w:hint="default" w:ascii="Times New Roman" w:hAnsi="Times New Roman" w:eastAsia="宋体" w:cs="Times New Roman"/>
                <w:b/>
                <w:color w:val="auto"/>
                <w:highlight w:val="none"/>
              </w:rPr>
              <w:t>源头控制措施</w:t>
            </w:r>
          </w:p>
          <w:p w14:paraId="27312439">
            <w:pPr>
              <w:spacing w:line="360" w:lineRule="auto"/>
              <w:ind w:firstLine="488" w:firstLineChars="200"/>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①项目应根据国家现行相关规范加强环境管理，采取防止和降低污染物</w:t>
            </w:r>
            <w:r>
              <w:rPr>
                <w:rFonts w:ascii="宋体" w:hAnsi="宋体" w:eastAsia="宋体" w:cs="宋体"/>
                <w:color w:val="auto"/>
                <w:spacing w:val="-3"/>
                <w:sz w:val="24"/>
                <w:szCs w:val="24"/>
                <w:highlight w:val="none"/>
              </w:rPr>
              <w:t>跑、冒、滴、漏的措施。正常生产过程中应加强巡检及时处理污染物跑、冒、</w:t>
            </w:r>
            <w:r>
              <w:rPr>
                <w:rFonts w:ascii="宋体" w:hAnsi="宋体" w:eastAsia="宋体" w:cs="宋体"/>
                <w:color w:val="auto"/>
                <w:spacing w:val="3"/>
                <w:sz w:val="24"/>
                <w:szCs w:val="24"/>
                <w:highlight w:val="none"/>
              </w:rPr>
              <w:t>滴、漏，同时应加强对防渗工程的检查，若发现防渗密封材</w:t>
            </w:r>
            <w:r>
              <w:rPr>
                <w:rFonts w:ascii="宋体" w:hAnsi="宋体" w:eastAsia="宋体" w:cs="宋体"/>
                <w:color w:val="auto"/>
                <w:spacing w:val="2"/>
                <w:sz w:val="24"/>
                <w:szCs w:val="24"/>
                <w:highlight w:val="none"/>
              </w:rPr>
              <w:t>料老化或损坏，</w:t>
            </w:r>
            <w:r>
              <w:rPr>
                <w:rFonts w:ascii="宋体" w:hAnsi="宋体" w:eastAsia="宋体" w:cs="宋体"/>
                <w:color w:val="auto"/>
                <w:spacing w:val="-2"/>
                <w:sz w:val="24"/>
                <w:szCs w:val="24"/>
                <w:highlight w:val="none"/>
              </w:rPr>
              <w:t>应及时维修更换；</w:t>
            </w:r>
          </w:p>
          <w:p w14:paraId="3EABF068">
            <w:pPr>
              <w:spacing w:before="39" w:line="345" w:lineRule="auto"/>
              <w:ind w:left="117" w:right="108" w:firstLine="473"/>
              <w:rPr>
                <w:rFonts w:hint="default"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②对工艺、设备、污水储存及处理构筑物采取控制措施，防止污染物的</w:t>
            </w:r>
            <w:r>
              <w:rPr>
                <w:rFonts w:ascii="宋体" w:hAnsi="宋体" w:eastAsia="宋体" w:cs="宋体"/>
                <w:color w:val="auto"/>
                <w:spacing w:val="-1"/>
                <w:sz w:val="24"/>
                <w:szCs w:val="24"/>
                <w:highlight w:val="none"/>
              </w:rPr>
              <w:t>跑、冒、滴、漏，将污染物泄漏的环境风险事故降到最低限度。</w:t>
            </w:r>
          </w:p>
          <w:p w14:paraId="2982BBB0">
            <w:pPr>
              <w:spacing w:line="360" w:lineRule="auto"/>
              <w:ind w:firstLine="482" w:firstLineChars="200"/>
              <w:rPr>
                <w:rFonts w:hint="default" w:ascii="Times New Roman" w:hAnsi="Times New Roman" w:eastAsia="宋体" w:cs="Times New Roman"/>
                <w:b/>
                <w:color w:val="auto"/>
                <w:highlight w:val="none"/>
              </w:rPr>
            </w:pPr>
            <w:r>
              <w:rPr>
                <w:rFonts w:hint="eastAsia" w:cs="Times New Roman"/>
                <w:b/>
                <w:color w:val="auto"/>
                <w:highlight w:val="none"/>
                <w:lang w:eastAsia="zh-CN"/>
              </w:rPr>
              <w:t>（</w:t>
            </w:r>
            <w:r>
              <w:rPr>
                <w:rFonts w:hint="eastAsia" w:cs="Times New Roman"/>
                <w:b/>
                <w:color w:val="auto"/>
                <w:highlight w:val="none"/>
                <w:lang w:val="en-US" w:eastAsia="zh-CN"/>
              </w:rPr>
              <w:t>2</w:t>
            </w:r>
            <w:r>
              <w:rPr>
                <w:rFonts w:hint="eastAsia" w:cs="Times New Roman"/>
                <w:b/>
                <w:color w:val="auto"/>
                <w:highlight w:val="none"/>
                <w:lang w:eastAsia="zh-CN"/>
              </w:rPr>
              <w:t>）</w:t>
            </w:r>
            <w:r>
              <w:rPr>
                <w:rFonts w:hint="default" w:ascii="Times New Roman" w:hAnsi="Times New Roman" w:eastAsia="宋体" w:cs="Times New Roman"/>
                <w:b/>
                <w:color w:val="auto"/>
                <w:highlight w:val="none"/>
              </w:rPr>
              <w:t>分区防治措施</w:t>
            </w:r>
          </w:p>
          <w:p w14:paraId="071DD8FC">
            <w:pPr>
              <w:spacing w:line="360" w:lineRule="auto"/>
              <w:ind w:firstLine="488" w:firstLineChars="200"/>
              <w:rPr>
                <w:rFonts w:ascii="宋体" w:hAnsi="宋体" w:eastAsia="宋体" w:cs="宋体"/>
                <w:color w:val="auto"/>
                <w:spacing w:val="2"/>
                <w:sz w:val="24"/>
                <w:szCs w:val="24"/>
                <w:highlight w:val="none"/>
              </w:rPr>
            </w:pPr>
            <w:r>
              <w:rPr>
                <w:rFonts w:ascii="宋体" w:hAnsi="宋体" w:eastAsia="宋体" w:cs="宋体"/>
                <w:color w:val="auto"/>
                <w:spacing w:val="2"/>
                <w:sz w:val="24"/>
                <w:szCs w:val="24"/>
                <w:highlight w:val="none"/>
              </w:rPr>
              <w:t>本项目运营期产生固体废物和废水，如果管理不善，会因入渗而污染地下水。本项目产生的污水如果渗排、漏排，固体废物乱堆乱放，污染物经过土壤过滤、吸附、离子交换、沉淀、水解及生物积累等过程使部分污染物渗入地下，将对地下水造成严重污染。为保护该区地下水，项目内防渗分区分为重点防渗区、一般防渗区和简单防渗区。具体分区防渗详见下表：</w:t>
            </w:r>
          </w:p>
          <w:p w14:paraId="1EF0B05B">
            <w:pPr>
              <w:pStyle w:val="15"/>
              <w:numPr>
                <w:ilvl w:val="0"/>
                <w:numId w:val="19"/>
              </w:numPr>
              <w:ind w:left="425" w:leftChars="0" w:right="113" w:rightChars="0" w:hanging="425"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本项目分区防渗要求</w:t>
            </w:r>
          </w:p>
          <w:tbl>
            <w:tblPr>
              <w:tblStyle w:val="3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1454"/>
              <w:gridCol w:w="2273"/>
              <w:gridCol w:w="3189"/>
            </w:tblGrid>
            <w:tr w14:paraId="51866A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Align w:val="center"/>
                </w:tcPr>
                <w:p w14:paraId="6DA64A6D">
                  <w:pPr>
                    <w:pStyle w:val="78"/>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分区防渗</w:t>
                  </w:r>
                </w:p>
              </w:tc>
              <w:tc>
                <w:tcPr>
                  <w:tcW w:w="883" w:type="pct"/>
                  <w:vAlign w:val="center"/>
                </w:tcPr>
                <w:p w14:paraId="4FD4E6BB">
                  <w:pPr>
                    <w:pStyle w:val="78"/>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区域</w:t>
                  </w:r>
                </w:p>
              </w:tc>
              <w:tc>
                <w:tcPr>
                  <w:tcW w:w="1380" w:type="pct"/>
                  <w:vAlign w:val="center"/>
                </w:tcPr>
                <w:p w14:paraId="1C160498">
                  <w:pPr>
                    <w:pStyle w:val="78"/>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防渗要求</w:t>
                  </w:r>
                </w:p>
              </w:tc>
              <w:tc>
                <w:tcPr>
                  <w:tcW w:w="1936" w:type="pct"/>
                  <w:vAlign w:val="center"/>
                </w:tcPr>
                <w:p w14:paraId="68F5F47B">
                  <w:pPr>
                    <w:ind w:firstLine="42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本评价要求</w:t>
                  </w:r>
                </w:p>
              </w:tc>
            </w:tr>
            <w:tr w14:paraId="7A130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Align w:val="center"/>
                </w:tcPr>
                <w:p w14:paraId="5C408372">
                  <w:pPr>
                    <w:pStyle w:val="79"/>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重点污染防渗区</w:t>
                  </w:r>
                </w:p>
              </w:tc>
              <w:tc>
                <w:tcPr>
                  <w:tcW w:w="883" w:type="pct"/>
                  <w:vAlign w:val="center"/>
                </w:tcPr>
                <w:p w14:paraId="119D1882">
                  <w:pPr>
                    <w:pStyle w:val="79"/>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危废暂存间、污水处理设施</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病体间、</w:t>
                  </w:r>
                  <w:r>
                    <w:rPr>
                      <w:rFonts w:hint="eastAsia" w:cs="Times New Roman"/>
                      <w:color w:val="auto"/>
                      <w:sz w:val="21"/>
                      <w:szCs w:val="21"/>
                      <w:highlight w:val="none"/>
                      <w:lang w:eastAsia="zh-CN"/>
                    </w:rPr>
                    <w:t>猪粪、猪毛及肠内容物暂存间、</w:t>
                  </w:r>
                  <w:r>
                    <w:rPr>
                      <w:rFonts w:hint="eastAsia" w:cs="Times New Roman"/>
                      <w:color w:val="auto"/>
                      <w:sz w:val="21"/>
                      <w:szCs w:val="21"/>
                      <w:highlight w:val="none"/>
                      <w:lang w:val="en-US" w:eastAsia="zh-CN"/>
                    </w:rPr>
                    <w:t>事故应急池</w:t>
                  </w:r>
                </w:p>
              </w:tc>
              <w:tc>
                <w:tcPr>
                  <w:tcW w:w="1380" w:type="pct"/>
                  <w:vAlign w:val="center"/>
                </w:tcPr>
                <w:p w14:paraId="68694868">
                  <w:pPr>
                    <w:keepNext w:val="0"/>
                    <w:keepLines w:val="0"/>
                    <w:pageBreakBefore w:val="0"/>
                    <w:widowControl w:val="0"/>
                    <w:kinsoku/>
                    <w:wordWrap w:val="0"/>
                    <w:overflowPunct/>
                    <w:topLinePunct w:val="0"/>
                    <w:autoSpaceDE/>
                    <w:autoSpaceDN/>
                    <w:bidi w:val="0"/>
                    <w:adjustRightInd w:val="0"/>
                    <w:snapToGrid w:val="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地面采用防渗混凝土2mm聚乙烯膜或其他防渗材料，其中</w:t>
                  </w:r>
                  <w:r>
                    <w:rPr>
                      <w:rFonts w:hint="default" w:ascii="Times New Roman" w:hAnsi="Times New Roman" w:eastAsia="宋体" w:cs="Times New Roman"/>
                      <w:color w:val="auto"/>
                      <w:sz w:val="21"/>
                      <w:szCs w:val="21"/>
                      <w:highlight w:val="none"/>
                    </w:rPr>
                    <w:t>危废暂存间等效黏土防渗层厚度≥6m，K</w:t>
                  </w:r>
                  <w:r>
                    <w:rPr>
                      <w:rFonts w:hint="default" w:ascii="Times New Roman" w:hAnsi="Times New Roman" w:eastAsia="宋体" w:cs="Times New Roman"/>
                      <w:color w:val="auto"/>
                      <w:kern w:val="0"/>
                      <w:sz w:val="21"/>
                      <w:szCs w:val="21"/>
                      <w:highlight w:val="none"/>
                    </w:rPr>
                    <w:t>≤1×10</w:t>
                  </w:r>
                  <w:r>
                    <w:rPr>
                      <w:rFonts w:hint="default" w:ascii="Times New Roman" w:hAnsi="Times New Roman" w:eastAsia="宋体" w:cs="Times New Roman"/>
                      <w:color w:val="auto"/>
                      <w:kern w:val="0"/>
                      <w:sz w:val="21"/>
                      <w:szCs w:val="21"/>
                      <w:highlight w:val="none"/>
                      <w:vertAlign w:val="superscript"/>
                    </w:rPr>
                    <w:t>-10</w:t>
                  </w:r>
                  <w:r>
                    <w:rPr>
                      <w:rFonts w:hint="default" w:ascii="Times New Roman" w:hAnsi="Times New Roman" w:eastAsia="宋体" w:cs="Times New Roman"/>
                      <w:color w:val="auto"/>
                      <w:kern w:val="0"/>
                      <w:sz w:val="21"/>
                      <w:szCs w:val="21"/>
                      <w:highlight w:val="none"/>
                    </w:rPr>
                    <w:t>cm/s</w:t>
                  </w:r>
                </w:p>
              </w:tc>
              <w:tc>
                <w:tcPr>
                  <w:tcW w:w="1936" w:type="pct"/>
                  <w:vAlign w:val="center"/>
                </w:tcPr>
                <w:p w14:paraId="219D6176">
                  <w:pPr>
                    <w:jc w:val="both"/>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设置2mm厚HDPE防渗土工膜或其他人工防渗材料，或涂刷防腐、防渗涂料（等效黏土防渗层Mb≥6.0m，K≤1.0×10</w:t>
                  </w:r>
                  <w:r>
                    <w:rPr>
                      <w:rFonts w:hint="default" w:ascii="Times New Roman" w:hAnsi="Times New Roman" w:eastAsia="宋体" w:cs="Times New Roman"/>
                      <w:color w:val="auto"/>
                      <w:kern w:val="0"/>
                      <w:sz w:val="21"/>
                      <w:szCs w:val="21"/>
                      <w:highlight w:val="none"/>
                      <w:vertAlign w:val="superscript"/>
                    </w:rPr>
                    <w:t>-7</w:t>
                  </w:r>
                  <w:r>
                    <w:rPr>
                      <w:rFonts w:hint="default" w:ascii="Times New Roman" w:hAnsi="Times New Roman" w:eastAsia="宋体" w:cs="Times New Roman"/>
                      <w:color w:val="auto"/>
                      <w:kern w:val="0"/>
                      <w:sz w:val="21"/>
                      <w:szCs w:val="21"/>
                      <w:highlight w:val="none"/>
                    </w:rPr>
                    <w:t>cm/s，其中</w:t>
                  </w:r>
                  <w:r>
                    <w:rPr>
                      <w:rFonts w:hint="default" w:ascii="Times New Roman" w:hAnsi="Times New Roman" w:eastAsia="宋体" w:cs="Times New Roman"/>
                      <w:color w:val="auto"/>
                      <w:kern w:val="0"/>
                      <w:sz w:val="21"/>
                      <w:szCs w:val="21"/>
                      <w:highlight w:val="none"/>
                      <w:lang w:val="en-US" w:eastAsia="zh-CN"/>
                    </w:rPr>
                    <w:t>危废暂存间</w:t>
                  </w:r>
                  <w:r>
                    <w:rPr>
                      <w:rFonts w:hint="default" w:ascii="Times New Roman" w:hAnsi="Times New Roman" w:eastAsia="宋体" w:cs="Times New Roman"/>
                      <w:color w:val="auto"/>
                      <w:kern w:val="0"/>
                      <w:sz w:val="21"/>
                      <w:szCs w:val="21"/>
                      <w:highlight w:val="none"/>
                    </w:rPr>
                    <w:t>K≤1.0×10</w:t>
                  </w:r>
                  <w:r>
                    <w:rPr>
                      <w:rFonts w:hint="default" w:ascii="Times New Roman" w:hAnsi="Times New Roman" w:eastAsia="宋体" w:cs="Times New Roman"/>
                      <w:color w:val="auto"/>
                      <w:kern w:val="0"/>
                      <w:sz w:val="21"/>
                      <w:szCs w:val="21"/>
                      <w:highlight w:val="none"/>
                      <w:vertAlign w:val="superscript"/>
                    </w:rPr>
                    <w:t>-10</w:t>
                  </w:r>
                  <w:r>
                    <w:rPr>
                      <w:rFonts w:hint="default" w:ascii="Times New Roman" w:hAnsi="Times New Roman" w:eastAsia="宋体" w:cs="Times New Roman"/>
                      <w:color w:val="auto"/>
                      <w:kern w:val="0"/>
                      <w:sz w:val="21"/>
                      <w:szCs w:val="21"/>
                      <w:highlight w:val="none"/>
                    </w:rPr>
                    <w:t>cm/s）</w:t>
                  </w:r>
                </w:p>
              </w:tc>
            </w:tr>
            <w:tr w14:paraId="72F56A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Align w:val="center"/>
                </w:tcPr>
                <w:p w14:paraId="336E7277">
                  <w:pPr>
                    <w:pStyle w:val="79"/>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一般污染防渗区</w:t>
                  </w:r>
                </w:p>
              </w:tc>
              <w:tc>
                <w:tcPr>
                  <w:tcW w:w="883" w:type="pct"/>
                  <w:vAlign w:val="center"/>
                </w:tcPr>
                <w:p w14:paraId="24E02677">
                  <w:pPr>
                    <w:pStyle w:val="79"/>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生产区域</w:t>
                  </w:r>
                </w:p>
              </w:tc>
              <w:tc>
                <w:tcPr>
                  <w:tcW w:w="1380" w:type="pct"/>
                  <w:vAlign w:val="center"/>
                </w:tcPr>
                <w:p w14:paraId="083106C8">
                  <w:pPr>
                    <w:adjustRightInd w:val="0"/>
                    <w:snapToGrid w:val="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地面采用防渗混凝土，等效黏土防渗层厚度≥1.5m，K≤1×10</w:t>
                  </w:r>
                  <w:r>
                    <w:rPr>
                      <w:rFonts w:hint="default" w:ascii="Times New Roman" w:hAnsi="Times New Roman" w:eastAsia="宋体" w:cs="Times New Roman"/>
                      <w:color w:val="auto"/>
                      <w:kern w:val="0"/>
                      <w:sz w:val="21"/>
                      <w:szCs w:val="21"/>
                      <w:highlight w:val="none"/>
                      <w:vertAlign w:val="superscript"/>
                    </w:rPr>
                    <w:t>-7</w:t>
                  </w:r>
                  <w:r>
                    <w:rPr>
                      <w:rFonts w:hint="default" w:ascii="Times New Roman" w:hAnsi="Times New Roman" w:eastAsia="宋体" w:cs="Times New Roman"/>
                      <w:color w:val="auto"/>
                      <w:kern w:val="0"/>
                      <w:sz w:val="21"/>
                      <w:szCs w:val="21"/>
                      <w:highlight w:val="none"/>
                    </w:rPr>
                    <w:t>cm/s，或参照GB16889执行</w:t>
                  </w:r>
                </w:p>
              </w:tc>
              <w:tc>
                <w:tcPr>
                  <w:tcW w:w="1936" w:type="pct"/>
                  <w:vAlign w:val="center"/>
                </w:tcPr>
                <w:p w14:paraId="2C18391C">
                  <w:pPr>
                    <w:adjustRightInd w:val="0"/>
                    <w:snapToGrid w:val="0"/>
                    <w:jc w:val="both"/>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地面采用防渗混凝土，等效黏土防渗层厚度≥1.5m，K≤1×10</w:t>
                  </w:r>
                  <w:r>
                    <w:rPr>
                      <w:rFonts w:hint="default" w:ascii="Times New Roman" w:hAnsi="Times New Roman" w:eastAsia="宋体" w:cs="Times New Roman"/>
                      <w:color w:val="auto"/>
                      <w:kern w:val="0"/>
                      <w:sz w:val="21"/>
                      <w:szCs w:val="21"/>
                      <w:highlight w:val="none"/>
                      <w:vertAlign w:val="superscript"/>
                    </w:rPr>
                    <w:t>-7</w:t>
                  </w:r>
                  <w:r>
                    <w:rPr>
                      <w:rFonts w:hint="default" w:ascii="Times New Roman" w:hAnsi="Times New Roman" w:eastAsia="宋体" w:cs="Times New Roman"/>
                      <w:color w:val="auto"/>
                      <w:kern w:val="0"/>
                      <w:sz w:val="21"/>
                      <w:szCs w:val="21"/>
                      <w:highlight w:val="none"/>
                    </w:rPr>
                    <w:t>cm/s，或参照GB16889执行</w:t>
                  </w:r>
                </w:p>
              </w:tc>
            </w:tr>
            <w:tr w14:paraId="4A1C3C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0" w:type="pct"/>
                  <w:vAlign w:val="center"/>
                </w:tcPr>
                <w:p w14:paraId="184DB5E3">
                  <w:pPr>
                    <w:pStyle w:val="79"/>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简单防渗区</w:t>
                  </w:r>
                </w:p>
              </w:tc>
              <w:tc>
                <w:tcPr>
                  <w:tcW w:w="883" w:type="pct"/>
                  <w:vAlign w:val="center"/>
                </w:tcPr>
                <w:p w14:paraId="57BF82A1">
                  <w:pPr>
                    <w:pStyle w:val="79"/>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eastAsia="zh-CN"/>
                    </w:rPr>
                    <w:t>除重点防渗区、一般防渗区以外的</w:t>
                  </w:r>
                  <w:r>
                    <w:rPr>
                      <w:rFonts w:hint="eastAsia" w:cs="Times New Roman"/>
                      <w:color w:val="auto"/>
                      <w:kern w:val="0"/>
                      <w:sz w:val="21"/>
                      <w:szCs w:val="21"/>
                      <w:highlight w:val="none"/>
                      <w:lang w:val="en-US" w:eastAsia="zh-CN"/>
                    </w:rPr>
                    <w:t>其余区域</w:t>
                  </w:r>
                </w:p>
              </w:tc>
              <w:tc>
                <w:tcPr>
                  <w:tcW w:w="1380" w:type="pct"/>
                  <w:vAlign w:val="center"/>
                </w:tcPr>
                <w:p w14:paraId="20E6BFDE">
                  <w:pPr>
                    <w:pStyle w:val="79"/>
                    <w:spacing w:line="240" w:lineRule="auto"/>
                    <w:ind w:firstLine="0" w:firstLineChars="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一般地面硬化</w:t>
                  </w:r>
                </w:p>
              </w:tc>
              <w:tc>
                <w:tcPr>
                  <w:tcW w:w="1936" w:type="pct"/>
                  <w:vAlign w:val="center"/>
                </w:tcPr>
                <w:p w14:paraId="6282844E">
                  <w:pPr>
                    <w:pStyle w:val="79"/>
                    <w:spacing w:line="240" w:lineRule="auto"/>
                    <w:ind w:firstLine="0" w:firstLineChars="0"/>
                    <w:jc w:val="center"/>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一般地面硬化</w:t>
                  </w:r>
                </w:p>
              </w:tc>
            </w:tr>
          </w:tbl>
          <w:p w14:paraId="704117EA">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经以上防护措施后，可有效防止项目污染物渗漏污染地下水，土壤以及地表水。</w:t>
            </w:r>
          </w:p>
          <w:p w14:paraId="4F8CA464">
            <w:pPr>
              <w:spacing w:line="360" w:lineRule="auto"/>
              <w:ind w:firstLine="482" w:firstLineChars="200"/>
              <w:rPr>
                <w:rFonts w:hint="default" w:ascii="Times New Roman" w:hAnsi="Times New Roman" w:eastAsia="宋体" w:cs="Times New Roman"/>
                <w:b/>
                <w:bCs/>
                <w:color w:val="auto"/>
                <w:szCs w:val="32"/>
                <w:highlight w:val="none"/>
              </w:rPr>
            </w:pPr>
            <w:r>
              <w:rPr>
                <w:rFonts w:hint="default" w:ascii="Times New Roman" w:hAnsi="Times New Roman" w:eastAsia="宋体" w:cs="Times New Roman"/>
                <w:b/>
                <w:bCs/>
                <w:color w:val="auto"/>
                <w:szCs w:val="32"/>
                <w:highlight w:val="none"/>
              </w:rPr>
              <w:t>4.2.</w:t>
            </w:r>
            <w:r>
              <w:rPr>
                <w:rFonts w:hint="eastAsia" w:cs="Times New Roman"/>
                <w:b/>
                <w:bCs/>
                <w:color w:val="auto"/>
                <w:szCs w:val="32"/>
                <w:highlight w:val="none"/>
                <w:lang w:val="en-US" w:eastAsia="zh-CN"/>
              </w:rPr>
              <w:t>6</w:t>
            </w:r>
            <w:r>
              <w:rPr>
                <w:rFonts w:hint="default" w:ascii="Times New Roman" w:hAnsi="Times New Roman" w:eastAsia="宋体" w:cs="Times New Roman"/>
                <w:b/>
                <w:bCs/>
                <w:color w:val="auto"/>
                <w:szCs w:val="32"/>
                <w:highlight w:val="none"/>
              </w:rPr>
              <w:t>生态</w:t>
            </w:r>
          </w:p>
          <w:p w14:paraId="55297D49">
            <w:pPr>
              <w:pStyle w:val="87"/>
              <w:spacing w:line="360" w:lineRule="auto"/>
              <w:ind w:firstLine="480"/>
              <w:rPr>
                <w:rFonts w:hint="eastAsia"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废水包括生活污水和生产废水，全部进入污水处理站，废水经处理后由罐车拉至城镇污水处理厂进一步处理，企业在严格按照操作规程进行的情况下，不会对区域的水生生态环境造成严重影响。项目固废处理处置率达100%，</w:t>
            </w:r>
            <w:r>
              <w:rPr>
                <w:rFonts w:hint="eastAsia" w:cs="Times New Roman"/>
                <w:color w:val="auto"/>
                <w:highlight w:val="none"/>
                <w:lang w:val="en-US" w:eastAsia="zh-CN"/>
              </w:rPr>
              <w:t>占地不涉及风景名胜区等生态敏感区。</w:t>
            </w:r>
          </w:p>
          <w:p w14:paraId="6A76DB8F">
            <w:pPr>
              <w:pStyle w:val="87"/>
              <w:spacing w:line="360" w:lineRule="auto"/>
              <w:ind w:firstLine="480"/>
              <w:rPr>
                <w:rFonts w:hint="eastAsia" w:cs="Times New Roman"/>
                <w:color w:val="auto"/>
                <w:highlight w:val="none"/>
                <w:lang w:val="en-US" w:eastAsia="zh-CN"/>
              </w:rPr>
            </w:pPr>
            <w:r>
              <w:rPr>
                <w:rFonts w:hint="eastAsia" w:cs="Times New Roman"/>
                <w:color w:val="auto"/>
                <w:highlight w:val="none"/>
                <w:lang w:val="en-US" w:eastAsia="zh-CN"/>
              </w:rPr>
              <w:t>项目虽然距离贡嘎山国家级风景名胜区一般控制区最近约155m（比项目所在地海拔高约50m），但是距离其核心区的距离在4.5km以上。项目选址位于磨西镇磨岗岭村，选址周边受人为影响深远。项目不设置无害化处置设施，不设置焚烧排气筒，仅涉及恶臭废气经收集处理后再排放，排放量非常小，不对风景名胜区生态环境造成不利影响。</w:t>
            </w:r>
          </w:p>
          <w:p w14:paraId="2558548F">
            <w:pPr>
              <w:pStyle w:val="87"/>
              <w:spacing w:line="360" w:lineRule="auto"/>
              <w:ind w:firstLine="48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项目建设风格应尽量与周边民居保持一致，确保</w:t>
            </w:r>
            <w:r>
              <w:rPr>
                <w:rFonts w:hint="eastAsia" w:ascii="Times New Roman" w:hAnsi="Times New Roman" w:eastAsia="宋体" w:cs="Times New Roman"/>
                <w:color w:val="auto"/>
                <w:highlight w:val="none"/>
                <w:lang w:val="en-US" w:eastAsia="zh-CN"/>
              </w:rPr>
              <w:t>不对区域的景观生态环境造成严重影响。</w:t>
            </w:r>
            <w:r>
              <w:rPr>
                <w:rFonts w:hint="eastAsia" w:cs="Times New Roman"/>
                <w:color w:val="auto"/>
                <w:highlight w:val="none"/>
                <w:lang w:val="en-US" w:eastAsia="zh-CN"/>
              </w:rPr>
              <w:t>同时，项目运营工作人员不得上至风景名胜区一般控制区进行伐木等破坏活动，确保不对风景名胜区造成人为影响。</w:t>
            </w:r>
          </w:p>
          <w:p w14:paraId="344442B7">
            <w:pPr>
              <w:spacing w:line="360" w:lineRule="auto"/>
              <w:ind w:firstLine="482" w:firstLineChars="200"/>
              <w:rPr>
                <w:rFonts w:hint="default" w:ascii="Times New Roman" w:hAnsi="Times New Roman" w:eastAsia="宋体" w:cs="Times New Roman"/>
                <w:b/>
                <w:bCs/>
                <w:color w:val="auto"/>
                <w:szCs w:val="32"/>
                <w:highlight w:val="none"/>
              </w:rPr>
            </w:pPr>
            <w:r>
              <w:rPr>
                <w:rFonts w:hint="default" w:ascii="Times New Roman" w:hAnsi="Times New Roman" w:eastAsia="宋体" w:cs="Times New Roman"/>
                <w:b/>
                <w:bCs/>
                <w:color w:val="auto"/>
                <w:szCs w:val="32"/>
                <w:highlight w:val="none"/>
              </w:rPr>
              <w:t>4.2.</w:t>
            </w:r>
            <w:r>
              <w:rPr>
                <w:rFonts w:hint="eastAsia" w:cs="Times New Roman"/>
                <w:b/>
                <w:bCs/>
                <w:color w:val="auto"/>
                <w:szCs w:val="32"/>
                <w:highlight w:val="none"/>
                <w:lang w:val="en-US" w:eastAsia="zh-CN"/>
              </w:rPr>
              <w:t>7</w:t>
            </w:r>
            <w:r>
              <w:rPr>
                <w:rFonts w:hint="default" w:ascii="Times New Roman" w:hAnsi="Times New Roman" w:eastAsia="宋体" w:cs="Times New Roman"/>
                <w:b/>
                <w:bCs/>
                <w:color w:val="auto"/>
                <w:szCs w:val="32"/>
                <w:highlight w:val="none"/>
              </w:rPr>
              <w:t>环境风险</w:t>
            </w:r>
          </w:p>
          <w:p w14:paraId="50881F0D">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按照《建设项目环境风险评价技术导则》（HJ169-2018）的要求，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760A7A63">
            <w:pPr>
              <w:spacing w:line="360" w:lineRule="auto"/>
              <w:ind w:firstLine="482" w:firstLineChars="200"/>
              <w:rPr>
                <w:rFonts w:hint="default" w:cs="Times New Roman"/>
                <w:b/>
                <w:bCs/>
                <w:color w:val="auto"/>
                <w:highlight w:val="none"/>
                <w:lang w:val="en-US" w:eastAsia="zh-CN"/>
              </w:rPr>
            </w:pPr>
            <w:r>
              <w:rPr>
                <w:rFonts w:hint="eastAsia" w:cs="Times New Roman"/>
                <w:b/>
                <w:bCs/>
                <w:color w:val="auto"/>
                <w:highlight w:val="none"/>
                <w:lang w:val="en-US" w:eastAsia="zh-CN"/>
              </w:rPr>
              <w:t>1、风险源调查和识别</w:t>
            </w:r>
          </w:p>
          <w:p w14:paraId="6FEACDD3">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本项目运营过程中可能出现的环境风险主要为储罐</w:t>
            </w:r>
            <w:r>
              <w:rPr>
                <w:rFonts w:hint="eastAsia" w:cs="Times New Roman"/>
                <w:color w:val="auto"/>
                <w:highlight w:val="none"/>
                <w:lang w:val="en-US" w:eastAsia="zh-CN"/>
              </w:rPr>
              <w:t>泄漏</w:t>
            </w:r>
            <w:r>
              <w:rPr>
                <w:rFonts w:hint="default" w:ascii="Times New Roman" w:hAnsi="Times New Roman" w:eastAsia="宋体" w:cs="Times New Roman"/>
                <w:color w:val="auto"/>
                <w:highlight w:val="none"/>
              </w:rPr>
              <w:t>、</w:t>
            </w:r>
            <w:r>
              <w:rPr>
                <w:rFonts w:hint="eastAsia" w:cs="Times New Roman"/>
                <w:color w:val="auto"/>
                <w:highlight w:val="none"/>
                <w:lang w:val="en-US" w:eastAsia="zh-CN"/>
              </w:rPr>
              <w:t>泄漏</w:t>
            </w:r>
            <w:r>
              <w:rPr>
                <w:rFonts w:hint="default" w:ascii="Times New Roman" w:hAnsi="Times New Roman" w:eastAsia="宋体" w:cs="Times New Roman"/>
                <w:color w:val="auto"/>
                <w:highlight w:val="none"/>
              </w:rPr>
              <w:t>事故致使油类物质</w:t>
            </w:r>
            <w:r>
              <w:rPr>
                <w:rFonts w:hint="eastAsia" w:cs="Times New Roman"/>
                <w:color w:val="auto"/>
                <w:highlight w:val="none"/>
                <w:lang w:val="en-US" w:eastAsia="zh-CN"/>
              </w:rPr>
              <w:t>泄漏</w:t>
            </w:r>
            <w:r>
              <w:rPr>
                <w:rFonts w:hint="default" w:ascii="Times New Roman" w:hAnsi="Times New Roman" w:eastAsia="宋体" w:cs="Times New Roman"/>
                <w:color w:val="auto"/>
                <w:highlight w:val="none"/>
              </w:rPr>
              <w:t>至地表水体、地下水或土壤中，或燃烧、爆炸引起的次生伴生污染。</w:t>
            </w:r>
          </w:p>
          <w:p w14:paraId="6E410E24">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本项目涉及的化学品有：次氯酸钠、20%戊二醛溶液、</w:t>
            </w:r>
            <w:r>
              <w:rPr>
                <w:rFonts w:hint="eastAsia" w:cs="Times New Roman"/>
                <w:color w:val="auto"/>
                <w:highlight w:val="none"/>
                <w:lang w:val="en-US" w:eastAsia="zh-CN"/>
              </w:rPr>
              <w:t>片碱、柴油、废水处理药剂、</w:t>
            </w:r>
            <w:r>
              <w:rPr>
                <w:rFonts w:hint="default" w:ascii="Times New Roman" w:hAnsi="Times New Roman" w:eastAsia="宋体" w:cs="Times New Roman"/>
                <w:color w:val="auto"/>
                <w:highlight w:val="none"/>
              </w:rPr>
              <w:t>废矿物油、检验废液、在线监测废液、柴油</w:t>
            </w:r>
            <w:r>
              <w:rPr>
                <w:rFonts w:hint="eastAsia" w:cs="Times New Roman"/>
                <w:color w:val="auto"/>
                <w:highlight w:val="none"/>
                <w:lang w:eastAsia="zh-CN"/>
              </w:rPr>
              <w:t>、</w:t>
            </w:r>
            <w:r>
              <w:rPr>
                <w:rFonts w:hint="eastAsia" w:cs="Times New Roman"/>
                <w:color w:val="auto"/>
                <w:highlight w:val="none"/>
                <w:lang w:val="en-US" w:eastAsia="zh-CN"/>
              </w:rPr>
              <w:t>沼气（甲烷）</w:t>
            </w:r>
            <w:r>
              <w:rPr>
                <w:rFonts w:hint="default" w:ascii="Times New Roman" w:hAnsi="Times New Roman" w:eastAsia="宋体" w:cs="Times New Roman"/>
                <w:color w:val="auto"/>
                <w:highlight w:val="none"/>
              </w:rPr>
              <w:t>等。</w:t>
            </w:r>
          </w:p>
          <w:p w14:paraId="51618949">
            <w:pPr>
              <w:pStyle w:val="15"/>
              <w:numPr>
                <w:ilvl w:val="0"/>
                <w:numId w:val="19"/>
              </w:numPr>
              <w:ind w:left="425" w:leftChars="0" w:right="113" w:rightChars="0" w:hanging="425" w:firstLineChars="0"/>
              <w:jc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 xml:space="preserve"> 企业涉及环境风险物质清单表</w:t>
            </w:r>
          </w:p>
          <w:tbl>
            <w:tblPr>
              <w:tblStyle w:val="33"/>
              <w:tblW w:w="815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1609"/>
              <w:gridCol w:w="1855"/>
              <w:gridCol w:w="1077"/>
              <w:gridCol w:w="1396"/>
            </w:tblGrid>
            <w:tr w14:paraId="416E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vAlign w:val="center"/>
                </w:tcPr>
                <w:p w14:paraId="01C6FF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名称</w:t>
                  </w:r>
                </w:p>
              </w:tc>
              <w:tc>
                <w:tcPr>
                  <w:tcW w:w="1609" w:type="dxa"/>
                  <w:vAlign w:val="center"/>
                </w:tcPr>
                <w:p w14:paraId="3BC724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年使用/产生量（t）</w:t>
                  </w:r>
                </w:p>
              </w:tc>
              <w:tc>
                <w:tcPr>
                  <w:tcW w:w="1855" w:type="dxa"/>
                  <w:vAlign w:val="center"/>
                </w:tcPr>
                <w:p w14:paraId="7882AD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厂内最大存在量（t）</w:t>
                  </w:r>
                </w:p>
              </w:tc>
              <w:tc>
                <w:tcPr>
                  <w:tcW w:w="1077" w:type="dxa"/>
                  <w:vAlign w:val="center"/>
                </w:tcPr>
                <w:p w14:paraId="3AD4C60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临界量（t）</w:t>
                  </w:r>
                </w:p>
              </w:tc>
              <w:tc>
                <w:tcPr>
                  <w:tcW w:w="1396" w:type="dxa"/>
                  <w:tcBorders>
                    <w:right w:val="nil"/>
                  </w:tcBorders>
                  <w:vAlign w:val="center"/>
                </w:tcPr>
                <w:p w14:paraId="191038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Q值</w:t>
                  </w:r>
                </w:p>
              </w:tc>
            </w:tr>
            <w:tr w14:paraId="4CB37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6C7CED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次氯酸钠</w:t>
                  </w:r>
                </w:p>
              </w:tc>
              <w:tc>
                <w:tcPr>
                  <w:tcW w:w="1609" w:type="dxa"/>
                  <w:vAlign w:val="center"/>
                </w:tcPr>
                <w:p w14:paraId="206A51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0.037</w:t>
                  </w:r>
                </w:p>
              </w:tc>
              <w:tc>
                <w:tcPr>
                  <w:tcW w:w="1855" w:type="dxa"/>
                  <w:vAlign w:val="center"/>
                </w:tcPr>
                <w:p w14:paraId="6B49B12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0.0037</w:t>
                  </w:r>
                </w:p>
              </w:tc>
              <w:tc>
                <w:tcPr>
                  <w:tcW w:w="1077" w:type="dxa"/>
                  <w:vAlign w:val="center"/>
                </w:tcPr>
                <w:p w14:paraId="3B1B11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5</w:t>
                  </w:r>
                </w:p>
              </w:tc>
              <w:tc>
                <w:tcPr>
                  <w:tcW w:w="1396" w:type="dxa"/>
                  <w:tcBorders>
                    <w:right w:val="nil"/>
                  </w:tcBorders>
                  <w:vAlign w:val="center"/>
                </w:tcPr>
                <w:p w14:paraId="5E38C5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0.000740 </w:t>
                  </w:r>
                </w:p>
              </w:tc>
            </w:tr>
            <w:tr w14:paraId="092B4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75A817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20%浓戊二醛溶液</w:t>
                  </w:r>
                </w:p>
              </w:tc>
              <w:tc>
                <w:tcPr>
                  <w:tcW w:w="1609" w:type="dxa"/>
                  <w:vAlign w:val="center"/>
                </w:tcPr>
                <w:p w14:paraId="469C11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0.015</w:t>
                  </w:r>
                </w:p>
              </w:tc>
              <w:tc>
                <w:tcPr>
                  <w:tcW w:w="1855" w:type="dxa"/>
                  <w:vAlign w:val="center"/>
                </w:tcPr>
                <w:p w14:paraId="692D5A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0.0015</w:t>
                  </w:r>
                </w:p>
              </w:tc>
              <w:tc>
                <w:tcPr>
                  <w:tcW w:w="1077" w:type="dxa"/>
                  <w:vAlign w:val="center"/>
                </w:tcPr>
                <w:p w14:paraId="5E56E03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5</w:t>
                  </w:r>
                </w:p>
              </w:tc>
              <w:tc>
                <w:tcPr>
                  <w:tcW w:w="1396" w:type="dxa"/>
                  <w:tcBorders>
                    <w:right w:val="nil"/>
                  </w:tcBorders>
                  <w:vAlign w:val="center"/>
                </w:tcPr>
                <w:p w14:paraId="2A9629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0.000300 </w:t>
                  </w:r>
                </w:p>
              </w:tc>
            </w:tr>
            <w:tr w14:paraId="5B26E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6D1C0F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片碱</w:t>
                  </w:r>
                </w:p>
              </w:tc>
              <w:tc>
                <w:tcPr>
                  <w:tcW w:w="1609" w:type="dxa"/>
                  <w:vAlign w:val="center"/>
                </w:tcPr>
                <w:p w14:paraId="057715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0.044</w:t>
                  </w:r>
                </w:p>
              </w:tc>
              <w:tc>
                <w:tcPr>
                  <w:tcW w:w="1855" w:type="dxa"/>
                  <w:vAlign w:val="center"/>
                </w:tcPr>
                <w:p w14:paraId="5802EC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0.0044</w:t>
                  </w:r>
                </w:p>
              </w:tc>
              <w:tc>
                <w:tcPr>
                  <w:tcW w:w="1077" w:type="dxa"/>
                  <w:vAlign w:val="center"/>
                </w:tcPr>
                <w:p w14:paraId="26350E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100</w:t>
                  </w:r>
                </w:p>
              </w:tc>
              <w:tc>
                <w:tcPr>
                  <w:tcW w:w="1396" w:type="dxa"/>
                  <w:tcBorders>
                    <w:right w:val="nil"/>
                  </w:tcBorders>
                  <w:vAlign w:val="center"/>
                </w:tcPr>
                <w:p w14:paraId="290B5B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0.000044 </w:t>
                  </w:r>
                </w:p>
              </w:tc>
            </w:tr>
            <w:tr w14:paraId="1B64F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2C3871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柴油</w:t>
                  </w:r>
                </w:p>
              </w:tc>
              <w:tc>
                <w:tcPr>
                  <w:tcW w:w="1609" w:type="dxa"/>
                  <w:vAlign w:val="center"/>
                </w:tcPr>
                <w:p w14:paraId="13E20CA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0.867</w:t>
                  </w:r>
                </w:p>
              </w:tc>
              <w:tc>
                <w:tcPr>
                  <w:tcW w:w="1855" w:type="dxa"/>
                  <w:vAlign w:val="center"/>
                </w:tcPr>
                <w:p w14:paraId="58E8A3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0.0867</w:t>
                  </w:r>
                </w:p>
              </w:tc>
              <w:tc>
                <w:tcPr>
                  <w:tcW w:w="1077" w:type="dxa"/>
                  <w:vAlign w:val="center"/>
                </w:tcPr>
                <w:p w14:paraId="09EDF8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2500</w:t>
                  </w:r>
                </w:p>
              </w:tc>
              <w:tc>
                <w:tcPr>
                  <w:tcW w:w="1396" w:type="dxa"/>
                  <w:tcBorders>
                    <w:right w:val="nil"/>
                  </w:tcBorders>
                  <w:vAlign w:val="center"/>
                </w:tcPr>
                <w:p w14:paraId="07B232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0.000035 </w:t>
                  </w:r>
                </w:p>
              </w:tc>
            </w:tr>
            <w:tr w14:paraId="08086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6ED873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沼气（甲烷）</w:t>
                  </w:r>
                </w:p>
              </w:tc>
              <w:tc>
                <w:tcPr>
                  <w:tcW w:w="1609" w:type="dxa"/>
                  <w:vAlign w:val="center"/>
                </w:tcPr>
                <w:p w14:paraId="693C64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1.49</w:t>
                  </w:r>
                </w:p>
              </w:tc>
              <w:tc>
                <w:tcPr>
                  <w:tcW w:w="1855" w:type="dxa"/>
                  <w:vAlign w:val="center"/>
                </w:tcPr>
                <w:p w14:paraId="26993BE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0.004</w:t>
                  </w:r>
                </w:p>
              </w:tc>
              <w:tc>
                <w:tcPr>
                  <w:tcW w:w="1077" w:type="dxa"/>
                  <w:vAlign w:val="center"/>
                </w:tcPr>
                <w:p w14:paraId="11D89CA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10</w:t>
                  </w:r>
                </w:p>
              </w:tc>
              <w:tc>
                <w:tcPr>
                  <w:tcW w:w="1396" w:type="dxa"/>
                  <w:tcBorders>
                    <w:right w:val="nil"/>
                  </w:tcBorders>
                  <w:vAlign w:val="center"/>
                </w:tcPr>
                <w:p w14:paraId="4048C5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0.000400 </w:t>
                  </w:r>
                </w:p>
              </w:tc>
            </w:tr>
            <w:tr w14:paraId="7ADBF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2764F6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废水处理药剂（PAC）</w:t>
                  </w:r>
                </w:p>
              </w:tc>
              <w:tc>
                <w:tcPr>
                  <w:tcW w:w="1609" w:type="dxa"/>
                  <w:vAlign w:val="center"/>
                </w:tcPr>
                <w:p w14:paraId="4948A6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0.08</w:t>
                  </w:r>
                </w:p>
              </w:tc>
              <w:tc>
                <w:tcPr>
                  <w:tcW w:w="1855" w:type="dxa"/>
                  <w:vAlign w:val="center"/>
                </w:tcPr>
                <w:p w14:paraId="58E99C6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0.008</w:t>
                  </w:r>
                </w:p>
              </w:tc>
              <w:tc>
                <w:tcPr>
                  <w:tcW w:w="1077" w:type="dxa"/>
                  <w:vAlign w:val="center"/>
                </w:tcPr>
                <w:p w14:paraId="013C976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100</w:t>
                  </w:r>
                </w:p>
              </w:tc>
              <w:tc>
                <w:tcPr>
                  <w:tcW w:w="1396" w:type="dxa"/>
                  <w:tcBorders>
                    <w:right w:val="nil"/>
                  </w:tcBorders>
                  <w:vAlign w:val="center"/>
                </w:tcPr>
                <w:p w14:paraId="51C7B8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0.000080 </w:t>
                  </w:r>
                </w:p>
              </w:tc>
            </w:tr>
            <w:tr w14:paraId="048DD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tcBorders>
                    <w:left w:val="nil"/>
                  </w:tcBorders>
                  <w:vAlign w:val="center"/>
                </w:tcPr>
                <w:p w14:paraId="27155D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废矿物油</w:t>
                  </w:r>
                </w:p>
              </w:tc>
              <w:tc>
                <w:tcPr>
                  <w:tcW w:w="1609" w:type="dxa"/>
                  <w:vAlign w:val="center"/>
                </w:tcPr>
                <w:p w14:paraId="73CC05A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0.001</w:t>
                  </w:r>
                </w:p>
              </w:tc>
              <w:tc>
                <w:tcPr>
                  <w:tcW w:w="1855" w:type="dxa"/>
                  <w:vAlign w:val="center"/>
                </w:tcPr>
                <w:p w14:paraId="3BCB9B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0.002</w:t>
                  </w:r>
                </w:p>
              </w:tc>
              <w:tc>
                <w:tcPr>
                  <w:tcW w:w="1077" w:type="dxa"/>
                  <w:vAlign w:val="center"/>
                </w:tcPr>
                <w:p w14:paraId="053EA6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2500</w:t>
                  </w:r>
                </w:p>
              </w:tc>
              <w:tc>
                <w:tcPr>
                  <w:tcW w:w="1396" w:type="dxa"/>
                  <w:tcBorders>
                    <w:right w:val="nil"/>
                  </w:tcBorders>
                  <w:vAlign w:val="center"/>
                </w:tcPr>
                <w:p w14:paraId="0BEEDE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 xml:space="preserve">0.000001 </w:t>
                  </w:r>
                </w:p>
              </w:tc>
            </w:tr>
            <w:tr w14:paraId="5242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5" w:type="dxa"/>
                  <w:gridSpan w:val="4"/>
                  <w:tcBorders>
                    <w:left w:val="nil"/>
                  </w:tcBorders>
                  <w:vAlign w:val="center"/>
                </w:tcPr>
                <w:p w14:paraId="5B5744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合计</w:t>
                  </w:r>
                </w:p>
              </w:tc>
              <w:tc>
                <w:tcPr>
                  <w:tcW w:w="1396" w:type="dxa"/>
                  <w:tcBorders>
                    <w:right w:val="nil"/>
                  </w:tcBorders>
                  <w:vAlign w:val="center"/>
                </w:tcPr>
                <w:p w14:paraId="0AEB20F2">
                  <w:pPr>
                    <w:keepNext w:val="0"/>
                    <w:keepLines w:val="0"/>
                    <w:widowControl/>
                    <w:suppressLineNumbers w:val="0"/>
                    <w:jc w:val="center"/>
                    <w:textAlignment w:val="center"/>
                    <w:rPr>
                      <w:rFonts w:hint="default" w:cs="Times New Roman"/>
                      <w:b/>
                      <w:bCs/>
                      <w:color w:val="auto"/>
                      <w:sz w:val="18"/>
                      <w:szCs w:val="18"/>
                      <w:highlight w:val="none"/>
                      <w:vertAlign w:val="baseline"/>
                      <w:lang w:val="en-US" w:eastAsia="zh-CN"/>
                    </w:rPr>
                  </w:pPr>
                  <w:r>
                    <w:rPr>
                      <w:rFonts w:hint="eastAsia" w:cs="Times New Roman"/>
                      <w:b/>
                      <w:bCs/>
                      <w:color w:val="auto"/>
                      <w:sz w:val="18"/>
                      <w:szCs w:val="18"/>
                      <w:highlight w:val="none"/>
                      <w:vertAlign w:val="baseline"/>
                      <w:lang w:val="en-US" w:eastAsia="zh-CN"/>
                    </w:rPr>
                    <w:t>0.001598</w:t>
                  </w:r>
                </w:p>
              </w:tc>
            </w:tr>
          </w:tbl>
          <w:p w14:paraId="4559B443">
            <w:pPr>
              <w:keepNext w:val="0"/>
              <w:keepLines w:val="0"/>
              <w:pageBreakBefore w:val="0"/>
              <w:widowControl w:val="0"/>
              <w:kinsoku/>
              <w:wordWrap/>
              <w:overflowPunct/>
              <w:topLinePunct w:val="0"/>
              <w:autoSpaceDE/>
              <w:autoSpaceDN/>
              <w:bidi w:val="0"/>
              <w:adjustRightInd/>
              <w:snapToGrid/>
              <w:spacing w:line="240" w:lineRule="exact"/>
              <w:ind w:firstLine="360" w:firstLineChars="200"/>
              <w:textAlignment w:val="auto"/>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备注：临界量按照HJ 169-2018中的附录B.1进行取值；附录B.1中无该种危险物质的，按照附录B.2进行估值</w:t>
            </w:r>
          </w:p>
          <w:p w14:paraId="09FB24C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本项目危险物质数量与临界量比值 Q=0.001</w:t>
            </w:r>
            <w:r>
              <w:rPr>
                <w:rFonts w:hint="eastAsia" w:cs="Times New Roman"/>
                <w:color w:val="auto"/>
                <w:highlight w:val="none"/>
                <w:lang w:val="en-US" w:eastAsia="zh-CN"/>
              </w:rPr>
              <w:t>598</w:t>
            </w:r>
            <w:r>
              <w:rPr>
                <w:rFonts w:hint="default" w:ascii="Times New Roman" w:hAnsi="Times New Roman" w:eastAsia="宋体" w:cs="Times New Roman"/>
                <w:color w:val="auto"/>
                <w:highlight w:val="none"/>
              </w:rPr>
              <w:t>＜1。</w:t>
            </w:r>
          </w:p>
          <w:p w14:paraId="3F1914E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根据《建设项目环境风险评价技术导则》（HJ169-2018），本项目环境风险潜势等级为Ⅰ类，仅进行简单分析。</w:t>
            </w:r>
          </w:p>
          <w:p w14:paraId="5E2BC07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本项目风险物质分布及可能的影响途径分析见下表：</w:t>
            </w:r>
          </w:p>
          <w:p w14:paraId="4D141A21">
            <w:pPr>
              <w:pStyle w:val="15"/>
              <w:numPr>
                <w:ilvl w:val="0"/>
                <w:numId w:val="19"/>
              </w:numPr>
              <w:ind w:left="425" w:leftChars="0" w:right="113" w:rightChars="0" w:hanging="425"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 xml:space="preserve"> 项目风险物质分布及影响途径分析表</w:t>
            </w:r>
          </w:p>
          <w:tbl>
            <w:tblPr>
              <w:tblStyle w:val="33"/>
              <w:tblW w:w="815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9"/>
              <w:gridCol w:w="1309"/>
              <w:gridCol w:w="1186"/>
              <w:gridCol w:w="1587"/>
              <w:gridCol w:w="3450"/>
            </w:tblGrid>
            <w:tr w14:paraId="0CAF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vAlign w:val="center"/>
                </w:tcPr>
                <w:p w14:paraId="32CCCC2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序号</w:t>
                  </w:r>
                </w:p>
              </w:tc>
              <w:tc>
                <w:tcPr>
                  <w:tcW w:w="1309" w:type="dxa"/>
                  <w:vAlign w:val="top"/>
                </w:tcPr>
                <w:p w14:paraId="1627EF5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风险物质</w:t>
                  </w:r>
                </w:p>
              </w:tc>
              <w:tc>
                <w:tcPr>
                  <w:tcW w:w="1186" w:type="dxa"/>
                  <w:vAlign w:val="top"/>
                </w:tcPr>
                <w:p w14:paraId="06B9C76F">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分布情况</w:t>
                  </w:r>
                </w:p>
              </w:tc>
              <w:tc>
                <w:tcPr>
                  <w:tcW w:w="1587" w:type="dxa"/>
                  <w:vAlign w:val="top"/>
                </w:tcPr>
                <w:p w14:paraId="1B88CCA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影响途径</w:t>
                  </w:r>
                </w:p>
              </w:tc>
              <w:tc>
                <w:tcPr>
                  <w:tcW w:w="3450" w:type="dxa"/>
                  <w:tcBorders>
                    <w:right w:val="nil"/>
                  </w:tcBorders>
                  <w:vAlign w:val="top"/>
                </w:tcPr>
                <w:p w14:paraId="001C0C9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后果</w:t>
                  </w:r>
                </w:p>
              </w:tc>
            </w:tr>
            <w:tr w14:paraId="63354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77D2D03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1</w:t>
                  </w:r>
                </w:p>
              </w:tc>
              <w:tc>
                <w:tcPr>
                  <w:tcW w:w="1309" w:type="dxa"/>
                  <w:vAlign w:val="center"/>
                </w:tcPr>
                <w:p w14:paraId="1F1C3A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次氯酸钠</w:t>
                  </w:r>
                </w:p>
              </w:tc>
              <w:tc>
                <w:tcPr>
                  <w:tcW w:w="1186" w:type="dxa"/>
                  <w:vAlign w:val="center"/>
                </w:tcPr>
                <w:p w14:paraId="225F815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原辅料间</w:t>
                  </w:r>
                </w:p>
              </w:tc>
              <w:tc>
                <w:tcPr>
                  <w:tcW w:w="1587" w:type="dxa"/>
                  <w:vAlign w:val="top"/>
                </w:tcPr>
                <w:p w14:paraId="42AC5ACC">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泄漏</w:t>
                  </w:r>
                </w:p>
              </w:tc>
              <w:tc>
                <w:tcPr>
                  <w:tcW w:w="3450" w:type="dxa"/>
                  <w:vMerge w:val="restart"/>
                  <w:tcBorders>
                    <w:right w:val="nil"/>
                  </w:tcBorders>
                  <w:vAlign w:val="top"/>
                </w:tcPr>
                <w:p w14:paraId="58A4BDC6">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若容器破裂泄漏，液体物料泄漏至地表，遇雨水会进入地表水，造成地表水污染； 泄漏液体渗入土壤，会对土壤和地下水产生影响。若易燃物料、可燃物料发生泄漏遇到明火，将引发火灾，火灾时将产生大量短时 间的高浓度烟气，污染周边大气环境，此外，灭火产生 的消防废水未收集直接漫流于厂区及厂区周边，通过雨 水沟进入受纳水体，势必对受纳水体造成不利的影响， 污染地表水环境。</w:t>
                  </w:r>
                </w:p>
              </w:tc>
            </w:tr>
            <w:tr w14:paraId="6C71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08017E3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2</w:t>
                  </w:r>
                </w:p>
              </w:tc>
              <w:tc>
                <w:tcPr>
                  <w:tcW w:w="1309" w:type="dxa"/>
                  <w:vAlign w:val="center"/>
                </w:tcPr>
                <w:p w14:paraId="1A4A39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20%戊二醛戊二醛癸甲溴铵</w:t>
                  </w:r>
                </w:p>
              </w:tc>
              <w:tc>
                <w:tcPr>
                  <w:tcW w:w="1186" w:type="dxa"/>
                  <w:vAlign w:val="center"/>
                </w:tcPr>
                <w:p w14:paraId="73FA934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原辅料间</w:t>
                  </w:r>
                </w:p>
              </w:tc>
              <w:tc>
                <w:tcPr>
                  <w:tcW w:w="1587" w:type="dxa"/>
                  <w:vAlign w:val="top"/>
                </w:tcPr>
                <w:p w14:paraId="5EAE695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泄漏</w:t>
                  </w:r>
                </w:p>
              </w:tc>
              <w:tc>
                <w:tcPr>
                  <w:tcW w:w="3450" w:type="dxa"/>
                  <w:vMerge w:val="continue"/>
                  <w:tcBorders>
                    <w:right w:val="nil"/>
                  </w:tcBorders>
                  <w:vAlign w:val="top"/>
                </w:tcPr>
                <w:p w14:paraId="2B7677C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p>
              </w:tc>
            </w:tr>
            <w:tr w14:paraId="1363B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33960EA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3</w:t>
                  </w:r>
                </w:p>
              </w:tc>
              <w:tc>
                <w:tcPr>
                  <w:tcW w:w="1309" w:type="dxa"/>
                  <w:vAlign w:val="center"/>
                </w:tcPr>
                <w:p w14:paraId="008AA7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片碱</w:t>
                  </w:r>
                </w:p>
              </w:tc>
              <w:tc>
                <w:tcPr>
                  <w:tcW w:w="1186" w:type="dxa"/>
                  <w:vAlign w:val="center"/>
                </w:tcPr>
                <w:p w14:paraId="210F404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原辅料间</w:t>
                  </w:r>
                </w:p>
              </w:tc>
              <w:tc>
                <w:tcPr>
                  <w:tcW w:w="1587" w:type="dxa"/>
                  <w:vAlign w:val="top"/>
                </w:tcPr>
                <w:p w14:paraId="67CD6B5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泄漏</w:t>
                  </w:r>
                </w:p>
              </w:tc>
              <w:tc>
                <w:tcPr>
                  <w:tcW w:w="3450" w:type="dxa"/>
                  <w:vMerge w:val="continue"/>
                  <w:tcBorders>
                    <w:right w:val="nil"/>
                  </w:tcBorders>
                  <w:vAlign w:val="top"/>
                </w:tcPr>
                <w:p w14:paraId="11887569">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p>
              </w:tc>
            </w:tr>
            <w:tr w14:paraId="6A1C8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07056D2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4</w:t>
                  </w:r>
                </w:p>
              </w:tc>
              <w:tc>
                <w:tcPr>
                  <w:tcW w:w="1309" w:type="dxa"/>
                  <w:vAlign w:val="center"/>
                </w:tcPr>
                <w:p w14:paraId="4CDE68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柴油</w:t>
                  </w:r>
                </w:p>
              </w:tc>
              <w:tc>
                <w:tcPr>
                  <w:tcW w:w="1186" w:type="dxa"/>
                  <w:vAlign w:val="center"/>
                </w:tcPr>
                <w:p w14:paraId="0862B84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原辅料间</w:t>
                  </w:r>
                </w:p>
              </w:tc>
              <w:tc>
                <w:tcPr>
                  <w:tcW w:w="1587" w:type="dxa"/>
                  <w:vAlign w:val="top"/>
                </w:tcPr>
                <w:p w14:paraId="44EDAC6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泄漏、燃烧</w:t>
                  </w:r>
                </w:p>
              </w:tc>
              <w:tc>
                <w:tcPr>
                  <w:tcW w:w="3450" w:type="dxa"/>
                  <w:vMerge w:val="continue"/>
                  <w:tcBorders>
                    <w:right w:val="nil"/>
                  </w:tcBorders>
                  <w:vAlign w:val="top"/>
                </w:tcPr>
                <w:p w14:paraId="5DC1C07E">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p>
              </w:tc>
            </w:tr>
            <w:tr w14:paraId="4DBEA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56EE1E3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5</w:t>
                  </w:r>
                </w:p>
              </w:tc>
              <w:tc>
                <w:tcPr>
                  <w:tcW w:w="1309" w:type="dxa"/>
                  <w:vAlign w:val="center"/>
                </w:tcPr>
                <w:p w14:paraId="1ACAD9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沼气（甲烷）</w:t>
                  </w:r>
                </w:p>
              </w:tc>
              <w:tc>
                <w:tcPr>
                  <w:tcW w:w="1186" w:type="dxa"/>
                  <w:vAlign w:val="center"/>
                </w:tcPr>
                <w:p w14:paraId="1FC7477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A池和管道</w:t>
                  </w:r>
                </w:p>
              </w:tc>
              <w:tc>
                <w:tcPr>
                  <w:tcW w:w="1587" w:type="dxa"/>
                  <w:vAlign w:val="top"/>
                </w:tcPr>
                <w:p w14:paraId="5C8902C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泄漏、燃爆</w:t>
                  </w:r>
                </w:p>
              </w:tc>
              <w:tc>
                <w:tcPr>
                  <w:tcW w:w="3450" w:type="dxa"/>
                  <w:vMerge w:val="continue"/>
                  <w:tcBorders>
                    <w:right w:val="nil"/>
                  </w:tcBorders>
                  <w:vAlign w:val="top"/>
                </w:tcPr>
                <w:p w14:paraId="52BF90F6">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p>
              </w:tc>
            </w:tr>
            <w:tr w14:paraId="4C69E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4B98C6D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6</w:t>
                  </w:r>
                </w:p>
              </w:tc>
              <w:tc>
                <w:tcPr>
                  <w:tcW w:w="1309" w:type="dxa"/>
                  <w:vAlign w:val="center"/>
                </w:tcPr>
                <w:p w14:paraId="07FABF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废水处理药剂（PAC）</w:t>
                  </w:r>
                </w:p>
              </w:tc>
              <w:tc>
                <w:tcPr>
                  <w:tcW w:w="1186" w:type="dxa"/>
                  <w:vAlign w:val="center"/>
                </w:tcPr>
                <w:p w14:paraId="05C24D9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原辅料间</w:t>
                  </w:r>
                </w:p>
              </w:tc>
              <w:tc>
                <w:tcPr>
                  <w:tcW w:w="1587" w:type="dxa"/>
                  <w:vAlign w:val="top"/>
                </w:tcPr>
                <w:p w14:paraId="41CA621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泄漏</w:t>
                  </w:r>
                </w:p>
              </w:tc>
              <w:tc>
                <w:tcPr>
                  <w:tcW w:w="3450" w:type="dxa"/>
                  <w:vMerge w:val="continue"/>
                  <w:tcBorders>
                    <w:right w:val="nil"/>
                  </w:tcBorders>
                  <w:vAlign w:val="top"/>
                </w:tcPr>
                <w:p w14:paraId="1075B80D">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p>
              </w:tc>
            </w:tr>
            <w:tr w14:paraId="654AD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9" w:type="dxa"/>
                  <w:tcBorders>
                    <w:left w:val="nil"/>
                  </w:tcBorders>
                  <w:vAlign w:val="center"/>
                </w:tcPr>
                <w:p w14:paraId="72854A3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7</w:t>
                  </w:r>
                </w:p>
              </w:tc>
              <w:tc>
                <w:tcPr>
                  <w:tcW w:w="1309" w:type="dxa"/>
                  <w:vAlign w:val="center"/>
                </w:tcPr>
                <w:p w14:paraId="441FFA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18"/>
                      <w:szCs w:val="18"/>
                      <w:highlight w:val="none"/>
                      <w:vertAlign w:val="baseline"/>
                    </w:rPr>
                  </w:pPr>
                  <w:r>
                    <w:rPr>
                      <w:rFonts w:hint="eastAsia" w:cs="Times New Roman"/>
                      <w:color w:val="auto"/>
                      <w:sz w:val="18"/>
                      <w:szCs w:val="18"/>
                      <w:highlight w:val="none"/>
                      <w:vertAlign w:val="baseline"/>
                      <w:lang w:val="en-US" w:eastAsia="zh-CN"/>
                    </w:rPr>
                    <w:t>废矿物油</w:t>
                  </w:r>
                </w:p>
              </w:tc>
              <w:tc>
                <w:tcPr>
                  <w:tcW w:w="1186" w:type="dxa"/>
                  <w:vAlign w:val="center"/>
                </w:tcPr>
                <w:p w14:paraId="2D5D0AB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color w:val="auto"/>
                      <w:sz w:val="18"/>
                      <w:szCs w:val="18"/>
                      <w:highlight w:val="none"/>
                      <w:vertAlign w:val="baseline"/>
                      <w:lang w:val="en-US" w:eastAsia="zh-CN"/>
                    </w:rPr>
                  </w:pPr>
                  <w:r>
                    <w:rPr>
                      <w:rFonts w:hint="eastAsia" w:cs="Times New Roman"/>
                      <w:color w:val="auto"/>
                      <w:sz w:val="18"/>
                      <w:szCs w:val="18"/>
                      <w:highlight w:val="none"/>
                      <w:vertAlign w:val="baseline"/>
                      <w:lang w:val="en-US" w:eastAsia="zh-CN"/>
                    </w:rPr>
                    <w:t>危废间</w:t>
                  </w:r>
                </w:p>
              </w:tc>
              <w:tc>
                <w:tcPr>
                  <w:tcW w:w="1587" w:type="dxa"/>
                  <w:vAlign w:val="top"/>
                </w:tcPr>
                <w:p w14:paraId="45944742">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lang w:val="en-US"/>
                    </w:rPr>
                  </w:pPr>
                  <w:r>
                    <w:rPr>
                      <w:rFonts w:hint="eastAsia" w:cs="Times New Roman"/>
                      <w:color w:val="auto"/>
                      <w:sz w:val="18"/>
                      <w:szCs w:val="18"/>
                      <w:highlight w:val="none"/>
                      <w:vertAlign w:val="baseline"/>
                      <w:lang w:val="en-US" w:eastAsia="zh-CN"/>
                    </w:rPr>
                    <w:t>泄漏、燃烧</w:t>
                  </w:r>
                </w:p>
              </w:tc>
              <w:tc>
                <w:tcPr>
                  <w:tcW w:w="3450" w:type="dxa"/>
                  <w:vMerge w:val="continue"/>
                  <w:tcBorders>
                    <w:right w:val="nil"/>
                  </w:tcBorders>
                  <w:vAlign w:val="top"/>
                </w:tcPr>
                <w:p w14:paraId="0BA07E34">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宋体" w:cs="Times New Roman"/>
                      <w:color w:val="auto"/>
                      <w:sz w:val="18"/>
                      <w:szCs w:val="18"/>
                      <w:highlight w:val="none"/>
                      <w:vertAlign w:val="baseline"/>
                    </w:rPr>
                  </w:pPr>
                </w:p>
              </w:tc>
            </w:tr>
          </w:tbl>
          <w:p w14:paraId="7CB85AB5">
            <w:pPr>
              <w:widowControl/>
              <w:spacing w:line="360" w:lineRule="auto"/>
              <w:ind w:firstLine="482" w:firstLineChars="200"/>
              <w:jc w:val="left"/>
              <w:rPr>
                <w:rFonts w:hint="default" w:ascii="Times New Roman" w:hAnsi="Times New Roman" w:eastAsia="宋体" w:cs="Times New Roman"/>
                <w:b/>
                <w:color w:val="auto"/>
                <w:highlight w:val="none"/>
              </w:rPr>
            </w:pPr>
            <w:r>
              <w:rPr>
                <w:rFonts w:hint="eastAsia" w:cs="Times New Roman"/>
                <w:b/>
                <w:color w:val="auto"/>
                <w:highlight w:val="none"/>
                <w:lang w:val="en-US" w:eastAsia="zh-CN"/>
              </w:rPr>
              <w:t>2</w:t>
            </w:r>
            <w:r>
              <w:rPr>
                <w:rFonts w:hint="default" w:ascii="Times New Roman" w:hAnsi="Times New Roman" w:eastAsia="宋体" w:cs="Times New Roman"/>
                <w:b/>
                <w:color w:val="auto"/>
                <w:highlight w:val="none"/>
              </w:rPr>
              <w:t>、环境风险防范及应急措施</w:t>
            </w:r>
          </w:p>
          <w:p w14:paraId="617B14EA">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（1）总平面布置和建筑方面安全防范措施</w:t>
            </w:r>
          </w:p>
          <w:p w14:paraId="25F32CBD">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①在总图布置中，考虑各建筑物的防火间距，安全疏散以及自然条件等方面的问题，确保其符合国家的有关规定，应与厂区道路紧邻和界区外道路相连，以利事故状态下人员疏散和抢救。</w:t>
            </w:r>
          </w:p>
          <w:p w14:paraId="49905D91">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②车间遵守防火、防爆等安全规范、标准的规定，建筑物按《建筑防火设计规范》的规定进行设计。</w:t>
            </w:r>
          </w:p>
          <w:p w14:paraId="65BF8E51">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③本工程总平面布置，根据厂房的功能，充分考虑建筑物的防火间距、安全疏散以及自然条件等因素，确保其符合国家的有关规定。</w:t>
            </w:r>
          </w:p>
          <w:p w14:paraId="5637EFBC">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④企业应在危废暂存间、</w:t>
            </w:r>
            <w:r>
              <w:rPr>
                <w:rFonts w:hint="eastAsia" w:cs="Times New Roman"/>
                <w:color w:val="auto"/>
                <w:kern w:val="0"/>
                <w:highlight w:val="none"/>
                <w:lang w:val="en-US" w:eastAsia="zh-CN"/>
              </w:rPr>
              <w:t>柴油桶、沼气管道等未知</w:t>
            </w:r>
            <w:r>
              <w:rPr>
                <w:rFonts w:hint="default" w:ascii="Times New Roman" w:hAnsi="Times New Roman" w:eastAsia="宋体" w:cs="Times New Roman"/>
                <w:color w:val="auto"/>
                <w:kern w:val="0"/>
                <w:highlight w:val="none"/>
              </w:rPr>
              <w:t>等配置相应的易燃物等标志，且禁止明火、禁止在周围吸烟等提示标识；车间设消防栓，车间设置足量的移动式消防器材（如二氧化碳灭火器、干粉灭火器）。</w:t>
            </w:r>
          </w:p>
          <w:p w14:paraId="4C3D30FF">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（2）</w:t>
            </w:r>
            <w:r>
              <w:rPr>
                <w:rFonts w:hint="eastAsia" w:ascii="Times New Roman" w:hAnsi="Times New Roman" w:eastAsia="宋体" w:cs="Times New Roman"/>
                <w:color w:val="auto"/>
                <w:kern w:val="0"/>
                <w:highlight w:val="none"/>
                <w:lang w:val="en-US" w:eastAsia="zh-CN"/>
              </w:rPr>
              <w:t xml:space="preserve">油品类物质和次氯酸钠储存过程中风险防范措施 </w:t>
            </w:r>
          </w:p>
          <w:p w14:paraId="4F2B323E">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 xml:space="preserve">①原料为桶装成品，因此，发生泄漏的可能性很小。 </w:t>
            </w:r>
          </w:p>
          <w:p w14:paraId="07C162AE">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 xml:space="preserve">②万一发生包装材料破裂而发生泄漏时，使用吸油枪将矿物油吸入备用空桶内，地面使用沙土或木糠等等进行吸附清理，含油沙土或木糠作为危废 处置。 </w:t>
            </w:r>
          </w:p>
          <w:p w14:paraId="1699D2E2">
            <w:pPr>
              <w:widowControl/>
              <w:spacing w:line="360" w:lineRule="auto"/>
              <w:ind w:firstLine="480" w:firstLineChars="200"/>
              <w:jc w:val="left"/>
              <w:rPr>
                <w:rFonts w:hint="eastAsia" w:ascii="Times New Roman" w:hAnsi="Times New Roman" w:eastAsia="宋体" w:cs="Times New Roman"/>
                <w:color w:val="auto"/>
                <w:kern w:val="0"/>
                <w:highlight w:val="none"/>
                <w:lang w:val="en-US" w:eastAsia="zh-CN"/>
              </w:rPr>
            </w:pPr>
            <w:r>
              <w:rPr>
                <w:rFonts w:hint="eastAsia" w:ascii="Times New Roman" w:hAnsi="Times New Roman" w:eastAsia="宋体" w:cs="Times New Roman"/>
                <w:color w:val="auto"/>
                <w:kern w:val="0"/>
                <w:highlight w:val="none"/>
                <w:lang w:val="en-US" w:eastAsia="zh-CN"/>
              </w:rPr>
              <w:t>③加强柴油和次氯酸钠</w:t>
            </w:r>
            <w:r>
              <w:rPr>
                <w:rFonts w:hint="eastAsia" w:cs="Times New Roman"/>
                <w:color w:val="auto"/>
                <w:kern w:val="0"/>
                <w:highlight w:val="none"/>
                <w:lang w:val="en-US" w:eastAsia="zh-CN"/>
              </w:rPr>
              <w:t>等</w:t>
            </w:r>
            <w:r>
              <w:rPr>
                <w:rFonts w:hint="eastAsia" w:ascii="Times New Roman" w:hAnsi="Times New Roman" w:eastAsia="宋体" w:cs="Times New Roman"/>
                <w:color w:val="auto"/>
                <w:kern w:val="0"/>
                <w:highlight w:val="none"/>
                <w:lang w:val="en-US" w:eastAsia="zh-CN"/>
              </w:rPr>
              <w:t xml:space="preserve">运输、装卸、使用、储存环节的环境管理，避免跑冒滴漏。 </w:t>
            </w:r>
          </w:p>
          <w:p w14:paraId="0DEDA5B7">
            <w:pPr>
              <w:widowControl/>
              <w:numPr>
                <w:ilvl w:val="0"/>
                <w:numId w:val="25"/>
              </w:numPr>
              <w:spacing w:line="360" w:lineRule="auto"/>
              <w:ind w:firstLine="480" w:firstLineChars="200"/>
              <w:jc w:val="left"/>
              <w:rPr>
                <w:rFonts w:hint="eastAsia" w:cs="Times New Roman"/>
                <w:color w:val="auto"/>
                <w:kern w:val="0"/>
                <w:highlight w:val="none"/>
                <w:lang w:val="en-US" w:eastAsia="zh-CN"/>
              </w:rPr>
            </w:pPr>
            <w:r>
              <w:rPr>
                <w:rFonts w:hint="eastAsia" w:cs="Times New Roman"/>
                <w:color w:val="auto"/>
                <w:kern w:val="0"/>
                <w:highlight w:val="none"/>
                <w:lang w:val="en-US" w:eastAsia="zh-CN"/>
              </w:rPr>
              <w:t>沼气输送过程中风险防范措施</w:t>
            </w:r>
          </w:p>
          <w:p w14:paraId="796FABB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s="Times New Roman"/>
                <w:color w:val="auto"/>
                <w:kern w:val="0"/>
                <w:highlight w:val="none"/>
                <w:lang w:val="en-US" w:eastAsia="zh-CN"/>
              </w:rPr>
            </w:pPr>
            <w:r>
              <w:rPr>
                <w:rFonts w:hint="eastAsia" w:cs="Times New Roman"/>
                <w:color w:val="auto"/>
                <w:kern w:val="0"/>
                <w:highlight w:val="none"/>
                <w:lang w:val="en-US" w:eastAsia="zh-CN"/>
              </w:rPr>
              <w:t>沼气不设缓冲罐，通过管道输送至废气处理设施。本报告废水处理沼气产生量很小，为防范其管道输送过程中产生的环境风险，参考《大中型沼气工程技术规范》（GB/T51063-2014），对沼气输送提出相应的安全防范措施：</w:t>
            </w:r>
          </w:p>
          <w:p w14:paraId="7EE866A5">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s="Times New Roman"/>
                <w:color w:val="auto"/>
                <w:kern w:val="0"/>
                <w:highlight w:val="none"/>
                <w:lang w:val="en-US" w:eastAsia="zh-CN"/>
              </w:rPr>
            </w:pPr>
            <w:r>
              <w:rPr>
                <w:rFonts w:hint="eastAsia" w:cs="Times New Roman"/>
                <w:color w:val="auto"/>
                <w:kern w:val="0"/>
                <w:highlight w:val="none"/>
                <w:lang w:val="en-US" w:eastAsia="zh-CN"/>
              </w:rPr>
              <w:t>①项目沼气输送管道宜采用聚乙烯管道或钢管，聚乙烯管道应符合现行行 业标准《聚乙烯燃气管道工程技术规范》（CJJ63）的有关规定，钢管应符合  《流体输送用不锈钢无缝钢管》（GB/T14976）的有关规定。</w:t>
            </w:r>
          </w:p>
          <w:p w14:paraId="0352594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s="Times New Roman"/>
                <w:color w:val="auto"/>
                <w:kern w:val="0"/>
                <w:highlight w:val="none"/>
                <w:lang w:val="en-US" w:eastAsia="zh-CN"/>
              </w:rPr>
            </w:pPr>
            <w:r>
              <w:rPr>
                <w:rFonts w:hint="eastAsia" w:cs="Times New Roman"/>
                <w:color w:val="auto"/>
                <w:kern w:val="0"/>
                <w:highlight w:val="none"/>
                <w:lang w:val="en-US" w:eastAsia="zh-CN"/>
              </w:rPr>
              <w:t>②沼气管道出站后应设置阀门；沼气支管的起点处应设置阀门；中压沼气 管道上应设置分段阀门，并宜在阀门两侧设置放散管。</w:t>
            </w:r>
          </w:p>
          <w:p w14:paraId="7292837F">
            <w:pPr>
              <w:widowControl/>
              <w:spacing w:line="360" w:lineRule="auto"/>
              <w:ind w:firstLine="480" w:firstLineChars="200"/>
              <w:jc w:val="left"/>
              <w:rPr>
                <w:rFonts w:hint="eastAsia" w:ascii="Times New Roman" w:hAnsi="Times New Roman" w:eastAsia="宋体" w:cs="Times New Roman"/>
                <w:color w:val="auto"/>
                <w:kern w:val="0"/>
                <w:highlight w:val="none"/>
                <w:lang w:val="en-US" w:eastAsia="zh-CN"/>
              </w:rPr>
            </w:pPr>
            <w:r>
              <w:rPr>
                <w:rFonts w:hint="eastAsia" w:cs="Times New Roman"/>
                <w:color w:val="auto"/>
                <w:kern w:val="0"/>
                <w:highlight w:val="none"/>
                <w:lang w:val="en-US" w:eastAsia="zh-CN"/>
              </w:rPr>
              <w:t>③</w:t>
            </w:r>
            <w:r>
              <w:rPr>
                <w:rFonts w:hint="eastAsia" w:ascii="Times New Roman" w:hAnsi="Times New Roman" w:eastAsia="宋体" w:cs="Times New Roman"/>
                <w:color w:val="auto"/>
                <w:kern w:val="0"/>
                <w:highlight w:val="none"/>
                <w:lang w:val="en-US" w:eastAsia="zh-CN"/>
              </w:rPr>
              <w:t>沼气进、出气管道上应安装阻火器，防止明火沿沼气管道倒流，引起</w:t>
            </w:r>
            <w:r>
              <w:rPr>
                <w:rFonts w:hint="eastAsia" w:cs="Times New Roman"/>
                <w:color w:val="auto"/>
                <w:kern w:val="0"/>
                <w:highlight w:val="none"/>
                <w:lang w:val="en-US" w:eastAsia="zh-CN"/>
              </w:rPr>
              <w:t>废水处理池内沼气</w:t>
            </w:r>
            <w:r>
              <w:rPr>
                <w:rFonts w:hint="eastAsia" w:ascii="Times New Roman" w:hAnsi="Times New Roman" w:eastAsia="宋体" w:cs="Times New Roman"/>
                <w:color w:val="auto"/>
                <w:kern w:val="0"/>
                <w:highlight w:val="none"/>
                <w:lang w:val="en-US" w:eastAsia="zh-CN"/>
              </w:rPr>
              <w:t>及其他重要附属设施的爆炸。</w:t>
            </w:r>
          </w:p>
          <w:p w14:paraId="71049D38">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w:t>
            </w:r>
            <w:r>
              <w:rPr>
                <w:rFonts w:hint="eastAsia" w:cs="Times New Roman"/>
                <w:color w:val="auto"/>
                <w:kern w:val="0"/>
                <w:highlight w:val="none"/>
                <w:lang w:val="en-US" w:eastAsia="zh-CN"/>
              </w:rPr>
              <w:t>4</w:t>
            </w:r>
            <w:r>
              <w:rPr>
                <w:rFonts w:hint="eastAsia" w:ascii="Times New Roman" w:hAnsi="Times New Roman" w:eastAsia="宋体" w:cs="Times New Roman"/>
                <w:color w:val="auto"/>
                <w:kern w:val="0"/>
                <w:highlight w:val="none"/>
                <w:lang w:val="en-US" w:eastAsia="zh-CN"/>
              </w:rPr>
              <w:t xml:space="preserve">）危险废物储存过程中风险防范措施 </w:t>
            </w:r>
          </w:p>
          <w:p w14:paraId="27B3F8BA">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①门口贴标识标牌</w:t>
            </w:r>
            <w:r>
              <w:rPr>
                <w:rFonts w:hint="eastAsia" w:cs="Times New Roman"/>
                <w:color w:val="auto"/>
                <w:kern w:val="0"/>
                <w:highlight w:val="none"/>
                <w:lang w:val="en-US" w:eastAsia="zh-CN"/>
              </w:rPr>
              <w:t>、危废分区牌</w:t>
            </w:r>
            <w:r>
              <w:rPr>
                <w:rFonts w:hint="eastAsia" w:ascii="Times New Roman" w:hAnsi="Times New Roman" w:eastAsia="宋体" w:cs="Times New Roman"/>
                <w:color w:val="auto"/>
                <w:kern w:val="0"/>
                <w:highlight w:val="none"/>
                <w:lang w:val="en-US" w:eastAsia="zh-CN"/>
              </w:rPr>
              <w:t xml:space="preserve">，设置警示牌。 </w:t>
            </w:r>
          </w:p>
          <w:p w14:paraId="2208725F">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 xml:space="preserve">②设置管理责任人，作业人员须了解其接触的危险废物的性质、危害特性、包装容器的使用特性和发生意外时的应急措施，并配备必要的应急处理器材和防护用品。 </w:t>
            </w:r>
          </w:p>
          <w:p w14:paraId="1067B38A">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 xml:space="preserve">③危险废物采用专用密闭容器收集暂存，危险废物分类存放并设置警示标识。 </w:t>
            </w:r>
          </w:p>
          <w:p w14:paraId="51D809F7">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eastAsia" w:ascii="Times New Roman" w:hAnsi="Times New Roman" w:eastAsia="宋体" w:cs="Times New Roman"/>
                <w:color w:val="auto"/>
                <w:kern w:val="0"/>
                <w:highlight w:val="none"/>
                <w:lang w:val="en-US" w:eastAsia="zh-CN"/>
              </w:rPr>
              <w:t xml:space="preserve">④液态危废采用专用密闭容器收集暂存，设置钢制托盘存放盛废油的油桶，设置空桶作为备用收容设施。 </w:t>
            </w:r>
          </w:p>
          <w:p w14:paraId="23A1C19B">
            <w:pPr>
              <w:widowControl/>
              <w:spacing w:line="360" w:lineRule="auto"/>
              <w:ind w:firstLine="480" w:firstLineChars="200"/>
              <w:jc w:val="left"/>
              <w:rPr>
                <w:rFonts w:hint="eastAsia" w:cs="Times New Roman"/>
                <w:color w:val="auto"/>
                <w:kern w:val="0"/>
                <w:highlight w:val="none"/>
                <w:lang w:val="en-US" w:eastAsia="zh-CN"/>
              </w:rPr>
            </w:pPr>
            <w:r>
              <w:rPr>
                <w:rFonts w:hint="eastAsia" w:cs="Times New Roman"/>
                <w:color w:val="auto"/>
                <w:kern w:val="0"/>
                <w:highlight w:val="none"/>
                <w:lang w:val="en-US" w:eastAsia="zh-CN"/>
              </w:rPr>
              <w:t>（5）火灾伴生/次生污染事故风险防范措施</w:t>
            </w:r>
          </w:p>
          <w:p w14:paraId="12D2A0FC">
            <w:pPr>
              <w:widowControl/>
              <w:spacing w:line="360" w:lineRule="auto"/>
              <w:ind w:firstLine="480" w:firstLineChars="200"/>
              <w:jc w:val="left"/>
              <w:rPr>
                <w:rFonts w:hint="eastAsia" w:cs="Times New Roman"/>
                <w:color w:val="auto"/>
                <w:kern w:val="0"/>
                <w:highlight w:val="none"/>
                <w:lang w:val="en-US" w:eastAsia="zh-CN"/>
              </w:rPr>
            </w:pPr>
            <w:r>
              <w:rPr>
                <w:rFonts w:hint="eastAsia" w:cs="Times New Roman"/>
                <w:color w:val="auto"/>
                <w:kern w:val="0"/>
                <w:highlight w:val="none"/>
                <w:lang w:val="en-US" w:eastAsia="zh-CN"/>
              </w:rPr>
              <w:t>①设立专门的环境管理机构，制定日常管理措施、消防措施，对工作人员进行环境风险培训。</w:t>
            </w:r>
          </w:p>
          <w:p w14:paraId="1FD727FB">
            <w:pPr>
              <w:widowControl/>
              <w:spacing w:line="360" w:lineRule="auto"/>
              <w:ind w:firstLine="480" w:firstLineChars="200"/>
              <w:jc w:val="left"/>
              <w:rPr>
                <w:rFonts w:hint="eastAsia" w:cs="Times New Roman"/>
                <w:color w:val="auto"/>
                <w:kern w:val="0"/>
                <w:highlight w:val="none"/>
                <w:lang w:val="en-US" w:eastAsia="zh-CN"/>
              </w:rPr>
            </w:pPr>
            <w:r>
              <w:rPr>
                <w:rFonts w:hint="eastAsia" w:cs="Times New Roman"/>
                <w:color w:val="auto"/>
                <w:kern w:val="0"/>
                <w:highlight w:val="none"/>
                <w:lang w:val="en-US" w:eastAsia="zh-CN"/>
              </w:rPr>
              <w:t>②严格明火及电火花管理。加强电器设备的排查，发现问题及时处理。</w:t>
            </w:r>
          </w:p>
          <w:p w14:paraId="72B1BC75">
            <w:pPr>
              <w:widowControl/>
              <w:spacing w:line="360" w:lineRule="auto"/>
              <w:ind w:firstLine="480" w:firstLineChars="200"/>
              <w:jc w:val="left"/>
              <w:rPr>
                <w:rFonts w:hint="eastAsia" w:cs="Times New Roman"/>
                <w:color w:val="auto"/>
                <w:kern w:val="0"/>
                <w:highlight w:val="none"/>
                <w:lang w:val="en-US" w:eastAsia="zh-CN"/>
              </w:rPr>
            </w:pPr>
            <w:r>
              <w:rPr>
                <w:rFonts w:hint="eastAsia" w:cs="Times New Roman"/>
                <w:color w:val="auto"/>
                <w:kern w:val="0"/>
                <w:highlight w:val="none"/>
                <w:lang w:val="en-US" w:eastAsia="zh-CN"/>
              </w:rPr>
              <w:t>③当发生火灾事故时，现场人员或其他人员应立即通知有关人员停止作业，尽快切断所有电源，组织人员和其他易燃物品的疏散，同时利用就近的消防器材将火苗扑灭。</w:t>
            </w:r>
          </w:p>
          <w:p w14:paraId="132D4C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宋体" w:cs="Times New Roman"/>
                <w:color w:val="auto"/>
                <w:kern w:val="0"/>
                <w:highlight w:val="none"/>
              </w:rPr>
            </w:pPr>
            <w:r>
              <w:rPr>
                <w:rFonts w:hint="eastAsia" w:cs="Times New Roman"/>
                <w:color w:val="auto"/>
                <w:kern w:val="0"/>
                <w:highlight w:val="none"/>
                <w:lang w:val="en-US" w:eastAsia="zh-CN"/>
              </w:rPr>
              <w:t>④本项目发生火灾的可能性较小，若产生消防事故废水，应将废水拦截在厂区内，禁止排入雨水管网，通过罐车收集后进入磨西镇生活污水处理厂处理。</w:t>
            </w:r>
          </w:p>
          <w:p w14:paraId="7A73367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w:t>
            </w:r>
            <w:r>
              <w:rPr>
                <w:rFonts w:hint="eastAsia" w:cs="Times New Roman"/>
                <w:color w:val="auto"/>
                <w:kern w:val="0"/>
                <w:highlight w:val="none"/>
                <w:lang w:val="en-US" w:eastAsia="zh-CN"/>
              </w:rPr>
              <w:t>6</w:t>
            </w:r>
            <w:r>
              <w:rPr>
                <w:rFonts w:hint="eastAsia" w:cs="Times New Roman"/>
                <w:color w:val="auto"/>
                <w:kern w:val="0"/>
                <w:highlight w:val="none"/>
                <w:lang w:eastAsia="zh-CN"/>
              </w:rPr>
              <w:t>）本项目事故废水量参考中国石化建标[2006]43 号《关于印发&lt;水体污染防控紧急措施设计导则&gt;的通知》中计算公式确定。具体公式如下：</w:t>
            </w:r>
          </w:p>
          <w:p w14:paraId="5F18182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V 总=（V1+V2-V3）+V4+V5；单位 m</w:t>
            </w:r>
            <w:r>
              <w:rPr>
                <w:rFonts w:hint="eastAsia" w:cs="Times New Roman"/>
                <w:color w:val="auto"/>
                <w:kern w:val="0"/>
                <w:highlight w:val="none"/>
                <w:vertAlign w:val="superscript"/>
                <w:lang w:eastAsia="zh-CN"/>
              </w:rPr>
              <w:t>3</w:t>
            </w:r>
            <w:r>
              <w:rPr>
                <w:rFonts w:hint="eastAsia" w:cs="Times New Roman"/>
                <w:color w:val="auto"/>
                <w:kern w:val="0"/>
                <w:highlight w:val="none"/>
                <w:lang w:eastAsia="zh-CN"/>
              </w:rPr>
              <w:t>。</w:t>
            </w:r>
          </w:p>
          <w:p w14:paraId="496FC91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V1：收集系统内发生事故时一个罐组或装置最大物料泄漏量；罐组事故泄漏量按最大储罐容量、装置事故泄漏量按最大反应容器容量计；本项目无储罐，厂内</w:t>
            </w:r>
            <w:r>
              <w:rPr>
                <w:rFonts w:hint="eastAsia" w:cs="Times New Roman"/>
                <w:color w:val="auto"/>
                <w:kern w:val="0"/>
                <w:highlight w:val="none"/>
                <w:lang w:val="en-US" w:eastAsia="zh-CN"/>
              </w:rPr>
              <w:t>20%浓戊二醛溶液</w:t>
            </w:r>
            <w:r>
              <w:rPr>
                <w:rFonts w:hint="eastAsia" w:cs="Times New Roman"/>
                <w:color w:val="auto"/>
                <w:kern w:val="0"/>
                <w:highlight w:val="none"/>
                <w:lang w:eastAsia="zh-CN"/>
              </w:rPr>
              <w:t>、柴油和</w:t>
            </w:r>
            <w:r>
              <w:rPr>
                <w:rFonts w:hint="eastAsia" w:cs="Times New Roman"/>
                <w:color w:val="auto"/>
                <w:kern w:val="0"/>
                <w:highlight w:val="none"/>
                <w:lang w:val="en-US" w:eastAsia="zh-CN"/>
              </w:rPr>
              <w:t>制冷剂</w:t>
            </w:r>
            <w:r>
              <w:rPr>
                <w:rFonts w:hint="eastAsia" w:cs="Times New Roman"/>
                <w:color w:val="auto"/>
                <w:kern w:val="0"/>
                <w:highlight w:val="none"/>
                <w:lang w:eastAsia="zh-CN"/>
              </w:rPr>
              <w:t>暂存量 V1=</w:t>
            </w:r>
            <w:r>
              <w:rPr>
                <w:rFonts w:hint="eastAsia" w:cs="Times New Roman"/>
                <w:color w:val="auto"/>
                <w:kern w:val="0"/>
                <w:highlight w:val="none"/>
                <w:lang w:val="en-US" w:eastAsia="zh-CN"/>
              </w:rPr>
              <w:t>0.4</w:t>
            </w:r>
            <w:r>
              <w:rPr>
                <w:rFonts w:hint="eastAsia" w:cs="Times New Roman"/>
                <w:color w:val="auto"/>
                <w:kern w:val="0"/>
                <w:highlight w:val="none"/>
                <w:lang w:eastAsia="zh-CN"/>
              </w:rPr>
              <w:t>m</w:t>
            </w:r>
            <w:r>
              <w:rPr>
                <w:rFonts w:hint="eastAsia" w:cs="Times New Roman"/>
                <w:color w:val="auto"/>
                <w:kern w:val="0"/>
                <w:highlight w:val="none"/>
                <w:vertAlign w:val="superscript"/>
                <w:lang w:eastAsia="zh-CN"/>
              </w:rPr>
              <w:t>3</w:t>
            </w:r>
            <w:r>
              <w:rPr>
                <w:rFonts w:hint="eastAsia" w:cs="Times New Roman"/>
                <w:color w:val="auto"/>
                <w:kern w:val="0"/>
                <w:highlight w:val="none"/>
                <w:lang w:eastAsia="zh-CN"/>
              </w:rPr>
              <w:t>；</w:t>
            </w:r>
          </w:p>
          <w:p w14:paraId="0EF6827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V2：发生事故的储罐或装置消防水量；</w:t>
            </w:r>
            <w:r>
              <w:rPr>
                <w:rFonts w:hint="eastAsia" w:cs="Times New Roman"/>
                <w:color w:val="auto"/>
                <w:kern w:val="0"/>
                <w:highlight w:val="none"/>
                <w:lang w:val="en-US" w:eastAsia="zh-CN"/>
              </w:rPr>
              <w:t>参照建筑防火设计规范，</w:t>
            </w:r>
            <w:r>
              <w:rPr>
                <w:rFonts w:hint="eastAsia" w:cs="Times New Roman"/>
                <w:color w:val="auto"/>
                <w:kern w:val="0"/>
                <w:highlight w:val="none"/>
                <w:lang w:eastAsia="zh-CN"/>
              </w:rPr>
              <w:t>本项目一次最大消防水量按10L/s、</w:t>
            </w:r>
            <w:r>
              <w:rPr>
                <w:rFonts w:hint="eastAsia" w:cs="Times New Roman"/>
                <w:color w:val="auto"/>
                <w:kern w:val="0"/>
                <w:highlight w:val="none"/>
                <w:lang w:val="en-US" w:eastAsia="zh-CN"/>
              </w:rPr>
              <w:t>0.5</w:t>
            </w:r>
            <w:r>
              <w:rPr>
                <w:rFonts w:hint="eastAsia" w:cs="Times New Roman"/>
                <w:color w:val="auto"/>
                <w:kern w:val="0"/>
                <w:highlight w:val="none"/>
                <w:lang w:eastAsia="zh-CN"/>
              </w:rPr>
              <w:t>h 考虑，则 V2=</w:t>
            </w:r>
            <w:r>
              <w:rPr>
                <w:rFonts w:hint="eastAsia" w:cs="Times New Roman"/>
                <w:color w:val="auto"/>
                <w:kern w:val="0"/>
                <w:highlight w:val="none"/>
                <w:lang w:val="en-US" w:eastAsia="zh-CN"/>
              </w:rPr>
              <w:t>18</w:t>
            </w:r>
            <w:r>
              <w:rPr>
                <w:rFonts w:hint="eastAsia" w:cs="Times New Roman"/>
                <w:color w:val="auto"/>
                <w:kern w:val="0"/>
                <w:highlight w:val="none"/>
                <w:lang w:eastAsia="zh-CN"/>
              </w:rPr>
              <w:t>m</w:t>
            </w:r>
            <w:r>
              <w:rPr>
                <w:rFonts w:hint="eastAsia" w:cs="Times New Roman"/>
                <w:color w:val="auto"/>
                <w:kern w:val="0"/>
                <w:highlight w:val="none"/>
                <w:vertAlign w:val="superscript"/>
                <w:lang w:eastAsia="zh-CN"/>
              </w:rPr>
              <w:t>3</w:t>
            </w:r>
            <w:r>
              <w:rPr>
                <w:rFonts w:hint="eastAsia" w:cs="Times New Roman"/>
                <w:color w:val="auto"/>
                <w:kern w:val="0"/>
                <w:highlight w:val="none"/>
                <w:lang w:eastAsia="zh-CN"/>
              </w:rPr>
              <w:t>。</w:t>
            </w:r>
          </w:p>
          <w:p w14:paraId="000E151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V3：发生事故时物料转移至其他容器及单元量；本项目部考虑，V3=0。</w:t>
            </w:r>
          </w:p>
          <w:p w14:paraId="797EA6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V4：发生事故时必须进入该系统的生产废水量，本项目生产废水最大日产生量 V4=</w:t>
            </w:r>
            <w:r>
              <w:rPr>
                <w:rFonts w:hint="eastAsia" w:cs="Times New Roman"/>
                <w:color w:val="auto"/>
                <w:kern w:val="0"/>
                <w:highlight w:val="none"/>
                <w:lang w:val="en-US" w:eastAsia="zh-CN"/>
              </w:rPr>
              <w:t>12.9</w:t>
            </w:r>
            <w:r>
              <w:rPr>
                <w:rFonts w:hint="eastAsia" w:cs="Times New Roman"/>
                <w:color w:val="auto"/>
                <w:kern w:val="0"/>
                <w:highlight w:val="none"/>
                <w:lang w:eastAsia="zh-CN"/>
              </w:rPr>
              <w:t>m</w:t>
            </w:r>
            <w:r>
              <w:rPr>
                <w:rFonts w:hint="eastAsia" w:cs="Times New Roman"/>
                <w:color w:val="auto"/>
                <w:kern w:val="0"/>
                <w:highlight w:val="none"/>
                <w:vertAlign w:val="superscript"/>
                <w:lang w:eastAsia="zh-CN"/>
              </w:rPr>
              <w:t>3</w:t>
            </w:r>
            <w:r>
              <w:rPr>
                <w:rFonts w:hint="eastAsia" w:cs="Times New Roman"/>
                <w:color w:val="auto"/>
                <w:kern w:val="0"/>
                <w:highlight w:val="none"/>
                <w:lang w:eastAsia="zh-CN"/>
              </w:rPr>
              <w:t>。</w:t>
            </w:r>
          </w:p>
          <w:p w14:paraId="136B851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V5：发生事故时可能进入该系统的最大雨水量。V5=10qf=20m</w:t>
            </w:r>
            <w:r>
              <w:rPr>
                <w:rFonts w:hint="eastAsia" w:cs="Times New Roman"/>
                <w:color w:val="auto"/>
                <w:kern w:val="0"/>
                <w:highlight w:val="none"/>
                <w:vertAlign w:val="superscript"/>
                <w:lang w:eastAsia="zh-CN"/>
              </w:rPr>
              <w:t>3</w:t>
            </w:r>
            <w:r>
              <w:rPr>
                <w:rFonts w:hint="eastAsia" w:cs="Times New Roman"/>
                <w:color w:val="auto"/>
                <w:kern w:val="0"/>
                <w:highlight w:val="none"/>
                <w:lang w:eastAsia="zh-CN"/>
              </w:rPr>
              <w:t>。</w:t>
            </w:r>
          </w:p>
          <w:p w14:paraId="4E8C4A0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q：降雨强度，按项目所在地的实际统计值计算，取 10mm。</w:t>
            </w:r>
          </w:p>
          <w:p w14:paraId="5B8A12C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f：必须进入事故水池收集系统的雨水汇水面积，取 0.</w:t>
            </w:r>
            <w:r>
              <w:rPr>
                <w:rFonts w:hint="eastAsia" w:cs="Times New Roman"/>
                <w:color w:val="auto"/>
                <w:kern w:val="0"/>
                <w:highlight w:val="none"/>
                <w:lang w:val="en-US" w:eastAsia="zh-CN"/>
              </w:rPr>
              <w:t>1</w:t>
            </w:r>
            <w:r>
              <w:rPr>
                <w:rFonts w:hint="eastAsia" w:cs="Times New Roman"/>
                <w:color w:val="auto"/>
                <w:kern w:val="0"/>
                <w:highlight w:val="none"/>
                <w:lang w:eastAsia="zh-CN"/>
              </w:rPr>
              <w:t>ha。</w:t>
            </w:r>
          </w:p>
          <w:p w14:paraId="01A8F60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eastAsia="zh-CN"/>
              </w:rPr>
              <w:t>综上计算可知，V 总为 0.</w:t>
            </w:r>
            <w:r>
              <w:rPr>
                <w:rFonts w:hint="eastAsia" w:cs="Times New Roman"/>
                <w:color w:val="auto"/>
                <w:kern w:val="0"/>
                <w:highlight w:val="none"/>
                <w:lang w:val="en-US" w:eastAsia="zh-CN"/>
              </w:rPr>
              <w:t>4</w:t>
            </w:r>
            <w:r>
              <w:rPr>
                <w:rFonts w:hint="eastAsia" w:cs="Times New Roman"/>
                <w:color w:val="auto"/>
                <w:kern w:val="0"/>
                <w:highlight w:val="none"/>
                <w:lang w:eastAsia="zh-CN"/>
              </w:rPr>
              <w:t>+</w:t>
            </w:r>
            <w:r>
              <w:rPr>
                <w:rFonts w:hint="eastAsia" w:cs="Times New Roman"/>
                <w:color w:val="auto"/>
                <w:kern w:val="0"/>
                <w:highlight w:val="none"/>
                <w:lang w:val="en-US" w:eastAsia="zh-CN"/>
              </w:rPr>
              <w:t>18</w:t>
            </w:r>
            <w:r>
              <w:rPr>
                <w:rFonts w:hint="eastAsia" w:cs="Times New Roman"/>
                <w:color w:val="auto"/>
                <w:kern w:val="0"/>
                <w:highlight w:val="none"/>
                <w:lang w:eastAsia="zh-CN"/>
              </w:rPr>
              <w:t>+</w:t>
            </w:r>
            <w:r>
              <w:rPr>
                <w:rFonts w:hint="eastAsia" w:cs="Times New Roman"/>
                <w:color w:val="auto"/>
                <w:kern w:val="0"/>
                <w:highlight w:val="none"/>
                <w:lang w:val="en-US" w:eastAsia="zh-CN"/>
              </w:rPr>
              <w:t>12.9</w:t>
            </w:r>
            <w:r>
              <w:rPr>
                <w:rFonts w:hint="eastAsia" w:cs="Times New Roman"/>
                <w:color w:val="auto"/>
                <w:kern w:val="0"/>
                <w:highlight w:val="none"/>
                <w:lang w:eastAsia="zh-CN"/>
              </w:rPr>
              <w:t>+</w:t>
            </w:r>
            <w:r>
              <w:rPr>
                <w:rFonts w:hint="eastAsia" w:cs="Times New Roman"/>
                <w:color w:val="auto"/>
                <w:kern w:val="0"/>
                <w:highlight w:val="none"/>
                <w:lang w:val="en-US" w:eastAsia="zh-CN"/>
              </w:rPr>
              <w:t>1</w:t>
            </w:r>
            <w:r>
              <w:rPr>
                <w:rFonts w:hint="eastAsia" w:cs="Times New Roman"/>
                <w:color w:val="auto"/>
                <w:kern w:val="0"/>
                <w:highlight w:val="none"/>
                <w:lang w:eastAsia="zh-CN"/>
              </w:rPr>
              <w:t>0=</w:t>
            </w:r>
            <w:r>
              <w:rPr>
                <w:rFonts w:hint="eastAsia" w:cs="Times New Roman"/>
                <w:color w:val="auto"/>
                <w:kern w:val="0"/>
                <w:highlight w:val="none"/>
                <w:lang w:val="en-US" w:eastAsia="zh-CN"/>
              </w:rPr>
              <w:t>41.3</w:t>
            </w:r>
            <w:r>
              <w:rPr>
                <w:rFonts w:hint="eastAsia" w:cs="Times New Roman"/>
                <w:color w:val="auto"/>
                <w:kern w:val="0"/>
                <w:highlight w:val="none"/>
                <w:vertAlign w:val="baseline"/>
                <w:lang w:eastAsia="zh-CN"/>
              </w:rPr>
              <w:t>m</w:t>
            </w:r>
            <w:r>
              <w:rPr>
                <w:rFonts w:hint="eastAsia" w:cs="Times New Roman"/>
                <w:color w:val="auto"/>
                <w:kern w:val="0"/>
                <w:highlight w:val="none"/>
                <w:vertAlign w:val="superscript"/>
                <w:lang w:eastAsia="zh-CN"/>
              </w:rPr>
              <w:t>3</w:t>
            </w:r>
            <w:r>
              <w:rPr>
                <w:rFonts w:hint="eastAsia" w:cs="Times New Roman"/>
                <w:color w:val="auto"/>
                <w:kern w:val="0"/>
                <w:highlight w:val="none"/>
                <w:lang w:eastAsia="zh-CN"/>
              </w:rPr>
              <w:t>，则事故池容积不小于</w:t>
            </w:r>
            <w:r>
              <w:rPr>
                <w:rFonts w:hint="eastAsia" w:cs="Times New Roman"/>
                <w:color w:val="auto"/>
                <w:kern w:val="0"/>
                <w:highlight w:val="none"/>
                <w:lang w:val="en-US" w:eastAsia="zh-CN"/>
              </w:rPr>
              <w:t>42</w:t>
            </w:r>
            <w:r>
              <w:rPr>
                <w:rFonts w:hint="eastAsia" w:cs="Times New Roman"/>
                <w:color w:val="auto"/>
                <w:kern w:val="0"/>
                <w:highlight w:val="none"/>
                <w:lang w:eastAsia="zh-CN"/>
              </w:rPr>
              <w:t>m</w:t>
            </w:r>
            <w:r>
              <w:rPr>
                <w:rFonts w:hint="eastAsia" w:cs="Times New Roman"/>
                <w:color w:val="auto"/>
                <w:kern w:val="0"/>
                <w:highlight w:val="none"/>
                <w:vertAlign w:val="superscript"/>
                <w:lang w:eastAsia="zh-CN"/>
              </w:rPr>
              <w:t>3</w:t>
            </w:r>
            <w:r>
              <w:rPr>
                <w:rFonts w:hint="eastAsia" w:cs="Times New Roman"/>
                <w:color w:val="auto"/>
                <w:kern w:val="0"/>
                <w:highlight w:val="none"/>
                <w:vertAlign w:val="baseline"/>
                <w:lang w:eastAsia="zh-CN"/>
              </w:rPr>
              <w:t>（</w:t>
            </w:r>
            <w:r>
              <w:rPr>
                <w:rFonts w:hint="eastAsia" w:cs="Times New Roman"/>
                <w:color w:val="auto"/>
                <w:kern w:val="0"/>
                <w:highlight w:val="none"/>
                <w:vertAlign w:val="baseline"/>
                <w:lang w:val="en-US" w:eastAsia="zh-CN"/>
              </w:rPr>
              <w:t>项目事故池位于污水站西南侧、危废间和粪污间的下方，有效容积不小于42</w:t>
            </w:r>
            <w:r>
              <w:rPr>
                <w:rFonts w:hint="eastAsia" w:cs="Times New Roman"/>
                <w:color w:val="auto"/>
                <w:kern w:val="0"/>
                <w:highlight w:val="none"/>
                <w:lang w:eastAsia="zh-CN"/>
              </w:rPr>
              <w:t>m</w:t>
            </w:r>
            <w:r>
              <w:rPr>
                <w:rFonts w:hint="eastAsia" w:cs="Times New Roman"/>
                <w:color w:val="auto"/>
                <w:kern w:val="0"/>
                <w:highlight w:val="none"/>
                <w:vertAlign w:val="superscript"/>
                <w:lang w:eastAsia="zh-CN"/>
              </w:rPr>
              <w:t>3</w:t>
            </w:r>
            <w:r>
              <w:rPr>
                <w:rFonts w:hint="eastAsia" w:cs="Times New Roman"/>
                <w:color w:val="auto"/>
                <w:kern w:val="0"/>
                <w:highlight w:val="none"/>
                <w:vertAlign w:val="baseline"/>
                <w:lang w:eastAsia="zh-CN"/>
              </w:rPr>
              <w:t>，</w:t>
            </w:r>
            <w:r>
              <w:rPr>
                <w:rFonts w:hint="eastAsia" w:cs="Times New Roman"/>
                <w:color w:val="auto"/>
                <w:kern w:val="0"/>
                <w:highlight w:val="none"/>
                <w:vertAlign w:val="baseline"/>
                <w:lang w:val="en-US" w:eastAsia="zh-CN"/>
              </w:rPr>
              <w:t>预留观测和吸污口</w:t>
            </w:r>
            <w:r>
              <w:rPr>
                <w:rFonts w:hint="eastAsia" w:cs="Times New Roman"/>
                <w:color w:val="auto"/>
                <w:kern w:val="0"/>
                <w:highlight w:val="none"/>
                <w:vertAlign w:val="baseline"/>
                <w:lang w:eastAsia="zh-CN"/>
              </w:rPr>
              <w:t>）</w:t>
            </w:r>
            <w:r>
              <w:rPr>
                <w:rFonts w:hint="eastAsia" w:cs="Times New Roman"/>
                <w:color w:val="auto"/>
                <w:kern w:val="0"/>
                <w:highlight w:val="none"/>
                <w:lang w:eastAsia="zh-CN"/>
              </w:rPr>
              <w:t>。项目厂区发生环境风险事故时产生的废水、废液应收集到事故应急池，收集的污水</w:t>
            </w:r>
            <w:r>
              <w:rPr>
                <w:rFonts w:hint="eastAsia" w:cs="Times New Roman"/>
                <w:color w:val="auto"/>
                <w:kern w:val="0"/>
                <w:highlight w:val="none"/>
                <w:lang w:val="en-US" w:eastAsia="zh-CN"/>
              </w:rPr>
              <w:t>由罐车</w:t>
            </w:r>
            <w:r>
              <w:rPr>
                <w:rFonts w:hint="eastAsia" w:cs="Times New Roman"/>
                <w:color w:val="auto"/>
                <w:kern w:val="0"/>
                <w:highlight w:val="none"/>
                <w:lang w:eastAsia="zh-CN"/>
              </w:rPr>
              <w:t>送至</w:t>
            </w:r>
            <w:r>
              <w:rPr>
                <w:rFonts w:hint="eastAsia" w:cs="Times New Roman"/>
                <w:color w:val="auto"/>
                <w:kern w:val="0"/>
                <w:highlight w:val="none"/>
                <w:lang w:val="en-US" w:eastAsia="zh-CN"/>
              </w:rPr>
              <w:t>磨西</w:t>
            </w:r>
            <w:r>
              <w:rPr>
                <w:rFonts w:hint="eastAsia" w:cs="Times New Roman"/>
                <w:color w:val="auto"/>
                <w:kern w:val="0"/>
                <w:highlight w:val="none"/>
                <w:lang w:eastAsia="zh-CN"/>
              </w:rPr>
              <w:t>镇污水处理厂</w:t>
            </w:r>
            <w:r>
              <w:rPr>
                <w:rFonts w:hint="eastAsia" w:cs="Times New Roman"/>
                <w:color w:val="auto"/>
                <w:kern w:val="0"/>
                <w:highlight w:val="none"/>
                <w:lang w:val="en-US" w:eastAsia="zh-CN"/>
              </w:rPr>
              <w:t>处理</w:t>
            </w:r>
            <w:r>
              <w:rPr>
                <w:rFonts w:hint="eastAsia" w:cs="Times New Roman"/>
                <w:color w:val="auto"/>
                <w:kern w:val="0"/>
                <w:highlight w:val="none"/>
                <w:lang w:eastAsia="zh-CN"/>
              </w:rPr>
              <w:t>，不得外排。项目片区雨水收集沟和管道单独设置，并在汇入厂区雨水总排口前端设置闸阀，可转换至事故应急池；雨水收集沟环绕厂房设置，形成闭环，可有效保障事故时全厂废水的收集，设置合理。</w:t>
            </w:r>
          </w:p>
          <w:p w14:paraId="1E765CE8">
            <w:pPr>
              <w:keepNext w:val="0"/>
              <w:keepLines w:val="0"/>
              <w:pageBreakBefore w:val="0"/>
              <w:widowControl/>
              <w:numPr>
                <w:ilvl w:val="0"/>
                <w:numId w:val="11"/>
              </w:numPr>
              <w:kinsoku/>
              <w:wordWrap/>
              <w:overflowPunct/>
              <w:topLinePunct w:val="0"/>
              <w:autoSpaceDE/>
              <w:autoSpaceDN/>
              <w:bidi w:val="0"/>
              <w:adjustRightInd/>
              <w:snapToGrid/>
              <w:spacing w:line="500" w:lineRule="exact"/>
              <w:ind w:left="0" w:leftChars="0" w:firstLine="480" w:firstLineChars="200"/>
              <w:jc w:val="left"/>
              <w:textAlignment w:val="auto"/>
              <w:rPr>
                <w:rFonts w:hint="eastAsia" w:cs="Times New Roman"/>
                <w:color w:val="auto"/>
                <w:kern w:val="0"/>
                <w:highlight w:val="none"/>
                <w:lang w:val="en-US" w:eastAsia="zh-CN"/>
              </w:rPr>
            </w:pPr>
            <w:r>
              <w:rPr>
                <w:rFonts w:hint="eastAsia" w:cs="Times New Roman"/>
                <w:color w:val="auto"/>
                <w:kern w:val="0"/>
                <w:highlight w:val="none"/>
                <w:lang w:val="en-US" w:eastAsia="zh-CN"/>
              </w:rPr>
              <w:t>污水罐车运输的环境风险防范措施</w:t>
            </w:r>
          </w:p>
          <w:p w14:paraId="4872AEB1">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sz w:val="24"/>
                <w:szCs w:val="24"/>
                <w:highlight w:val="none"/>
                <w:lang w:val="en-US" w:eastAsia="zh-CN"/>
              </w:rPr>
            </w:pPr>
            <w:r>
              <w:rPr>
                <w:rFonts w:hint="eastAsia" w:cs="Times New Roman"/>
                <w:color w:val="auto"/>
                <w:kern w:val="0"/>
                <w:highlight w:val="none"/>
                <w:lang w:val="en-US" w:eastAsia="zh-CN"/>
              </w:rPr>
              <w:t>本项目污水罐车运输路线为，</w:t>
            </w:r>
            <w:r>
              <w:rPr>
                <w:rFonts w:hint="eastAsia" w:cs="Times New Roman"/>
                <w:color w:val="auto"/>
                <w:sz w:val="24"/>
                <w:szCs w:val="24"/>
                <w:highlight w:val="none"/>
                <w:lang w:val="en-US" w:eastAsia="zh-CN"/>
              </w:rPr>
              <w:t>项目厂址→小牛坪村→跨过雅家埂河→磨西场镇东侧道路→磨西生活污水厂，此路线的长度约4km，为罐车的最短运输距离。罐车在项目北侧不远的小牛坪村处跨过雅家埂河，此处雅家埂河下游不涉及泸定县的生活饮用水源保护区，也不涉及其他水环境敏感区。</w:t>
            </w:r>
          </w:p>
          <w:p w14:paraId="0666CCA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r>
              <w:rPr>
                <w:rFonts w:hint="eastAsia" w:cs="Times New Roman"/>
                <w:color w:val="auto"/>
                <w:sz w:val="24"/>
                <w:szCs w:val="24"/>
                <w:highlight w:val="none"/>
                <w:lang w:val="en-US" w:eastAsia="zh-CN"/>
              </w:rPr>
              <w:t>本项目污水由磨西污水处理厂提供运输车辆进行规范运输，污水罐车为密闭式罐车，应加强检修，且在经过雅家埂河时，罐车司机应左右观察并减速通过，避免因车辆事故导致污水泄漏至地表水体雅家埂河。</w:t>
            </w:r>
          </w:p>
          <w:p w14:paraId="7B474D9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r>
              <w:rPr>
                <w:rFonts w:hint="default" w:cs="Times New Roman"/>
                <w:color w:val="auto"/>
                <w:kern w:val="0"/>
                <w:highlight w:val="none"/>
                <w:lang w:val="en-US" w:eastAsia="zh-CN"/>
              </w:rPr>
              <w:drawing>
                <wp:anchor distT="0" distB="0" distL="114300" distR="114300" simplePos="0" relativeHeight="251668480" behindDoc="0" locked="0" layoutInCell="1" allowOverlap="1">
                  <wp:simplePos x="0" y="0"/>
                  <wp:positionH relativeFrom="column">
                    <wp:posOffset>250190</wp:posOffset>
                  </wp:positionH>
                  <wp:positionV relativeFrom="paragraph">
                    <wp:posOffset>41275</wp:posOffset>
                  </wp:positionV>
                  <wp:extent cx="4454525" cy="3310890"/>
                  <wp:effectExtent l="0" t="0" r="3175" b="3810"/>
                  <wp:wrapSquare wrapText="bothSides"/>
                  <wp:docPr id="15" name="图片 15" descr="1736154222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36154222587"/>
                          <pic:cNvPicPr>
                            <a:picLocks noChangeAspect="1"/>
                          </pic:cNvPicPr>
                        </pic:nvPicPr>
                        <pic:blipFill>
                          <a:blip r:embed="rId47"/>
                          <a:stretch>
                            <a:fillRect/>
                          </a:stretch>
                        </pic:blipFill>
                        <pic:spPr>
                          <a:xfrm>
                            <a:off x="0" y="0"/>
                            <a:ext cx="4454525" cy="3310890"/>
                          </a:xfrm>
                          <a:prstGeom prst="rect">
                            <a:avLst/>
                          </a:prstGeom>
                        </pic:spPr>
                      </pic:pic>
                    </a:graphicData>
                  </a:graphic>
                </wp:anchor>
              </w:drawing>
            </w:r>
          </w:p>
          <w:p w14:paraId="6E54936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373C5BC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01155A9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3E7592B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-3662045</wp:posOffset>
                      </wp:positionH>
                      <wp:positionV relativeFrom="paragraph">
                        <wp:posOffset>60960</wp:posOffset>
                      </wp:positionV>
                      <wp:extent cx="914400" cy="324485"/>
                      <wp:effectExtent l="0" t="0" r="0" b="0"/>
                      <wp:wrapNone/>
                      <wp:docPr id="17" name="文本框 17"/>
                      <wp:cNvGraphicFramePr/>
                      <a:graphic xmlns:a="http://schemas.openxmlformats.org/drawingml/2006/main">
                        <a:graphicData uri="http://schemas.microsoft.com/office/word/2010/wordprocessingShape">
                          <wps:wsp>
                            <wps:cNvSpPr txBox="1"/>
                            <wps:spPr>
                              <a:xfrm>
                                <a:off x="2855595" y="2522220"/>
                                <a:ext cx="914400" cy="3244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F61239">
                                  <w:pPr>
                                    <w:rPr>
                                      <w:rFonts w:hint="default" w:eastAsia="宋体"/>
                                      <w:color w:val="FF0000"/>
                                      <w:lang w:val="en-US" w:eastAsia="zh-CN"/>
                                    </w:rPr>
                                  </w:pPr>
                                  <w:r>
                                    <w:rPr>
                                      <w:rFonts w:hint="eastAsia"/>
                                      <w:color w:val="FF0000"/>
                                      <w:lang w:val="en-US" w:eastAsia="zh-CN"/>
                                    </w:rPr>
                                    <w:t>本项目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35pt;margin-top:4.8pt;height:25.55pt;width:72pt;z-index:251669504;mso-width-relative:page;mso-height-relative:page;" filled="f" stroked="f" coordsize="21600,21600" o:gfxdata="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vr06nbAAAACgEAAA8AAAAAAAAAAQAg&#10;AAAAIgAAAGRycy9kb3ducmV2LnhtbFBLAQIUABQAAAAIAIdO4kCdTShQRAIAAHMEAAAOAAAAAAAA&#10;AAEAIAAAACoBAABkcnMvZTJvRG9jLnhtbFBLBQYAAAAABgAGAFkBAADgBQAAAAA=&#10;">
                      <v:fill on="f" focussize="0,0"/>
                      <v:stroke on="f" weight="0.5pt"/>
                      <v:imagedata o:title=""/>
                      <o:lock v:ext="edit" aspectratio="f"/>
                      <v:textbox>
                        <w:txbxContent>
                          <w:p w14:paraId="2BF61239">
                            <w:pPr>
                              <w:rPr>
                                <w:rFonts w:hint="default" w:eastAsia="宋体"/>
                                <w:color w:val="FF0000"/>
                                <w:lang w:val="en-US" w:eastAsia="zh-CN"/>
                              </w:rPr>
                            </w:pPr>
                            <w:r>
                              <w:rPr>
                                <w:rFonts w:hint="eastAsia"/>
                                <w:color w:val="FF0000"/>
                                <w:lang w:val="en-US" w:eastAsia="zh-CN"/>
                              </w:rPr>
                              <w:t>本项目</w:t>
                            </w:r>
                          </w:p>
                        </w:txbxContent>
                      </v:textbox>
                    </v:shape>
                  </w:pict>
                </mc:Fallback>
              </mc:AlternateContent>
            </w: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-3773805</wp:posOffset>
                      </wp:positionH>
                      <wp:positionV relativeFrom="paragraph">
                        <wp:posOffset>60960</wp:posOffset>
                      </wp:positionV>
                      <wp:extent cx="161925" cy="152400"/>
                      <wp:effectExtent l="12700" t="12700" r="15875" b="25400"/>
                      <wp:wrapNone/>
                      <wp:docPr id="16" name="五角星 16"/>
                      <wp:cNvGraphicFramePr/>
                      <a:graphic xmlns:a="http://schemas.openxmlformats.org/drawingml/2006/main">
                        <a:graphicData uri="http://schemas.microsoft.com/office/word/2010/wordprocessingShape">
                          <wps:wsp>
                            <wps:cNvSpPr/>
                            <wps:spPr>
                              <a:xfrm>
                                <a:off x="2560320" y="2465070"/>
                                <a:ext cx="161925" cy="152400"/>
                              </a:xfrm>
                              <a:prstGeom prst="star5">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97.15pt;margin-top:4.8pt;height:12pt;width:12.75pt;z-index:251670528;v-text-anchor:middle;mso-width-relative:page;mso-height-relative:page;" fillcolor="#FF0000" filled="t" stroked="t" coordsize="161925,152400" o:gfxdata="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i2IsLtkAAAAKAQAADwAAAAAAAAABACAAAAAiAAAAZHJzL2Rv&#10;d25yZXYueG1sUEsBAhQAFAAAAAgAh07iQHvtQeJyAgAA7gQAAA4AAAAAAAAAAQAgAAAAKAEAAGRy&#10;cy9lMm9Eb2MueG1sUEsFBgAAAAAGAAYAWQEAAAwGAAAAAA==&#10;" path="m0,58211l61850,58211,80962,0,100074,58211,161924,58211,111886,94187,130999,152399,80962,116422,30925,152399,50038,94187xe">
                      <v:path o:connectlocs="80962,0;0,58211;30925,152399;130999,152399;161924,58211" o:connectangles="247,164,82,82,0"/>
                      <v:fill on="t" focussize="0,0"/>
                      <v:stroke weight="2pt" color="#FF0000 [2404]" joinstyle="round"/>
                      <v:imagedata o:title=""/>
                      <o:lock v:ext="edit" aspectratio="f"/>
                    </v:shape>
                  </w:pict>
                </mc:Fallback>
              </mc:AlternateContent>
            </w:r>
          </w:p>
          <w:p w14:paraId="5319A11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2E7ABC5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18A6FCA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30D66CF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0C6A319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72784D2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val="en-US" w:eastAsia="zh-CN"/>
              </w:rPr>
            </w:pPr>
          </w:p>
          <w:p w14:paraId="233D309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color w:val="auto"/>
                <w:kern w:val="0"/>
                <w:sz w:val="24"/>
                <w:szCs w:val="24"/>
                <w:highlight w:val="none"/>
                <w:lang w:val="en-US" w:eastAsia="zh-CN"/>
              </w:rPr>
            </w:pPr>
            <w:r>
              <w:rPr>
                <w:rFonts w:hint="eastAsia" w:ascii="黑体" w:hAnsi="黑体" w:eastAsia="黑体" w:cs="黑体"/>
                <w:color w:val="auto"/>
                <w:kern w:val="0"/>
                <w:sz w:val="24"/>
                <w:szCs w:val="24"/>
                <w:highlight w:val="none"/>
                <w:lang w:val="en-US" w:eastAsia="zh-CN"/>
              </w:rPr>
              <w:t>图   本项目周边饮用水源保护区情况</w:t>
            </w:r>
          </w:p>
          <w:p w14:paraId="04727D3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cs="Times New Roman"/>
                <w:color w:val="auto"/>
                <w:kern w:val="0"/>
                <w:highlight w:val="none"/>
                <w:lang w:val="en-US" w:eastAsia="zh-CN"/>
              </w:rPr>
            </w:pPr>
            <w:r>
              <w:rPr>
                <w:rFonts w:hint="eastAsia" w:cs="Times New Roman"/>
                <w:color w:val="auto"/>
                <w:kern w:val="0"/>
                <w:highlight w:val="none"/>
                <w:lang w:val="en-US" w:eastAsia="zh-CN"/>
              </w:rPr>
              <w:t>如遇雨季或河流水位上涨，罐车无法通过的情况，项目预处理后的污水可暂时排至事故池（有效容积不小于42m</w:t>
            </w:r>
            <w:r>
              <w:rPr>
                <w:rFonts w:hint="eastAsia" w:cs="Times New Roman"/>
                <w:color w:val="auto"/>
                <w:kern w:val="0"/>
                <w:highlight w:val="none"/>
                <w:vertAlign w:val="superscript"/>
                <w:lang w:val="en-US" w:eastAsia="zh-CN"/>
              </w:rPr>
              <w:t>3</w:t>
            </w:r>
            <w:r>
              <w:rPr>
                <w:rFonts w:hint="eastAsia" w:cs="Times New Roman"/>
                <w:color w:val="auto"/>
                <w:kern w:val="0"/>
                <w:highlight w:val="none"/>
                <w:lang w:val="en-US" w:eastAsia="zh-CN"/>
              </w:rPr>
              <w:t>），事故池可收集项目约3天预处理后的污水，待大雨过去或河流水位降至危险水位后，罐车再抽吸暂存的废水至磨西生活污水处理厂。</w:t>
            </w:r>
          </w:p>
          <w:p w14:paraId="7D0D6A0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val="en-US" w:eastAsia="zh-CN"/>
              </w:rPr>
              <w:t xml:space="preserve">（8）其他 </w:t>
            </w:r>
          </w:p>
          <w:p w14:paraId="087E5B0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cs="Times New Roman"/>
                <w:color w:val="auto"/>
                <w:kern w:val="0"/>
                <w:highlight w:val="none"/>
                <w:lang w:eastAsia="zh-CN"/>
              </w:rPr>
            </w:pPr>
            <w:r>
              <w:rPr>
                <w:rFonts w:hint="eastAsia" w:cs="Times New Roman"/>
                <w:color w:val="auto"/>
                <w:kern w:val="0"/>
                <w:highlight w:val="none"/>
                <w:lang w:val="en-US" w:eastAsia="zh-CN"/>
              </w:rPr>
              <w:t>建立健全各种安全生产制度，生产人员作业应严格遵守劳动纪律和安全操作规程，不违章作业。强化工作人员的责任心和安全意识，认真开展安全检查工作，发现隐患及时整改，将事故消灭在萌芽状态。制定应急预案，建立健全安全、环境管理体系，一旦发生事故，要做到快速、高效、安全处置。</w:t>
            </w:r>
          </w:p>
          <w:p w14:paraId="1792A6B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w:t>
            </w:r>
            <w:r>
              <w:rPr>
                <w:rFonts w:hint="eastAsia" w:cs="Times New Roman"/>
                <w:color w:val="auto"/>
                <w:kern w:val="0"/>
                <w:highlight w:val="none"/>
                <w:lang w:val="en-US" w:eastAsia="zh-CN"/>
              </w:rPr>
              <w:t>9</w:t>
            </w:r>
            <w:r>
              <w:rPr>
                <w:rFonts w:hint="default" w:ascii="Times New Roman" w:hAnsi="Times New Roman" w:eastAsia="宋体" w:cs="Times New Roman"/>
                <w:color w:val="auto"/>
                <w:kern w:val="0"/>
                <w:highlight w:val="none"/>
              </w:rPr>
              <w:t xml:space="preserve">）管理措施 </w:t>
            </w:r>
          </w:p>
          <w:p w14:paraId="31F678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①企业制定环保责任制，企业领导为第一责任人，全面负责企业的环保事务。</w:t>
            </w:r>
          </w:p>
          <w:p w14:paraId="4CA839B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②企业要指定专人负责环保事务，确保环保治理措施落实及环境监测工作。</w:t>
            </w:r>
          </w:p>
          <w:p w14:paraId="7B616FD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③原料、辅料的使用等，要建立采购、进出库和使用台账，建立产品质量安全档案。</w:t>
            </w:r>
          </w:p>
          <w:p w14:paraId="4949AEB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宋体" w:cs="Times New Roman"/>
                <w:color w:val="auto"/>
                <w:kern w:val="0"/>
                <w:highlight w:val="none"/>
                <w:lang w:eastAsia="zh-CN"/>
              </w:rPr>
            </w:pPr>
            <w:r>
              <w:rPr>
                <w:rFonts w:hint="default" w:ascii="Times New Roman" w:hAnsi="Times New Roman" w:eastAsia="宋体" w:cs="Times New Roman"/>
                <w:color w:val="auto"/>
                <w:kern w:val="0"/>
                <w:highlight w:val="none"/>
              </w:rPr>
              <w:t>④配备必要急救抢险设备、设施，并定期组织演练，做好演练总结和记录，将重大危险源及有关安全措施，应急措施报有关人民政府安全生产监督管理部门及有关其他部门备案</w:t>
            </w:r>
            <w:r>
              <w:rPr>
                <w:rFonts w:hint="default" w:ascii="Times New Roman" w:hAnsi="Times New Roman" w:eastAsia="宋体" w:cs="Times New Roman"/>
                <w:color w:val="auto"/>
                <w:kern w:val="0"/>
                <w:highlight w:val="none"/>
                <w:lang w:eastAsia="zh-CN"/>
              </w:rPr>
              <w:t>。</w:t>
            </w:r>
          </w:p>
          <w:p w14:paraId="0CDBE1A9">
            <w:pPr>
              <w:widowControl/>
              <w:spacing w:line="360" w:lineRule="auto"/>
              <w:ind w:firstLine="482" w:firstLineChars="200"/>
              <w:jc w:val="left"/>
              <w:rPr>
                <w:rFonts w:hint="default" w:ascii="Times New Roman" w:hAnsi="Times New Roman" w:eastAsia="宋体" w:cs="Times New Roman"/>
                <w:b/>
                <w:bCs/>
                <w:color w:val="auto"/>
                <w:kern w:val="0"/>
                <w:highlight w:val="none"/>
              </w:rPr>
            </w:pPr>
            <w:r>
              <w:rPr>
                <w:rFonts w:hint="default" w:ascii="Times New Roman" w:hAnsi="Times New Roman" w:eastAsia="宋体" w:cs="Times New Roman"/>
                <w:b/>
                <w:bCs/>
                <w:color w:val="auto"/>
                <w:kern w:val="0"/>
                <w:highlight w:val="none"/>
              </w:rPr>
              <w:t>7、应急措施及预案</w:t>
            </w:r>
          </w:p>
          <w:p w14:paraId="0896A0CD">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预防是防止事故发生的根本措施，但也应有应急措施，一旦发生事故，处置是否得当，关系到事故蔓延的范围和损失大小。项目建成后，应建立健全的事故应急救援网络。建设单位要和周边环境敏感点组成联合事故应急网络，抢险用具配置、急救方案确定中均要求同时考虑，在进行各种演习中必须有周边环境敏感点居民共同参加。</w:t>
            </w:r>
          </w:p>
          <w:p w14:paraId="0E4E97B1">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(1</w:t>
            </w:r>
            <w:r>
              <w:rPr>
                <w:rFonts w:hint="eastAsia" w:cs="Times New Roman"/>
                <w:color w:val="auto"/>
                <w:kern w:val="0"/>
                <w:highlight w:val="none"/>
                <w:lang w:eastAsia="zh-CN"/>
              </w:rPr>
              <w:t>）</w:t>
            </w:r>
            <w:r>
              <w:rPr>
                <w:rFonts w:hint="default" w:ascii="Times New Roman" w:hAnsi="Times New Roman" w:eastAsia="宋体" w:cs="Times New Roman"/>
                <w:color w:val="auto"/>
                <w:kern w:val="0"/>
                <w:highlight w:val="none"/>
              </w:rPr>
              <w:t>预案制定前的准备</w:t>
            </w:r>
          </w:p>
          <w:p w14:paraId="218629D1">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制定危险源及其潜在的危险危害。主要包括危险品的状态、数量、危险特征、工艺流程，发生事故时的可能途径、事故性质、危害范围、发生频率、危险等级，并确定一般、重大灾害事故危险源。</w:t>
            </w:r>
          </w:p>
          <w:p w14:paraId="6F37F61C">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(2</w:t>
            </w:r>
            <w:r>
              <w:rPr>
                <w:rFonts w:hint="eastAsia" w:cs="Times New Roman"/>
                <w:color w:val="auto"/>
                <w:kern w:val="0"/>
                <w:highlight w:val="none"/>
                <w:lang w:eastAsia="zh-CN"/>
              </w:rPr>
              <w:t>）</w:t>
            </w:r>
            <w:r>
              <w:rPr>
                <w:rFonts w:hint="default" w:ascii="Times New Roman" w:hAnsi="Times New Roman" w:eastAsia="宋体" w:cs="Times New Roman"/>
                <w:color w:val="auto"/>
                <w:kern w:val="0"/>
                <w:highlight w:val="none"/>
              </w:rPr>
              <w:t>预案的主要内容</w:t>
            </w:r>
          </w:p>
          <w:p w14:paraId="68CBCAEB">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①应急计划区</w:t>
            </w:r>
          </w:p>
          <w:p w14:paraId="1C55EBE7">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对厂区平面布置进行介绍，对项目生产、使用、贮存和运输化学品的数量、危险性质及可能引起重大事故进行初步分析，详细说明厂区化学品的数量及分布，确定应急计划区并给出分布图。</w:t>
            </w:r>
          </w:p>
          <w:p w14:paraId="4B955D0A">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②指挥机构及人员</w:t>
            </w:r>
          </w:p>
          <w:p w14:paraId="17D239F9">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主要包括指挥人员的名单、职责、临时替代者，不同事故时的不同指挥地点，常规值班表。</w:t>
            </w:r>
          </w:p>
          <w:p w14:paraId="090C1103">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③预案分级响应条件</w:t>
            </w:r>
          </w:p>
          <w:p w14:paraId="57BEAA55">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根据工程特征，规定预案的级别及分级响应程序。</w:t>
            </w:r>
          </w:p>
          <w:p w14:paraId="73A98D7F">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④应急救援保障</w:t>
            </w:r>
          </w:p>
          <w:p w14:paraId="5C174A32">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规定并明确应急设施、设备与器材，并落实专人管理。</w:t>
            </w:r>
          </w:p>
          <w:p w14:paraId="53E0D7E6">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⑤报警、通讯联络方式</w:t>
            </w:r>
          </w:p>
          <w:p w14:paraId="01B822AC">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主要包括事故报警电话号码、通讯、联络方法、较远距离的信号联络，突发停电、雷电暴雨等特殊情况下的报警、通讯、联络。</w:t>
            </w:r>
          </w:p>
          <w:p w14:paraId="16C97680">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⑥应急措施</w:t>
            </w:r>
          </w:p>
          <w:p w14:paraId="3410259C">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包括两个方面，一是应急环境监测、抢险、救援和控制措施，由专业队伍负责对事故现场进行侦察监测，对事故性质、参数与后果进行评估，为指挥部提供决策依据；二是应急检测、防护措施、清除泄漏措施和器材，包括事故现场、临近区域及控制防火区域，</w:t>
            </w:r>
            <w:r>
              <w:rPr>
                <w:rFonts w:hint="eastAsia" w:cs="Times New Roman"/>
                <w:color w:val="auto"/>
                <w:kern w:val="0"/>
                <w:highlight w:val="none"/>
                <w:lang w:val="en-US" w:eastAsia="zh-CN"/>
              </w:rPr>
              <w:t>配备足量泡沫灭火剂，定期检查</w:t>
            </w:r>
            <w:r>
              <w:rPr>
                <w:rFonts w:hint="default" w:ascii="Times New Roman" w:hAnsi="Times New Roman" w:eastAsia="宋体" w:cs="Times New Roman"/>
                <w:color w:val="auto"/>
                <w:kern w:val="0"/>
                <w:highlight w:val="none"/>
              </w:rPr>
              <w:t>。</w:t>
            </w:r>
          </w:p>
          <w:p w14:paraId="71740A16">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制定不同事故时不同救援方案和程序(例如火灾爆炸应急方案和程序、停水、电、气应急措施等</w:t>
            </w:r>
            <w:r>
              <w:rPr>
                <w:rFonts w:hint="eastAsia" w:cs="Times New Roman"/>
                <w:color w:val="auto"/>
                <w:kern w:val="0"/>
                <w:highlight w:val="none"/>
                <w:lang w:eastAsia="zh-CN"/>
              </w:rPr>
              <w:t>）</w:t>
            </w:r>
            <w:r>
              <w:rPr>
                <w:rFonts w:hint="default" w:ascii="Times New Roman" w:hAnsi="Times New Roman" w:eastAsia="宋体" w:cs="Times New Roman"/>
                <w:color w:val="auto"/>
                <w:kern w:val="0"/>
                <w:highlight w:val="none"/>
              </w:rPr>
              <w:t>，并配有清晰的图示，明确职工自救、互救方法，规定伤员转运途中的医护技术要求，制定医护人员的常规值班表、详细地址和联络途径，确定现场急救点并设置明显标志。</w:t>
            </w:r>
          </w:p>
          <w:p w14:paraId="57B1B838">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⑦人员撤离计划</w:t>
            </w:r>
          </w:p>
          <w:p w14:paraId="23F371E3">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包括人员紧急撤离、疏散，应急剂量控制及撤离组织计划，明确事故现场、工厂邻近区域、受事故影响的区域人员及公众对毒物应急剂量控制规定，制定医疗救护程序。详细规定事故情况下紧急集结点及周边居民区的紧急集结点，确定紧急事故情况下的安全疏散路线。</w:t>
            </w:r>
          </w:p>
          <w:p w14:paraId="3FA3C089">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⑧事故应急救援关闭程序与恢复措施</w:t>
            </w:r>
          </w:p>
          <w:p w14:paraId="45A4339B">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规定应急状态终止程序，提出事故现场善后处理和恢复措施及邻近区域解除事故警戒及善后恢复措施。</w:t>
            </w:r>
          </w:p>
          <w:p w14:paraId="0DC9B04D">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⑨应急培训计划</w:t>
            </w:r>
          </w:p>
          <w:p w14:paraId="1EE3258E">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应急计划制定后，要定期安排人员进行培训与演练，必要时包括附近的工业企业。</w:t>
            </w:r>
          </w:p>
          <w:p w14:paraId="21646EAD">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⑩公众教育和信息</w:t>
            </w:r>
          </w:p>
          <w:p w14:paraId="543DB646">
            <w:pPr>
              <w:widowControl/>
              <w:spacing w:line="360" w:lineRule="auto"/>
              <w:ind w:firstLine="480" w:firstLineChars="200"/>
              <w:jc w:val="left"/>
              <w:rPr>
                <w:rFonts w:hint="default" w:ascii="Times New Roman" w:hAnsi="Times New Roman" w:eastAsia="宋体" w:cs="Times New Roman"/>
                <w:color w:val="auto"/>
                <w:kern w:val="0"/>
                <w:highlight w:val="none"/>
              </w:rPr>
            </w:pPr>
            <w:r>
              <w:rPr>
                <w:rFonts w:hint="default" w:ascii="Times New Roman" w:hAnsi="Times New Roman" w:eastAsia="宋体" w:cs="Times New Roman"/>
                <w:color w:val="auto"/>
                <w:kern w:val="0"/>
                <w:highlight w:val="none"/>
              </w:rPr>
              <w:t>对工厂邻近地区开展公众教育、培训和发布有关信息。</w:t>
            </w:r>
          </w:p>
          <w:p w14:paraId="20345A5D">
            <w:pPr>
              <w:spacing w:line="360" w:lineRule="auto"/>
              <w:ind w:firstLine="482" w:firstLineChars="200"/>
              <w:rPr>
                <w:rFonts w:hint="default" w:ascii="Times New Roman" w:hAnsi="Times New Roman" w:eastAsia="宋体" w:cs="Times New Roman"/>
                <w:b/>
                <w:bCs/>
                <w:color w:val="auto"/>
                <w:szCs w:val="32"/>
                <w:highlight w:val="none"/>
              </w:rPr>
            </w:pPr>
            <w:r>
              <w:rPr>
                <w:rFonts w:hint="default" w:ascii="Times New Roman" w:hAnsi="Times New Roman" w:eastAsia="宋体" w:cs="Times New Roman"/>
                <w:b/>
                <w:bCs/>
                <w:color w:val="auto"/>
                <w:szCs w:val="32"/>
                <w:highlight w:val="none"/>
              </w:rPr>
              <w:t>8、环境风险分析结论</w:t>
            </w:r>
          </w:p>
          <w:p w14:paraId="2A5DFCFE">
            <w:pPr>
              <w:spacing w:line="360" w:lineRule="auto"/>
              <w:ind w:firstLine="480" w:firstLineChars="200"/>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szCs w:val="32"/>
                <w:highlight w:val="none"/>
              </w:rPr>
              <w:t>综上所述，项目运营过程存在着一定的环境风险，但只要加强管理，建立健全相应的风险防范管理、应急措施，并在设计、实施、管理及运行中认真落实安全措施和相关安全生产管理规定、消防规定和相关环保规定，制定相应的事故应急预案，一旦发生事故，将环境污染降至最低程度。</w:t>
            </w:r>
          </w:p>
          <w:p w14:paraId="54E79528">
            <w:pPr>
              <w:spacing w:line="360" w:lineRule="auto"/>
              <w:ind w:firstLine="480" w:firstLineChars="200"/>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szCs w:val="32"/>
                <w:highlight w:val="none"/>
              </w:rPr>
              <w:t>本项目风险评价结论：项目存在一定风险隐患，但风险较小，处于环境可防控的水平，项目的风险防范措施可行。</w:t>
            </w:r>
          </w:p>
          <w:p w14:paraId="378FDC2D">
            <w:pPr>
              <w:adjustRightInd w:val="0"/>
              <w:snapToGrid w:val="0"/>
              <w:spacing w:line="360" w:lineRule="auto"/>
              <w:ind w:firstLine="482" w:firstLineChars="200"/>
              <w:rPr>
                <w:rFonts w:hint="default" w:ascii="Times New Roman" w:hAnsi="Times New Roman" w:eastAsia="宋体" w:cs="Times New Roman"/>
                <w:b/>
                <w:bCs/>
                <w:color w:val="auto"/>
                <w:szCs w:val="32"/>
                <w:highlight w:val="none"/>
              </w:rPr>
            </w:pPr>
            <w:r>
              <w:rPr>
                <w:rFonts w:hint="default" w:ascii="Times New Roman" w:hAnsi="Times New Roman" w:eastAsia="宋体" w:cs="Times New Roman"/>
                <w:b/>
                <w:bCs/>
                <w:color w:val="auto"/>
                <w:szCs w:val="32"/>
                <w:highlight w:val="none"/>
              </w:rPr>
              <w:t>4.2.</w:t>
            </w:r>
            <w:r>
              <w:rPr>
                <w:rFonts w:hint="eastAsia" w:cs="Times New Roman"/>
                <w:b/>
                <w:bCs/>
                <w:color w:val="auto"/>
                <w:szCs w:val="32"/>
                <w:highlight w:val="none"/>
                <w:lang w:val="en-US" w:eastAsia="zh-CN"/>
              </w:rPr>
              <w:t>8</w:t>
            </w:r>
            <w:r>
              <w:rPr>
                <w:rFonts w:hint="default" w:ascii="Times New Roman" w:hAnsi="Times New Roman" w:eastAsia="宋体" w:cs="Times New Roman"/>
                <w:b/>
                <w:bCs/>
                <w:color w:val="auto"/>
                <w:szCs w:val="32"/>
                <w:highlight w:val="none"/>
              </w:rPr>
              <w:t>环保措施及投资</w:t>
            </w:r>
          </w:p>
          <w:p w14:paraId="6EB6F036">
            <w:pPr>
              <w:adjustRightInd w:val="0"/>
              <w:snapToGrid w:val="0"/>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bCs/>
                <w:color w:val="auto"/>
                <w:highlight w:val="none"/>
              </w:rPr>
              <w:t>本项目总投资</w:t>
            </w:r>
            <w:r>
              <w:rPr>
                <w:rFonts w:hint="eastAsia" w:cs="Times New Roman"/>
                <w:color w:val="auto"/>
                <w:highlight w:val="none"/>
                <w:lang w:val="en-US" w:eastAsia="zh-CN"/>
              </w:rPr>
              <w:t>285</w:t>
            </w:r>
            <w:r>
              <w:rPr>
                <w:rFonts w:hint="default" w:ascii="Times New Roman" w:hAnsi="Times New Roman" w:eastAsia="宋体" w:cs="Times New Roman"/>
                <w:color w:val="auto"/>
                <w:highlight w:val="none"/>
                <w:lang w:eastAsia="zh-CN"/>
              </w:rPr>
              <w:t>万</w:t>
            </w:r>
            <w:r>
              <w:rPr>
                <w:rFonts w:hint="default" w:ascii="Times New Roman" w:hAnsi="Times New Roman" w:eastAsia="宋体" w:cs="Times New Roman"/>
                <w:bCs/>
                <w:color w:val="auto"/>
                <w:highlight w:val="none"/>
              </w:rPr>
              <w:t>元，其中环保投资为</w:t>
            </w:r>
            <w:r>
              <w:rPr>
                <w:rFonts w:hint="eastAsia" w:cs="Times New Roman"/>
                <w:bCs/>
                <w:color w:val="auto"/>
                <w:highlight w:val="none"/>
                <w:lang w:val="en-US" w:eastAsia="zh-CN"/>
              </w:rPr>
              <w:t>44.5</w:t>
            </w:r>
            <w:r>
              <w:rPr>
                <w:rFonts w:hint="default" w:ascii="Times New Roman" w:hAnsi="Times New Roman" w:eastAsia="宋体" w:cs="Times New Roman"/>
                <w:bCs/>
                <w:color w:val="auto"/>
                <w:highlight w:val="none"/>
              </w:rPr>
              <w:t>元，</w:t>
            </w:r>
            <w:r>
              <w:rPr>
                <w:rFonts w:hint="default" w:ascii="Times New Roman" w:hAnsi="Times New Roman" w:eastAsia="宋体" w:cs="Times New Roman"/>
                <w:color w:val="auto"/>
                <w:highlight w:val="none"/>
              </w:rPr>
              <w:t>环保投入占项目总投资比例</w:t>
            </w:r>
            <w:r>
              <w:rPr>
                <w:rFonts w:hint="eastAsia" w:cs="Times New Roman"/>
                <w:color w:val="auto"/>
                <w:highlight w:val="none"/>
                <w:lang w:val="en-US" w:eastAsia="zh-CN"/>
              </w:rPr>
              <w:t>15.6</w:t>
            </w:r>
            <w:r>
              <w:rPr>
                <w:rFonts w:hint="default" w:ascii="Times New Roman" w:hAnsi="Times New Roman" w:eastAsia="宋体" w:cs="Times New Roman"/>
                <w:color w:val="auto"/>
                <w:highlight w:val="none"/>
              </w:rPr>
              <w:t>%，项目污染物治理措施及投资估算情况见下表。</w:t>
            </w:r>
          </w:p>
          <w:p w14:paraId="12D9BAE6">
            <w:pPr>
              <w:pStyle w:val="15"/>
              <w:numPr>
                <w:ilvl w:val="0"/>
                <w:numId w:val="19"/>
              </w:numPr>
              <w:ind w:left="425" w:leftChars="0" w:right="113" w:rightChars="0" w:hanging="425" w:firstLineChars="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 xml:space="preserve"> 主要环保设施及投资估算一览表</w:t>
            </w:r>
          </w:p>
          <w:tbl>
            <w:tblPr>
              <w:tblStyle w:val="32"/>
              <w:tblW w:w="807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04"/>
              <w:gridCol w:w="606"/>
              <w:gridCol w:w="628"/>
              <w:gridCol w:w="1646"/>
              <w:gridCol w:w="3657"/>
              <w:gridCol w:w="835"/>
            </w:tblGrid>
            <w:tr w14:paraId="6354A01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Align w:val="center"/>
                </w:tcPr>
                <w:p w14:paraId="0F399074">
                  <w:pPr>
                    <w:widowControl/>
                    <w:kinsoku w:val="0"/>
                    <w:autoSpaceDE w:val="0"/>
                    <w:autoSpaceDN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时段</w:t>
                  </w:r>
                </w:p>
              </w:tc>
              <w:tc>
                <w:tcPr>
                  <w:tcW w:w="1234" w:type="dxa"/>
                  <w:gridSpan w:val="2"/>
                  <w:vAlign w:val="center"/>
                </w:tcPr>
                <w:p w14:paraId="799E2ABD">
                  <w:pPr>
                    <w:widowControl/>
                    <w:kinsoku w:val="0"/>
                    <w:autoSpaceDE w:val="0"/>
                    <w:autoSpaceDN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w:t>
                  </w:r>
                </w:p>
              </w:tc>
              <w:tc>
                <w:tcPr>
                  <w:tcW w:w="1646" w:type="dxa"/>
                  <w:vAlign w:val="center"/>
                </w:tcPr>
                <w:p w14:paraId="0F9C1835">
                  <w:pPr>
                    <w:widowControl/>
                    <w:kinsoku w:val="0"/>
                    <w:autoSpaceDE w:val="0"/>
                    <w:autoSpaceDN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污染物内容</w:t>
                  </w:r>
                </w:p>
              </w:tc>
              <w:tc>
                <w:tcPr>
                  <w:tcW w:w="3657" w:type="dxa"/>
                  <w:vAlign w:val="center"/>
                </w:tcPr>
                <w:p w14:paraId="5B0533D6">
                  <w:pPr>
                    <w:widowControl/>
                    <w:kinsoku w:val="0"/>
                    <w:autoSpaceDE w:val="0"/>
                    <w:autoSpaceDN w:val="0"/>
                    <w:adjustRightInd w:val="0"/>
                    <w:snapToGrid w:val="0"/>
                    <w:jc w:val="center"/>
                    <w:textAlignment w:val="baseline"/>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污染治理措施</w:t>
                  </w:r>
                </w:p>
              </w:tc>
              <w:tc>
                <w:tcPr>
                  <w:tcW w:w="835" w:type="dxa"/>
                  <w:vAlign w:val="center"/>
                </w:tcPr>
                <w:p w14:paraId="6D49BBCD">
                  <w:pPr>
                    <w:widowControl/>
                    <w:kinsoku w:val="0"/>
                    <w:autoSpaceDE w:val="0"/>
                    <w:autoSpaceDN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投资</w:t>
                  </w:r>
                </w:p>
                <w:p w14:paraId="53C3F125">
                  <w:pPr>
                    <w:widowControl/>
                    <w:kinsoku w:val="0"/>
                    <w:autoSpaceDE w:val="0"/>
                    <w:autoSpaceDN w:val="0"/>
                    <w:adjustRightInd w:val="0"/>
                    <w:snapToGrid w:val="0"/>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(万元</w:t>
                  </w:r>
                  <w:r>
                    <w:rPr>
                      <w:rFonts w:hint="eastAsia" w:cs="Times New Roman"/>
                      <w:b/>
                      <w:bCs/>
                      <w:color w:val="auto"/>
                      <w:sz w:val="21"/>
                      <w:szCs w:val="21"/>
                      <w:highlight w:val="none"/>
                      <w:lang w:eastAsia="zh-CN"/>
                    </w:rPr>
                    <w:t>）</w:t>
                  </w:r>
                </w:p>
              </w:tc>
            </w:tr>
            <w:tr w14:paraId="118A6C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restart"/>
                  <w:vAlign w:val="center"/>
                </w:tcPr>
                <w:p w14:paraId="39FE76CD">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施工期</w:t>
                  </w:r>
                </w:p>
              </w:tc>
              <w:tc>
                <w:tcPr>
                  <w:tcW w:w="1234" w:type="dxa"/>
                  <w:gridSpan w:val="2"/>
                  <w:vAlign w:val="center"/>
                </w:tcPr>
                <w:p w14:paraId="3C29607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废水治理</w:t>
                  </w:r>
                </w:p>
              </w:tc>
              <w:tc>
                <w:tcPr>
                  <w:tcW w:w="1646" w:type="dxa"/>
                  <w:vAlign w:val="center"/>
                </w:tcPr>
                <w:p w14:paraId="6692BB5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3657" w:type="dxa"/>
                  <w:vAlign w:val="center"/>
                </w:tcPr>
                <w:p w14:paraId="2D1011CE">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经自建化粪池或依托周边农户的化粪池预处理后，用于农用施肥</w:t>
                  </w:r>
                </w:p>
              </w:tc>
              <w:tc>
                <w:tcPr>
                  <w:tcW w:w="835" w:type="dxa"/>
                  <w:vAlign w:val="center"/>
                </w:tcPr>
                <w:p w14:paraId="4F4D036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r>
            <w:tr w14:paraId="50F581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262C5B8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Align w:val="center"/>
                </w:tcPr>
                <w:p w14:paraId="1E868C7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废气治理</w:t>
                  </w:r>
                </w:p>
              </w:tc>
              <w:tc>
                <w:tcPr>
                  <w:tcW w:w="1646" w:type="dxa"/>
                  <w:vAlign w:val="center"/>
                </w:tcPr>
                <w:p w14:paraId="5A27600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扬尘防护</w:t>
                  </w:r>
                </w:p>
              </w:tc>
              <w:tc>
                <w:tcPr>
                  <w:tcW w:w="3657" w:type="dxa"/>
                  <w:vAlign w:val="center"/>
                </w:tcPr>
                <w:p w14:paraId="0C29DEE7">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设置围挡、洒水降尘、清扫施工场地等</w:t>
                  </w:r>
                </w:p>
              </w:tc>
              <w:tc>
                <w:tcPr>
                  <w:tcW w:w="835" w:type="dxa"/>
                  <w:vAlign w:val="center"/>
                </w:tcPr>
                <w:p w14:paraId="49E2C9D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r>
            <w:tr w14:paraId="2E572F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288356C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Align w:val="center"/>
                </w:tcPr>
                <w:p w14:paraId="66DFC04B">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噪声治理</w:t>
                  </w:r>
                </w:p>
              </w:tc>
              <w:tc>
                <w:tcPr>
                  <w:tcW w:w="1646" w:type="dxa"/>
                  <w:vAlign w:val="center"/>
                </w:tcPr>
                <w:p w14:paraId="4CA4894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3657" w:type="dxa"/>
                  <w:vAlign w:val="center"/>
                </w:tcPr>
                <w:p w14:paraId="33A3FC6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合理安排施工计划，加强管理，封闭施工现场等，禁止夜间施工</w:t>
                  </w:r>
                </w:p>
              </w:tc>
              <w:tc>
                <w:tcPr>
                  <w:tcW w:w="835" w:type="dxa"/>
                  <w:vAlign w:val="center"/>
                </w:tcPr>
                <w:p w14:paraId="502A6BA1">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r>
            <w:tr w14:paraId="7615BA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18903562">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Align w:val="center"/>
                </w:tcPr>
                <w:p w14:paraId="56CCFD7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固体废物处置</w:t>
                  </w:r>
                </w:p>
              </w:tc>
              <w:tc>
                <w:tcPr>
                  <w:tcW w:w="1646" w:type="dxa"/>
                  <w:vAlign w:val="center"/>
                </w:tcPr>
                <w:p w14:paraId="0929D4C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施工固废</w:t>
                  </w:r>
                </w:p>
              </w:tc>
              <w:tc>
                <w:tcPr>
                  <w:tcW w:w="3657" w:type="dxa"/>
                  <w:vAlign w:val="center"/>
                </w:tcPr>
                <w:p w14:paraId="2E38D5B8">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建筑垃圾运至城建部门制定的地点堆放；生活垃圾由环卫部门统一处理</w:t>
                  </w:r>
                </w:p>
              </w:tc>
              <w:tc>
                <w:tcPr>
                  <w:tcW w:w="835" w:type="dxa"/>
                  <w:vAlign w:val="center"/>
                </w:tcPr>
                <w:p w14:paraId="1540EEEF">
                  <w:pPr>
                    <w:widowControl/>
                    <w:kinsoku w:val="0"/>
                    <w:autoSpaceDE w:val="0"/>
                    <w:autoSpaceDN w:val="0"/>
                    <w:adjustRightInd w:val="0"/>
                    <w:snapToGrid w:val="0"/>
                    <w:jc w:val="center"/>
                    <w:textAlignment w:val="baseline"/>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2</w:t>
                  </w:r>
                </w:p>
              </w:tc>
            </w:tr>
            <w:tr w14:paraId="1D831A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5603C1C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2880" w:type="dxa"/>
                  <w:gridSpan w:val="3"/>
                  <w:vAlign w:val="center"/>
                </w:tcPr>
                <w:p w14:paraId="1AA189B1">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生态环境保护</w:t>
                  </w:r>
                </w:p>
              </w:tc>
              <w:tc>
                <w:tcPr>
                  <w:tcW w:w="3657" w:type="dxa"/>
                  <w:vAlign w:val="center"/>
                </w:tcPr>
                <w:p w14:paraId="140BB4A1">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施工范围应控制在占地范围内，施工人员不得无故上至贡嘎山风景名胜区一般控制区进行活动</w:t>
                  </w:r>
                </w:p>
              </w:tc>
              <w:tc>
                <w:tcPr>
                  <w:tcW w:w="835" w:type="dxa"/>
                  <w:vAlign w:val="center"/>
                </w:tcPr>
                <w:p w14:paraId="7C874E1F">
                  <w:pPr>
                    <w:widowControl/>
                    <w:kinsoku w:val="0"/>
                    <w:autoSpaceDE w:val="0"/>
                    <w:autoSpaceDN w:val="0"/>
                    <w:adjustRightInd w:val="0"/>
                    <w:snapToGrid w:val="0"/>
                    <w:jc w:val="center"/>
                    <w:textAlignment w:val="baseline"/>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502721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restart"/>
                  <w:vAlign w:val="center"/>
                </w:tcPr>
                <w:p w14:paraId="3ACC765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营运期</w:t>
                  </w:r>
                </w:p>
              </w:tc>
              <w:tc>
                <w:tcPr>
                  <w:tcW w:w="1234" w:type="dxa"/>
                  <w:gridSpan w:val="2"/>
                  <w:vAlign w:val="center"/>
                </w:tcPr>
                <w:p w14:paraId="5E9B041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废水治理</w:t>
                  </w:r>
                </w:p>
              </w:tc>
              <w:tc>
                <w:tcPr>
                  <w:tcW w:w="1646" w:type="dxa"/>
                  <w:vAlign w:val="center"/>
                </w:tcPr>
                <w:p w14:paraId="750CA6CA">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厂区综合废水</w:t>
                  </w:r>
                </w:p>
              </w:tc>
              <w:tc>
                <w:tcPr>
                  <w:tcW w:w="3657" w:type="dxa"/>
                  <w:vAlign w:val="center"/>
                </w:tcPr>
                <w:p w14:paraId="6FB5C46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自建污水处理站，设计处理规模为</w:t>
                  </w:r>
                  <w:r>
                    <w:rPr>
                      <w:rFonts w:hint="eastAsia"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/d。拟采用“格栅+隔油沉淀+调节池+一体化污水处理设施（厌氧+好氧+沉淀+消毒）”工艺，所有废水经处理达《肉类加工工业水污染物排放标准》（GB 13457-92）表3中畜类屠宰加工三级标准后由罐车运至污水处理厂进行处理</w:t>
                  </w:r>
                </w:p>
              </w:tc>
              <w:tc>
                <w:tcPr>
                  <w:tcW w:w="835" w:type="dxa"/>
                  <w:vAlign w:val="center"/>
                </w:tcPr>
                <w:p w14:paraId="1BCE261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w:t>
                  </w:r>
                </w:p>
              </w:tc>
            </w:tr>
            <w:tr w14:paraId="34A750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704" w:type="dxa"/>
                  <w:vMerge w:val="continue"/>
                  <w:vAlign w:val="center"/>
                </w:tcPr>
                <w:p w14:paraId="5C10A904">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Merge w:val="restart"/>
                  <w:vAlign w:val="center"/>
                </w:tcPr>
                <w:p w14:paraId="5D3C2022">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废气治理</w:t>
                  </w:r>
                </w:p>
              </w:tc>
              <w:tc>
                <w:tcPr>
                  <w:tcW w:w="1646" w:type="dxa"/>
                  <w:vAlign w:val="center"/>
                </w:tcPr>
                <w:p w14:paraId="2BEA309E">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待宰区、屠宰区、污水处理站</w:t>
                  </w:r>
                  <w:r>
                    <w:rPr>
                      <w:rFonts w:hint="eastAsia" w:ascii="Times New Roman" w:hAnsi="Times New Roman" w:eastAsia="宋体" w:cs="Times New Roman"/>
                      <w:color w:val="auto"/>
                      <w:sz w:val="21"/>
                      <w:szCs w:val="21"/>
                      <w:highlight w:val="none"/>
                      <w:lang w:eastAsia="zh-CN"/>
                    </w:rPr>
                    <w:t>、猪粪、猪毛及肠内容物暂存间</w:t>
                  </w:r>
                  <w:r>
                    <w:rPr>
                      <w:rFonts w:hint="eastAsia" w:ascii="Times New Roman" w:hAnsi="Times New Roman" w:eastAsia="宋体" w:cs="Times New Roman"/>
                      <w:color w:val="auto"/>
                      <w:sz w:val="21"/>
                      <w:szCs w:val="21"/>
                      <w:highlight w:val="none"/>
                      <w:lang w:val="en-US" w:eastAsia="zh-CN"/>
                    </w:rPr>
                    <w:t>恶臭</w:t>
                  </w:r>
                </w:p>
              </w:tc>
              <w:tc>
                <w:tcPr>
                  <w:tcW w:w="3657" w:type="dxa"/>
                  <w:vMerge w:val="restart"/>
                  <w:vAlign w:val="center"/>
                </w:tcPr>
                <w:p w14:paraId="7175A2B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密闭收集+碱液喷淋+活性炭吸附装置+15m高排气筒（DA001）</w:t>
                  </w:r>
                </w:p>
              </w:tc>
              <w:tc>
                <w:tcPr>
                  <w:tcW w:w="835" w:type="dxa"/>
                  <w:vMerge w:val="restart"/>
                  <w:vAlign w:val="center"/>
                </w:tcPr>
                <w:p w14:paraId="38E49A38">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14</w:t>
                  </w:r>
                </w:p>
              </w:tc>
            </w:tr>
            <w:tr w14:paraId="3367CA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704" w:type="dxa"/>
                  <w:vMerge w:val="continue"/>
                  <w:vAlign w:val="center"/>
                </w:tcPr>
                <w:p w14:paraId="21220A6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Merge w:val="continue"/>
                  <w:vAlign w:val="center"/>
                </w:tcPr>
                <w:p w14:paraId="730B01B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vAlign w:val="center"/>
                </w:tcPr>
                <w:p w14:paraId="794AE23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污水处理站厌氧池</w:t>
                  </w:r>
                  <w:r>
                    <w:rPr>
                      <w:rFonts w:hint="eastAsia" w:cs="Times New Roman"/>
                      <w:color w:val="auto"/>
                      <w:sz w:val="21"/>
                      <w:szCs w:val="21"/>
                      <w:highlight w:val="none"/>
                      <w:lang w:val="en-US" w:eastAsia="zh-CN"/>
                    </w:rPr>
                    <w:t>产生的沼气</w:t>
                  </w:r>
                </w:p>
              </w:tc>
              <w:tc>
                <w:tcPr>
                  <w:tcW w:w="3657" w:type="dxa"/>
                  <w:vMerge w:val="continue"/>
                  <w:vAlign w:val="center"/>
                </w:tcPr>
                <w:p w14:paraId="5A3EFCFB">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35" w:type="dxa"/>
                  <w:vMerge w:val="continue"/>
                  <w:vAlign w:val="center"/>
                </w:tcPr>
                <w:p w14:paraId="71A59627">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r>
            <w:tr w14:paraId="57F797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1C5C326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2880" w:type="dxa"/>
                  <w:gridSpan w:val="3"/>
                  <w:vAlign w:val="center"/>
                </w:tcPr>
                <w:p w14:paraId="4959EBB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3657" w:type="dxa"/>
                  <w:vAlign w:val="center"/>
                </w:tcPr>
                <w:p w14:paraId="33140CE8">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选用低噪设备，高噪音设备基座设置减振垫、采用软性连接、厂房隔声等</w:t>
                  </w:r>
                </w:p>
              </w:tc>
              <w:tc>
                <w:tcPr>
                  <w:tcW w:w="835" w:type="dxa"/>
                  <w:vAlign w:val="center"/>
                </w:tcPr>
                <w:p w14:paraId="5A31D7AE">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r>
            <w:tr w14:paraId="773BA8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6290817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restart"/>
                  <w:vAlign w:val="center"/>
                </w:tcPr>
                <w:p w14:paraId="6EE6E61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固体废物</w:t>
                  </w:r>
                </w:p>
              </w:tc>
              <w:tc>
                <w:tcPr>
                  <w:tcW w:w="628" w:type="dxa"/>
                  <w:vMerge w:val="restart"/>
                  <w:textDirection w:val="tbRlV"/>
                  <w:vAlign w:val="center"/>
                </w:tcPr>
                <w:p w14:paraId="5378D5C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一般固体废物</w:t>
                  </w:r>
                </w:p>
              </w:tc>
              <w:tc>
                <w:tcPr>
                  <w:tcW w:w="1646" w:type="dxa"/>
                  <w:shd w:val="clear" w:color="auto" w:fill="auto"/>
                  <w:vAlign w:val="center"/>
                </w:tcPr>
                <w:p w14:paraId="6010338B">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生活垃圾</w:t>
                  </w:r>
                </w:p>
              </w:tc>
              <w:tc>
                <w:tcPr>
                  <w:tcW w:w="3657" w:type="dxa"/>
                  <w:shd w:val="clear" w:color="auto" w:fill="auto"/>
                  <w:vAlign w:val="center"/>
                </w:tcPr>
                <w:p w14:paraId="0D5931EF">
                  <w:pPr>
                    <w:widowControl/>
                    <w:kinsoku w:val="0"/>
                    <w:autoSpaceDE w:val="0"/>
                    <w:autoSpaceDN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厂区垃圾桶收集后，</w:t>
                  </w:r>
                  <w:r>
                    <w:rPr>
                      <w:rFonts w:hint="default" w:ascii="Times New Roman" w:hAnsi="Times New Roman" w:eastAsia="宋体" w:cs="Times New Roman"/>
                      <w:color w:val="auto"/>
                      <w:sz w:val="21"/>
                      <w:szCs w:val="21"/>
                      <w:highlight w:val="none"/>
                    </w:rPr>
                    <w:t>由环卫部门统一清运处置</w:t>
                  </w:r>
                  <w:r>
                    <w:rPr>
                      <w:rFonts w:hint="default" w:ascii="Times New Roman" w:hAnsi="Times New Roman" w:eastAsia="宋体" w:cs="Times New Roman"/>
                      <w:color w:val="auto"/>
                      <w:sz w:val="21"/>
                      <w:szCs w:val="21"/>
                      <w:highlight w:val="none"/>
                      <w:lang w:eastAsia="zh-CN"/>
                    </w:rPr>
                    <w:t>。</w:t>
                  </w:r>
                </w:p>
              </w:tc>
              <w:tc>
                <w:tcPr>
                  <w:tcW w:w="835" w:type="dxa"/>
                  <w:vMerge w:val="restart"/>
                  <w:vAlign w:val="center"/>
                </w:tcPr>
                <w:p w14:paraId="73AE07E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2</w:t>
                  </w:r>
                </w:p>
              </w:tc>
            </w:tr>
            <w:tr w14:paraId="5064B7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704" w:type="dxa"/>
                  <w:vMerge w:val="continue"/>
                  <w:vAlign w:val="center"/>
                </w:tcPr>
                <w:p w14:paraId="3C268EC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48A613CE">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5B213EE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shd w:val="clear" w:color="auto" w:fill="auto"/>
                  <w:vAlign w:val="center"/>
                </w:tcPr>
                <w:p w14:paraId="268E0627">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rPr>
                    <w:t>病死猪、不合格胴体及内脏</w:t>
                  </w:r>
                </w:p>
              </w:tc>
              <w:tc>
                <w:tcPr>
                  <w:tcW w:w="3657" w:type="dxa"/>
                  <w:shd w:val="clear" w:color="auto" w:fill="auto"/>
                  <w:vAlign w:val="center"/>
                </w:tcPr>
                <w:p w14:paraId="23E7BB4D">
                  <w:pPr>
                    <w:widowControl/>
                    <w:kinsoku w:val="0"/>
                    <w:autoSpaceDE w:val="0"/>
                    <w:autoSpaceDN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在厂区病体间暂存，委托成都市科农动物无害化处置有限公司进行集中处置</w:t>
                  </w:r>
                </w:p>
              </w:tc>
              <w:tc>
                <w:tcPr>
                  <w:tcW w:w="835" w:type="dxa"/>
                  <w:vMerge w:val="continue"/>
                  <w:vAlign w:val="center"/>
                </w:tcPr>
                <w:p w14:paraId="4E47BA61">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0622BA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304A5DB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7F2D4B24">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4BCF5277">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tcBorders>
                    <w:top w:val="single" w:color="auto" w:sz="4" w:space="0"/>
                    <w:bottom w:val="single" w:color="000000" w:sz="8" w:space="0"/>
                  </w:tcBorders>
                  <w:shd w:val="clear" w:color="auto" w:fill="auto"/>
                  <w:vAlign w:val="center"/>
                </w:tcPr>
                <w:p w14:paraId="5345997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粪便及肠胃内容物</w:t>
                  </w:r>
                </w:p>
              </w:tc>
              <w:tc>
                <w:tcPr>
                  <w:tcW w:w="3657" w:type="dxa"/>
                  <w:tcBorders>
                    <w:top w:val="single" w:color="auto" w:sz="4" w:space="0"/>
                    <w:bottom w:val="single" w:color="000000" w:sz="8" w:space="0"/>
                  </w:tcBorders>
                  <w:vAlign w:val="center"/>
                </w:tcPr>
                <w:p w14:paraId="7013C31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收集于专用密闭桶内，与粪便一同暂存于猪粪、猪毛及肠内容物暂存间，由附近村民运走做肥料，做到日产日清。</w:t>
                  </w:r>
                </w:p>
              </w:tc>
              <w:tc>
                <w:tcPr>
                  <w:tcW w:w="835" w:type="dxa"/>
                  <w:vMerge w:val="continue"/>
                  <w:vAlign w:val="center"/>
                </w:tcPr>
                <w:p w14:paraId="27131B7D">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3C275B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7BC9A2C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27B2963D">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3EC27D8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tcBorders>
                    <w:top w:val="single" w:color="000000" w:sz="8" w:space="0"/>
                    <w:bottom w:val="single" w:color="auto" w:sz="4" w:space="0"/>
                  </w:tcBorders>
                  <w:shd w:val="clear" w:color="auto" w:fill="auto"/>
                  <w:vAlign w:val="center"/>
                </w:tcPr>
                <w:p w14:paraId="487A581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不可食用内脏和碎肉渣</w:t>
                  </w:r>
                </w:p>
              </w:tc>
              <w:tc>
                <w:tcPr>
                  <w:tcW w:w="3657" w:type="dxa"/>
                  <w:tcBorders>
                    <w:top w:val="single" w:color="000000" w:sz="8" w:space="0"/>
                    <w:bottom w:val="single" w:color="auto" w:sz="4" w:space="0"/>
                  </w:tcBorders>
                  <w:vAlign w:val="center"/>
                </w:tcPr>
                <w:p w14:paraId="52DEB26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分类收集后</w:t>
                  </w:r>
                  <w:r>
                    <w:rPr>
                      <w:rFonts w:hint="default" w:ascii="Times New Roman" w:hAnsi="Times New Roman" w:eastAsia="宋体" w:cs="Times New Roman"/>
                      <w:color w:val="auto"/>
                      <w:sz w:val="21"/>
                      <w:szCs w:val="21"/>
                      <w:highlight w:val="none"/>
                      <w:lang w:val="en-US" w:eastAsia="zh-CN"/>
                    </w:rPr>
                    <w:t>外售饲料加工企业生产饲料</w:t>
                  </w:r>
                </w:p>
              </w:tc>
              <w:tc>
                <w:tcPr>
                  <w:tcW w:w="835" w:type="dxa"/>
                  <w:vMerge w:val="continue"/>
                  <w:vAlign w:val="center"/>
                </w:tcPr>
                <w:p w14:paraId="515E7E3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7C1C4B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1624D16A">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6566D7A4">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1149422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tcBorders>
                    <w:top w:val="single" w:color="auto" w:sz="4" w:space="0"/>
                    <w:bottom w:val="single" w:color="auto" w:sz="4" w:space="0"/>
                  </w:tcBorders>
                  <w:vAlign w:val="center"/>
                </w:tcPr>
                <w:p w14:paraId="7E30586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厂区污水站格栅渣及污泥</w:t>
                  </w:r>
                </w:p>
              </w:tc>
              <w:tc>
                <w:tcPr>
                  <w:tcW w:w="3657" w:type="dxa"/>
                  <w:vMerge w:val="restart"/>
                  <w:tcBorders>
                    <w:top w:val="single" w:color="auto" w:sz="4" w:space="0"/>
                  </w:tcBorders>
                  <w:vAlign w:val="center"/>
                </w:tcPr>
                <w:p w14:paraId="5144EC4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定期清掏后交环卫部门处置，不在厂内储存</w:t>
                  </w:r>
                </w:p>
              </w:tc>
              <w:tc>
                <w:tcPr>
                  <w:tcW w:w="835" w:type="dxa"/>
                  <w:vMerge w:val="continue"/>
                  <w:vAlign w:val="center"/>
                </w:tcPr>
                <w:p w14:paraId="43EF310B">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5B5B0F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46DAEF9D">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4274652A">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6312364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tcBorders>
                    <w:top w:val="single" w:color="auto" w:sz="4" w:space="0"/>
                  </w:tcBorders>
                  <w:vAlign w:val="center"/>
                </w:tcPr>
                <w:p w14:paraId="4597800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废油脂</w:t>
                  </w:r>
                </w:p>
              </w:tc>
              <w:tc>
                <w:tcPr>
                  <w:tcW w:w="3657" w:type="dxa"/>
                  <w:vMerge w:val="continue"/>
                  <w:vAlign w:val="center"/>
                </w:tcPr>
                <w:p w14:paraId="2CD58CC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835" w:type="dxa"/>
                  <w:vMerge w:val="continue"/>
                  <w:vAlign w:val="center"/>
                </w:tcPr>
                <w:p w14:paraId="5CDAD241">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12828F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3" w:hRule="atLeast"/>
              </w:trPr>
              <w:tc>
                <w:tcPr>
                  <w:tcW w:w="704" w:type="dxa"/>
                  <w:vMerge w:val="continue"/>
                  <w:vAlign w:val="center"/>
                </w:tcPr>
                <w:p w14:paraId="1AB270A2">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29DFD547">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restart"/>
                  <w:textDirection w:val="tbRlV"/>
                  <w:vAlign w:val="center"/>
                </w:tcPr>
                <w:p w14:paraId="5D454B10">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危险废物</w:t>
                  </w:r>
                </w:p>
              </w:tc>
              <w:tc>
                <w:tcPr>
                  <w:tcW w:w="1646" w:type="dxa"/>
                  <w:tcBorders>
                    <w:bottom w:val="single" w:color="auto" w:sz="4" w:space="0"/>
                  </w:tcBorders>
                  <w:vAlign w:val="center"/>
                </w:tcPr>
                <w:p w14:paraId="1F3402B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废矿物油</w:t>
                  </w:r>
                </w:p>
              </w:tc>
              <w:tc>
                <w:tcPr>
                  <w:tcW w:w="3657" w:type="dxa"/>
                  <w:vMerge w:val="restart"/>
                  <w:vAlign w:val="center"/>
                </w:tcPr>
                <w:p w14:paraId="75F7DAAE">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分类收集后暂存危废暂存间，定期交由有资质单位处理。</w:t>
                  </w:r>
                </w:p>
              </w:tc>
              <w:tc>
                <w:tcPr>
                  <w:tcW w:w="835" w:type="dxa"/>
                  <w:vMerge w:val="restart"/>
                  <w:vAlign w:val="center"/>
                </w:tcPr>
                <w:p w14:paraId="4F76F9EB">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w:t>
                  </w:r>
                </w:p>
              </w:tc>
            </w:tr>
            <w:tr w14:paraId="39D98D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3BDD57F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083762E2">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63521C7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1646" w:type="dxa"/>
                  <w:tcBorders>
                    <w:bottom w:val="single" w:color="auto" w:sz="4" w:space="0"/>
                  </w:tcBorders>
                  <w:vAlign w:val="center"/>
                </w:tcPr>
                <w:p w14:paraId="21EB8D3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消毒剂废包装袋</w:t>
                  </w:r>
                </w:p>
              </w:tc>
              <w:tc>
                <w:tcPr>
                  <w:tcW w:w="3657" w:type="dxa"/>
                  <w:vMerge w:val="continue"/>
                  <w:vAlign w:val="center"/>
                </w:tcPr>
                <w:p w14:paraId="5417A723">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5" w:type="dxa"/>
                  <w:vMerge w:val="continue"/>
                  <w:vAlign w:val="center"/>
                </w:tcPr>
                <w:p w14:paraId="3AC1EF9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7B0547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402DE86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3CB4487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03E772E3">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1646" w:type="dxa"/>
                  <w:tcBorders>
                    <w:bottom w:val="single" w:color="auto" w:sz="4" w:space="0"/>
                  </w:tcBorders>
                  <w:vAlign w:val="center"/>
                </w:tcPr>
                <w:p w14:paraId="7E057BC4">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废活性炭</w:t>
                  </w:r>
                </w:p>
              </w:tc>
              <w:tc>
                <w:tcPr>
                  <w:tcW w:w="3657" w:type="dxa"/>
                  <w:vMerge w:val="continue"/>
                  <w:vAlign w:val="center"/>
                </w:tcPr>
                <w:p w14:paraId="1823264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5" w:type="dxa"/>
                  <w:vMerge w:val="continue"/>
                  <w:vAlign w:val="center"/>
                </w:tcPr>
                <w:p w14:paraId="796D5AA8">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3DFE62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Merge w:val="continue"/>
                  <w:vAlign w:val="center"/>
                </w:tcPr>
                <w:p w14:paraId="4F40CE0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06" w:type="dxa"/>
                  <w:vMerge w:val="continue"/>
                  <w:vAlign w:val="center"/>
                </w:tcPr>
                <w:p w14:paraId="4E489C2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628" w:type="dxa"/>
                  <w:vMerge w:val="continue"/>
                  <w:textDirection w:val="tbRlV"/>
                  <w:vAlign w:val="center"/>
                </w:tcPr>
                <w:p w14:paraId="05ADEF05">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p>
              </w:tc>
              <w:tc>
                <w:tcPr>
                  <w:tcW w:w="1646" w:type="dxa"/>
                  <w:tcBorders>
                    <w:bottom w:val="single" w:color="auto" w:sz="4" w:space="0"/>
                  </w:tcBorders>
                  <w:vAlign w:val="center"/>
                </w:tcPr>
                <w:p w14:paraId="49847642">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含油废抹布及废棉纱手套</w:t>
                  </w:r>
                </w:p>
              </w:tc>
              <w:tc>
                <w:tcPr>
                  <w:tcW w:w="3657" w:type="dxa"/>
                  <w:vMerge w:val="continue"/>
                  <w:vAlign w:val="center"/>
                </w:tcPr>
                <w:p w14:paraId="54AC1E6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835" w:type="dxa"/>
                  <w:vMerge w:val="continue"/>
                  <w:vAlign w:val="center"/>
                </w:tcPr>
                <w:p w14:paraId="23CC8E0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08ACD6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704" w:type="dxa"/>
                  <w:vMerge w:val="restart"/>
                  <w:vAlign w:val="center"/>
                </w:tcPr>
                <w:p w14:paraId="4FD0583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w:t>
                  </w:r>
                </w:p>
              </w:tc>
              <w:tc>
                <w:tcPr>
                  <w:tcW w:w="1234" w:type="dxa"/>
                  <w:gridSpan w:val="2"/>
                  <w:vMerge w:val="restart"/>
                  <w:vAlign w:val="center"/>
                </w:tcPr>
                <w:p w14:paraId="0A19955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营运期</w:t>
                  </w:r>
                </w:p>
              </w:tc>
              <w:tc>
                <w:tcPr>
                  <w:tcW w:w="1646" w:type="dxa"/>
                  <w:vMerge w:val="restart"/>
                  <w:vAlign w:val="center"/>
                </w:tcPr>
                <w:p w14:paraId="425F806D">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分区防渗</w:t>
                  </w:r>
                </w:p>
              </w:tc>
              <w:tc>
                <w:tcPr>
                  <w:tcW w:w="3657" w:type="dxa"/>
                  <w:vAlign w:val="center"/>
                </w:tcPr>
                <w:p w14:paraId="3561ADBF">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重点防渗区(危废暂存间、污水处理设施</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病体间、</w:t>
                  </w:r>
                  <w:r>
                    <w:rPr>
                      <w:rFonts w:hint="eastAsia" w:cs="Times New Roman"/>
                      <w:color w:val="auto"/>
                      <w:sz w:val="21"/>
                      <w:szCs w:val="21"/>
                      <w:highlight w:val="none"/>
                      <w:lang w:eastAsia="zh-CN"/>
                    </w:rPr>
                    <w:t>猪粪、猪毛及肠内容物暂存间、</w:t>
                  </w:r>
                  <w:r>
                    <w:rPr>
                      <w:rFonts w:hint="eastAsia" w:cs="Times New Roman"/>
                      <w:color w:val="auto"/>
                      <w:sz w:val="21"/>
                      <w:szCs w:val="21"/>
                      <w:highlight w:val="none"/>
                      <w:lang w:val="en-US" w:eastAsia="zh-CN"/>
                    </w:rPr>
                    <w:t>事故应急池</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：设置2mm厚HDPE防渗土工膜或其他人工防渗材料，或涂刷防腐、防渗涂料（等效黏土防渗层Mb≥6.0m，K≤1.0×10</w:t>
                  </w:r>
                  <w:r>
                    <w:rPr>
                      <w:rFonts w:hint="default" w:ascii="Times New Roman" w:hAnsi="Times New Roman" w:eastAsia="宋体" w:cs="Times New Roman"/>
                      <w:color w:val="auto"/>
                      <w:sz w:val="21"/>
                      <w:szCs w:val="21"/>
                      <w:highlight w:val="none"/>
                      <w:vertAlign w:val="superscript"/>
                    </w:rPr>
                    <w:t>-7</w:t>
                  </w:r>
                  <w:r>
                    <w:rPr>
                      <w:rFonts w:hint="default" w:ascii="Times New Roman" w:hAnsi="Times New Roman" w:eastAsia="宋体" w:cs="Times New Roman"/>
                      <w:color w:val="auto"/>
                      <w:sz w:val="21"/>
                      <w:szCs w:val="21"/>
                      <w:highlight w:val="none"/>
                    </w:rPr>
                    <w:t>cm/s，其中危险废物暂存间K≤1.0×10</w:t>
                  </w:r>
                  <w:r>
                    <w:rPr>
                      <w:rFonts w:hint="default" w:ascii="Times New Roman" w:hAnsi="Times New Roman" w:eastAsia="宋体" w:cs="Times New Roman"/>
                      <w:color w:val="auto"/>
                      <w:sz w:val="21"/>
                      <w:szCs w:val="21"/>
                      <w:highlight w:val="none"/>
                      <w:vertAlign w:val="superscript"/>
                    </w:rPr>
                    <w:t>-10</w:t>
                  </w:r>
                  <w:r>
                    <w:rPr>
                      <w:rFonts w:hint="default" w:ascii="Times New Roman" w:hAnsi="Times New Roman" w:eastAsia="宋体" w:cs="Times New Roman"/>
                      <w:color w:val="auto"/>
                      <w:sz w:val="21"/>
                      <w:szCs w:val="21"/>
                      <w:highlight w:val="none"/>
                    </w:rPr>
                    <w:t>cm/s）；</w:t>
                  </w:r>
                </w:p>
              </w:tc>
              <w:tc>
                <w:tcPr>
                  <w:tcW w:w="835" w:type="dxa"/>
                  <w:vMerge w:val="restart"/>
                  <w:vAlign w:val="center"/>
                </w:tcPr>
                <w:p w14:paraId="5270FD6B">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p>
              </w:tc>
            </w:tr>
            <w:tr w14:paraId="2C3ABC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704" w:type="dxa"/>
                  <w:vMerge w:val="continue"/>
                  <w:vAlign w:val="center"/>
                </w:tcPr>
                <w:p w14:paraId="3405D891">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Merge w:val="continue"/>
                  <w:vAlign w:val="center"/>
                </w:tcPr>
                <w:p w14:paraId="37272F2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vMerge w:val="continue"/>
                  <w:vAlign w:val="center"/>
                </w:tcPr>
                <w:p w14:paraId="7C4E21AD">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3657" w:type="dxa"/>
                  <w:vAlign w:val="center"/>
                </w:tcPr>
                <w:p w14:paraId="6D609D7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一般防渗区(</w:t>
                  </w:r>
                  <w:r>
                    <w:rPr>
                      <w:rFonts w:hint="default" w:ascii="Times New Roman" w:hAnsi="Times New Roman" w:eastAsia="宋体" w:cs="Times New Roman"/>
                      <w:color w:val="auto"/>
                      <w:kern w:val="0"/>
                      <w:sz w:val="21"/>
                      <w:szCs w:val="21"/>
                      <w:highlight w:val="none"/>
                      <w:lang w:eastAsia="zh-CN"/>
                    </w:rPr>
                    <w:t>除重点防渗区、简单防渗区外的其他区域</w:t>
                  </w:r>
                  <w:r>
                    <w:rPr>
                      <w:rFonts w:hint="eastAsia" w:cs="Times New Roman"/>
                      <w:color w:val="auto"/>
                      <w:kern w:val="0"/>
                      <w:sz w:val="21"/>
                      <w:szCs w:val="21"/>
                      <w:highlight w:val="none"/>
                      <w:lang w:eastAsia="zh-CN"/>
                    </w:rPr>
                    <w:t>）</w:t>
                  </w:r>
                  <w:r>
                    <w:rPr>
                      <w:rFonts w:hint="default" w:ascii="Times New Roman" w:hAnsi="Times New Roman" w:eastAsia="宋体" w:cs="Times New Roman"/>
                      <w:color w:val="auto"/>
                      <w:sz w:val="21"/>
                      <w:szCs w:val="21"/>
                      <w:highlight w:val="none"/>
                    </w:rPr>
                    <w:t>：地面采用防渗混凝土，等效黏土防渗层厚度≥1.5m，防渗系数1×10</w:t>
                  </w:r>
                  <w:r>
                    <w:rPr>
                      <w:rFonts w:hint="default" w:ascii="Times New Roman" w:hAnsi="Times New Roman" w:eastAsia="宋体" w:cs="Times New Roman"/>
                      <w:color w:val="auto"/>
                      <w:sz w:val="21"/>
                      <w:szCs w:val="21"/>
                      <w:highlight w:val="none"/>
                      <w:vertAlign w:val="superscript"/>
                    </w:rPr>
                    <w:t>-7</w:t>
                  </w:r>
                  <w:r>
                    <w:rPr>
                      <w:rFonts w:hint="default" w:ascii="Times New Roman" w:hAnsi="Times New Roman" w:eastAsia="宋体" w:cs="Times New Roman"/>
                      <w:color w:val="auto"/>
                      <w:sz w:val="21"/>
                      <w:szCs w:val="21"/>
                      <w:highlight w:val="none"/>
                    </w:rPr>
                    <w:t>cm/s，或参照GB16889执行；</w:t>
                  </w:r>
                </w:p>
              </w:tc>
              <w:tc>
                <w:tcPr>
                  <w:tcW w:w="835" w:type="dxa"/>
                  <w:vMerge w:val="continue"/>
                  <w:vAlign w:val="center"/>
                </w:tcPr>
                <w:p w14:paraId="055E605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p>
              </w:tc>
            </w:tr>
            <w:tr w14:paraId="3E7B1A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704" w:type="dxa"/>
                  <w:vMerge w:val="continue"/>
                  <w:vAlign w:val="center"/>
                </w:tcPr>
                <w:p w14:paraId="43D13612">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234" w:type="dxa"/>
                  <w:gridSpan w:val="2"/>
                  <w:vMerge w:val="continue"/>
                  <w:vAlign w:val="center"/>
                </w:tcPr>
                <w:p w14:paraId="10BAFBE2">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1646" w:type="dxa"/>
                  <w:vMerge w:val="continue"/>
                  <w:vAlign w:val="center"/>
                </w:tcPr>
                <w:p w14:paraId="380880F4">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c>
                <w:tcPr>
                  <w:tcW w:w="3657" w:type="dxa"/>
                  <w:vAlign w:val="center"/>
                </w:tcPr>
                <w:p w14:paraId="5349924C">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简单防渗区(除重点防渗区、一般防渗区以外的其余区域</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：一般地面硬化</w:t>
                  </w:r>
                </w:p>
              </w:tc>
              <w:tc>
                <w:tcPr>
                  <w:tcW w:w="835" w:type="dxa"/>
                  <w:vMerge w:val="continue"/>
                  <w:vAlign w:val="center"/>
                </w:tcPr>
                <w:p w14:paraId="0BF96E18">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p>
              </w:tc>
            </w:tr>
            <w:tr w14:paraId="1B575D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3584" w:type="dxa"/>
                  <w:gridSpan w:val="4"/>
                  <w:vAlign w:val="center"/>
                </w:tcPr>
                <w:p w14:paraId="7A079034">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生态环境保护</w:t>
                  </w:r>
                </w:p>
              </w:tc>
              <w:tc>
                <w:tcPr>
                  <w:tcW w:w="3657" w:type="dxa"/>
                  <w:vAlign w:val="center"/>
                </w:tcPr>
                <w:p w14:paraId="5E0128BB">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未设置无害化设施，废气仅涉及恶臭气体，且经收集处理排放，排放量很小，不对贡嘎山风景名胜区生态环境造成负面影响；项目营运期相关人员不得无故上至贡嘎山风景名胜区进行伐木等破坏活动，避免对风景名胜区一般控制区造成影响；项目建设风格应与周边民居尽量保持一致，确保与周边景观风格统一</w:t>
                  </w:r>
                </w:p>
              </w:tc>
              <w:tc>
                <w:tcPr>
                  <w:tcW w:w="835" w:type="dxa"/>
                  <w:vAlign w:val="center"/>
                </w:tcPr>
                <w:p w14:paraId="6780A7EB">
                  <w:pPr>
                    <w:widowControl/>
                    <w:kinsoku w:val="0"/>
                    <w:autoSpaceDE w:val="0"/>
                    <w:autoSpaceDN w:val="0"/>
                    <w:adjustRightInd w:val="0"/>
                    <w:snapToGrid w:val="0"/>
                    <w:jc w:val="center"/>
                    <w:textAlignment w:val="baseline"/>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26C461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Align w:val="center"/>
                </w:tcPr>
                <w:p w14:paraId="23F6B685">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w:t>
                  </w:r>
                </w:p>
              </w:tc>
              <w:tc>
                <w:tcPr>
                  <w:tcW w:w="6537" w:type="dxa"/>
                  <w:gridSpan w:val="4"/>
                  <w:vAlign w:val="center"/>
                </w:tcPr>
                <w:p w14:paraId="43080FB9">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针对项目营运期可能出现的风险事故，拟采取加强管理、配置必要的消防设备实施及灭火剂、编制应急预案，加强员工安全生产培训。</w:t>
                  </w:r>
                </w:p>
              </w:tc>
              <w:tc>
                <w:tcPr>
                  <w:tcW w:w="835" w:type="dxa"/>
                  <w:vAlign w:val="center"/>
                </w:tcPr>
                <w:p w14:paraId="5A8F1427">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2</w:t>
                  </w:r>
                </w:p>
              </w:tc>
            </w:tr>
            <w:tr w14:paraId="664F2E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Align w:val="center"/>
                </w:tcPr>
                <w:p w14:paraId="4F0EEBEA">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w:t>
                  </w:r>
                </w:p>
              </w:tc>
              <w:tc>
                <w:tcPr>
                  <w:tcW w:w="6537" w:type="dxa"/>
                  <w:gridSpan w:val="4"/>
                  <w:vAlign w:val="center"/>
                </w:tcPr>
                <w:p w14:paraId="575F271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环保标识标牌、环境管理制度上墙等</w:t>
                  </w:r>
                </w:p>
              </w:tc>
              <w:tc>
                <w:tcPr>
                  <w:tcW w:w="835" w:type="dxa"/>
                  <w:vAlign w:val="center"/>
                </w:tcPr>
                <w:p w14:paraId="4F39AD66">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6CD6EB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04" w:type="dxa"/>
                  <w:vAlign w:val="center"/>
                </w:tcPr>
                <w:p w14:paraId="4E6D3BA8">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6537" w:type="dxa"/>
                  <w:gridSpan w:val="4"/>
                  <w:vAlign w:val="center"/>
                </w:tcPr>
                <w:p w14:paraId="213D6184">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35" w:type="dxa"/>
                  <w:vAlign w:val="center"/>
                </w:tcPr>
                <w:p w14:paraId="13212890">
                  <w:pPr>
                    <w:widowControl/>
                    <w:kinsoku w:val="0"/>
                    <w:autoSpaceDE w:val="0"/>
                    <w:autoSpaceDN w:val="0"/>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44.5</w:t>
                  </w:r>
                </w:p>
              </w:tc>
            </w:tr>
          </w:tbl>
          <w:p w14:paraId="35FA8056">
            <w:pPr>
              <w:pStyle w:val="12"/>
              <w:ind w:firstLine="360"/>
              <w:rPr>
                <w:rFonts w:hint="default" w:ascii="Times New Roman" w:hAnsi="Times New Roman" w:eastAsia="宋体" w:cs="Times New Roman"/>
                <w:color w:val="auto"/>
                <w:highlight w:val="none"/>
              </w:rPr>
            </w:pPr>
          </w:p>
          <w:p w14:paraId="64E056ED">
            <w:pPr>
              <w:spacing w:line="360" w:lineRule="auto"/>
              <w:ind w:firstLine="480" w:firstLineChars="200"/>
              <w:rPr>
                <w:rFonts w:hint="default" w:ascii="Times New Roman" w:hAnsi="Times New Roman" w:eastAsia="宋体" w:cs="Times New Roman"/>
                <w:color w:val="auto"/>
                <w:highlight w:val="none"/>
              </w:rPr>
            </w:pPr>
          </w:p>
          <w:p w14:paraId="2D83C4F9">
            <w:pPr>
              <w:spacing w:line="360" w:lineRule="auto"/>
              <w:ind w:firstLine="480" w:firstLineChars="200"/>
              <w:rPr>
                <w:rFonts w:hint="default" w:ascii="Times New Roman" w:hAnsi="Times New Roman" w:eastAsia="宋体" w:cs="Times New Roman"/>
                <w:color w:val="auto"/>
                <w:highlight w:val="none"/>
              </w:rPr>
            </w:pPr>
          </w:p>
          <w:p w14:paraId="17F54A1E">
            <w:pPr>
              <w:spacing w:line="360" w:lineRule="auto"/>
              <w:ind w:firstLine="480" w:firstLineChars="200"/>
              <w:rPr>
                <w:rFonts w:hint="default" w:ascii="Times New Roman" w:hAnsi="Times New Roman" w:eastAsia="宋体" w:cs="Times New Roman"/>
                <w:color w:val="auto"/>
                <w:highlight w:val="none"/>
              </w:rPr>
            </w:pPr>
          </w:p>
          <w:p w14:paraId="545ECFEE">
            <w:pPr>
              <w:spacing w:line="360" w:lineRule="auto"/>
              <w:ind w:firstLine="480" w:firstLineChars="200"/>
              <w:rPr>
                <w:rFonts w:hint="default" w:ascii="Times New Roman" w:hAnsi="Times New Roman" w:eastAsia="宋体" w:cs="Times New Roman"/>
                <w:color w:val="auto"/>
                <w:highlight w:val="none"/>
              </w:rPr>
            </w:pPr>
          </w:p>
          <w:p w14:paraId="5234DFBF">
            <w:pPr>
              <w:spacing w:line="360" w:lineRule="auto"/>
              <w:ind w:firstLine="480" w:firstLineChars="200"/>
              <w:rPr>
                <w:rFonts w:hint="default" w:ascii="Times New Roman" w:hAnsi="Times New Roman" w:eastAsia="宋体" w:cs="Times New Roman"/>
                <w:color w:val="auto"/>
                <w:highlight w:val="none"/>
              </w:rPr>
            </w:pPr>
          </w:p>
          <w:p w14:paraId="6B40FA31">
            <w:pPr>
              <w:spacing w:line="360" w:lineRule="auto"/>
              <w:ind w:firstLine="480" w:firstLineChars="200"/>
              <w:rPr>
                <w:rFonts w:hint="default" w:ascii="Times New Roman" w:hAnsi="Times New Roman" w:eastAsia="宋体" w:cs="Times New Roman"/>
                <w:color w:val="auto"/>
                <w:highlight w:val="none"/>
              </w:rPr>
            </w:pPr>
          </w:p>
          <w:p w14:paraId="186D3E5D">
            <w:pPr>
              <w:spacing w:line="360" w:lineRule="auto"/>
              <w:rPr>
                <w:rFonts w:hint="default" w:ascii="Times New Roman" w:hAnsi="Times New Roman" w:eastAsia="宋体" w:cs="Times New Roman"/>
                <w:color w:val="auto"/>
                <w:highlight w:val="none"/>
              </w:rPr>
            </w:pPr>
          </w:p>
        </w:tc>
      </w:tr>
    </w:tbl>
    <w:p w14:paraId="2439E873">
      <w:pPr>
        <w:adjustRightInd w:val="0"/>
        <w:snapToGrid w:val="0"/>
        <w:spacing w:line="360" w:lineRule="auto"/>
        <w:ind w:firstLine="562"/>
        <w:rPr>
          <w:rFonts w:hint="default" w:ascii="Times New Roman" w:hAnsi="Times New Roman" w:eastAsia="宋体" w:cs="Times New Roman"/>
          <w:b/>
          <w:color w:val="auto"/>
          <w:kern w:val="0"/>
          <w:sz w:val="28"/>
          <w:szCs w:val="28"/>
          <w:highlight w:val="none"/>
        </w:rPr>
        <w:sectPr>
          <w:pgSz w:w="11907" w:h="16840"/>
          <w:pgMar w:top="1701" w:right="1531" w:bottom="1559"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9D88DE9">
      <w:pPr>
        <w:pStyle w:val="27"/>
        <w:ind w:firstLine="1018" w:firstLineChars="0"/>
        <w:jc w:val="center"/>
        <w:outlineLvl w:val="0"/>
        <w:rPr>
          <w:rFonts w:hint="default" w:ascii="Times New Roman" w:hAnsi="Times New Roman" w:eastAsia="宋体" w:cs="Times New Roman"/>
          <w:snapToGrid w:val="0"/>
          <w:color w:val="auto"/>
          <w:sz w:val="30"/>
          <w:szCs w:val="30"/>
          <w:highlight w:val="none"/>
        </w:rPr>
      </w:pPr>
      <w:bookmarkStart w:id="21" w:name="_Toc31315"/>
      <w:r>
        <w:rPr>
          <w:rFonts w:hint="default" w:ascii="Times New Roman" w:hAnsi="Times New Roman" w:eastAsia="宋体" w:cs="Times New Roman"/>
          <w:snapToGrid w:val="0"/>
          <w:color w:val="auto"/>
          <w:sz w:val="30"/>
          <w:szCs w:val="30"/>
          <w:highlight w:val="none"/>
        </w:rPr>
        <w:t>五、</w:t>
      </w:r>
      <w:bookmarkStart w:id="22" w:name="_Hlk54167917"/>
      <w:r>
        <w:rPr>
          <w:rFonts w:hint="default" w:ascii="Times New Roman" w:hAnsi="Times New Roman" w:eastAsia="宋体" w:cs="Times New Roman"/>
          <w:snapToGrid w:val="0"/>
          <w:color w:val="auto"/>
          <w:sz w:val="30"/>
          <w:szCs w:val="30"/>
          <w:highlight w:val="none"/>
        </w:rPr>
        <w:t>环境保护措施监督检查清单</w:t>
      </w:r>
      <w:bookmarkEnd w:id="21"/>
      <w:bookmarkEnd w:id="22"/>
    </w:p>
    <w:tbl>
      <w:tblPr>
        <w:tblStyle w:val="32"/>
        <w:tblW w:w="485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90"/>
        <w:gridCol w:w="1653"/>
        <w:gridCol w:w="1150"/>
        <w:gridCol w:w="2220"/>
        <w:gridCol w:w="2279"/>
      </w:tblGrid>
      <w:tr w14:paraId="783B03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7" w:type="pct"/>
            <w:tcBorders>
              <w:tl2br w:val="single" w:color="auto" w:sz="4" w:space="0"/>
            </w:tcBorders>
          </w:tcPr>
          <w:p w14:paraId="1EDF5E96">
            <w:pPr>
              <w:adjustRightInd w:val="0"/>
              <w:snapToGrid w:val="0"/>
              <w:ind w:firstLine="48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内容</w:t>
            </w:r>
          </w:p>
          <w:p w14:paraId="6A67F4C8">
            <w:pPr>
              <w:adjustRightInd w:val="0"/>
              <w:snapToGrid w:val="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要素</w:t>
            </w:r>
          </w:p>
        </w:tc>
        <w:tc>
          <w:tcPr>
            <w:tcW w:w="940" w:type="pct"/>
            <w:vAlign w:val="center"/>
          </w:tcPr>
          <w:p w14:paraId="51D66C29">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排放口(编号、名称</w:t>
            </w:r>
            <w:r>
              <w:rPr>
                <w:rFonts w:hint="eastAsia"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rPr>
              <w:t>/污染源</w:t>
            </w:r>
          </w:p>
        </w:tc>
        <w:tc>
          <w:tcPr>
            <w:tcW w:w="654" w:type="pct"/>
            <w:vAlign w:val="center"/>
          </w:tcPr>
          <w:p w14:paraId="722368FD">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污染物项目</w:t>
            </w:r>
          </w:p>
        </w:tc>
        <w:tc>
          <w:tcPr>
            <w:tcW w:w="1262" w:type="pct"/>
            <w:vAlign w:val="center"/>
          </w:tcPr>
          <w:p w14:paraId="065AC2E1">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环境保护措施</w:t>
            </w:r>
          </w:p>
        </w:tc>
        <w:tc>
          <w:tcPr>
            <w:tcW w:w="1295" w:type="pct"/>
            <w:vAlign w:val="center"/>
          </w:tcPr>
          <w:p w14:paraId="3699272B">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执行标准</w:t>
            </w:r>
          </w:p>
        </w:tc>
      </w:tr>
      <w:tr w14:paraId="2B0B97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847" w:type="pct"/>
            <w:vMerge w:val="restart"/>
            <w:vAlign w:val="center"/>
          </w:tcPr>
          <w:p w14:paraId="7332BB6D">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大气环境</w:t>
            </w:r>
          </w:p>
        </w:tc>
        <w:tc>
          <w:tcPr>
            <w:tcW w:w="940" w:type="pct"/>
            <w:vAlign w:val="center"/>
          </w:tcPr>
          <w:p w14:paraId="683A25EF">
            <w:pPr>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DA001</w:t>
            </w:r>
          </w:p>
        </w:tc>
        <w:tc>
          <w:tcPr>
            <w:tcW w:w="654" w:type="pct"/>
            <w:vAlign w:val="center"/>
          </w:tcPr>
          <w:p w14:paraId="369B94BA">
            <w:pPr>
              <w:adjustRightInd w:val="0"/>
              <w:snapToGri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b w:val="0"/>
                <w:bCs/>
                <w:color w:val="auto"/>
                <w:sz w:val="24"/>
                <w:szCs w:val="24"/>
                <w:highlight w:val="none"/>
                <w:lang w:val="en-US" w:eastAsia="zh-CN"/>
              </w:rPr>
              <w:t>NH</w:t>
            </w:r>
            <w:r>
              <w:rPr>
                <w:rFonts w:hint="default" w:ascii="Times New Roman" w:hAnsi="Times New Roman" w:eastAsia="宋体" w:cs="Times New Roman"/>
                <w:b w:val="0"/>
                <w:bCs/>
                <w:color w:val="auto"/>
                <w:sz w:val="24"/>
                <w:szCs w:val="24"/>
                <w:highlight w:val="none"/>
                <w:vertAlign w:val="subscript"/>
                <w:lang w:val="en-US" w:eastAsia="zh-CN"/>
              </w:rPr>
              <w:t>3</w:t>
            </w:r>
            <w:r>
              <w:rPr>
                <w:rFonts w:hint="default" w:ascii="Times New Roman" w:hAnsi="Times New Roman" w:eastAsia="宋体" w:cs="Times New Roman"/>
                <w:b w:val="0"/>
                <w:bCs/>
                <w:color w:val="auto"/>
                <w:sz w:val="24"/>
                <w:szCs w:val="24"/>
                <w:highlight w:val="none"/>
                <w:lang w:val="en-US" w:eastAsia="zh-CN"/>
              </w:rPr>
              <w:t>、H</w:t>
            </w:r>
            <w:r>
              <w:rPr>
                <w:rFonts w:hint="default" w:ascii="Times New Roman" w:hAnsi="Times New Roman" w:eastAsia="宋体" w:cs="Times New Roman"/>
                <w:b w:val="0"/>
                <w:bCs/>
                <w:color w:val="auto"/>
                <w:sz w:val="24"/>
                <w:szCs w:val="24"/>
                <w:highlight w:val="none"/>
                <w:vertAlign w:val="subscript"/>
                <w:lang w:val="en-US" w:eastAsia="zh-CN"/>
              </w:rPr>
              <w:t>2</w:t>
            </w:r>
            <w:r>
              <w:rPr>
                <w:rFonts w:hint="default" w:ascii="Times New Roman" w:hAnsi="Times New Roman" w:eastAsia="宋体" w:cs="Times New Roman"/>
                <w:b w:val="0"/>
                <w:bCs/>
                <w:color w:val="auto"/>
                <w:sz w:val="24"/>
                <w:szCs w:val="24"/>
                <w:highlight w:val="none"/>
                <w:lang w:val="en-US" w:eastAsia="zh-CN"/>
              </w:rPr>
              <w:t>S</w:t>
            </w:r>
            <w:r>
              <w:rPr>
                <w:rFonts w:hint="eastAsia" w:ascii="Times New Roman" w:hAnsi="Times New Roman" w:eastAsia="宋体" w:cs="Times New Roman"/>
                <w:b w:val="0"/>
                <w:bCs/>
                <w:color w:val="auto"/>
                <w:sz w:val="24"/>
                <w:szCs w:val="24"/>
                <w:highlight w:val="none"/>
                <w:lang w:val="en-US" w:eastAsia="zh-CN"/>
              </w:rPr>
              <w:t>、</w:t>
            </w:r>
            <w:r>
              <w:rPr>
                <w:rFonts w:hint="eastAsia" w:cs="Times New Roman"/>
                <w:b w:val="0"/>
                <w:bCs/>
                <w:color w:val="auto"/>
                <w:sz w:val="24"/>
                <w:szCs w:val="24"/>
                <w:highlight w:val="none"/>
                <w:lang w:val="en-US" w:eastAsia="zh-CN"/>
              </w:rPr>
              <w:t>臭气浓度、甲烷</w:t>
            </w:r>
          </w:p>
        </w:tc>
        <w:tc>
          <w:tcPr>
            <w:tcW w:w="1262" w:type="pct"/>
            <w:vAlign w:val="center"/>
          </w:tcPr>
          <w:p w14:paraId="36EA2B5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密闭收集+碱液喷淋+活性炭吸附装置+15m高排气筒（DA001）</w:t>
            </w:r>
          </w:p>
        </w:tc>
        <w:tc>
          <w:tcPr>
            <w:tcW w:w="1295" w:type="pct"/>
            <w:vAlign w:val="center"/>
          </w:tcPr>
          <w:p w14:paraId="4ACCE6F9">
            <w:pPr>
              <w:spacing w:after="2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《恶臭污染物排放标准》（GB14554-93）中表2排放限值</w:t>
            </w:r>
          </w:p>
        </w:tc>
      </w:tr>
      <w:tr w14:paraId="35E2B9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7" w:type="pct"/>
            <w:vMerge w:val="continue"/>
            <w:vAlign w:val="center"/>
          </w:tcPr>
          <w:p w14:paraId="749770C0">
            <w:pPr>
              <w:adjustRightInd w:val="0"/>
              <w:snapToGrid w:val="0"/>
              <w:jc w:val="center"/>
              <w:rPr>
                <w:rFonts w:hint="default" w:ascii="Times New Roman" w:hAnsi="Times New Roman" w:eastAsia="宋体" w:cs="Times New Roman"/>
                <w:color w:val="auto"/>
                <w:sz w:val="24"/>
                <w:szCs w:val="24"/>
                <w:highlight w:val="none"/>
              </w:rPr>
            </w:pPr>
          </w:p>
        </w:tc>
        <w:tc>
          <w:tcPr>
            <w:tcW w:w="940" w:type="pct"/>
            <w:vAlign w:val="center"/>
          </w:tcPr>
          <w:p w14:paraId="2BEF0ABF">
            <w:pPr>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厂界</w:t>
            </w:r>
          </w:p>
        </w:tc>
        <w:tc>
          <w:tcPr>
            <w:tcW w:w="654" w:type="pct"/>
            <w:vAlign w:val="center"/>
          </w:tcPr>
          <w:p w14:paraId="6416EA04">
            <w:pPr>
              <w:adjustRightInd w:val="0"/>
              <w:snapToGrid w:val="0"/>
              <w:jc w:val="center"/>
              <w:rPr>
                <w:rFonts w:hint="default" w:ascii="Times New Roman" w:hAnsi="Times New Roman" w:eastAsia="宋体" w:cs="Times New Roman"/>
                <w:color w:val="auto"/>
                <w:sz w:val="24"/>
                <w:szCs w:val="24"/>
                <w:highlight w:val="none"/>
                <w:lang w:val="en-US"/>
              </w:rPr>
            </w:pPr>
            <w:r>
              <w:rPr>
                <w:rFonts w:hint="default" w:ascii="Times New Roman" w:hAnsi="Times New Roman" w:eastAsia="宋体" w:cs="Times New Roman"/>
                <w:b w:val="0"/>
                <w:bCs/>
                <w:color w:val="auto"/>
                <w:sz w:val="24"/>
                <w:szCs w:val="24"/>
                <w:highlight w:val="none"/>
                <w:lang w:val="en-US" w:eastAsia="zh-CN"/>
              </w:rPr>
              <w:t>NH</w:t>
            </w:r>
            <w:r>
              <w:rPr>
                <w:rFonts w:hint="default" w:ascii="Times New Roman" w:hAnsi="Times New Roman" w:eastAsia="宋体" w:cs="Times New Roman"/>
                <w:b w:val="0"/>
                <w:bCs/>
                <w:color w:val="auto"/>
                <w:sz w:val="24"/>
                <w:szCs w:val="24"/>
                <w:highlight w:val="none"/>
                <w:vertAlign w:val="subscript"/>
                <w:lang w:val="en-US" w:eastAsia="zh-CN"/>
              </w:rPr>
              <w:t>3</w:t>
            </w:r>
            <w:r>
              <w:rPr>
                <w:rFonts w:hint="default" w:ascii="Times New Roman" w:hAnsi="Times New Roman" w:eastAsia="宋体" w:cs="Times New Roman"/>
                <w:b w:val="0"/>
                <w:bCs/>
                <w:color w:val="auto"/>
                <w:sz w:val="24"/>
                <w:szCs w:val="24"/>
                <w:highlight w:val="none"/>
                <w:lang w:val="en-US" w:eastAsia="zh-CN"/>
              </w:rPr>
              <w:t>、H</w:t>
            </w:r>
            <w:r>
              <w:rPr>
                <w:rFonts w:hint="default" w:ascii="Times New Roman" w:hAnsi="Times New Roman" w:eastAsia="宋体" w:cs="Times New Roman"/>
                <w:b w:val="0"/>
                <w:bCs/>
                <w:color w:val="auto"/>
                <w:sz w:val="24"/>
                <w:szCs w:val="24"/>
                <w:highlight w:val="none"/>
                <w:vertAlign w:val="subscript"/>
                <w:lang w:val="en-US" w:eastAsia="zh-CN"/>
              </w:rPr>
              <w:t>2</w:t>
            </w:r>
            <w:r>
              <w:rPr>
                <w:rFonts w:hint="default" w:ascii="Times New Roman" w:hAnsi="Times New Roman" w:eastAsia="宋体" w:cs="Times New Roman"/>
                <w:b w:val="0"/>
                <w:bCs/>
                <w:color w:val="auto"/>
                <w:sz w:val="24"/>
                <w:szCs w:val="24"/>
                <w:highlight w:val="none"/>
                <w:lang w:val="en-US" w:eastAsia="zh-CN"/>
              </w:rPr>
              <w:t>S</w:t>
            </w:r>
            <w:r>
              <w:rPr>
                <w:rFonts w:hint="eastAsia" w:cs="Times New Roman"/>
                <w:b w:val="0"/>
                <w:bCs/>
                <w:color w:val="auto"/>
                <w:sz w:val="24"/>
                <w:szCs w:val="24"/>
                <w:highlight w:val="none"/>
                <w:lang w:val="en-US" w:eastAsia="zh-CN"/>
              </w:rPr>
              <w:t>、臭气浓度</w:t>
            </w:r>
          </w:p>
        </w:tc>
        <w:tc>
          <w:tcPr>
            <w:tcW w:w="1262" w:type="pct"/>
            <w:vAlign w:val="center"/>
          </w:tcPr>
          <w:p w14:paraId="2F876D45">
            <w:pPr>
              <w:adjustRightInd w:val="0"/>
              <w:snapToGrid w:val="0"/>
              <w:jc w:val="center"/>
              <w:rPr>
                <w:rFonts w:hint="eastAsia"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val="en-US" w:eastAsia="zh-CN"/>
              </w:rPr>
              <w:t>/</w:t>
            </w:r>
          </w:p>
        </w:tc>
        <w:tc>
          <w:tcPr>
            <w:tcW w:w="1295" w:type="pct"/>
            <w:vAlign w:val="center"/>
          </w:tcPr>
          <w:p w14:paraId="3C1EE760">
            <w:pPr>
              <w:spacing w:after="2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《恶臭污染物排放标准》（GB14554-93）</w:t>
            </w:r>
          </w:p>
        </w:tc>
      </w:tr>
      <w:tr w14:paraId="082DE9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7" w:type="pct"/>
            <w:vAlign w:val="center"/>
          </w:tcPr>
          <w:p w14:paraId="0B9DDE18">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地表水环境</w:t>
            </w:r>
          </w:p>
        </w:tc>
        <w:tc>
          <w:tcPr>
            <w:tcW w:w="940" w:type="pct"/>
            <w:vAlign w:val="center"/>
          </w:tcPr>
          <w:p w14:paraId="7E517392">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废水总排口（DW001）</w:t>
            </w:r>
          </w:p>
        </w:tc>
        <w:tc>
          <w:tcPr>
            <w:tcW w:w="654" w:type="pct"/>
            <w:vAlign w:val="center"/>
          </w:tcPr>
          <w:p w14:paraId="7CF7B8EE">
            <w:pPr>
              <w:jc w:val="center"/>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pH、CODcr、SS、BOD</w:t>
            </w:r>
            <w:r>
              <w:rPr>
                <w:rFonts w:hint="eastAsia" w:ascii="Times New Roman" w:hAnsi="Times New Roman" w:eastAsia="宋体" w:cs="Times New Roman"/>
                <w:color w:val="auto"/>
                <w:sz w:val="24"/>
                <w:szCs w:val="24"/>
                <w:highlight w:val="none"/>
                <w:vertAlign w:val="subscript"/>
                <w:lang w:val="en-US" w:eastAsia="zh-CN"/>
              </w:rPr>
              <w:t>5</w:t>
            </w:r>
            <w:r>
              <w:rPr>
                <w:rFonts w:hint="eastAsia" w:ascii="Times New Roman" w:hAnsi="Times New Roman" w:eastAsia="宋体" w:cs="Times New Roman"/>
                <w:color w:val="auto"/>
                <w:sz w:val="24"/>
                <w:szCs w:val="24"/>
                <w:highlight w:val="none"/>
                <w:lang w:val="en-US" w:eastAsia="zh-CN"/>
              </w:rPr>
              <w:t>、动植物油NH</w:t>
            </w:r>
            <w:r>
              <w:rPr>
                <w:rFonts w:hint="eastAsia" w:ascii="Times New Roman" w:hAnsi="Times New Roman" w:eastAsia="宋体" w:cs="Times New Roman"/>
                <w:color w:val="auto"/>
                <w:sz w:val="24"/>
                <w:szCs w:val="24"/>
                <w:highlight w:val="none"/>
                <w:vertAlign w:val="subscript"/>
                <w:lang w:val="en-US" w:eastAsia="zh-CN"/>
              </w:rPr>
              <w:t>3</w:t>
            </w:r>
            <w:r>
              <w:rPr>
                <w:rFonts w:hint="eastAsia" w:ascii="Times New Roman" w:hAnsi="Times New Roman" w:eastAsia="宋体" w:cs="Times New Roman"/>
                <w:color w:val="auto"/>
                <w:sz w:val="24"/>
                <w:szCs w:val="24"/>
                <w:highlight w:val="none"/>
                <w:lang w:val="en-US" w:eastAsia="zh-CN"/>
              </w:rPr>
              <w:t>-N、TP、TN、粪大肠菌群</w:t>
            </w:r>
          </w:p>
        </w:tc>
        <w:tc>
          <w:tcPr>
            <w:tcW w:w="1262" w:type="pct"/>
            <w:vAlign w:val="center"/>
          </w:tcPr>
          <w:p w14:paraId="2594957B">
            <w:pPr>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依托厂内一体化预处理设施处理后，由罐车运输至泸定县磨西镇生活污水处理厂处理，排入燕子沟</w:t>
            </w:r>
          </w:p>
        </w:tc>
        <w:tc>
          <w:tcPr>
            <w:tcW w:w="1295" w:type="pct"/>
            <w:vAlign w:val="center"/>
          </w:tcPr>
          <w:p w14:paraId="477C4DD8">
            <w:pPr>
              <w:adjustRightInd w:val="0"/>
              <w:snapToGrid w:val="0"/>
              <w:jc w:val="center"/>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间排标准：</w:t>
            </w:r>
            <w:r>
              <w:rPr>
                <w:rFonts w:hint="default" w:ascii="Times New Roman" w:hAnsi="Times New Roman" w:eastAsia="宋体" w:cs="Times New Roman"/>
                <w:color w:val="auto"/>
                <w:sz w:val="24"/>
                <w:szCs w:val="24"/>
                <w:highlight w:val="none"/>
              </w:rPr>
              <w:t>《肉类加工工业水污染物排放标准》（GB13457-92）三级标准</w:t>
            </w:r>
          </w:p>
        </w:tc>
      </w:tr>
      <w:tr w14:paraId="7CD95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7" w:type="pct"/>
            <w:vAlign w:val="center"/>
          </w:tcPr>
          <w:p w14:paraId="376C3742">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声环境</w:t>
            </w:r>
          </w:p>
        </w:tc>
        <w:tc>
          <w:tcPr>
            <w:tcW w:w="940" w:type="pct"/>
            <w:vAlign w:val="center"/>
          </w:tcPr>
          <w:p w14:paraId="0A420673">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设备噪声</w:t>
            </w:r>
          </w:p>
        </w:tc>
        <w:tc>
          <w:tcPr>
            <w:tcW w:w="654" w:type="pct"/>
            <w:vAlign w:val="center"/>
          </w:tcPr>
          <w:p w14:paraId="6E345A89">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噪声</w:t>
            </w:r>
          </w:p>
        </w:tc>
        <w:tc>
          <w:tcPr>
            <w:tcW w:w="1262" w:type="pct"/>
            <w:vAlign w:val="center"/>
          </w:tcPr>
          <w:p w14:paraId="2DE4A053">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采用低噪声设备、建筑隔声、合理布局等</w:t>
            </w:r>
          </w:p>
        </w:tc>
        <w:tc>
          <w:tcPr>
            <w:tcW w:w="1295" w:type="pct"/>
            <w:vAlign w:val="center"/>
          </w:tcPr>
          <w:p w14:paraId="01309A1F">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《工业企业厂界环境噪声排放标准》(GB12348-2008)</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级标准</w:t>
            </w:r>
          </w:p>
        </w:tc>
      </w:tr>
      <w:tr w14:paraId="6BF288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7" w:type="pct"/>
            <w:vAlign w:val="center"/>
          </w:tcPr>
          <w:p w14:paraId="7CCB1BCE">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电磁辐射</w:t>
            </w:r>
          </w:p>
        </w:tc>
        <w:tc>
          <w:tcPr>
            <w:tcW w:w="940" w:type="pct"/>
            <w:vAlign w:val="center"/>
          </w:tcPr>
          <w:p w14:paraId="416544C5">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p>
        </w:tc>
        <w:tc>
          <w:tcPr>
            <w:tcW w:w="654" w:type="pct"/>
            <w:vAlign w:val="center"/>
          </w:tcPr>
          <w:p w14:paraId="4D1374A5">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p>
        </w:tc>
        <w:tc>
          <w:tcPr>
            <w:tcW w:w="1262" w:type="pct"/>
            <w:vAlign w:val="center"/>
          </w:tcPr>
          <w:p w14:paraId="42F572C5">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p>
        </w:tc>
        <w:tc>
          <w:tcPr>
            <w:tcW w:w="1295" w:type="pct"/>
            <w:vAlign w:val="center"/>
          </w:tcPr>
          <w:p w14:paraId="4DAF78B8">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p>
        </w:tc>
      </w:tr>
      <w:tr w14:paraId="3B18AA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41" w:type="pct"/>
            <w:gridSpan w:val="3"/>
            <w:vAlign w:val="center"/>
          </w:tcPr>
          <w:p w14:paraId="38774A4C">
            <w:pPr>
              <w:adjustRightInd w:val="0"/>
              <w:snapToGrid w:val="0"/>
              <w:jc w:val="center"/>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生态环境保护</w:t>
            </w:r>
          </w:p>
        </w:tc>
        <w:tc>
          <w:tcPr>
            <w:tcW w:w="1262" w:type="pct"/>
            <w:vAlign w:val="center"/>
          </w:tcPr>
          <w:p w14:paraId="6499D30D">
            <w:pPr>
              <w:adjustRightInd w:val="0"/>
              <w:snapToGrid w:val="0"/>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控制施工范围在厂界内；营运期工作人员不得进入风景名胜区进行伐木等破坏活动；确保建筑风格与周边协调统一</w:t>
            </w:r>
          </w:p>
        </w:tc>
        <w:tc>
          <w:tcPr>
            <w:tcW w:w="1295" w:type="pct"/>
            <w:vAlign w:val="center"/>
          </w:tcPr>
          <w:p w14:paraId="61BE74C6">
            <w:pPr>
              <w:adjustRightInd w:val="0"/>
              <w:snapToGrid w:val="0"/>
              <w:jc w:val="center"/>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w:t>
            </w:r>
          </w:p>
        </w:tc>
      </w:tr>
      <w:tr w14:paraId="74A3B5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47" w:type="pct"/>
            <w:vAlign w:val="center"/>
          </w:tcPr>
          <w:p w14:paraId="68B92361">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固体废物</w:t>
            </w:r>
          </w:p>
        </w:tc>
        <w:tc>
          <w:tcPr>
            <w:tcW w:w="4152" w:type="pct"/>
            <w:gridSpan w:val="4"/>
            <w:vAlign w:val="center"/>
          </w:tcPr>
          <w:p w14:paraId="60FD80FB">
            <w:pPr>
              <w:spacing w:line="360" w:lineRule="auto"/>
              <w:ind w:firstLine="480" w:firstLineChars="200"/>
              <w:rPr>
                <w:rFonts w:hint="default" w:ascii="Times New Roman" w:hAnsi="Times New Roman" w:eastAsia="宋体" w:cs="Times New Roman"/>
                <w:bCs/>
                <w:color w:val="auto"/>
                <w:sz w:val="24"/>
                <w:szCs w:val="24"/>
                <w:highlight w:val="none"/>
                <w:lang w:eastAsia="zh-CN"/>
              </w:rPr>
            </w:pPr>
            <w:r>
              <w:rPr>
                <w:rFonts w:hint="default" w:ascii="Times New Roman" w:hAnsi="Times New Roman" w:eastAsia="宋体" w:cs="Times New Roman"/>
                <w:bCs/>
                <w:color w:val="auto"/>
                <w:sz w:val="24"/>
                <w:szCs w:val="24"/>
                <w:highlight w:val="none"/>
                <w:lang w:val="en-US" w:eastAsia="zh-CN"/>
              </w:rPr>
              <w:t>一般固废：</w:t>
            </w:r>
            <w:r>
              <w:rPr>
                <w:rFonts w:hint="default" w:ascii="Times New Roman" w:hAnsi="Times New Roman" w:eastAsia="宋体" w:cs="Times New Roman"/>
                <w:bCs/>
                <w:color w:val="auto"/>
                <w:sz w:val="24"/>
                <w:szCs w:val="24"/>
                <w:highlight w:val="none"/>
              </w:rPr>
              <w:t>生活垃圾</w:t>
            </w:r>
            <w:r>
              <w:rPr>
                <w:rFonts w:hint="default" w:ascii="Times New Roman" w:hAnsi="Times New Roman" w:eastAsia="宋体" w:cs="Times New Roman"/>
                <w:bCs/>
                <w:color w:val="auto"/>
                <w:sz w:val="24"/>
                <w:szCs w:val="24"/>
                <w:highlight w:val="none"/>
                <w:lang w:val="en-US" w:eastAsia="zh-CN"/>
              </w:rPr>
              <w:t>经</w:t>
            </w:r>
            <w:r>
              <w:rPr>
                <w:rFonts w:hint="default" w:ascii="Times New Roman" w:hAnsi="Times New Roman" w:eastAsia="宋体" w:cs="Times New Roman"/>
                <w:bCs/>
                <w:color w:val="auto"/>
                <w:sz w:val="24"/>
                <w:szCs w:val="24"/>
                <w:highlight w:val="none"/>
              </w:rPr>
              <w:t>厂区垃圾桶收集后，由环卫部门统一清运处置</w:t>
            </w:r>
            <w:r>
              <w:rPr>
                <w:rFonts w:hint="default" w:ascii="Times New Roman" w:hAnsi="Times New Roman" w:eastAsia="宋体" w:cs="Times New Roman"/>
                <w:bCs/>
                <w:color w:val="auto"/>
                <w:sz w:val="24"/>
                <w:szCs w:val="24"/>
                <w:highlight w:val="none"/>
                <w:lang w:eastAsia="zh-CN"/>
              </w:rPr>
              <w:t>；病死猪、不合格胴体及内脏</w:t>
            </w:r>
            <w:r>
              <w:rPr>
                <w:rFonts w:hint="eastAsia" w:cs="Times New Roman"/>
                <w:bCs/>
                <w:color w:val="auto"/>
                <w:sz w:val="24"/>
                <w:szCs w:val="24"/>
                <w:highlight w:val="none"/>
                <w:lang w:val="en-US" w:eastAsia="zh-CN"/>
              </w:rPr>
              <w:t>在厂内病体间暂存，并委托成都市科农动物无害化处置有限公司集中处置</w:t>
            </w:r>
            <w:r>
              <w:rPr>
                <w:rFonts w:hint="eastAsia" w:cs="Times New Roman"/>
                <w:bCs/>
                <w:color w:val="auto"/>
                <w:sz w:val="24"/>
                <w:szCs w:val="24"/>
                <w:highlight w:val="none"/>
                <w:lang w:eastAsia="zh-CN"/>
              </w:rPr>
              <w:t>；粪便及肠胃内容物收集于专用密闭桶内，与粪便一同暂存于猪粪、猪毛及肠内容物暂存间，由附近村民运走做肥料，做到日产日清；不可食用内脏和碎肉渣分类收集后外售饲料加工企业生产饲料；厂区污水站格栅渣及污泥、废油脂定期清掏后交环卫部门处置，不在厂内储存；</w:t>
            </w:r>
          </w:p>
          <w:p w14:paraId="58FEBD4D">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危险废物：废矿物油、消毒剂废包装袋、废活性炭、废含油废抹布及废棉纱手套分类收集后暂存危废暂存间，定期交由有资质单位处理。</w:t>
            </w:r>
          </w:p>
        </w:tc>
      </w:tr>
      <w:tr w14:paraId="06551B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847" w:type="pct"/>
            <w:vAlign w:val="center"/>
          </w:tcPr>
          <w:p w14:paraId="7558BD68">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土壤及地下水污染防治措施</w:t>
            </w:r>
          </w:p>
        </w:tc>
        <w:tc>
          <w:tcPr>
            <w:tcW w:w="4152" w:type="pct"/>
            <w:gridSpan w:val="4"/>
            <w:vAlign w:val="center"/>
          </w:tcPr>
          <w:p w14:paraId="5216907A">
            <w:pPr>
              <w:pStyle w:val="78"/>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分区防渗措施，重点防渗区(危废暂存间、污水处理设施</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病体间、</w:t>
            </w:r>
            <w:r>
              <w:rPr>
                <w:rFonts w:hint="eastAsia" w:cs="Times New Roman"/>
                <w:color w:val="auto"/>
                <w:sz w:val="24"/>
                <w:szCs w:val="24"/>
                <w:highlight w:val="none"/>
                <w:lang w:eastAsia="zh-CN"/>
              </w:rPr>
              <w:t>猪粪、猪毛及肠内容物暂存间、</w:t>
            </w:r>
            <w:r>
              <w:rPr>
                <w:rFonts w:hint="eastAsia" w:cs="Times New Roman"/>
                <w:color w:val="auto"/>
                <w:sz w:val="24"/>
                <w:szCs w:val="24"/>
                <w:highlight w:val="none"/>
                <w:lang w:val="en-US" w:eastAsia="zh-CN"/>
              </w:rPr>
              <w:t>事故应急池</w:t>
            </w:r>
            <w:r>
              <w:rPr>
                <w:rFonts w:hint="default" w:ascii="Times New Roman" w:hAnsi="Times New Roman" w:eastAsia="宋体" w:cs="Times New Roman"/>
                <w:color w:val="auto"/>
                <w:sz w:val="24"/>
                <w:szCs w:val="24"/>
                <w:highlight w:val="none"/>
              </w:rPr>
              <w:t>）：设置2mm厚HDPE防渗土工膜或其他人工防渗材料，或涂刷防腐、防渗涂料（等效黏土防渗层Mb≥6.0m，K≤1.0×10-7cm/s，其中危险废物暂存间K≤1.0×10-10cm/s）；一般防渗区(除重点防渗区、简单防渗区外的其他区域</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：地面采用防渗混凝土，等效黏土防渗层厚度≥1.5m，防渗系数1×10-7cm/s，或参照GB16889执行；简单防渗区(除重点防渗区、一般防渗区以外的其余区域</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：一般地面硬化。</w:t>
            </w:r>
          </w:p>
        </w:tc>
      </w:tr>
      <w:tr w14:paraId="3505F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847" w:type="pct"/>
            <w:vAlign w:val="center"/>
          </w:tcPr>
          <w:p w14:paraId="412D0E27">
            <w:pPr>
              <w:adjustRightInd w:val="0"/>
              <w:snapToGrid w:val="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生态保护措施</w:t>
            </w:r>
          </w:p>
        </w:tc>
        <w:tc>
          <w:tcPr>
            <w:tcW w:w="4152" w:type="pct"/>
            <w:gridSpan w:val="4"/>
            <w:vAlign w:val="center"/>
          </w:tcPr>
          <w:p w14:paraId="30303D05">
            <w:pPr>
              <w:pStyle w:val="87"/>
              <w:spacing w:line="360" w:lineRule="auto"/>
              <w:ind w:firstLine="48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highlight w:val="none"/>
                <w:lang w:val="en-US" w:eastAsia="zh-CN"/>
              </w:rPr>
              <w:t>项目废水包括生活污水和生产废水，全部进入污水处理站，项目废水经处理后由罐车拉至城镇污水处理厂进一步处理，企业在严格按照操作规程进行的情况下，不会对区域的水生生态环境造成严重影响。项目固废处理处置率达100%，不会积压或占用大部分土地，不对区域的景观生态环境造成严重影响。</w:t>
            </w:r>
          </w:p>
        </w:tc>
      </w:tr>
      <w:tr w14:paraId="436014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7" w:type="pct"/>
            <w:vAlign w:val="center"/>
          </w:tcPr>
          <w:p w14:paraId="3BB34FD7">
            <w:pPr>
              <w:adjustRightInd w:val="0"/>
              <w:snapToGrid w:val="0"/>
              <w:jc w:val="center"/>
              <w:rPr>
                <w:rFonts w:hint="default" w:ascii="Times New Roman" w:hAnsi="Times New Roman" w:eastAsia="宋体" w:cs="Times New Roman"/>
                <w:color w:val="auto"/>
                <w:spacing w:val="-8"/>
                <w:sz w:val="24"/>
                <w:szCs w:val="24"/>
                <w:highlight w:val="none"/>
              </w:rPr>
            </w:pPr>
            <w:r>
              <w:rPr>
                <w:rFonts w:hint="default" w:ascii="Times New Roman" w:hAnsi="Times New Roman" w:eastAsia="宋体" w:cs="Times New Roman"/>
                <w:color w:val="auto"/>
                <w:spacing w:val="-8"/>
                <w:sz w:val="24"/>
                <w:szCs w:val="24"/>
                <w:highlight w:val="none"/>
              </w:rPr>
              <w:t>环境风险防范措施</w:t>
            </w:r>
          </w:p>
        </w:tc>
        <w:tc>
          <w:tcPr>
            <w:tcW w:w="4152" w:type="pct"/>
            <w:gridSpan w:val="4"/>
            <w:vAlign w:val="center"/>
          </w:tcPr>
          <w:p w14:paraId="3F5A9FDF">
            <w:pPr>
              <w:widowControl/>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过程存在着一定的环境风险，但只要加强管理，建立健全相应的风险防范管理、应急措施，并在设计、实施、管理及运行中认真落实安全措施和相关安全生产管理规定、消防规定和相关环保规定，制定相应的事故应急预案，一旦发生事故，将环境污染降至最低程度。</w:t>
            </w:r>
          </w:p>
        </w:tc>
      </w:tr>
      <w:tr w14:paraId="638372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7" w:type="pct"/>
            <w:vAlign w:val="center"/>
          </w:tcPr>
          <w:p w14:paraId="04F04281">
            <w:pPr>
              <w:adjustRightInd w:val="0"/>
              <w:snapToGrid w:val="0"/>
              <w:jc w:val="center"/>
              <w:rPr>
                <w:rFonts w:hint="default" w:ascii="Times New Roman" w:hAnsi="Times New Roman" w:eastAsia="宋体" w:cs="Times New Roman"/>
                <w:color w:val="auto"/>
                <w:spacing w:val="-8"/>
                <w:sz w:val="24"/>
                <w:szCs w:val="24"/>
                <w:highlight w:val="none"/>
              </w:rPr>
            </w:pPr>
            <w:r>
              <w:rPr>
                <w:rFonts w:hint="default" w:ascii="Times New Roman" w:hAnsi="Times New Roman" w:eastAsia="宋体" w:cs="Times New Roman"/>
                <w:color w:val="auto"/>
                <w:spacing w:val="-8"/>
                <w:sz w:val="24"/>
                <w:szCs w:val="24"/>
                <w:highlight w:val="none"/>
              </w:rPr>
              <w:t>其他环境管理要求</w:t>
            </w:r>
          </w:p>
        </w:tc>
        <w:tc>
          <w:tcPr>
            <w:tcW w:w="4152" w:type="pct"/>
            <w:gridSpan w:val="4"/>
            <w:vAlign w:val="center"/>
          </w:tcPr>
          <w:p w14:paraId="63C11AD2">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1、环境管理</w:t>
            </w:r>
          </w:p>
          <w:p w14:paraId="564245DA">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加强项目的环境管理，加大企业环境监测力度，必须严格控制污染物排放总量，执行建设项目“三同时”制度。在保证项目正常运营的情况下，更好的监控项目环保设施的运行，及时掌握和了解污染治理措施的效果，须制定项目环境管理和监测计划。</w:t>
            </w:r>
          </w:p>
          <w:p w14:paraId="6DF7A7C6">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环境管理</w:t>
            </w:r>
          </w:p>
          <w:p w14:paraId="1BBEBE48">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本项目的污染物排放水平与厂区环境管理水平密切相关，因此在采取环境保护工程措施和生态保护措施的同时，必须加强环境管理。</w:t>
            </w:r>
          </w:p>
          <w:p w14:paraId="63C39D31">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①贯彻执行国家和地方各项环保方针、政策和法规，将环境指标纳入生产计划指标，建立企业内部的环境保护机构、制订与其相适应的管理规章制度及细则；</w:t>
            </w:r>
          </w:p>
          <w:p w14:paraId="0123301B">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②加强对生产人员的环保教育，包括业务能力、操作技术、环保管理知识的教育，以增强他们的环保意识，提高管理水平；</w:t>
            </w:r>
          </w:p>
          <w:p w14:paraId="7CC18BDD">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③建立全厂设备维护、维修制度，定期检查各设备运行情况，杜绝事故发生。</w:t>
            </w:r>
          </w:p>
          <w:p w14:paraId="3832E7E2">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④企业可制定出相关的“环境方针”、“环境目标”、“环境指标”，并按照“运行控制程序”进行严格实施，在遵守有关环境法律、法规的前提下，树立良好的社会形象，实现经济效益与社会效益、环境效益的统一。</w:t>
            </w:r>
          </w:p>
          <w:p w14:paraId="5072B17D">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⑤应按规范进行台账记录，主要内容包括生产信息、燃料、原辅材料使用情况、污染防治设施运行记录、监测数据等。</w:t>
            </w:r>
          </w:p>
          <w:p w14:paraId="0EF095DD">
            <w:pPr>
              <w:spacing w:line="48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⑥定期在国家排污许可证管理信息平台填报信息，编制排污许可证执行报告，及时报送有核发权的环境保护主管部门并公开，执行报告主要内容包括生产信息、污染防治设施运行情况、污染物按证排放情况等。</w:t>
            </w:r>
          </w:p>
          <w:p w14:paraId="7700964E">
            <w:pPr>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2、排污口规范化</w:t>
            </w:r>
            <w:r>
              <w:rPr>
                <w:rFonts w:hint="eastAsia" w:cs="Times New Roman"/>
                <w:color w:val="auto"/>
                <w:sz w:val="24"/>
                <w:szCs w:val="24"/>
                <w:highlight w:val="none"/>
                <w:lang w:val="en-US" w:eastAsia="zh-CN"/>
              </w:rPr>
              <w:t>设置</w:t>
            </w:r>
          </w:p>
          <w:p w14:paraId="484400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color w:val="auto"/>
              </w:rPr>
            </w:pPr>
            <w:r>
              <w:rPr>
                <w:rFonts w:hint="eastAsia" w:ascii="Times New Roman" w:hAnsi="Times New Roman" w:cs="Times New Roman"/>
                <w:color w:val="auto"/>
                <w:sz w:val="24"/>
                <w:lang w:val="en-US" w:eastAsia="zh-CN"/>
              </w:rPr>
              <w:t>企业</w:t>
            </w:r>
            <w:r>
              <w:rPr>
                <w:rFonts w:hint="default" w:ascii="Times New Roman" w:hAnsi="Times New Roman" w:cs="Times New Roman"/>
                <w:color w:val="auto"/>
                <w:sz w:val="24"/>
              </w:rPr>
              <w:t>排污口的规范化</w:t>
            </w:r>
            <w:r>
              <w:rPr>
                <w:rFonts w:hint="eastAsia" w:ascii="Times New Roman" w:hAnsi="Times New Roman" w:cs="Times New Roman"/>
                <w:color w:val="auto"/>
                <w:sz w:val="24"/>
                <w:lang w:val="en-US" w:eastAsia="zh-CN"/>
              </w:rPr>
              <w:t>要满足</w:t>
            </w:r>
            <w:r>
              <w:rPr>
                <w:rFonts w:hint="default" w:ascii="Times New Roman" w:hAnsi="Times New Roman" w:cs="Times New Roman"/>
                <w:color w:val="auto"/>
                <w:sz w:val="24"/>
              </w:rPr>
              <w:t>国家标准《环境保护图形标志——排放口（源）》和国家环保总局《排污口规范化整治要求（试行）》的技术要求，</w:t>
            </w:r>
            <w:r>
              <w:rPr>
                <w:rFonts w:hint="eastAsia" w:ascii="Times New Roman" w:hAnsi="Times New Roman" w:cs="Times New Roman"/>
                <w:color w:val="auto"/>
                <w:sz w:val="24"/>
                <w:lang w:val="en-US" w:eastAsia="zh-CN"/>
              </w:rPr>
              <w:t>同时</w:t>
            </w:r>
            <w:r>
              <w:rPr>
                <w:rFonts w:hint="default" w:ascii="Times New Roman" w:hAnsi="Times New Roman" w:cs="Times New Roman"/>
                <w:color w:val="auto"/>
                <w:sz w:val="24"/>
              </w:rPr>
              <w:t>符合环境监管部门的要求。建设项目污（废）水排放口、废气排气筒、固定噪声污染源扰民处和固体废物贮存（处置）场所规范化设置应符合《环境保护图形标志实施细则（试行）》（环监【1996】463 号文）有关规定。</w:t>
            </w:r>
            <w:r>
              <w:rPr>
                <w:rFonts w:hint="eastAsia" w:ascii="Times New Roman" w:hAnsi="Times New Roman"/>
                <w:color w:val="auto"/>
                <w:kern w:val="0"/>
                <w:sz w:val="24"/>
                <w:lang w:bidi="ar"/>
              </w:rPr>
              <w:t>危险废物要满足《危险废物识别标志设置技术规范》（HJ1276-2022）相关规定</w:t>
            </w:r>
            <w:r>
              <w:rPr>
                <w:rFonts w:hint="default" w:ascii="Times New Roman" w:hAnsi="Times New Roman" w:cs="Times New Roman"/>
                <w:color w:val="auto"/>
                <w:sz w:val="24"/>
              </w:rPr>
              <w:t>。</w:t>
            </w:r>
          </w:p>
          <w:p w14:paraId="11352163">
            <w:pPr>
              <w:spacing w:line="360" w:lineRule="auto"/>
              <w:ind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污水排污口</w:t>
            </w:r>
          </w:p>
          <w:p w14:paraId="6F724936">
            <w:pPr>
              <w:spacing w:line="360" w:lineRule="auto"/>
              <w:ind w:firstLine="480" w:firstLineChars="200"/>
              <w:rPr>
                <w:rFonts w:hint="default" w:ascii="Times New Roman" w:hAnsi="Times New Roman" w:cs="Times New Roman"/>
                <w:color w:val="auto"/>
                <w:szCs w:val="24"/>
              </w:rPr>
            </w:pPr>
            <w:r>
              <w:rPr>
                <w:rFonts w:ascii="宋体" w:hAnsi="宋体" w:eastAsia="宋体" w:cs="宋体"/>
                <w:color w:val="auto"/>
                <w:sz w:val="24"/>
                <w:szCs w:val="24"/>
                <w:highlight w:val="none"/>
              </w:rPr>
              <w:t>本项目所有废水全部进入厂区自建</w:t>
            </w:r>
            <w:r>
              <w:rPr>
                <w:rFonts w:hint="eastAsia" w:ascii="宋体" w:hAnsi="宋体" w:eastAsia="宋体" w:cs="宋体"/>
                <w:color w:val="auto"/>
                <w:sz w:val="24"/>
                <w:szCs w:val="24"/>
                <w:highlight w:val="none"/>
                <w:lang w:val="en-US" w:eastAsia="zh-CN"/>
              </w:rPr>
              <w:t>污水处理站处理</w:t>
            </w:r>
            <w:r>
              <w:rPr>
                <w:rFonts w:ascii="宋体" w:hAnsi="宋体" w:eastAsia="宋体" w:cs="宋体"/>
                <w:color w:val="auto"/>
                <w:sz w:val="24"/>
                <w:szCs w:val="24"/>
                <w:highlight w:val="none"/>
              </w:rPr>
              <w:t>达《肉类加工工业水污染</w:t>
            </w:r>
            <w:r>
              <w:rPr>
                <w:rFonts w:ascii="宋体" w:hAnsi="宋体" w:eastAsia="宋体" w:cs="宋体"/>
                <w:color w:val="auto"/>
                <w:spacing w:val="-4"/>
                <w:sz w:val="24"/>
                <w:szCs w:val="24"/>
                <w:highlight w:val="none"/>
              </w:rPr>
              <w:t>物排放标准》（</w:t>
            </w:r>
            <w:r>
              <w:rPr>
                <w:rFonts w:ascii="Times New Roman" w:hAnsi="Times New Roman" w:eastAsia="Times New Roman" w:cs="Times New Roman"/>
                <w:color w:val="auto"/>
                <w:spacing w:val="-4"/>
                <w:sz w:val="24"/>
                <w:szCs w:val="24"/>
                <w:highlight w:val="none"/>
              </w:rPr>
              <w:t>GB</w:t>
            </w:r>
            <w:r>
              <w:rPr>
                <w:rFonts w:ascii="Times New Roman" w:hAnsi="Times New Roman" w:eastAsia="Times New Roman" w:cs="Times New Roman"/>
                <w:color w:val="auto"/>
                <w:spacing w:val="29"/>
                <w:w w:val="101"/>
                <w:sz w:val="24"/>
                <w:szCs w:val="24"/>
                <w:highlight w:val="none"/>
              </w:rPr>
              <w:t xml:space="preserve"> </w:t>
            </w:r>
            <w:r>
              <w:rPr>
                <w:rFonts w:ascii="Times New Roman" w:hAnsi="Times New Roman" w:eastAsia="Times New Roman" w:cs="Times New Roman"/>
                <w:color w:val="auto"/>
                <w:spacing w:val="-4"/>
                <w:sz w:val="24"/>
                <w:szCs w:val="24"/>
                <w:highlight w:val="none"/>
              </w:rPr>
              <w:t>13457-92</w:t>
            </w:r>
            <w:r>
              <w:rPr>
                <w:rFonts w:ascii="宋体" w:hAnsi="宋体" w:eastAsia="宋体" w:cs="宋体"/>
                <w:color w:val="auto"/>
                <w:spacing w:val="-4"/>
                <w:sz w:val="24"/>
                <w:szCs w:val="24"/>
                <w:highlight w:val="none"/>
              </w:rPr>
              <w:t>）表</w:t>
            </w:r>
            <w:r>
              <w:rPr>
                <w:rFonts w:ascii="宋体" w:hAnsi="宋体" w:eastAsia="宋体" w:cs="宋体"/>
                <w:color w:val="auto"/>
                <w:spacing w:val="-50"/>
                <w:sz w:val="24"/>
                <w:szCs w:val="24"/>
                <w:highlight w:val="none"/>
              </w:rPr>
              <w:t xml:space="preserve"> </w:t>
            </w:r>
            <w:r>
              <w:rPr>
                <w:rFonts w:ascii="Times New Roman" w:hAnsi="Times New Roman" w:eastAsia="Times New Roman" w:cs="Times New Roman"/>
                <w:color w:val="auto"/>
                <w:spacing w:val="-4"/>
                <w:sz w:val="24"/>
                <w:szCs w:val="24"/>
                <w:highlight w:val="none"/>
              </w:rPr>
              <w:t>3</w:t>
            </w:r>
            <w:r>
              <w:rPr>
                <w:rFonts w:ascii="宋体" w:hAnsi="宋体" w:eastAsia="宋体" w:cs="宋体"/>
                <w:color w:val="auto"/>
                <w:spacing w:val="-4"/>
                <w:sz w:val="24"/>
                <w:szCs w:val="24"/>
                <w:highlight w:val="none"/>
              </w:rPr>
              <w:t>中畜</w:t>
            </w:r>
            <w:r>
              <w:rPr>
                <w:rFonts w:ascii="宋体" w:hAnsi="宋体" w:eastAsia="宋体" w:cs="宋体"/>
                <w:color w:val="auto"/>
                <w:spacing w:val="-5"/>
                <w:sz w:val="24"/>
                <w:szCs w:val="24"/>
                <w:highlight w:val="none"/>
              </w:rPr>
              <w:t>类屠宰加工三级标准后</w:t>
            </w:r>
            <w:r>
              <w:rPr>
                <w:rFonts w:hint="eastAsia" w:ascii="宋体" w:hAnsi="宋体" w:cs="宋体"/>
                <w:color w:val="auto"/>
                <w:spacing w:val="-5"/>
                <w:sz w:val="24"/>
                <w:szCs w:val="24"/>
                <w:highlight w:val="none"/>
                <w:lang w:eastAsia="zh-CN"/>
              </w:rPr>
              <w:t>，</w:t>
            </w:r>
            <w:r>
              <w:rPr>
                <w:rFonts w:hint="eastAsia" w:ascii="宋体" w:hAnsi="宋体" w:eastAsia="宋体" w:cs="宋体"/>
                <w:color w:val="auto"/>
                <w:sz w:val="24"/>
                <w:szCs w:val="24"/>
                <w:highlight w:val="none"/>
                <w:lang w:val="en-US" w:eastAsia="zh-CN"/>
              </w:rPr>
              <w:t>由罐车运至海螺沟磨西镇城市生活污水处理厂</w:t>
            </w:r>
            <w:r>
              <w:rPr>
                <w:rFonts w:ascii="宋体" w:hAnsi="宋体" w:eastAsia="宋体" w:cs="宋体"/>
                <w:color w:val="auto"/>
                <w:sz w:val="24"/>
                <w:szCs w:val="24"/>
                <w:highlight w:val="none"/>
              </w:rPr>
              <w:t>处理达到</w:t>
            </w:r>
            <w:r>
              <w:rPr>
                <w:rFonts w:ascii="Times New Roman" w:hAnsi="Times New Roman" w:cs="Times New Roman"/>
                <w:color w:val="auto"/>
                <w:highlight w:val="none"/>
              </w:rPr>
              <w:t>《城镇污水处理厂污染物排放标准》（GB18918-2002）一级标准的</w:t>
            </w:r>
            <w:r>
              <w:rPr>
                <w:rFonts w:hint="eastAsia" w:cs="Times New Roman"/>
                <w:color w:val="auto"/>
                <w:highlight w:val="none"/>
                <w:lang w:eastAsia="zh-CN"/>
              </w:rPr>
              <w:t>A标准</w:t>
            </w:r>
            <w:r>
              <w:rPr>
                <w:rFonts w:ascii="宋体" w:hAnsi="宋体" w:eastAsia="宋体" w:cs="宋体"/>
                <w:color w:val="auto"/>
                <w:sz w:val="24"/>
                <w:szCs w:val="24"/>
                <w:highlight w:val="none"/>
              </w:rPr>
              <w:t>后，排入</w:t>
            </w:r>
            <w:r>
              <w:rPr>
                <w:rFonts w:hint="eastAsia" w:ascii="宋体" w:hAnsi="宋体" w:eastAsia="宋体" w:cs="宋体"/>
                <w:color w:val="auto"/>
                <w:sz w:val="24"/>
                <w:szCs w:val="24"/>
                <w:highlight w:val="none"/>
                <w:lang w:val="en-US" w:eastAsia="zh-CN"/>
              </w:rPr>
              <w:t>燕子沟</w:t>
            </w:r>
            <w:r>
              <w:rPr>
                <w:rFonts w:ascii="宋体" w:hAnsi="宋体" w:eastAsia="宋体" w:cs="宋体"/>
                <w:color w:val="auto"/>
                <w:spacing w:val="-1"/>
                <w:sz w:val="24"/>
                <w:szCs w:val="24"/>
                <w:highlight w:val="none"/>
              </w:rPr>
              <w:t>。</w:t>
            </w:r>
            <w:r>
              <w:rPr>
                <w:rFonts w:hint="eastAsia" w:cs="Times New Roman"/>
                <w:bCs/>
                <w:color w:val="auto"/>
                <w:spacing w:val="0"/>
                <w:kern w:val="2"/>
                <w:sz w:val="24"/>
                <w:szCs w:val="24"/>
                <w:lang w:val="en-US" w:eastAsia="zh-CN" w:bidi="ar-SA"/>
              </w:rPr>
              <w:t>项目</w:t>
            </w:r>
            <w:r>
              <w:rPr>
                <w:rFonts w:hint="default" w:ascii="Times New Roman" w:hAnsi="Times New Roman" w:cs="Times New Roman"/>
                <w:color w:val="auto"/>
                <w:szCs w:val="24"/>
              </w:rPr>
              <w:t>污水排污口设置情况见下表：</w:t>
            </w:r>
          </w:p>
          <w:p w14:paraId="6E1666A5">
            <w:pPr>
              <w:keepNext w:val="0"/>
              <w:keepLines w:val="0"/>
              <w:pageBreakBefore w:val="0"/>
              <w:widowControl w:val="0"/>
              <w:numPr>
                <w:ilvl w:val="0"/>
                <w:numId w:val="26"/>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黑体" w:cs="Times New Roman"/>
                <w:color w:val="auto"/>
                <w:sz w:val="21"/>
                <w:szCs w:val="21"/>
              </w:rPr>
            </w:pPr>
            <w:r>
              <w:rPr>
                <w:rFonts w:hint="eastAsia" w:ascii="Times New Roman" w:hAnsi="Times New Roman" w:eastAsia="黑体" w:cs="Times New Roman"/>
                <w:color w:val="auto"/>
                <w:sz w:val="21"/>
                <w:szCs w:val="21"/>
                <w:lang w:val="en-US" w:eastAsia="zh-CN"/>
              </w:rPr>
              <w:t>本项目</w:t>
            </w:r>
            <w:r>
              <w:rPr>
                <w:rFonts w:hint="default" w:ascii="Times New Roman" w:hAnsi="Times New Roman" w:eastAsia="黑体" w:cs="Times New Roman"/>
                <w:color w:val="auto"/>
                <w:sz w:val="21"/>
                <w:szCs w:val="21"/>
              </w:rPr>
              <w:t>污水排放口设置情况</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463"/>
              <w:gridCol w:w="589"/>
              <w:gridCol w:w="909"/>
              <w:gridCol w:w="3247"/>
            </w:tblGrid>
            <w:tr w14:paraId="4EC49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pct"/>
                  <w:tcBorders>
                    <w:top w:val="single" w:color="auto" w:sz="12" w:space="0"/>
                    <w:bottom w:val="single" w:color="auto" w:sz="8" w:space="0"/>
                    <w:right w:val="single" w:color="auto" w:sz="8" w:space="0"/>
                  </w:tcBorders>
                  <w:vAlign w:val="center"/>
                </w:tcPr>
                <w:p w14:paraId="668AAE3E">
                  <w:pPr>
                    <w:pStyle w:val="31"/>
                    <w:keepNext w:val="0"/>
                    <w:keepLines w:val="0"/>
                    <w:pageBreakBefore w:val="0"/>
                    <w:kinsoku/>
                    <w:wordWrap/>
                    <w:overflowPunct/>
                    <w:topLinePunct w:val="0"/>
                    <w:autoSpaceDE/>
                    <w:autoSpaceDN/>
                    <w:bidi w:val="0"/>
                    <w:snapToGrid w:val="0"/>
                    <w:spacing w:after="0" w:line="240" w:lineRule="auto"/>
                    <w:ind w:left="0" w:leftChars="0" w:right="0"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类别</w:t>
                  </w:r>
                </w:p>
              </w:tc>
              <w:tc>
                <w:tcPr>
                  <w:tcW w:w="1091" w:type="pct"/>
                  <w:tcBorders>
                    <w:top w:val="single" w:color="auto" w:sz="12" w:space="0"/>
                    <w:left w:val="single" w:color="auto" w:sz="8" w:space="0"/>
                    <w:bottom w:val="single" w:color="auto" w:sz="8" w:space="0"/>
                    <w:right w:val="single" w:color="auto" w:sz="8" w:space="0"/>
                  </w:tcBorders>
                  <w:vAlign w:val="center"/>
                </w:tcPr>
                <w:p w14:paraId="0DE0EC16">
                  <w:pPr>
                    <w:pStyle w:val="31"/>
                    <w:keepNext w:val="0"/>
                    <w:keepLines w:val="0"/>
                    <w:pageBreakBefore w:val="0"/>
                    <w:kinsoku/>
                    <w:wordWrap/>
                    <w:overflowPunct/>
                    <w:topLinePunct w:val="0"/>
                    <w:autoSpaceDE/>
                    <w:autoSpaceDN/>
                    <w:bidi w:val="0"/>
                    <w:snapToGrid w:val="0"/>
                    <w:spacing w:after="0" w:line="240" w:lineRule="auto"/>
                    <w:ind w:left="0" w:leftChars="0" w:right="0"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污染物种类</w:t>
                  </w:r>
                </w:p>
              </w:tc>
              <w:tc>
                <w:tcPr>
                  <w:tcW w:w="474" w:type="pct"/>
                  <w:tcBorders>
                    <w:top w:val="single" w:color="auto" w:sz="12" w:space="0"/>
                    <w:left w:val="single" w:color="auto" w:sz="8" w:space="0"/>
                    <w:bottom w:val="single" w:color="auto" w:sz="8" w:space="0"/>
                    <w:right w:val="single" w:color="auto" w:sz="8" w:space="0"/>
                  </w:tcBorders>
                  <w:vAlign w:val="center"/>
                </w:tcPr>
                <w:p w14:paraId="58403521">
                  <w:pPr>
                    <w:pStyle w:val="31"/>
                    <w:keepNext w:val="0"/>
                    <w:keepLines w:val="0"/>
                    <w:pageBreakBefore w:val="0"/>
                    <w:kinsoku/>
                    <w:wordWrap/>
                    <w:overflowPunct/>
                    <w:topLinePunct w:val="0"/>
                    <w:autoSpaceDE/>
                    <w:autoSpaceDN/>
                    <w:bidi w:val="0"/>
                    <w:snapToGrid w:val="0"/>
                    <w:spacing w:after="0" w:line="240" w:lineRule="auto"/>
                    <w:ind w:left="0" w:leftChars="0" w:right="0"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数量</w:t>
                  </w:r>
                </w:p>
              </w:tc>
              <w:tc>
                <w:tcPr>
                  <w:tcW w:w="700" w:type="pct"/>
                  <w:tcBorders>
                    <w:top w:val="single" w:color="auto" w:sz="12" w:space="0"/>
                    <w:left w:val="single" w:color="auto" w:sz="8" w:space="0"/>
                    <w:bottom w:val="single" w:color="auto" w:sz="8" w:space="0"/>
                    <w:right w:val="single" w:color="auto" w:sz="8" w:space="0"/>
                  </w:tcBorders>
                  <w:vAlign w:val="center"/>
                </w:tcPr>
                <w:p w14:paraId="45024836">
                  <w:pPr>
                    <w:pStyle w:val="31"/>
                    <w:keepNext w:val="0"/>
                    <w:keepLines w:val="0"/>
                    <w:pageBreakBefore w:val="0"/>
                    <w:kinsoku/>
                    <w:wordWrap/>
                    <w:overflowPunct/>
                    <w:topLinePunct w:val="0"/>
                    <w:autoSpaceDE/>
                    <w:autoSpaceDN/>
                    <w:bidi w:val="0"/>
                    <w:snapToGrid w:val="0"/>
                    <w:spacing w:after="0" w:line="240" w:lineRule="auto"/>
                    <w:ind w:left="0" w:leftChars="0" w:right="0"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编号</w:t>
                  </w:r>
                </w:p>
              </w:tc>
              <w:tc>
                <w:tcPr>
                  <w:tcW w:w="2062" w:type="pct"/>
                  <w:tcBorders>
                    <w:top w:val="single" w:color="auto" w:sz="12" w:space="0"/>
                    <w:left w:val="single" w:color="auto" w:sz="8" w:space="0"/>
                    <w:bottom w:val="single" w:color="auto" w:sz="8" w:space="0"/>
                    <w:right w:val="nil"/>
                  </w:tcBorders>
                  <w:vAlign w:val="center"/>
                </w:tcPr>
                <w:p w14:paraId="13CE155F">
                  <w:pPr>
                    <w:pStyle w:val="31"/>
                    <w:keepNext w:val="0"/>
                    <w:keepLines w:val="0"/>
                    <w:pageBreakBefore w:val="0"/>
                    <w:kinsoku/>
                    <w:wordWrap/>
                    <w:overflowPunct/>
                    <w:topLinePunct w:val="0"/>
                    <w:autoSpaceDE/>
                    <w:autoSpaceDN/>
                    <w:bidi w:val="0"/>
                    <w:snapToGrid w:val="0"/>
                    <w:spacing w:after="0" w:line="240" w:lineRule="auto"/>
                    <w:ind w:left="0" w:leftChars="0" w:right="0"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规范化排污口标志牌图片示例</w:t>
                  </w:r>
                </w:p>
              </w:tc>
            </w:tr>
            <w:tr w14:paraId="4C42D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4" w:hRule="atLeast"/>
                <w:jc w:val="center"/>
              </w:trPr>
              <w:tc>
                <w:tcPr>
                  <w:tcW w:w="670" w:type="pct"/>
                  <w:tcBorders>
                    <w:top w:val="single" w:color="auto" w:sz="8" w:space="0"/>
                    <w:left w:val="nil"/>
                    <w:bottom w:val="single" w:color="auto" w:sz="12" w:space="0"/>
                    <w:right w:val="single" w:color="auto" w:sz="8" w:space="0"/>
                  </w:tcBorders>
                  <w:vAlign w:val="center"/>
                </w:tcPr>
                <w:p w14:paraId="77B56102">
                  <w:pPr>
                    <w:pStyle w:val="31"/>
                    <w:keepNext w:val="0"/>
                    <w:keepLines w:val="0"/>
                    <w:pageBreakBefore w:val="0"/>
                    <w:widowControl w:val="0"/>
                    <w:kinsoku/>
                    <w:wordWrap/>
                    <w:overflowPunct/>
                    <w:topLinePunct w:val="0"/>
                    <w:autoSpaceDE/>
                    <w:autoSpaceDN/>
                    <w:bidi w:val="0"/>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eastAsia" w:cs="Times New Roman"/>
                      <w:color w:val="auto"/>
                      <w:kern w:val="2"/>
                      <w:sz w:val="21"/>
                      <w:szCs w:val="21"/>
                      <w:lang w:val="en-US" w:eastAsia="zh-CN"/>
                    </w:rPr>
                    <w:t>综合</w:t>
                  </w:r>
                  <w:r>
                    <w:rPr>
                      <w:rFonts w:hint="eastAsia" w:ascii="Times New Roman" w:hAnsi="Times New Roman" w:cs="Times New Roman"/>
                      <w:color w:val="auto"/>
                      <w:kern w:val="2"/>
                      <w:sz w:val="21"/>
                      <w:szCs w:val="21"/>
                      <w:lang w:val="en-US" w:eastAsia="zh-CN"/>
                    </w:rPr>
                    <w:t>污水</w:t>
                  </w:r>
                  <w:r>
                    <w:rPr>
                      <w:rFonts w:hint="default" w:ascii="Times New Roman" w:hAnsi="Times New Roman" w:cs="Times New Roman"/>
                      <w:color w:val="auto"/>
                      <w:kern w:val="2"/>
                      <w:sz w:val="21"/>
                      <w:szCs w:val="21"/>
                      <w:lang w:val="en-US" w:eastAsia="zh-CN"/>
                    </w:rPr>
                    <w:t>排放口</w:t>
                  </w:r>
                </w:p>
              </w:tc>
              <w:tc>
                <w:tcPr>
                  <w:tcW w:w="1091" w:type="pct"/>
                  <w:tcBorders>
                    <w:top w:val="single" w:color="auto" w:sz="8" w:space="0"/>
                    <w:left w:val="single" w:color="auto" w:sz="8" w:space="0"/>
                    <w:bottom w:val="single" w:color="auto" w:sz="12" w:space="0"/>
                    <w:right w:val="single" w:color="auto" w:sz="8" w:space="0"/>
                  </w:tcBorders>
                  <w:vAlign w:val="center"/>
                </w:tcPr>
                <w:p w14:paraId="10BC0CC6">
                  <w:pPr>
                    <w:keepNext w:val="0"/>
                    <w:keepLines w:val="0"/>
                    <w:pageBreakBefore w:val="0"/>
                    <w:widowControl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kern w:val="2"/>
                      <w:sz w:val="21"/>
                      <w:szCs w:val="21"/>
                      <w:lang w:val="en-US" w:eastAsia="zh-CN"/>
                    </w:rPr>
                  </w:pPr>
                  <w:r>
                    <w:rPr>
                      <w:color w:val="auto"/>
                      <w:kern w:val="0"/>
                      <w:sz w:val="21"/>
                      <w:szCs w:val="21"/>
                      <w:highlight w:val="none"/>
                    </w:rPr>
                    <w:t>pH、COD</w:t>
                  </w:r>
                  <w:r>
                    <w:rPr>
                      <w:rFonts w:hint="eastAsia"/>
                      <w:color w:val="auto"/>
                      <w:kern w:val="0"/>
                      <w:sz w:val="21"/>
                      <w:szCs w:val="21"/>
                      <w:highlight w:val="none"/>
                      <w:vertAlign w:val="subscript"/>
                    </w:rPr>
                    <w:t>cr</w:t>
                  </w:r>
                  <w:r>
                    <w:rPr>
                      <w:color w:val="auto"/>
                      <w:kern w:val="0"/>
                      <w:sz w:val="21"/>
                      <w:szCs w:val="21"/>
                      <w:highlight w:val="none"/>
                    </w:rPr>
                    <w:t>、SS、BOD</w:t>
                  </w:r>
                  <w:r>
                    <w:rPr>
                      <w:color w:val="auto"/>
                      <w:kern w:val="0"/>
                      <w:sz w:val="21"/>
                      <w:szCs w:val="21"/>
                      <w:highlight w:val="none"/>
                      <w:vertAlign w:val="subscript"/>
                    </w:rPr>
                    <w:t>5</w:t>
                  </w:r>
                  <w:r>
                    <w:rPr>
                      <w:color w:val="auto"/>
                      <w:kern w:val="0"/>
                      <w:sz w:val="21"/>
                      <w:szCs w:val="21"/>
                      <w:highlight w:val="none"/>
                    </w:rPr>
                    <w:t>、</w:t>
                  </w:r>
                  <w:r>
                    <w:rPr>
                      <w:rFonts w:hint="eastAsia"/>
                      <w:color w:val="auto"/>
                      <w:kern w:val="0"/>
                      <w:sz w:val="21"/>
                      <w:szCs w:val="21"/>
                      <w:highlight w:val="none"/>
                      <w:lang w:eastAsia="zh-CN"/>
                    </w:rPr>
                    <w:t>动植物油</w:t>
                  </w:r>
                  <w:r>
                    <w:rPr>
                      <w:color w:val="auto"/>
                      <w:kern w:val="0"/>
                      <w:sz w:val="21"/>
                      <w:szCs w:val="21"/>
                      <w:highlight w:val="none"/>
                    </w:rPr>
                    <w:t>NH</w:t>
                  </w:r>
                  <w:r>
                    <w:rPr>
                      <w:color w:val="auto"/>
                      <w:kern w:val="0"/>
                      <w:sz w:val="21"/>
                      <w:szCs w:val="21"/>
                      <w:highlight w:val="none"/>
                      <w:vertAlign w:val="subscript"/>
                    </w:rPr>
                    <w:t>3</w:t>
                  </w:r>
                  <w:r>
                    <w:rPr>
                      <w:color w:val="auto"/>
                      <w:kern w:val="0"/>
                      <w:sz w:val="21"/>
                      <w:szCs w:val="21"/>
                      <w:highlight w:val="none"/>
                    </w:rPr>
                    <w:t>-N、TP</w:t>
                  </w:r>
                  <w:r>
                    <w:rPr>
                      <w:rFonts w:hint="eastAsia"/>
                      <w:color w:val="auto"/>
                      <w:kern w:val="0"/>
                      <w:sz w:val="21"/>
                      <w:szCs w:val="21"/>
                      <w:highlight w:val="none"/>
                      <w:lang w:eastAsia="zh-CN"/>
                    </w:rPr>
                    <w:t>、</w:t>
                  </w:r>
                  <w:r>
                    <w:rPr>
                      <w:rFonts w:hint="eastAsia"/>
                      <w:color w:val="auto"/>
                      <w:kern w:val="0"/>
                      <w:sz w:val="21"/>
                      <w:szCs w:val="21"/>
                      <w:highlight w:val="none"/>
                      <w:lang w:val="en-US" w:eastAsia="zh-CN"/>
                    </w:rPr>
                    <w:t>TN、粪大肠菌群等</w:t>
                  </w:r>
                </w:p>
              </w:tc>
              <w:tc>
                <w:tcPr>
                  <w:tcW w:w="474" w:type="pct"/>
                  <w:tcBorders>
                    <w:top w:val="single" w:color="auto" w:sz="8" w:space="0"/>
                    <w:left w:val="single" w:color="auto" w:sz="8" w:space="0"/>
                    <w:bottom w:val="single" w:color="auto" w:sz="12" w:space="0"/>
                    <w:right w:val="single" w:color="auto" w:sz="8" w:space="0"/>
                  </w:tcBorders>
                  <w:vAlign w:val="center"/>
                </w:tcPr>
                <w:p w14:paraId="2D6DA907">
                  <w:pPr>
                    <w:pStyle w:val="31"/>
                    <w:keepNext w:val="0"/>
                    <w:keepLines w:val="0"/>
                    <w:pageBreakBefore w:val="0"/>
                    <w:widowControl w:val="0"/>
                    <w:kinsoku/>
                    <w:wordWrap/>
                    <w:overflowPunct/>
                    <w:topLinePunct w:val="0"/>
                    <w:autoSpaceDE/>
                    <w:autoSpaceDN/>
                    <w:bidi w:val="0"/>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1</w:t>
                  </w:r>
                </w:p>
              </w:tc>
              <w:tc>
                <w:tcPr>
                  <w:tcW w:w="700" w:type="pct"/>
                  <w:tcBorders>
                    <w:top w:val="single" w:color="auto" w:sz="8" w:space="0"/>
                    <w:left w:val="single" w:color="auto" w:sz="8" w:space="0"/>
                    <w:bottom w:val="single" w:color="auto" w:sz="12" w:space="0"/>
                    <w:right w:val="single" w:color="auto" w:sz="8" w:space="0"/>
                  </w:tcBorders>
                  <w:vAlign w:val="center"/>
                </w:tcPr>
                <w:p w14:paraId="550B18FF">
                  <w:pPr>
                    <w:pStyle w:val="31"/>
                    <w:keepNext w:val="0"/>
                    <w:keepLines w:val="0"/>
                    <w:pageBreakBefore w:val="0"/>
                    <w:widowControl w:val="0"/>
                    <w:kinsoku/>
                    <w:wordWrap/>
                    <w:overflowPunct/>
                    <w:topLinePunct w:val="0"/>
                    <w:autoSpaceDE/>
                    <w:autoSpaceDN/>
                    <w:bidi w:val="0"/>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DW001</w:t>
                  </w:r>
                </w:p>
              </w:tc>
              <w:tc>
                <w:tcPr>
                  <w:tcW w:w="2062" w:type="pct"/>
                  <w:tcBorders>
                    <w:top w:val="single" w:color="auto" w:sz="8" w:space="0"/>
                    <w:left w:val="single" w:color="auto" w:sz="8" w:space="0"/>
                    <w:bottom w:val="single" w:color="auto" w:sz="12" w:space="0"/>
                    <w:right w:val="nil"/>
                  </w:tcBorders>
                  <w:vAlign w:val="center"/>
                </w:tcPr>
                <w:p w14:paraId="59138A76">
                  <w:pPr>
                    <w:pStyle w:val="31"/>
                    <w:keepNext w:val="0"/>
                    <w:keepLines w:val="0"/>
                    <w:pageBreakBefore w:val="0"/>
                    <w:widowControl w:val="0"/>
                    <w:kinsoku/>
                    <w:wordWrap/>
                    <w:overflowPunct/>
                    <w:topLinePunct w:val="0"/>
                    <w:autoSpaceDE/>
                    <w:autoSpaceDN/>
                    <w:bidi w:val="0"/>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1908810" cy="1196340"/>
                        <wp:effectExtent l="0" t="0" r="15240" b="3810"/>
                        <wp:docPr id="18" name="图片 18" descr="C:\Users\18338\AppData\Local\Temp\ksohtml24340\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18338\AppData\Local\Temp\ksohtml24340\wps1.jpg"/>
                                <pic:cNvPicPr>
                                  <a:picLocks noChangeAspect="1" noChangeArrowheads="1"/>
                                </pic:cNvPicPr>
                              </pic:nvPicPr>
                              <pic:blipFill>
                                <a:blip r:embed="rId48" cstate="print"/>
                                <a:srcRect/>
                                <a:stretch>
                                  <a:fillRect/>
                                </a:stretch>
                              </pic:blipFill>
                              <pic:spPr>
                                <a:xfrm>
                                  <a:off x="0" y="0"/>
                                  <a:ext cx="1908810" cy="1196340"/>
                                </a:xfrm>
                                <a:prstGeom prst="rect">
                                  <a:avLst/>
                                </a:prstGeom>
                                <a:noFill/>
                                <a:ln w="9525">
                                  <a:noFill/>
                                  <a:miter lim="800000"/>
                                  <a:headEnd/>
                                  <a:tailEnd/>
                                </a:ln>
                              </pic:spPr>
                            </pic:pic>
                          </a:graphicData>
                        </a:graphic>
                      </wp:inline>
                    </w:drawing>
                  </w:r>
                </w:p>
              </w:tc>
            </w:tr>
          </w:tbl>
          <w:p w14:paraId="7E3D5606">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废气</w:t>
            </w:r>
            <w:r>
              <w:rPr>
                <w:rFonts w:hint="eastAsia" w:ascii="Times New Roman" w:hAnsi="Times New Roman" w:eastAsia="宋体" w:cs="Times New Roman"/>
                <w:color w:val="auto"/>
                <w:sz w:val="24"/>
                <w:szCs w:val="24"/>
                <w:highlight w:val="none"/>
                <w:lang w:val="en-US" w:eastAsia="zh-CN"/>
              </w:rPr>
              <w:t>排放</w:t>
            </w:r>
            <w:r>
              <w:rPr>
                <w:rFonts w:hint="default" w:ascii="Times New Roman" w:hAnsi="Times New Roman" w:eastAsia="宋体" w:cs="Times New Roman"/>
                <w:color w:val="auto"/>
                <w:sz w:val="24"/>
                <w:szCs w:val="24"/>
                <w:highlight w:val="none"/>
                <w:lang w:val="en-US" w:eastAsia="zh-CN"/>
              </w:rPr>
              <w:t>口</w:t>
            </w:r>
          </w:p>
          <w:p w14:paraId="4971DC4F">
            <w:pPr>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本项目废气有组织排放口必须要符合规定的高度和《污染源监测技术规范》便于采样、监测的要求，具体要求如下：</w:t>
            </w:r>
          </w:p>
          <w:p w14:paraId="6B2B3EC6">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①</w:t>
            </w:r>
            <w:r>
              <w:rPr>
                <w:rFonts w:hint="default" w:ascii="Times New Roman" w:hAnsi="Times New Roman" w:eastAsia="宋体" w:cs="Times New Roman"/>
                <w:color w:val="auto"/>
                <w:sz w:val="24"/>
                <w:szCs w:val="24"/>
                <w:highlight w:val="none"/>
                <w:lang w:val="en-US" w:eastAsia="zh-CN"/>
              </w:rPr>
              <w:t>监测孔设置</w:t>
            </w:r>
          </w:p>
          <w:p w14:paraId="36EAC8D3">
            <w:pPr>
              <w:spacing w:line="360" w:lineRule="auto"/>
              <w:ind w:firstLine="480" w:firstLineChars="200"/>
              <w:jc w:val="both"/>
              <w:rPr>
                <w:rFonts w:hint="default" w:ascii="Times New Roman" w:hAnsi="Times New Roman" w:cs="Times New Roman"/>
                <w:color w:val="auto"/>
                <w:sz w:val="24"/>
              </w:rPr>
            </w:pPr>
            <w:r>
              <w:rPr>
                <w:rFonts w:hint="default" w:ascii="Times New Roman" w:hAnsi="Times New Roman" w:cs="Times New Roman"/>
                <w:color w:val="auto"/>
                <w:sz w:val="24"/>
              </w:rPr>
              <w:t>A、监测孔位置应便于开展监测工作，应设置在规则的圆形或矩形烟道上。</w:t>
            </w:r>
          </w:p>
          <w:p w14:paraId="3658C7E5">
            <w:pPr>
              <w:spacing w:line="360" w:lineRule="auto"/>
              <w:ind w:firstLine="480" w:firstLineChars="200"/>
              <w:jc w:val="both"/>
              <w:rPr>
                <w:rFonts w:hint="default" w:ascii="Times New Roman" w:hAnsi="Times New Roman" w:cs="Times New Roman"/>
                <w:color w:val="auto"/>
                <w:sz w:val="24"/>
              </w:rPr>
            </w:pPr>
            <w:r>
              <w:rPr>
                <w:rFonts w:hint="default" w:ascii="Times New Roman" w:hAnsi="Times New Roman" w:cs="Times New Roman"/>
                <w:color w:val="auto"/>
                <w:sz w:val="24"/>
              </w:rPr>
              <w:t>B、采样位置优先设置在垂直管段，应避开烟道弯头和断面急剧变化的部位，应设置在距弯头、阀门、变径管下游方向不小于6倍直径（当量直径）和距上述部件上游方向不小于3倍直径（当量直径）处。</w:t>
            </w:r>
          </w:p>
          <w:p w14:paraId="76ADFB33">
            <w:pPr>
              <w:pStyle w:val="31"/>
              <w:spacing w:after="0" w:line="360" w:lineRule="auto"/>
              <w:ind w:left="0" w:leftChars="0" w:firstLine="480"/>
              <w:jc w:val="both"/>
              <w:rPr>
                <w:rFonts w:hint="default" w:ascii="Times New Roman" w:hAnsi="Times New Roman" w:cs="Times New Roman"/>
                <w:color w:val="auto"/>
                <w:szCs w:val="24"/>
              </w:rPr>
            </w:pPr>
            <w:r>
              <w:rPr>
                <w:rFonts w:hint="default" w:ascii="Times New Roman" w:hAnsi="Times New Roman" w:cs="Times New Roman"/>
                <w:color w:val="auto"/>
                <w:szCs w:val="24"/>
              </w:rPr>
              <w:t>C、在选定的监测孔位置上开设采样孔，采样孔的内径应不小于</w:t>
            </w:r>
            <w:r>
              <w:rPr>
                <w:rFonts w:hint="eastAsia" w:cs="Times New Roman"/>
                <w:color w:val="auto"/>
                <w:szCs w:val="24"/>
                <w:lang w:val="en-US" w:eastAsia="zh-CN"/>
              </w:rPr>
              <w:t>12</w:t>
            </w:r>
            <w:r>
              <w:rPr>
                <w:rFonts w:hint="default" w:ascii="Times New Roman" w:hAnsi="Times New Roman" w:cs="Times New Roman"/>
                <w:color w:val="auto"/>
                <w:szCs w:val="24"/>
              </w:rPr>
              <w:t>0mm。监测孔在不使用时用盖板封闭，在监测使用时应易打开。</w:t>
            </w:r>
          </w:p>
          <w:p w14:paraId="21AF1116">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②</w:t>
            </w:r>
            <w:r>
              <w:rPr>
                <w:rFonts w:hint="default" w:ascii="Times New Roman" w:hAnsi="Times New Roman" w:eastAsia="宋体" w:cs="Times New Roman"/>
                <w:color w:val="auto"/>
                <w:sz w:val="24"/>
                <w:szCs w:val="24"/>
                <w:highlight w:val="none"/>
                <w:lang w:val="en-US" w:eastAsia="zh-CN"/>
              </w:rPr>
              <w:t>采样平台</w:t>
            </w:r>
          </w:p>
          <w:p w14:paraId="0CC4D407">
            <w:pPr>
              <w:pStyle w:val="31"/>
              <w:keepNext w:val="0"/>
              <w:keepLines w:val="0"/>
              <w:pageBreakBefore w:val="0"/>
              <w:widowControl w:val="0"/>
              <w:kinsoku/>
              <w:wordWrap/>
              <w:overflowPunct/>
              <w:topLinePunct w:val="0"/>
              <w:autoSpaceDE/>
              <w:autoSpaceDN/>
              <w:bidi w:val="0"/>
              <w:adjustRightInd/>
              <w:snapToGrid/>
              <w:spacing w:after="0" w:line="360" w:lineRule="auto"/>
              <w:ind w:left="0" w:leftChars="0" w:firstLine="480"/>
              <w:jc w:val="both"/>
              <w:textAlignment w:val="auto"/>
              <w:rPr>
                <w:rFonts w:hint="default" w:ascii="Times New Roman" w:hAnsi="Times New Roman" w:cs="Times New Roman"/>
                <w:color w:val="auto"/>
                <w:szCs w:val="24"/>
              </w:rPr>
            </w:pPr>
            <w:r>
              <w:rPr>
                <w:rFonts w:hint="default" w:ascii="Times New Roman" w:hAnsi="Times New Roman" w:cs="Times New Roman"/>
                <w:color w:val="auto"/>
                <w:szCs w:val="24"/>
              </w:rPr>
              <w:t>应根据企业排气筒的高度、工况安全等实际情况，设置永久性采样口、采样测试平台。平台应方便监测人员采样操作、保障工作电源、人员安全。</w:t>
            </w:r>
          </w:p>
          <w:p w14:paraId="2D744497">
            <w:pPr>
              <w:pStyle w:val="31"/>
              <w:keepNext w:val="0"/>
              <w:keepLines w:val="0"/>
              <w:pageBreakBefore w:val="0"/>
              <w:widowControl w:val="0"/>
              <w:kinsoku/>
              <w:wordWrap/>
              <w:overflowPunct/>
              <w:topLinePunct w:val="0"/>
              <w:autoSpaceDE/>
              <w:autoSpaceDN/>
              <w:bidi w:val="0"/>
              <w:adjustRightInd/>
              <w:snapToGrid/>
              <w:spacing w:after="0" w:line="360" w:lineRule="auto"/>
              <w:ind w:left="0" w:leftChars="0" w:firstLine="480"/>
              <w:jc w:val="both"/>
              <w:textAlignment w:val="auto"/>
              <w:rPr>
                <w:rFonts w:hint="default" w:ascii="Times New Roman" w:hAnsi="Times New Roman" w:cs="Times New Roman"/>
                <w:color w:val="auto"/>
                <w:szCs w:val="24"/>
              </w:rPr>
            </w:pPr>
            <w:r>
              <w:rPr>
                <w:rFonts w:hint="default" w:ascii="Times New Roman" w:hAnsi="Times New Roman" w:cs="Times New Roman"/>
                <w:color w:val="auto"/>
                <w:szCs w:val="24"/>
              </w:rPr>
              <w:t>本项目废气排污口设置情况见下表：</w:t>
            </w:r>
          </w:p>
          <w:p w14:paraId="551B7F95">
            <w:pPr>
              <w:keepNext w:val="0"/>
              <w:keepLines w:val="0"/>
              <w:pageBreakBefore w:val="0"/>
              <w:widowControl w:val="0"/>
              <w:numPr>
                <w:ilvl w:val="0"/>
                <w:numId w:val="26"/>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本项目</w:t>
            </w:r>
            <w:r>
              <w:rPr>
                <w:rFonts w:hint="default" w:ascii="Times New Roman" w:hAnsi="Times New Roman" w:eastAsia="黑体" w:cs="Times New Roman"/>
                <w:color w:val="auto"/>
                <w:sz w:val="21"/>
                <w:szCs w:val="21"/>
                <w:lang w:val="en-US" w:eastAsia="zh-CN"/>
              </w:rPr>
              <w:t>废气排放口设置情况</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0"/>
              <w:gridCol w:w="636"/>
              <w:gridCol w:w="427"/>
              <w:gridCol w:w="835"/>
              <w:gridCol w:w="590"/>
              <w:gridCol w:w="3396"/>
            </w:tblGrid>
            <w:tr w14:paraId="011F3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934" w:type="pct"/>
                  <w:tcBorders>
                    <w:top w:val="single" w:color="auto" w:sz="12" w:space="0"/>
                    <w:bottom w:val="single" w:color="auto" w:sz="6" w:space="0"/>
                    <w:right w:val="single" w:color="auto" w:sz="6" w:space="0"/>
                  </w:tcBorders>
                  <w:vAlign w:val="center"/>
                </w:tcPr>
                <w:p w14:paraId="7F70CC4B">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类别</w:t>
                  </w:r>
                </w:p>
              </w:tc>
              <w:tc>
                <w:tcPr>
                  <w:tcW w:w="487" w:type="pct"/>
                  <w:tcBorders>
                    <w:top w:val="single" w:color="auto" w:sz="12" w:space="0"/>
                    <w:left w:val="single" w:color="auto" w:sz="6" w:space="0"/>
                    <w:bottom w:val="single" w:color="auto" w:sz="6" w:space="0"/>
                    <w:right w:val="single" w:color="auto" w:sz="6" w:space="0"/>
                  </w:tcBorders>
                  <w:vAlign w:val="center"/>
                </w:tcPr>
                <w:p w14:paraId="2CA65F07">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p w14:paraId="7E295564">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种类</w:t>
                  </w:r>
                </w:p>
              </w:tc>
              <w:tc>
                <w:tcPr>
                  <w:tcW w:w="349" w:type="pct"/>
                  <w:tcBorders>
                    <w:top w:val="single" w:color="auto" w:sz="12" w:space="0"/>
                    <w:left w:val="single" w:color="auto" w:sz="6" w:space="0"/>
                    <w:bottom w:val="single" w:color="auto" w:sz="6" w:space="0"/>
                    <w:right w:val="single" w:color="auto" w:sz="6" w:space="0"/>
                  </w:tcBorders>
                  <w:vAlign w:val="center"/>
                </w:tcPr>
                <w:p w14:paraId="620E61D4">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数量</w:t>
                  </w:r>
                </w:p>
              </w:tc>
              <w:tc>
                <w:tcPr>
                  <w:tcW w:w="601" w:type="pct"/>
                  <w:tcBorders>
                    <w:top w:val="single" w:color="auto" w:sz="12" w:space="0"/>
                    <w:left w:val="single" w:color="auto" w:sz="6" w:space="0"/>
                    <w:bottom w:val="single" w:color="auto" w:sz="6" w:space="0"/>
                    <w:right w:val="single" w:color="auto" w:sz="6" w:space="0"/>
                  </w:tcBorders>
                  <w:vAlign w:val="center"/>
                </w:tcPr>
                <w:p w14:paraId="47F9FDB1">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编号</w:t>
                  </w:r>
                </w:p>
              </w:tc>
              <w:tc>
                <w:tcPr>
                  <w:tcW w:w="486" w:type="pct"/>
                  <w:tcBorders>
                    <w:top w:val="single" w:color="auto" w:sz="12" w:space="0"/>
                    <w:left w:val="single" w:color="auto" w:sz="6" w:space="0"/>
                    <w:bottom w:val="single" w:color="auto" w:sz="6" w:space="0"/>
                    <w:right w:val="single" w:color="auto" w:sz="6" w:space="0"/>
                  </w:tcBorders>
                  <w:vAlign w:val="center"/>
                </w:tcPr>
                <w:p w14:paraId="450A7879">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排气筒高度</w:t>
                  </w:r>
                </w:p>
              </w:tc>
              <w:tc>
                <w:tcPr>
                  <w:tcW w:w="2140" w:type="pct"/>
                  <w:tcBorders>
                    <w:top w:val="single" w:color="auto" w:sz="12" w:space="0"/>
                    <w:left w:val="single" w:color="auto" w:sz="6" w:space="0"/>
                    <w:bottom w:val="single" w:color="auto" w:sz="6" w:space="0"/>
                    <w:right w:val="nil"/>
                  </w:tcBorders>
                  <w:vAlign w:val="center"/>
                </w:tcPr>
                <w:p w14:paraId="5DFAEEA8">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规范化排污口标志牌图片示例</w:t>
                  </w:r>
                </w:p>
              </w:tc>
            </w:tr>
            <w:tr w14:paraId="72C6C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934" w:type="pct"/>
                  <w:tcBorders>
                    <w:top w:val="single" w:color="auto" w:sz="6" w:space="0"/>
                    <w:left w:val="nil"/>
                    <w:bottom w:val="single" w:color="auto" w:sz="12" w:space="0"/>
                    <w:right w:val="single" w:color="auto" w:sz="6" w:space="0"/>
                  </w:tcBorders>
                  <w:vAlign w:val="center"/>
                </w:tcPr>
                <w:p w14:paraId="09B9EE91">
                  <w:pPr>
                    <w:widowControl/>
                    <w:jc w:val="center"/>
                    <w:textAlignment w:val="center"/>
                    <w:rPr>
                      <w:rFonts w:hint="eastAsia" w:ascii="Times New Roman" w:hAnsi="Times New Roman" w:eastAsia="宋体" w:cs="Times New Roman"/>
                      <w:color w:val="auto"/>
                      <w:kern w:val="2"/>
                      <w:sz w:val="21"/>
                      <w:szCs w:val="21"/>
                      <w:lang w:val="en-US" w:eastAsia="zh-CN"/>
                    </w:rPr>
                  </w:pPr>
                  <w:r>
                    <w:rPr>
                      <w:rFonts w:hint="eastAsia" w:ascii="Times New Roman" w:hAnsi="Times New Roman"/>
                      <w:color w:val="auto"/>
                      <w:kern w:val="0"/>
                      <w:sz w:val="21"/>
                      <w:szCs w:val="21"/>
                      <w:lang w:val="en-US" w:eastAsia="zh-CN"/>
                    </w:rPr>
                    <w:t>废气治理设施</w:t>
                  </w:r>
                  <w:r>
                    <w:rPr>
                      <w:rFonts w:hint="eastAsia" w:ascii="Times New Roman" w:hAnsi="Times New Roman"/>
                      <w:color w:val="auto"/>
                      <w:kern w:val="0"/>
                      <w:sz w:val="21"/>
                      <w:szCs w:val="21"/>
                    </w:rPr>
                    <w:t>排放口</w:t>
                  </w:r>
                </w:p>
              </w:tc>
              <w:tc>
                <w:tcPr>
                  <w:tcW w:w="487" w:type="pct"/>
                  <w:tcBorders>
                    <w:top w:val="single" w:color="auto" w:sz="6" w:space="0"/>
                    <w:left w:val="single" w:color="auto" w:sz="6" w:space="0"/>
                    <w:bottom w:val="single" w:color="auto" w:sz="12" w:space="0"/>
                    <w:right w:val="single" w:color="auto" w:sz="6" w:space="0"/>
                  </w:tcBorders>
                  <w:vAlign w:val="center"/>
                </w:tcPr>
                <w:p w14:paraId="1DABE3F1">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氨、硫化氢、臭气浓度</w:t>
                  </w:r>
                </w:p>
              </w:tc>
              <w:tc>
                <w:tcPr>
                  <w:tcW w:w="349" w:type="pct"/>
                  <w:tcBorders>
                    <w:top w:val="single" w:color="auto" w:sz="6" w:space="0"/>
                    <w:left w:val="single" w:color="auto" w:sz="6" w:space="0"/>
                    <w:bottom w:val="single" w:color="auto" w:sz="12" w:space="0"/>
                    <w:right w:val="single" w:color="auto" w:sz="6" w:space="0"/>
                  </w:tcBorders>
                  <w:vAlign w:val="center"/>
                </w:tcPr>
                <w:p w14:paraId="65578BBF">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1</w:t>
                  </w:r>
                  <w:r>
                    <w:rPr>
                      <w:rFonts w:hint="default" w:ascii="Times New Roman" w:hAnsi="Times New Roman" w:cs="Times New Roman"/>
                      <w:color w:val="auto"/>
                      <w:sz w:val="21"/>
                      <w:szCs w:val="21"/>
                    </w:rPr>
                    <w:t>个</w:t>
                  </w:r>
                </w:p>
              </w:tc>
              <w:tc>
                <w:tcPr>
                  <w:tcW w:w="601" w:type="pct"/>
                  <w:tcBorders>
                    <w:top w:val="single" w:color="auto" w:sz="6" w:space="0"/>
                    <w:left w:val="single" w:color="auto" w:sz="6" w:space="0"/>
                    <w:bottom w:val="single" w:color="auto" w:sz="12" w:space="0"/>
                    <w:right w:val="single" w:color="auto" w:sz="6" w:space="0"/>
                  </w:tcBorders>
                  <w:vAlign w:val="center"/>
                </w:tcPr>
                <w:p w14:paraId="6401BFE4">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sz w:val="21"/>
                      <w:szCs w:val="21"/>
                      <w:lang w:val="en-US" w:eastAsia="zh-CN"/>
                    </w:rPr>
                    <w:t xml:space="preserve"> </w:t>
                  </w:r>
                  <w:r>
                    <w:rPr>
                      <w:rFonts w:hint="default" w:ascii="Times New Roman" w:hAnsi="Times New Roman" w:cs="Times New Roman"/>
                      <w:color w:val="auto"/>
                      <w:sz w:val="21"/>
                      <w:szCs w:val="21"/>
                    </w:rPr>
                    <w:t>DA00</w:t>
                  </w:r>
                  <w:r>
                    <w:rPr>
                      <w:rFonts w:hint="eastAsia" w:cs="Times New Roman"/>
                      <w:color w:val="auto"/>
                      <w:sz w:val="21"/>
                      <w:szCs w:val="21"/>
                      <w:lang w:val="en-US" w:eastAsia="zh-CN"/>
                    </w:rPr>
                    <w:t>1</w:t>
                  </w:r>
                </w:p>
              </w:tc>
              <w:tc>
                <w:tcPr>
                  <w:tcW w:w="486" w:type="pct"/>
                  <w:tcBorders>
                    <w:top w:val="single" w:color="auto" w:sz="6" w:space="0"/>
                    <w:left w:val="single" w:color="auto" w:sz="6" w:space="0"/>
                    <w:bottom w:val="single" w:color="auto" w:sz="12" w:space="0"/>
                    <w:right w:val="single" w:color="auto" w:sz="6" w:space="0"/>
                  </w:tcBorders>
                  <w:vAlign w:val="center"/>
                </w:tcPr>
                <w:p w14:paraId="35463DFA">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1</w:t>
                  </w:r>
                  <w:r>
                    <w:rPr>
                      <w:rFonts w:hint="eastAsia" w:ascii="Times New Roman" w:hAnsi="Times New Roman" w:cs="Times New Roman"/>
                      <w:color w:val="auto"/>
                      <w:sz w:val="21"/>
                      <w:szCs w:val="21"/>
                      <w:lang w:val="en-US" w:eastAsia="zh-CN"/>
                    </w:rPr>
                    <w:t>5</w:t>
                  </w:r>
                  <w:r>
                    <w:rPr>
                      <w:rFonts w:hint="default" w:ascii="Times New Roman" w:hAnsi="Times New Roman" w:cs="Times New Roman"/>
                      <w:color w:val="auto"/>
                      <w:sz w:val="21"/>
                      <w:szCs w:val="21"/>
                    </w:rPr>
                    <w:t>m</w:t>
                  </w:r>
                </w:p>
              </w:tc>
              <w:tc>
                <w:tcPr>
                  <w:tcW w:w="2140" w:type="pct"/>
                  <w:tcBorders>
                    <w:top w:val="single" w:color="auto" w:sz="6" w:space="0"/>
                    <w:left w:val="single" w:color="auto" w:sz="6" w:space="0"/>
                    <w:bottom w:val="single" w:color="auto" w:sz="12" w:space="0"/>
                    <w:right w:val="nil"/>
                  </w:tcBorders>
                  <w:vAlign w:val="center"/>
                </w:tcPr>
                <w:p w14:paraId="7E427C3D">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2019300" cy="1266825"/>
                        <wp:effectExtent l="0" t="0" r="0" b="9525"/>
                        <wp:docPr id="32" name="图片 32" descr="C:\Users\18338\AppData\Local\Temp\ksohtml2434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18338\AppData\Local\Temp\ksohtml24340\wps2.jpg"/>
                                <pic:cNvPicPr>
                                  <a:picLocks noChangeAspect="1" noChangeArrowheads="1"/>
                                </pic:cNvPicPr>
                              </pic:nvPicPr>
                              <pic:blipFill>
                                <a:blip r:embed="rId49" cstate="print"/>
                                <a:srcRect/>
                                <a:stretch>
                                  <a:fillRect/>
                                </a:stretch>
                              </pic:blipFill>
                              <pic:spPr>
                                <a:xfrm>
                                  <a:off x="0" y="0"/>
                                  <a:ext cx="2019300" cy="1266825"/>
                                </a:xfrm>
                                <a:prstGeom prst="rect">
                                  <a:avLst/>
                                </a:prstGeom>
                                <a:noFill/>
                                <a:ln w="9525">
                                  <a:noFill/>
                                  <a:miter lim="800000"/>
                                  <a:headEnd/>
                                  <a:tailEnd/>
                                </a:ln>
                              </pic:spPr>
                            </pic:pic>
                          </a:graphicData>
                        </a:graphic>
                      </wp:inline>
                    </w:drawing>
                  </w:r>
                </w:p>
              </w:tc>
            </w:tr>
          </w:tbl>
          <w:p w14:paraId="12062431">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噪声</w:t>
            </w:r>
          </w:p>
          <w:p w14:paraId="794F3958">
            <w:pPr>
              <w:spacing w:beforeLines="50" w:line="360" w:lineRule="auto"/>
              <w:ind w:left="480" w:leftChars="200"/>
              <w:jc w:val="left"/>
              <w:rPr>
                <w:rFonts w:hint="default" w:ascii="Times New Roman" w:hAnsi="Times New Roman" w:eastAsia="黑体" w:cs="Times New Roman"/>
                <w:color w:val="auto"/>
                <w:sz w:val="24"/>
              </w:rPr>
            </w:pPr>
            <w:r>
              <w:rPr>
                <w:rFonts w:hint="default" w:ascii="Times New Roman" w:hAnsi="Times New Roman" w:cs="Times New Roman"/>
                <w:color w:val="auto"/>
                <w:sz w:val="24"/>
              </w:rPr>
              <w:t>按有关规定对固定噪声源进行治理，并在对外界影响最大处设置标志牌。</w:t>
            </w:r>
          </w:p>
          <w:p w14:paraId="11AE6837">
            <w:pPr>
              <w:keepNext w:val="0"/>
              <w:keepLines w:val="0"/>
              <w:pageBreakBefore w:val="0"/>
              <w:widowControl w:val="0"/>
              <w:numPr>
                <w:ilvl w:val="0"/>
                <w:numId w:val="26"/>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本项目</w:t>
            </w:r>
            <w:r>
              <w:rPr>
                <w:rFonts w:hint="default" w:ascii="Times New Roman" w:hAnsi="Times New Roman" w:eastAsia="黑体" w:cs="Times New Roman"/>
                <w:color w:val="auto"/>
                <w:sz w:val="21"/>
                <w:szCs w:val="21"/>
                <w:lang w:val="en-US" w:eastAsia="zh-CN"/>
              </w:rPr>
              <w:t>噪声标识标牌设置情况</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5564"/>
            </w:tblGrid>
            <w:tr w14:paraId="14815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068" w:type="pct"/>
                  <w:tcBorders>
                    <w:top w:val="single" w:color="auto" w:sz="12" w:space="0"/>
                    <w:bottom w:val="single" w:color="auto" w:sz="8" w:space="0"/>
                    <w:right w:val="single" w:color="auto" w:sz="8" w:space="0"/>
                  </w:tcBorders>
                  <w:vAlign w:val="center"/>
                </w:tcPr>
                <w:p w14:paraId="48265768">
                  <w:pPr>
                    <w:pStyle w:val="31"/>
                    <w:snapToGrid w:val="0"/>
                    <w:spacing w:before="60" w:line="259" w:lineRule="auto"/>
                    <w:ind w:left="0" w:leftChars="0" w:right="113"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类别</w:t>
                  </w:r>
                </w:p>
              </w:tc>
              <w:tc>
                <w:tcPr>
                  <w:tcW w:w="3931" w:type="pct"/>
                  <w:tcBorders>
                    <w:top w:val="single" w:color="auto" w:sz="12" w:space="0"/>
                    <w:left w:val="single" w:color="auto" w:sz="8" w:space="0"/>
                    <w:bottom w:val="single" w:color="auto" w:sz="8" w:space="0"/>
                    <w:right w:val="nil"/>
                  </w:tcBorders>
                  <w:vAlign w:val="center"/>
                </w:tcPr>
                <w:p w14:paraId="4BFF574D">
                  <w:pPr>
                    <w:pStyle w:val="31"/>
                    <w:snapToGrid w:val="0"/>
                    <w:spacing w:before="60" w:line="259" w:lineRule="auto"/>
                    <w:ind w:left="0" w:leftChars="0" w:right="113" w:firstLine="0" w:firstLineChars="0"/>
                    <w:jc w:val="center"/>
                    <w:rPr>
                      <w:rFonts w:hint="default" w:ascii="Times New Roman" w:hAnsi="Times New Roman" w:cs="Times New Roman"/>
                      <w:b/>
                      <w:bCs/>
                      <w:color w:val="auto"/>
                      <w:kern w:val="2"/>
                      <w:sz w:val="21"/>
                      <w:szCs w:val="21"/>
                    </w:rPr>
                  </w:pPr>
                  <w:r>
                    <w:rPr>
                      <w:rFonts w:hint="default" w:ascii="Times New Roman" w:hAnsi="Times New Roman" w:cs="Times New Roman"/>
                      <w:b/>
                      <w:bCs/>
                      <w:color w:val="auto"/>
                      <w:kern w:val="2"/>
                      <w:sz w:val="21"/>
                      <w:szCs w:val="21"/>
                    </w:rPr>
                    <w:t>规范化排污口标志牌图片示例</w:t>
                  </w:r>
                </w:p>
              </w:tc>
            </w:tr>
            <w:tr w14:paraId="5F352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1068" w:type="pct"/>
                  <w:tcBorders>
                    <w:top w:val="single" w:color="auto" w:sz="8" w:space="0"/>
                    <w:left w:val="nil"/>
                    <w:bottom w:val="single" w:color="auto" w:sz="12" w:space="0"/>
                    <w:right w:val="single" w:color="auto" w:sz="8" w:space="0"/>
                  </w:tcBorders>
                  <w:vAlign w:val="center"/>
                </w:tcPr>
                <w:p w14:paraId="48DFF34E">
                  <w:pPr>
                    <w:pStyle w:val="31"/>
                    <w:snapToGrid w:val="0"/>
                    <w:spacing w:before="60" w:line="259" w:lineRule="auto"/>
                    <w:ind w:left="0" w:leftChars="0" w:right="113" w:firstLine="0" w:firstLineChars="0"/>
                    <w:jc w:val="center"/>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噪声</w:t>
                  </w:r>
                </w:p>
              </w:tc>
              <w:tc>
                <w:tcPr>
                  <w:tcW w:w="3931" w:type="pct"/>
                  <w:tcBorders>
                    <w:top w:val="single" w:color="auto" w:sz="8" w:space="0"/>
                    <w:left w:val="single" w:color="auto" w:sz="8" w:space="0"/>
                    <w:bottom w:val="single" w:color="auto" w:sz="12" w:space="0"/>
                    <w:right w:val="nil"/>
                  </w:tcBorders>
                  <w:vAlign w:val="center"/>
                </w:tcPr>
                <w:p w14:paraId="195FCE64">
                  <w:pPr>
                    <w:pStyle w:val="31"/>
                    <w:keepNext w:val="0"/>
                    <w:keepLines w:val="0"/>
                    <w:pageBreakBefore w:val="0"/>
                    <w:widowControl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1172845" cy="1164590"/>
                        <wp:effectExtent l="0" t="0" r="8255" b="16510"/>
                        <wp:docPr id="33" name="图片 33" descr="C:\Users\18338\AppData\Local\Temp\ksohtml24340\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18338\AppData\Local\Temp\ksohtml24340\wps3.jpg"/>
                                <pic:cNvPicPr>
                                  <a:picLocks noChangeAspect="1" noChangeArrowheads="1"/>
                                </pic:cNvPicPr>
                              </pic:nvPicPr>
                              <pic:blipFill>
                                <a:blip r:embed="rId50" cstate="print"/>
                                <a:srcRect/>
                                <a:stretch>
                                  <a:fillRect/>
                                </a:stretch>
                              </pic:blipFill>
                              <pic:spPr>
                                <a:xfrm>
                                  <a:off x="0" y="0"/>
                                  <a:ext cx="1172845" cy="1164590"/>
                                </a:xfrm>
                                <a:prstGeom prst="rect">
                                  <a:avLst/>
                                </a:prstGeom>
                                <a:noFill/>
                                <a:ln w="9525">
                                  <a:noFill/>
                                  <a:miter lim="800000"/>
                                  <a:headEnd/>
                                  <a:tailEnd/>
                                </a:ln>
                              </pic:spPr>
                            </pic:pic>
                          </a:graphicData>
                        </a:graphic>
                      </wp:inline>
                    </w:drawing>
                  </w:r>
                </w:p>
              </w:tc>
            </w:tr>
          </w:tbl>
          <w:p w14:paraId="3BB49DA9">
            <w:pPr>
              <w:numPr>
                <w:ilvl w:val="0"/>
                <w:numId w:val="9"/>
              </w:numPr>
              <w:spacing w:line="360" w:lineRule="auto"/>
              <w:ind w:left="0" w:leftChars="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固体废弃物</w:t>
            </w:r>
          </w:p>
          <w:p w14:paraId="798AFB05">
            <w:pPr>
              <w:numPr>
                <w:ilvl w:val="0"/>
                <w:numId w:val="0"/>
              </w:num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各种固体废物处置设施和堆放场所必须有防火、防扬散、防流失、防渗漏或者其他防止污染环境的措施，贮存（堆放）处进出路口应设置标示牌。</w:t>
            </w:r>
          </w:p>
          <w:p w14:paraId="5BF5F30F">
            <w:pPr>
              <w:keepNext w:val="0"/>
              <w:keepLines w:val="0"/>
              <w:pageBreakBefore w:val="0"/>
              <w:widowControl w:val="0"/>
              <w:numPr>
                <w:ilvl w:val="0"/>
                <w:numId w:val="26"/>
              </w:numPr>
              <w:kinsoku/>
              <w:wordWrap/>
              <w:overflowPunct/>
              <w:topLinePunct w:val="0"/>
              <w:autoSpaceDE/>
              <w:autoSpaceDN/>
              <w:bidi w:val="0"/>
              <w:adjustRightInd/>
              <w:snapToGrid/>
              <w:spacing w:line="400" w:lineRule="exact"/>
              <w:ind w:left="425" w:leftChars="0" w:hanging="425" w:firstLineChars="0"/>
              <w:jc w:val="center"/>
              <w:textAlignment w:val="auto"/>
              <w:rPr>
                <w:rFonts w:hint="default"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 xml:space="preserve"> 本</w:t>
            </w:r>
            <w:r>
              <w:rPr>
                <w:rFonts w:hint="default" w:ascii="Times New Roman" w:hAnsi="Times New Roman" w:eastAsia="黑体" w:cs="Times New Roman"/>
                <w:color w:val="auto"/>
                <w:sz w:val="21"/>
                <w:szCs w:val="21"/>
                <w:lang w:val="en-US" w:eastAsia="zh-CN"/>
              </w:rPr>
              <w:t>项目固体废物贮存（处置）场所规范化设置情况</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1079"/>
              <w:gridCol w:w="471"/>
              <w:gridCol w:w="1008"/>
              <w:gridCol w:w="3608"/>
            </w:tblGrid>
            <w:tr w14:paraId="39641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41" w:type="pct"/>
                  <w:tcBorders>
                    <w:top w:val="single" w:color="auto" w:sz="12" w:space="0"/>
                    <w:bottom w:val="single" w:color="auto" w:sz="8" w:space="0"/>
                    <w:right w:val="single" w:color="auto" w:sz="8" w:space="0"/>
                  </w:tcBorders>
                  <w:vAlign w:val="center"/>
                </w:tcPr>
                <w:p w14:paraId="610AB224">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类别</w:t>
                  </w:r>
                </w:p>
              </w:tc>
              <w:tc>
                <w:tcPr>
                  <w:tcW w:w="762" w:type="pct"/>
                  <w:tcBorders>
                    <w:top w:val="single" w:color="auto" w:sz="12" w:space="0"/>
                    <w:left w:val="single" w:color="auto" w:sz="8" w:space="0"/>
                    <w:bottom w:val="single" w:color="auto" w:sz="8" w:space="0"/>
                    <w:right w:val="single" w:color="auto" w:sz="8" w:space="0"/>
                  </w:tcBorders>
                  <w:vAlign w:val="center"/>
                </w:tcPr>
                <w:p w14:paraId="2EF9592D">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污染物种类</w:t>
                  </w:r>
                </w:p>
              </w:tc>
              <w:tc>
                <w:tcPr>
                  <w:tcW w:w="333" w:type="pct"/>
                  <w:tcBorders>
                    <w:top w:val="single" w:color="auto" w:sz="12" w:space="0"/>
                    <w:left w:val="single" w:color="auto" w:sz="8" w:space="0"/>
                    <w:bottom w:val="single" w:color="auto" w:sz="8" w:space="0"/>
                    <w:right w:val="single" w:color="auto" w:sz="8" w:space="0"/>
                  </w:tcBorders>
                  <w:vAlign w:val="center"/>
                </w:tcPr>
                <w:p w14:paraId="0D861434">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数量</w:t>
                  </w:r>
                </w:p>
              </w:tc>
              <w:tc>
                <w:tcPr>
                  <w:tcW w:w="712" w:type="pct"/>
                  <w:tcBorders>
                    <w:top w:val="single" w:color="auto" w:sz="12" w:space="0"/>
                    <w:left w:val="single" w:color="auto" w:sz="8" w:space="0"/>
                    <w:bottom w:val="single" w:color="auto" w:sz="8" w:space="0"/>
                    <w:right w:val="single" w:color="auto" w:sz="8" w:space="0"/>
                  </w:tcBorders>
                  <w:vAlign w:val="center"/>
                </w:tcPr>
                <w:p w14:paraId="15803C96">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编号</w:t>
                  </w:r>
                </w:p>
              </w:tc>
              <w:tc>
                <w:tcPr>
                  <w:tcW w:w="2549" w:type="pct"/>
                  <w:tcBorders>
                    <w:top w:val="single" w:color="auto" w:sz="12" w:space="0"/>
                    <w:left w:val="single" w:color="auto" w:sz="8" w:space="0"/>
                    <w:bottom w:val="single" w:color="auto" w:sz="8" w:space="0"/>
                    <w:right w:val="nil"/>
                  </w:tcBorders>
                  <w:vAlign w:val="center"/>
                </w:tcPr>
                <w:p w14:paraId="7C812F48">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b/>
                      <w:bCs/>
                      <w:color w:val="auto"/>
                      <w:kern w:val="2"/>
                      <w:sz w:val="21"/>
                      <w:szCs w:val="21"/>
                    </w:rPr>
                  </w:pPr>
                  <w:r>
                    <w:rPr>
                      <w:rFonts w:hint="default" w:ascii="Times New Roman" w:hAnsi="Times New Roman" w:cs="Times New Roman"/>
                      <w:b/>
                      <w:bCs/>
                      <w:color w:val="auto"/>
                      <w:sz w:val="21"/>
                      <w:szCs w:val="21"/>
                    </w:rPr>
                    <w:t>标识标牌示意图</w:t>
                  </w:r>
                </w:p>
              </w:tc>
            </w:tr>
            <w:tr w14:paraId="2609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641" w:type="pct"/>
                  <w:vMerge w:val="restart"/>
                  <w:tcBorders>
                    <w:top w:val="single" w:color="auto" w:sz="8" w:space="0"/>
                    <w:left w:val="nil"/>
                    <w:bottom w:val="single" w:color="auto" w:sz="8" w:space="0"/>
                    <w:right w:val="single" w:color="auto" w:sz="8" w:space="0"/>
                  </w:tcBorders>
                  <w:vAlign w:val="center"/>
                </w:tcPr>
                <w:p w14:paraId="497D2477">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固体废物贮存场</w:t>
                  </w:r>
                </w:p>
              </w:tc>
              <w:tc>
                <w:tcPr>
                  <w:tcW w:w="762" w:type="pct"/>
                  <w:tcBorders>
                    <w:top w:val="single" w:color="auto" w:sz="8" w:space="0"/>
                    <w:left w:val="single" w:color="auto" w:sz="8" w:space="0"/>
                    <w:bottom w:val="single" w:color="auto" w:sz="8" w:space="0"/>
                    <w:right w:val="single" w:color="auto" w:sz="8" w:space="0"/>
                  </w:tcBorders>
                  <w:vAlign w:val="center"/>
                </w:tcPr>
                <w:p w14:paraId="3BD53871">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一般工业固废</w:t>
                  </w:r>
                </w:p>
              </w:tc>
              <w:tc>
                <w:tcPr>
                  <w:tcW w:w="333" w:type="pct"/>
                  <w:tcBorders>
                    <w:top w:val="single" w:color="auto" w:sz="8" w:space="0"/>
                    <w:left w:val="single" w:color="auto" w:sz="8" w:space="0"/>
                    <w:bottom w:val="single" w:color="auto" w:sz="8" w:space="0"/>
                    <w:right w:val="single" w:color="auto" w:sz="8" w:space="0"/>
                  </w:tcBorders>
                  <w:vAlign w:val="center"/>
                </w:tcPr>
                <w:p w14:paraId="6F71EADC">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w:t>
                  </w:r>
                </w:p>
              </w:tc>
              <w:tc>
                <w:tcPr>
                  <w:tcW w:w="712" w:type="pct"/>
                  <w:tcBorders>
                    <w:top w:val="single" w:color="auto" w:sz="8" w:space="0"/>
                    <w:left w:val="single" w:color="auto" w:sz="8" w:space="0"/>
                    <w:bottom w:val="single" w:color="auto" w:sz="8" w:space="0"/>
                    <w:right w:val="single" w:color="auto" w:sz="8" w:space="0"/>
                  </w:tcBorders>
                  <w:vAlign w:val="center"/>
                </w:tcPr>
                <w:p w14:paraId="33BCB947">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GF-*</w:t>
                  </w:r>
                </w:p>
                <w:p w14:paraId="7C969DF1">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（*为一般工业固废名称）</w:t>
                  </w:r>
                </w:p>
              </w:tc>
              <w:tc>
                <w:tcPr>
                  <w:tcW w:w="2549" w:type="pct"/>
                  <w:tcBorders>
                    <w:top w:val="single" w:color="auto" w:sz="8" w:space="0"/>
                    <w:left w:val="single" w:color="auto" w:sz="8" w:space="0"/>
                    <w:bottom w:val="single" w:color="auto" w:sz="8" w:space="0"/>
                    <w:right w:val="nil"/>
                  </w:tcBorders>
                  <w:vAlign w:val="center"/>
                </w:tcPr>
                <w:p w14:paraId="5E6D33D5">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1517650" cy="950595"/>
                        <wp:effectExtent l="0" t="0" r="6350" b="1905"/>
                        <wp:docPr id="37" name="图片 37" descr="C:\Users\18338\AppData\Local\Temp\ksohtml24340\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18338\AppData\Local\Temp\ksohtml24340\wps4.jpg"/>
                                <pic:cNvPicPr>
                                  <a:picLocks noChangeAspect="1" noChangeArrowheads="1"/>
                                </pic:cNvPicPr>
                              </pic:nvPicPr>
                              <pic:blipFill>
                                <a:blip r:embed="rId51" cstate="print"/>
                                <a:srcRect/>
                                <a:stretch>
                                  <a:fillRect/>
                                </a:stretch>
                              </pic:blipFill>
                              <pic:spPr>
                                <a:xfrm>
                                  <a:off x="0" y="0"/>
                                  <a:ext cx="1517650" cy="950595"/>
                                </a:xfrm>
                                <a:prstGeom prst="rect">
                                  <a:avLst/>
                                </a:prstGeom>
                                <a:noFill/>
                                <a:ln w="9525">
                                  <a:noFill/>
                                  <a:miter lim="800000"/>
                                  <a:headEnd/>
                                  <a:tailEnd/>
                                </a:ln>
                              </pic:spPr>
                            </pic:pic>
                          </a:graphicData>
                        </a:graphic>
                      </wp:inline>
                    </w:drawing>
                  </w:r>
                </w:p>
              </w:tc>
            </w:tr>
            <w:tr w14:paraId="6E99E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641" w:type="pct"/>
                  <w:vMerge w:val="continue"/>
                  <w:tcBorders>
                    <w:top w:val="single" w:color="auto" w:sz="8" w:space="0"/>
                    <w:left w:val="nil"/>
                    <w:bottom w:val="single" w:color="auto" w:sz="12" w:space="0"/>
                    <w:right w:val="single" w:color="auto" w:sz="8" w:space="0"/>
                  </w:tcBorders>
                  <w:vAlign w:val="center"/>
                </w:tcPr>
                <w:p w14:paraId="3BD22CAA">
                  <w:pPr>
                    <w:keepNext w:val="0"/>
                    <w:keepLines w:val="0"/>
                    <w:pageBreakBefore w:val="0"/>
                    <w:widowControl/>
                    <w:kinsoku/>
                    <w:wordWrap/>
                    <w:overflowPunct/>
                    <w:topLinePunct w:val="0"/>
                    <w:autoSpaceDE/>
                    <w:autoSpaceDN/>
                    <w:bidi w:val="0"/>
                    <w:adjustRightInd/>
                    <w:snapToGrid w:val="0"/>
                    <w:spacing w:line="240" w:lineRule="auto"/>
                    <w:ind w:right="0"/>
                    <w:jc w:val="center"/>
                    <w:textAlignment w:val="auto"/>
                    <w:rPr>
                      <w:rFonts w:hint="default" w:ascii="Times New Roman" w:hAnsi="Times New Roman" w:cs="Times New Roman"/>
                      <w:color w:val="auto"/>
                      <w:szCs w:val="21"/>
                    </w:rPr>
                  </w:pPr>
                </w:p>
              </w:tc>
              <w:tc>
                <w:tcPr>
                  <w:tcW w:w="762" w:type="pct"/>
                  <w:tcBorders>
                    <w:top w:val="single" w:color="auto" w:sz="8" w:space="0"/>
                    <w:left w:val="single" w:color="auto" w:sz="8" w:space="0"/>
                    <w:bottom w:val="single" w:color="auto" w:sz="12" w:space="0"/>
                    <w:right w:val="single" w:color="auto" w:sz="8" w:space="0"/>
                  </w:tcBorders>
                  <w:vAlign w:val="center"/>
                </w:tcPr>
                <w:p w14:paraId="23DCD025">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危险废物</w:t>
                  </w:r>
                </w:p>
              </w:tc>
              <w:tc>
                <w:tcPr>
                  <w:tcW w:w="333" w:type="pct"/>
                  <w:tcBorders>
                    <w:top w:val="single" w:color="auto" w:sz="8" w:space="0"/>
                    <w:left w:val="single" w:color="auto" w:sz="8" w:space="0"/>
                    <w:bottom w:val="single" w:color="auto" w:sz="12" w:space="0"/>
                    <w:right w:val="single" w:color="auto" w:sz="8" w:space="0"/>
                  </w:tcBorders>
                  <w:vAlign w:val="center"/>
                </w:tcPr>
                <w:p w14:paraId="3F77E8F7">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w:t>
                  </w:r>
                </w:p>
              </w:tc>
              <w:tc>
                <w:tcPr>
                  <w:tcW w:w="712" w:type="pct"/>
                  <w:tcBorders>
                    <w:top w:val="single" w:color="auto" w:sz="8" w:space="0"/>
                    <w:left w:val="single" w:color="auto" w:sz="8" w:space="0"/>
                    <w:bottom w:val="single" w:color="auto" w:sz="12" w:space="0"/>
                    <w:right w:val="single" w:color="auto" w:sz="8" w:space="0"/>
                  </w:tcBorders>
                  <w:vAlign w:val="center"/>
                </w:tcPr>
                <w:p w14:paraId="3D0DE16A">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WF-*</w:t>
                  </w:r>
                </w:p>
                <w:p w14:paraId="39959EEF">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t>（*为危险废物名称）</w:t>
                  </w:r>
                </w:p>
              </w:tc>
              <w:tc>
                <w:tcPr>
                  <w:tcW w:w="2549" w:type="pct"/>
                  <w:tcBorders>
                    <w:top w:val="single" w:color="auto" w:sz="8" w:space="0"/>
                    <w:left w:val="single" w:color="auto" w:sz="8" w:space="0"/>
                    <w:bottom w:val="single" w:color="auto" w:sz="12" w:space="0"/>
                    <w:right w:val="nil"/>
                  </w:tcBorders>
                  <w:vAlign w:val="center"/>
                </w:tcPr>
                <w:p w14:paraId="00EE83AE">
                  <w:pPr>
                    <w:pStyle w:val="31"/>
                    <w:keepNext w:val="0"/>
                    <w:keepLines w:val="0"/>
                    <w:pageBreakBefore w:val="0"/>
                    <w:kinsoku/>
                    <w:wordWrap/>
                    <w:overflowPunct/>
                    <w:topLinePunct w:val="0"/>
                    <w:autoSpaceDE/>
                    <w:autoSpaceDN/>
                    <w:bidi w:val="0"/>
                    <w:adjustRightInd/>
                    <w:snapToGrid w:val="0"/>
                    <w:spacing w:after="0" w:line="240" w:lineRule="auto"/>
                    <w:ind w:left="0" w:leftChars="0" w:right="0" w:firstLine="0" w:firstLineChars="0"/>
                    <w:jc w:val="center"/>
                    <w:textAlignment w:val="auto"/>
                    <w:rPr>
                      <w:rFonts w:hint="default" w:ascii="Times New Roman" w:hAnsi="Times New Roman" w:cs="Times New Roman"/>
                      <w:color w:val="auto"/>
                      <w:kern w:val="2"/>
                      <w:sz w:val="21"/>
                      <w:szCs w:val="21"/>
                    </w:rPr>
                  </w:pPr>
                  <w:r>
                    <w:rPr>
                      <w:rFonts w:ascii="Times New Roman" w:hAnsi="Times New Roman"/>
                      <w:color w:val="auto"/>
                    </w:rPr>
                    <w:drawing>
                      <wp:inline distT="0" distB="0" distL="114300" distR="114300">
                        <wp:extent cx="2151380" cy="1365250"/>
                        <wp:effectExtent l="0" t="0" r="1270" b="6350"/>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52"/>
                                <a:stretch>
                                  <a:fillRect/>
                                </a:stretch>
                              </pic:blipFill>
                              <pic:spPr>
                                <a:xfrm>
                                  <a:off x="0" y="0"/>
                                  <a:ext cx="2151380" cy="1365250"/>
                                </a:xfrm>
                                <a:prstGeom prst="rect">
                                  <a:avLst/>
                                </a:prstGeom>
                                <a:noFill/>
                                <a:ln>
                                  <a:noFill/>
                                </a:ln>
                              </pic:spPr>
                            </pic:pic>
                          </a:graphicData>
                        </a:graphic>
                      </wp:inline>
                    </w:drawing>
                  </w:r>
                </w:p>
              </w:tc>
            </w:tr>
          </w:tbl>
          <w:p w14:paraId="2CD06FB0">
            <w:pPr>
              <w:spacing w:line="360" w:lineRule="auto"/>
              <w:ind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排放口标志</w:t>
            </w:r>
          </w:p>
          <w:p w14:paraId="7D882E8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环境保护图形标志牌按国家生态环境部统一规范要求定点制作，各建设单位排污口分布图由环境监理部门统一绘制。排放口应设置明显标志，标志清晰完整。一般性污染物设置提示性标志牌，排放剧毒、致癌物及对人体有严重危害物质设置警告性标志牌。图形符号类型、形状颜色应满足标准要求。</w:t>
            </w:r>
          </w:p>
          <w:p w14:paraId="44924275">
            <w:pPr>
              <w:pStyle w:val="31"/>
              <w:keepNext w:val="0"/>
              <w:keepLines w:val="0"/>
              <w:pageBreakBefore w:val="0"/>
              <w:widowControl w:val="0"/>
              <w:kinsoku/>
              <w:wordWrap/>
              <w:overflowPunct/>
              <w:topLinePunct w:val="0"/>
              <w:autoSpaceDE/>
              <w:autoSpaceDN/>
              <w:bidi w:val="0"/>
              <w:adjustRightInd/>
              <w:snapToGrid/>
              <w:spacing w:after="0" w:line="360" w:lineRule="auto"/>
              <w:ind w:left="0" w:leftChars="0" w:firstLine="480"/>
              <w:jc w:val="both"/>
              <w:textAlignment w:val="auto"/>
              <w:rPr>
                <w:rFonts w:hint="default" w:ascii="Times New Roman" w:hAnsi="Times New Roman" w:cs="Times New Roman"/>
                <w:color w:val="auto"/>
                <w:szCs w:val="24"/>
              </w:rPr>
            </w:pPr>
            <w:r>
              <w:rPr>
                <w:rFonts w:hint="default" w:ascii="Times New Roman" w:hAnsi="Times New Roman" w:cs="Times New Roman"/>
                <w:color w:val="auto"/>
                <w:szCs w:val="24"/>
              </w:rPr>
              <w:t>标识牌应包括排放单位名称、地理位置信息、主要排放污染物、排放去向、执行排放标准等信息。</w:t>
            </w:r>
          </w:p>
          <w:p w14:paraId="540D697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①污染物排放口的环保图形标志牌应设置在排污口（采样点）附近且醒目处，高度为标志牌上缘离地面约2m。</w:t>
            </w:r>
          </w:p>
          <w:p w14:paraId="024DBF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②排污口附近1m范围内有建筑物的，设平面式标志牌，无建筑物的设立式标志牌。一般排污单位的污染物排放口，可根据情况设置立式或平面固定式标志牌。</w:t>
            </w:r>
          </w:p>
          <w:p w14:paraId="7B8367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rPr>
            </w:pPr>
            <w:r>
              <w:rPr>
                <w:rFonts w:hint="default" w:ascii="Times New Roman" w:hAnsi="Times New Roman" w:cs="Times New Roman"/>
                <w:color w:val="auto"/>
                <w:sz w:val="24"/>
              </w:rPr>
              <w:t>③规范化排污口的有关设置（如图形标志牌、计量装置、监控装置等）属于环保设施，排污单位必须负责日常的维护保养，任何单位和个人不得擅自拆除，如需要变更的需报环境监管部门同意并办理相关变更手续。</w:t>
            </w:r>
          </w:p>
          <w:p w14:paraId="6685D0BA">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、竣工验收</w:t>
            </w:r>
          </w:p>
          <w:p w14:paraId="6FCC48CE">
            <w:pPr>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项目根据《固定污染源排污许可分类管理名录》2019年版的要求办理排污许可手续、根据《建设项目环境保护管理条例》（国务院第682号令）、环境保护部办公厅函（国环规环评</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2017</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4号）关于发布《建设项目竣工环境保护验收暂行办法》的公告的相关要求，进行竣工环保自主验收。</w:t>
            </w:r>
          </w:p>
          <w:p w14:paraId="5CA13EA1">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7B60D0DD">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33F9DA8A">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5734E9DB">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6AF36BCB">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03A28153">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696CC338">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53521F2A">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5FCF5DC7">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556F8618">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44B0CEC5">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58970D86">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3955C2F1">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7FB5BDE4">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52ACFABF">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70ABBF2B">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38C30A6E">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p w14:paraId="24BCDFFC">
            <w:pPr>
              <w:widowControl/>
              <w:spacing w:line="360" w:lineRule="auto"/>
              <w:jc w:val="left"/>
              <w:rPr>
                <w:rFonts w:hint="default" w:ascii="Times New Roman" w:hAnsi="Times New Roman" w:eastAsia="宋体" w:cs="Times New Roman"/>
                <w:color w:val="auto"/>
                <w:sz w:val="24"/>
                <w:szCs w:val="24"/>
                <w:highlight w:val="none"/>
              </w:rPr>
            </w:pPr>
          </w:p>
          <w:p w14:paraId="2B91C0CB">
            <w:pPr>
              <w:widowControl/>
              <w:spacing w:line="360" w:lineRule="auto"/>
              <w:ind w:firstLine="480" w:firstLineChars="200"/>
              <w:jc w:val="left"/>
              <w:rPr>
                <w:rFonts w:hint="default" w:ascii="Times New Roman" w:hAnsi="Times New Roman" w:eastAsia="宋体" w:cs="Times New Roman"/>
                <w:color w:val="auto"/>
                <w:sz w:val="24"/>
                <w:szCs w:val="24"/>
                <w:highlight w:val="none"/>
              </w:rPr>
            </w:pPr>
          </w:p>
        </w:tc>
      </w:tr>
    </w:tbl>
    <w:p w14:paraId="076768ED">
      <w:pPr>
        <w:pStyle w:val="27"/>
        <w:jc w:val="center"/>
        <w:outlineLvl w:val="0"/>
        <w:rPr>
          <w:rFonts w:hint="default" w:ascii="Times New Roman" w:hAnsi="Times New Roman" w:eastAsia="宋体" w:cs="Times New Roman"/>
          <w:snapToGrid w:val="0"/>
          <w:color w:val="auto"/>
          <w:sz w:val="30"/>
          <w:szCs w:val="30"/>
          <w:highlight w:val="none"/>
        </w:rPr>
      </w:pPr>
      <w:r>
        <w:rPr>
          <w:rFonts w:hint="default" w:ascii="Times New Roman" w:hAnsi="Times New Roman" w:eastAsia="宋体" w:cs="Times New Roman"/>
          <w:snapToGrid w:val="0"/>
          <w:color w:val="auto"/>
          <w:highlight w:val="none"/>
        </w:rPr>
        <w:br w:type="page"/>
      </w:r>
      <w:bookmarkStart w:id="23" w:name="_Toc23104"/>
      <w:r>
        <w:rPr>
          <w:rFonts w:hint="default" w:ascii="Times New Roman" w:hAnsi="Times New Roman" w:eastAsia="宋体" w:cs="Times New Roman"/>
          <w:snapToGrid w:val="0"/>
          <w:color w:val="auto"/>
          <w:sz w:val="30"/>
          <w:szCs w:val="30"/>
          <w:highlight w:val="none"/>
        </w:rPr>
        <w:t>六、结论</w:t>
      </w:r>
      <w:bookmarkEnd w:id="23"/>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722EC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13667C18">
            <w:pPr>
              <w:spacing w:line="360" w:lineRule="auto"/>
              <w:ind w:firstLine="480" w:firstLineChars="200"/>
              <w:rPr>
                <w:rFonts w:hint="default" w:ascii="Times New Roman" w:hAnsi="Times New Roman" w:eastAsia="宋体" w:cs="Times New Roman"/>
                <w:color w:val="auto"/>
                <w:highlight w:val="none"/>
              </w:rPr>
            </w:pPr>
            <w:bookmarkStart w:id="24" w:name="OLE_LINK18"/>
            <w:r>
              <w:rPr>
                <w:rFonts w:hint="default" w:ascii="Times New Roman" w:hAnsi="Times New Roman" w:eastAsia="宋体" w:cs="Times New Roman"/>
                <w:color w:val="auto"/>
                <w:highlight w:val="none"/>
              </w:rPr>
              <w:t>根据分析，本项目的建设符合国家产业政策。</w:t>
            </w:r>
            <w:r>
              <w:rPr>
                <w:rFonts w:hint="eastAsia" w:cs="Times New Roman"/>
                <w:color w:val="auto"/>
                <w:highlight w:val="none"/>
                <w:lang w:val="en-US" w:eastAsia="zh-CN"/>
              </w:rPr>
              <w:t>拟</w:t>
            </w:r>
            <w:r>
              <w:rPr>
                <w:rFonts w:hint="default" w:ascii="Times New Roman" w:hAnsi="Times New Roman" w:eastAsia="宋体" w:cs="Times New Roman"/>
                <w:color w:val="auto"/>
                <w:highlight w:val="none"/>
              </w:rPr>
              <w:t>采取的环保措施具有可行性，项目营运期不会对区域环境质量造成明显影响。因此本评价认为，建设单位按照环评要求采取相应的环保措施后，生产造成的</w:t>
            </w:r>
            <w:r>
              <w:rPr>
                <w:rFonts w:hint="eastAsia" w:cs="Times New Roman"/>
                <w:color w:val="auto"/>
                <w:highlight w:val="none"/>
                <w:lang w:val="en-US" w:eastAsia="zh-CN"/>
              </w:rPr>
              <w:t>不利</w:t>
            </w:r>
            <w:r>
              <w:rPr>
                <w:rFonts w:hint="default" w:ascii="Times New Roman" w:hAnsi="Times New Roman" w:eastAsia="宋体" w:cs="Times New Roman"/>
                <w:color w:val="auto"/>
                <w:highlight w:val="none"/>
              </w:rPr>
              <w:t>影响是可以得到有效控制的，并能为环境所接受，从环境影响评价角度来说，本项目的建设是可行的。</w:t>
            </w:r>
            <w:bookmarkEnd w:id="24"/>
          </w:p>
          <w:p w14:paraId="67F168EC">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本次评价结论是在建设单位提供的建设内容和规模的基础上得出的，若建设单位改变相关的建设内容和规模，建设单位应按照生态环境主管部门的有关要求另行申报。</w:t>
            </w:r>
          </w:p>
        </w:tc>
      </w:tr>
    </w:tbl>
    <w:p w14:paraId="43FE76E5">
      <w:pPr>
        <w:rPr>
          <w:rFonts w:hint="default" w:ascii="Times New Roman" w:hAnsi="Times New Roman" w:eastAsia="宋体" w:cs="Times New Roman"/>
          <w:color w:val="auto"/>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418F6AE">
      <w:pPr>
        <w:pStyle w:val="27"/>
        <w:adjustRightInd w:val="0"/>
        <w:snapToGrid w:val="0"/>
        <w:spacing w:before="0" w:beforeAutospacing="0" w:after="0" w:afterAutospacing="0"/>
        <w:ind w:firstLine="640"/>
        <w:outlineLvl w:val="0"/>
        <w:rPr>
          <w:rFonts w:hint="default" w:ascii="Times New Roman" w:hAnsi="Times New Roman" w:eastAsia="宋体" w:cs="Times New Roman"/>
          <w:snapToGrid w:val="0"/>
          <w:color w:val="auto"/>
          <w:sz w:val="32"/>
          <w:szCs w:val="32"/>
          <w:highlight w:val="none"/>
        </w:rPr>
      </w:pPr>
      <w:bookmarkStart w:id="25" w:name="_Toc9911"/>
      <w:r>
        <w:rPr>
          <w:rFonts w:hint="default" w:ascii="Times New Roman" w:hAnsi="Times New Roman" w:eastAsia="宋体" w:cs="Times New Roman"/>
          <w:snapToGrid w:val="0"/>
          <w:color w:val="auto"/>
          <w:sz w:val="32"/>
          <w:szCs w:val="32"/>
          <w:highlight w:val="none"/>
        </w:rPr>
        <w:t>附表</w:t>
      </w:r>
      <w:bookmarkEnd w:id="25"/>
    </w:p>
    <w:p w14:paraId="052AED4A">
      <w:pPr>
        <w:pStyle w:val="27"/>
        <w:adjustRightInd w:val="0"/>
        <w:snapToGrid w:val="0"/>
        <w:spacing w:before="0" w:beforeAutospacing="0" w:after="0" w:afterAutospacing="0"/>
        <w:ind w:firstLine="760"/>
        <w:jc w:val="center"/>
        <w:outlineLvl w:val="0"/>
        <w:rPr>
          <w:rFonts w:hint="default" w:ascii="Times New Roman" w:hAnsi="Times New Roman" w:eastAsia="宋体" w:cs="Times New Roman"/>
          <w:snapToGrid w:val="0"/>
          <w:color w:val="auto"/>
          <w:sz w:val="38"/>
          <w:szCs w:val="38"/>
          <w:highlight w:val="none"/>
        </w:rPr>
      </w:pPr>
      <w:bookmarkStart w:id="26" w:name="_Toc7757"/>
      <w:r>
        <w:rPr>
          <w:rFonts w:hint="default" w:ascii="Times New Roman" w:hAnsi="Times New Roman" w:eastAsia="宋体" w:cs="Times New Roman"/>
          <w:snapToGrid w:val="0"/>
          <w:color w:val="auto"/>
          <w:sz w:val="38"/>
          <w:szCs w:val="38"/>
          <w:highlight w:val="none"/>
        </w:rPr>
        <w:t>建设项目污染物排放量汇总表</w:t>
      </w:r>
      <w:bookmarkEnd w:id="26"/>
    </w:p>
    <w:tbl>
      <w:tblPr>
        <w:tblStyle w:val="32"/>
        <w:tblW w:w="48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730"/>
        <w:gridCol w:w="1550"/>
        <w:gridCol w:w="1257"/>
        <w:gridCol w:w="1540"/>
        <w:gridCol w:w="1500"/>
        <w:gridCol w:w="1648"/>
        <w:gridCol w:w="1664"/>
        <w:gridCol w:w="944"/>
      </w:tblGrid>
      <w:tr w14:paraId="1DE45E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23" w:type="pct"/>
            <w:tcBorders>
              <w:tl2br w:val="single" w:color="auto" w:sz="4" w:space="0"/>
            </w:tcBorders>
            <w:tcMar>
              <w:left w:w="28" w:type="dxa"/>
              <w:right w:w="28" w:type="dxa"/>
            </w:tcMar>
            <w:vAlign w:val="center"/>
          </w:tcPr>
          <w:p w14:paraId="5E6EB4DA">
            <w:pPr>
              <w:pStyle w:val="65"/>
              <w:spacing w:beforeLines="0" w:afterLines="0" w:line="240" w:lineRule="auto"/>
              <w:ind w:firstLine="396"/>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项目</w:t>
            </w:r>
          </w:p>
          <w:p w14:paraId="0BFC8752">
            <w:pPr>
              <w:pStyle w:val="65"/>
              <w:spacing w:beforeLines="0" w:afterLines="0" w:line="240" w:lineRule="auto"/>
              <w:jc w:val="left"/>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分类</w:t>
            </w:r>
          </w:p>
        </w:tc>
        <w:tc>
          <w:tcPr>
            <w:tcW w:w="654" w:type="pct"/>
            <w:tcMar>
              <w:left w:w="28" w:type="dxa"/>
              <w:right w:w="28" w:type="dxa"/>
            </w:tcMar>
            <w:vAlign w:val="center"/>
          </w:tcPr>
          <w:p w14:paraId="2747A29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污染物名称</w:t>
            </w:r>
          </w:p>
        </w:tc>
        <w:tc>
          <w:tcPr>
            <w:tcW w:w="586" w:type="pct"/>
            <w:tcMar>
              <w:left w:w="28" w:type="dxa"/>
              <w:right w:w="28" w:type="dxa"/>
            </w:tcMar>
            <w:vAlign w:val="center"/>
          </w:tcPr>
          <w:p w14:paraId="08D289AF">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现有工程</w:t>
            </w:r>
          </w:p>
          <w:p w14:paraId="0AAA4FE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排放量(固体废物产生量</w:t>
            </w:r>
            <w:r>
              <w:rPr>
                <w:rFonts w:hint="eastAsia" w:ascii="Times New Roman" w:cs="Times New Roman"/>
                <w:snapToGrid w:val="0"/>
                <w:color w:val="auto"/>
                <w:spacing w:val="-6"/>
                <w:kern w:val="21"/>
                <w:sz w:val="21"/>
                <w:szCs w:val="21"/>
                <w:highlight w:val="none"/>
                <w:lang w:eastAsia="zh-CN"/>
              </w:rPr>
              <w:t>）</w:t>
            </w: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1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①</w:t>
            </w:r>
            <w:r>
              <w:rPr>
                <w:rFonts w:hint="default" w:ascii="Times New Roman" w:hAnsi="Times New Roman" w:eastAsia="宋体" w:cs="Times New Roman"/>
                <w:snapToGrid w:val="0"/>
                <w:color w:val="auto"/>
                <w:spacing w:val="-6"/>
                <w:kern w:val="21"/>
                <w:sz w:val="21"/>
                <w:szCs w:val="21"/>
                <w:highlight w:val="none"/>
              </w:rPr>
              <w:fldChar w:fldCharType="end"/>
            </w:r>
          </w:p>
        </w:tc>
        <w:tc>
          <w:tcPr>
            <w:tcW w:w="475" w:type="pct"/>
            <w:tcMar>
              <w:left w:w="28" w:type="dxa"/>
              <w:right w:w="28" w:type="dxa"/>
            </w:tcMar>
            <w:vAlign w:val="center"/>
          </w:tcPr>
          <w:p w14:paraId="44A6B52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现有工程</w:t>
            </w:r>
          </w:p>
          <w:p w14:paraId="40E74C3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许可排放量</w:t>
            </w:r>
          </w:p>
          <w:p w14:paraId="4221784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2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②</w:t>
            </w:r>
            <w:r>
              <w:rPr>
                <w:rFonts w:hint="default" w:ascii="Times New Roman" w:hAnsi="Times New Roman" w:eastAsia="宋体" w:cs="Times New Roman"/>
                <w:snapToGrid w:val="0"/>
                <w:color w:val="auto"/>
                <w:spacing w:val="-6"/>
                <w:kern w:val="21"/>
                <w:sz w:val="21"/>
                <w:szCs w:val="21"/>
                <w:highlight w:val="none"/>
              </w:rPr>
              <w:fldChar w:fldCharType="end"/>
            </w:r>
          </w:p>
        </w:tc>
        <w:tc>
          <w:tcPr>
            <w:tcW w:w="582" w:type="pct"/>
            <w:tcMar>
              <w:left w:w="28" w:type="dxa"/>
              <w:right w:w="28" w:type="dxa"/>
            </w:tcMar>
            <w:vAlign w:val="center"/>
          </w:tcPr>
          <w:p w14:paraId="20B4016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在建工程</w:t>
            </w:r>
          </w:p>
          <w:p w14:paraId="2B581D50">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排放量(固体废物产生量</w:t>
            </w:r>
            <w:r>
              <w:rPr>
                <w:rFonts w:hint="eastAsia" w:ascii="Times New Roman" w:cs="Times New Roman"/>
                <w:snapToGrid w:val="0"/>
                <w:color w:val="auto"/>
                <w:spacing w:val="-6"/>
                <w:kern w:val="21"/>
                <w:sz w:val="21"/>
                <w:szCs w:val="21"/>
                <w:highlight w:val="none"/>
                <w:lang w:eastAsia="zh-CN"/>
              </w:rPr>
              <w:t>）</w:t>
            </w: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3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③</w:t>
            </w:r>
            <w:r>
              <w:rPr>
                <w:rFonts w:hint="default" w:ascii="Times New Roman" w:hAnsi="Times New Roman" w:eastAsia="宋体" w:cs="Times New Roman"/>
                <w:snapToGrid w:val="0"/>
                <w:color w:val="auto"/>
                <w:spacing w:val="-6"/>
                <w:kern w:val="21"/>
                <w:sz w:val="21"/>
                <w:szCs w:val="21"/>
                <w:highlight w:val="none"/>
              </w:rPr>
              <w:fldChar w:fldCharType="end"/>
            </w:r>
          </w:p>
        </w:tc>
        <w:tc>
          <w:tcPr>
            <w:tcW w:w="567" w:type="pct"/>
            <w:tcMar>
              <w:left w:w="28" w:type="dxa"/>
              <w:right w:w="28" w:type="dxa"/>
            </w:tcMar>
            <w:vAlign w:val="center"/>
          </w:tcPr>
          <w:p w14:paraId="7983C41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本项目</w:t>
            </w:r>
          </w:p>
          <w:p w14:paraId="28790CB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排放量(固体废物产生量</w:t>
            </w:r>
            <w:r>
              <w:rPr>
                <w:rFonts w:hint="eastAsia" w:ascii="Times New Roman" w:cs="Times New Roman"/>
                <w:snapToGrid w:val="0"/>
                <w:color w:val="auto"/>
                <w:spacing w:val="-6"/>
                <w:kern w:val="21"/>
                <w:sz w:val="21"/>
                <w:szCs w:val="21"/>
                <w:highlight w:val="none"/>
                <w:lang w:eastAsia="zh-CN"/>
              </w:rPr>
              <w:t>）</w:t>
            </w: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4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④</w:t>
            </w:r>
            <w:r>
              <w:rPr>
                <w:rFonts w:hint="default" w:ascii="Times New Roman" w:hAnsi="Times New Roman" w:eastAsia="宋体" w:cs="Times New Roman"/>
                <w:snapToGrid w:val="0"/>
                <w:color w:val="auto"/>
                <w:spacing w:val="-6"/>
                <w:kern w:val="21"/>
                <w:sz w:val="21"/>
                <w:szCs w:val="21"/>
                <w:highlight w:val="none"/>
              </w:rPr>
              <w:fldChar w:fldCharType="end"/>
            </w:r>
          </w:p>
        </w:tc>
        <w:tc>
          <w:tcPr>
            <w:tcW w:w="623" w:type="pct"/>
            <w:tcMar>
              <w:left w:w="28" w:type="dxa"/>
              <w:right w:w="28" w:type="dxa"/>
            </w:tcMar>
            <w:vAlign w:val="center"/>
          </w:tcPr>
          <w:p w14:paraId="202B85E5">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以新带老削减量</w:t>
            </w:r>
          </w:p>
          <w:p w14:paraId="1A9DE746">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(新建项目不填</w:t>
            </w:r>
            <w:r>
              <w:rPr>
                <w:rFonts w:hint="eastAsia" w:ascii="Times New Roman" w:cs="Times New Roman"/>
                <w:snapToGrid w:val="0"/>
                <w:color w:val="auto"/>
                <w:spacing w:val="-6"/>
                <w:kern w:val="21"/>
                <w:sz w:val="21"/>
                <w:szCs w:val="21"/>
                <w:highlight w:val="none"/>
                <w:lang w:eastAsia="zh-CN"/>
              </w:rPr>
              <w:t>）</w:t>
            </w: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5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⑤</w:t>
            </w:r>
            <w:r>
              <w:rPr>
                <w:rFonts w:hint="default" w:ascii="Times New Roman" w:hAnsi="Times New Roman" w:eastAsia="宋体" w:cs="Times New Roman"/>
                <w:snapToGrid w:val="0"/>
                <w:color w:val="auto"/>
                <w:spacing w:val="-6"/>
                <w:kern w:val="21"/>
                <w:sz w:val="21"/>
                <w:szCs w:val="21"/>
                <w:highlight w:val="none"/>
              </w:rPr>
              <w:fldChar w:fldCharType="end"/>
            </w:r>
          </w:p>
        </w:tc>
        <w:tc>
          <w:tcPr>
            <w:tcW w:w="629" w:type="pct"/>
            <w:tcMar>
              <w:left w:w="28" w:type="dxa"/>
              <w:right w:w="28" w:type="dxa"/>
            </w:tcMar>
            <w:vAlign w:val="center"/>
          </w:tcPr>
          <w:p w14:paraId="6414176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本项目建成后</w:t>
            </w:r>
          </w:p>
          <w:p w14:paraId="6DC96527">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全厂排放量(固体废物产生量</w:t>
            </w:r>
            <w:r>
              <w:rPr>
                <w:rFonts w:hint="eastAsia" w:ascii="Times New Roman" w:cs="Times New Roman"/>
                <w:snapToGrid w:val="0"/>
                <w:color w:val="auto"/>
                <w:spacing w:val="-6"/>
                <w:kern w:val="21"/>
                <w:sz w:val="21"/>
                <w:szCs w:val="21"/>
                <w:highlight w:val="none"/>
                <w:lang w:eastAsia="zh-CN"/>
              </w:rPr>
              <w:t>）</w:t>
            </w: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6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⑥</w:t>
            </w:r>
            <w:r>
              <w:rPr>
                <w:rFonts w:hint="default" w:ascii="Times New Roman" w:hAnsi="Times New Roman" w:eastAsia="宋体" w:cs="Times New Roman"/>
                <w:snapToGrid w:val="0"/>
                <w:color w:val="auto"/>
                <w:spacing w:val="-6"/>
                <w:kern w:val="21"/>
                <w:sz w:val="21"/>
                <w:szCs w:val="21"/>
                <w:highlight w:val="none"/>
              </w:rPr>
              <w:fldChar w:fldCharType="end"/>
            </w:r>
          </w:p>
        </w:tc>
        <w:tc>
          <w:tcPr>
            <w:tcW w:w="357" w:type="pct"/>
            <w:tcMar>
              <w:left w:w="28" w:type="dxa"/>
              <w:right w:w="28" w:type="dxa"/>
            </w:tcMar>
            <w:vAlign w:val="center"/>
          </w:tcPr>
          <w:p w14:paraId="4E67053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变化量</w:t>
            </w:r>
          </w:p>
          <w:p w14:paraId="5B2C9C6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fldChar w:fldCharType="begin"/>
            </w:r>
            <w:r>
              <w:rPr>
                <w:rFonts w:hint="default" w:ascii="Times New Roman" w:hAnsi="Times New Roman" w:eastAsia="宋体" w:cs="Times New Roman"/>
                <w:snapToGrid w:val="0"/>
                <w:color w:val="auto"/>
                <w:spacing w:val="-6"/>
                <w:kern w:val="21"/>
                <w:sz w:val="21"/>
                <w:szCs w:val="21"/>
                <w:highlight w:val="none"/>
              </w:rPr>
              <w:instrText xml:space="preserve"> = 7 \* GB3 \* MERGEFORMAT </w:instrText>
            </w:r>
            <w:r>
              <w:rPr>
                <w:rFonts w:hint="default" w:ascii="Times New Roman" w:hAnsi="Times New Roman" w:eastAsia="宋体" w:cs="Times New Roman"/>
                <w:snapToGrid w:val="0"/>
                <w:color w:val="auto"/>
                <w:spacing w:val="-6"/>
                <w:kern w:val="21"/>
                <w:sz w:val="21"/>
                <w:szCs w:val="21"/>
                <w:highlight w:val="none"/>
              </w:rPr>
              <w:fldChar w:fldCharType="separate"/>
            </w:r>
            <w:r>
              <w:rPr>
                <w:rFonts w:hint="default" w:ascii="Times New Roman" w:hAnsi="Times New Roman" w:eastAsia="宋体" w:cs="Times New Roman"/>
                <w:snapToGrid w:val="0"/>
                <w:color w:val="auto"/>
                <w:spacing w:val="-6"/>
                <w:kern w:val="21"/>
                <w:sz w:val="21"/>
                <w:szCs w:val="21"/>
                <w:highlight w:val="none"/>
              </w:rPr>
              <w:t>⑦</w:t>
            </w:r>
            <w:r>
              <w:rPr>
                <w:rFonts w:hint="default" w:ascii="Times New Roman" w:hAnsi="Times New Roman" w:eastAsia="宋体" w:cs="Times New Roman"/>
                <w:snapToGrid w:val="0"/>
                <w:color w:val="auto"/>
                <w:spacing w:val="-6"/>
                <w:kern w:val="21"/>
                <w:sz w:val="21"/>
                <w:szCs w:val="21"/>
                <w:highlight w:val="none"/>
              </w:rPr>
              <w:fldChar w:fldCharType="end"/>
            </w:r>
          </w:p>
        </w:tc>
      </w:tr>
      <w:tr w14:paraId="6DD698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restart"/>
            <w:vAlign w:val="center"/>
          </w:tcPr>
          <w:p w14:paraId="1EF95AA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废气</w:t>
            </w:r>
          </w:p>
        </w:tc>
        <w:tc>
          <w:tcPr>
            <w:tcW w:w="654" w:type="pct"/>
            <w:vAlign w:val="center"/>
          </w:tcPr>
          <w:p w14:paraId="62BA549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lang w:val="en-US" w:eastAsia="zh-CN"/>
              </w:rPr>
              <w:t>NH</w:t>
            </w:r>
            <w:r>
              <w:rPr>
                <w:rFonts w:hint="default" w:ascii="Times New Roman" w:hAnsi="Times New Roman" w:eastAsia="宋体" w:cs="Times New Roman"/>
                <w:snapToGrid w:val="0"/>
                <w:color w:val="auto"/>
                <w:spacing w:val="-6"/>
                <w:kern w:val="21"/>
                <w:sz w:val="21"/>
                <w:szCs w:val="21"/>
                <w:highlight w:val="none"/>
                <w:vertAlign w:val="subscript"/>
                <w:lang w:val="en-US" w:eastAsia="zh-CN"/>
              </w:rPr>
              <w:t>3</w:t>
            </w:r>
          </w:p>
        </w:tc>
        <w:tc>
          <w:tcPr>
            <w:tcW w:w="586" w:type="pct"/>
            <w:vAlign w:val="center"/>
          </w:tcPr>
          <w:p w14:paraId="4DD26A02">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475" w:type="pct"/>
            <w:vAlign w:val="center"/>
          </w:tcPr>
          <w:p w14:paraId="1EDD33B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582" w:type="pct"/>
            <w:vAlign w:val="center"/>
          </w:tcPr>
          <w:p w14:paraId="21CFF3B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567" w:type="pct"/>
            <w:vAlign w:val="center"/>
          </w:tcPr>
          <w:p w14:paraId="0BE5DC6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0.0215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76698DD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1664" w:type="dxa"/>
            <w:vAlign w:val="center"/>
          </w:tcPr>
          <w:p w14:paraId="01EC98F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0.0215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5843E712">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w:t>
            </w:r>
          </w:p>
        </w:tc>
      </w:tr>
      <w:tr w14:paraId="4F194B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3ED49892">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67E11CE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eastAsia="zh-CN"/>
              </w:rPr>
            </w:pPr>
            <w:r>
              <w:rPr>
                <w:rFonts w:hint="default" w:ascii="Times New Roman" w:hAnsi="Times New Roman" w:eastAsia="宋体" w:cs="Times New Roman"/>
                <w:snapToGrid w:val="0"/>
                <w:color w:val="auto"/>
                <w:spacing w:val="-6"/>
                <w:kern w:val="21"/>
                <w:sz w:val="21"/>
                <w:szCs w:val="21"/>
                <w:highlight w:val="none"/>
                <w:lang w:val="en-US" w:eastAsia="zh-CN"/>
              </w:rPr>
              <w:t>H</w:t>
            </w:r>
            <w:r>
              <w:rPr>
                <w:rFonts w:hint="default" w:ascii="Times New Roman" w:hAnsi="Times New Roman" w:eastAsia="宋体" w:cs="Times New Roman"/>
                <w:snapToGrid w:val="0"/>
                <w:color w:val="auto"/>
                <w:spacing w:val="-6"/>
                <w:kern w:val="21"/>
                <w:sz w:val="21"/>
                <w:szCs w:val="21"/>
                <w:highlight w:val="none"/>
                <w:vertAlign w:val="subscript"/>
                <w:lang w:val="en-US" w:eastAsia="zh-CN"/>
              </w:rPr>
              <w:t>2</w:t>
            </w:r>
            <w:r>
              <w:rPr>
                <w:rFonts w:hint="default" w:ascii="Times New Roman" w:hAnsi="Times New Roman" w:eastAsia="宋体" w:cs="Times New Roman"/>
                <w:snapToGrid w:val="0"/>
                <w:color w:val="auto"/>
                <w:spacing w:val="-6"/>
                <w:kern w:val="21"/>
                <w:sz w:val="21"/>
                <w:szCs w:val="21"/>
                <w:highlight w:val="none"/>
                <w:lang w:val="en-US" w:eastAsia="zh-CN"/>
              </w:rPr>
              <w:t>S</w:t>
            </w:r>
          </w:p>
        </w:tc>
        <w:tc>
          <w:tcPr>
            <w:tcW w:w="586" w:type="pct"/>
            <w:vAlign w:val="center"/>
          </w:tcPr>
          <w:p w14:paraId="5D7F10F2">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475" w:type="pct"/>
            <w:vAlign w:val="center"/>
          </w:tcPr>
          <w:p w14:paraId="24945E1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582" w:type="pct"/>
            <w:vAlign w:val="center"/>
          </w:tcPr>
          <w:p w14:paraId="61AC00E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567" w:type="pct"/>
            <w:vAlign w:val="center"/>
          </w:tcPr>
          <w:p w14:paraId="6290D3E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0.0008</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5791456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1664" w:type="dxa"/>
            <w:vAlign w:val="center"/>
          </w:tcPr>
          <w:p w14:paraId="2BD7362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0.0008</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32FE7F5F">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243394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23" w:type="pct"/>
            <w:vMerge w:val="restart"/>
            <w:vAlign w:val="center"/>
          </w:tcPr>
          <w:p w14:paraId="62526E67">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废水</w:t>
            </w:r>
          </w:p>
        </w:tc>
        <w:tc>
          <w:tcPr>
            <w:tcW w:w="654" w:type="pct"/>
            <w:vAlign w:val="center"/>
          </w:tcPr>
          <w:p w14:paraId="6394714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COD</w:t>
            </w:r>
          </w:p>
        </w:tc>
        <w:tc>
          <w:tcPr>
            <w:tcW w:w="586" w:type="pct"/>
            <w:vAlign w:val="center"/>
          </w:tcPr>
          <w:p w14:paraId="1BB6901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1B90580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4E82FD40">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36052D6F">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i w:val="0"/>
                <w:iCs w:val="0"/>
                <w:color w:val="auto"/>
                <w:kern w:val="0"/>
                <w:sz w:val="21"/>
                <w:szCs w:val="21"/>
                <w:highlight w:val="none"/>
                <w:u w:val="none"/>
                <w:lang w:val="en-US" w:eastAsia="zh-CN" w:bidi="ar"/>
              </w:rPr>
              <w:t>1.33</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6B63FC85">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1664" w:type="dxa"/>
            <w:vAlign w:val="center"/>
          </w:tcPr>
          <w:p w14:paraId="4D05E04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eastAsia="zh-CN"/>
              </w:rPr>
            </w:pPr>
            <w:r>
              <w:rPr>
                <w:rFonts w:hint="eastAsia" w:ascii="Times New Roman" w:cs="Times New Roman"/>
                <w:i w:val="0"/>
                <w:iCs w:val="0"/>
                <w:color w:val="auto"/>
                <w:kern w:val="0"/>
                <w:sz w:val="21"/>
                <w:szCs w:val="21"/>
                <w:highlight w:val="none"/>
                <w:u w:val="none"/>
                <w:lang w:val="en-US" w:eastAsia="zh-CN" w:bidi="ar"/>
              </w:rPr>
              <w:t>1.33</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32ED931E">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30E064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300EC3D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1583F1F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NH3-N</w:t>
            </w:r>
          </w:p>
        </w:tc>
        <w:tc>
          <w:tcPr>
            <w:tcW w:w="586" w:type="pct"/>
            <w:vAlign w:val="center"/>
          </w:tcPr>
          <w:p w14:paraId="7C8795F6">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4CBB09A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3675690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1ABB2C85">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i w:val="0"/>
                <w:iCs w:val="0"/>
                <w:color w:val="auto"/>
                <w:kern w:val="0"/>
                <w:sz w:val="21"/>
                <w:szCs w:val="21"/>
                <w:highlight w:val="none"/>
                <w:u w:val="none"/>
                <w:lang w:val="en-US" w:eastAsia="zh-CN" w:bidi="ar"/>
              </w:rPr>
              <w:t>0.145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72A7CE3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1664" w:type="dxa"/>
            <w:vAlign w:val="center"/>
          </w:tcPr>
          <w:p w14:paraId="00DAED2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eastAsia="zh-CN"/>
              </w:rPr>
            </w:pPr>
            <w:r>
              <w:rPr>
                <w:rFonts w:hint="eastAsia" w:ascii="Times New Roman" w:cs="Times New Roman"/>
                <w:i w:val="0"/>
                <w:iCs w:val="0"/>
                <w:color w:val="auto"/>
                <w:kern w:val="0"/>
                <w:sz w:val="21"/>
                <w:szCs w:val="21"/>
                <w:highlight w:val="none"/>
                <w:u w:val="none"/>
                <w:lang w:val="en-US" w:eastAsia="zh-CN" w:bidi="ar"/>
              </w:rPr>
              <w:t>0.145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5C2AC718">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4E4DF1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5DA2027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2CC8581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TP</w:t>
            </w:r>
          </w:p>
        </w:tc>
        <w:tc>
          <w:tcPr>
            <w:tcW w:w="586" w:type="pct"/>
            <w:vAlign w:val="center"/>
          </w:tcPr>
          <w:p w14:paraId="768F1AA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eastAsia="zh-CN"/>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1FE278C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061B688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646E694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i w:val="0"/>
                <w:iCs w:val="0"/>
                <w:color w:val="auto"/>
                <w:kern w:val="0"/>
                <w:sz w:val="21"/>
                <w:szCs w:val="21"/>
                <w:highlight w:val="none"/>
                <w:u w:val="none"/>
                <w:lang w:val="en-US" w:eastAsia="zh-CN" w:bidi="ar"/>
              </w:rPr>
              <w:t>0.017</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7258CCC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1664" w:type="dxa"/>
            <w:vAlign w:val="center"/>
          </w:tcPr>
          <w:p w14:paraId="45CD316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i w:val="0"/>
                <w:iCs w:val="0"/>
                <w:color w:val="auto"/>
                <w:kern w:val="0"/>
                <w:sz w:val="21"/>
                <w:szCs w:val="21"/>
                <w:highlight w:val="none"/>
                <w:u w:val="none"/>
                <w:lang w:val="en-US" w:eastAsia="zh-CN" w:bidi="ar"/>
              </w:rPr>
              <w:t>0.017</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392519F2">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662D4F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restart"/>
            <w:vAlign w:val="center"/>
          </w:tcPr>
          <w:p w14:paraId="582C534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一般工业固体废物</w:t>
            </w:r>
          </w:p>
        </w:tc>
        <w:tc>
          <w:tcPr>
            <w:tcW w:w="654" w:type="pct"/>
            <w:vAlign w:val="center"/>
          </w:tcPr>
          <w:p w14:paraId="1CFFC1D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color w:val="auto"/>
                <w:sz w:val="21"/>
                <w:szCs w:val="21"/>
                <w:highlight w:val="none"/>
                <w:lang w:val="en-US" w:eastAsia="zh-CN"/>
              </w:rPr>
              <w:t>生活垃圾</w:t>
            </w:r>
          </w:p>
        </w:tc>
        <w:tc>
          <w:tcPr>
            <w:tcW w:w="586" w:type="pct"/>
            <w:vAlign w:val="center"/>
          </w:tcPr>
          <w:p w14:paraId="4B376DA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6B8A194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398E9E1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0C916E6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1.825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1362889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02EB6165">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1.825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552A4CD9">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w:t>
            </w:r>
          </w:p>
        </w:tc>
      </w:tr>
      <w:tr w14:paraId="7FE2CC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061DDD65">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6DD5F01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color w:val="auto"/>
                <w:sz w:val="21"/>
                <w:szCs w:val="21"/>
                <w:highlight w:val="none"/>
                <w:lang w:val="en-US"/>
              </w:rPr>
              <w:t>病死猪、不合格胴体及内脏</w:t>
            </w:r>
          </w:p>
        </w:tc>
        <w:tc>
          <w:tcPr>
            <w:tcW w:w="586" w:type="pct"/>
            <w:vAlign w:val="center"/>
          </w:tcPr>
          <w:p w14:paraId="1A828DF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2364D6F6">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11C99947">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122E8D0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3.212</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7F52EE50">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6B03125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3.212</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64F4BA7B">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w:t>
            </w:r>
          </w:p>
        </w:tc>
      </w:tr>
      <w:tr w14:paraId="04C835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42BEA3A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4FFE49C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color w:val="auto"/>
                <w:sz w:val="21"/>
                <w:szCs w:val="21"/>
                <w:highlight w:val="none"/>
                <w:lang w:val="en-US" w:eastAsia="zh-CN"/>
              </w:rPr>
              <w:t>粪便及肠胃内容物</w:t>
            </w:r>
          </w:p>
        </w:tc>
        <w:tc>
          <w:tcPr>
            <w:tcW w:w="586" w:type="pct"/>
            <w:vAlign w:val="center"/>
          </w:tcPr>
          <w:p w14:paraId="0DE5239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56459A3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755B776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3D51E91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40.15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1AC9670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5FBFF372">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40.15</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0B4FE9AF">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56C6DD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1D0BDF0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2B6003C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不可食用内脏和碎肉渣</w:t>
            </w:r>
          </w:p>
        </w:tc>
        <w:tc>
          <w:tcPr>
            <w:tcW w:w="586" w:type="pct"/>
            <w:vAlign w:val="center"/>
          </w:tcPr>
          <w:p w14:paraId="45258F2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720698D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lang w:val="en-US" w:eastAsia="zh-CN"/>
              </w:rPr>
              <w:t>/</w:t>
            </w:r>
          </w:p>
        </w:tc>
        <w:tc>
          <w:tcPr>
            <w:tcW w:w="582" w:type="pct"/>
            <w:vAlign w:val="center"/>
          </w:tcPr>
          <w:p w14:paraId="6A300BF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lang w:val="en-US" w:eastAsia="zh-CN"/>
              </w:rPr>
              <w:t>/</w:t>
            </w:r>
          </w:p>
        </w:tc>
        <w:tc>
          <w:tcPr>
            <w:tcW w:w="567" w:type="pct"/>
            <w:vAlign w:val="center"/>
          </w:tcPr>
          <w:p w14:paraId="790FB9D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8.03</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04966A8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lang w:val="en-US" w:eastAsia="zh-CN"/>
              </w:rPr>
              <w:t>/</w:t>
            </w:r>
          </w:p>
        </w:tc>
        <w:tc>
          <w:tcPr>
            <w:tcW w:w="629" w:type="pct"/>
            <w:vAlign w:val="center"/>
          </w:tcPr>
          <w:p w14:paraId="46F99A2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8.03</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07DD82B5">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w:t>
            </w:r>
          </w:p>
        </w:tc>
      </w:tr>
      <w:tr w14:paraId="7AF97D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66801F9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30863E0F">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color w:val="auto"/>
                <w:sz w:val="21"/>
                <w:szCs w:val="21"/>
                <w:highlight w:val="none"/>
                <w:lang w:val="en-US" w:eastAsia="zh-CN"/>
              </w:rPr>
              <w:t>厂区污水站格栅渣及污泥</w:t>
            </w:r>
          </w:p>
        </w:tc>
        <w:tc>
          <w:tcPr>
            <w:tcW w:w="586" w:type="pct"/>
            <w:vAlign w:val="center"/>
          </w:tcPr>
          <w:p w14:paraId="6648CB5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3698C8A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7C7E283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vAlign w:val="center"/>
          </w:tcPr>
          <w:p w14:paraId="689D0F5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2.28</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44ED0E9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25A767F0">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2.28</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5DABE3D6">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3C7152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097E014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vAlign w:val="center"/>
          </w:tcPr>
          <w:p w14:paraId="7395A2A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废油脂</w:t>
            </w:r>
          </w:p>
        </w:tc>
        <w:tc>
          <w:tcPr>
            <w:tcW w:w="586" w:type="pct"/>
            <w:vAlign w:val="center"/>
          </w:tcPr>
          <w:p w14:paraId="3C91D6B7">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475" w:type="pct"/>
            <w:vAlign w:val="center"/>
          </w:tcPr>
          <w:p w14:paraId="77B24D66">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582" w:type="pct"/>
            <w:vAlign w:val="center"/>
          </w:tcPr>
          <w:p w14:paraId="62171BC6">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567" w:type="pct"/>
            <w:vAlign w:val="center"/>
          </w:tcPr>
          <w:p w14:paraId="19E070C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0.418</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2D9314A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29" w:type="pct"/>
            <w:vAlign w:val="center"/>
          </w:tcPr>
          <w:p w14:paraId="71764D8F">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0.418</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2A21AB4A">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w:t>
            </w:r>
          </w:p>
        </w:tc>
      </w:tr>
      <w:tr w14:paraId="25CD30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23" w:type="pct"/>
            <w:vMerge w:val="restart"/>
            <w:vAlign w:val="center"/>
          </w:tcPr>
          <w:p w14:paraId="0A2D914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危险废物</w:t>
            </w:r>
          </w:p>
        </w:tc>
        <w:tc>
          <w:tcPr>
            <w:tcW w:w="654" w:type="pct"/>
            <w:shd w:val="clear" w:color="auto" w:fill="auto"/>
            <w:vAlign w:val="center"/>
          </w:tcPr>
          <w:p w14:paraId="112452FA">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sz w:val="21"/>
                <w:szCs w:val="21"/>
                <w:highlight w:val="none"/>
                <w:lang w:val="en-US" w:eastAsia="zh-CN"/>
              </w:rPr>
              <w:t>废矿物油</w:t>
            </w:r>
          </w:p>
        </w:tc>
        <w:tc>
          <w:tcPr>
            <w:tcW w:w="586" w:type="pct"/>
            <w:vAlign w:val="center"/>
          </w:tcPr>
          <w:p w14:paraId="3BCE016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6AFB049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688E5A2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shd w:val="clear" w:color="auto" w:fill="auto"/>
            <w:vAlign w:val="center"/>
          </w:tcPr>
          <w:p w14:paraId="5F9EAE37">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lang w:val="en-US" w:eastAsia="zh-CN"/>
              </w:rPr>
              <w:t>0.1t/a</w:t>
            </w:r>
          </w:p>
        </w:tc>
        <w:tc>
          <w:tcPr>
            <w:tcW w:w="623" w:type="pct"/>
            <w:vAlign w:val="center"/>
          </w:tcPr>
          <w:p w14:paraId="1157A5FC">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5F4CD55D">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lang w:val="en-US" w:eastAsia="zh-CN"/>
              </w:rPr>
              <w:t>0.1t/a</w:t>
            </w:r>
          </w:p>
        </w:tc>
        <w:tc>
          <w:tcPr>
            <w:tcW w:w="357" w:type="pct"/>
            <w:vAlign w:val="center"/>
          </w:tcPr>
          <w:p w14:paraId="6C8AC47A">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0F0952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5811D000">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shd w:val="clear" w:color="auto" w:fill="auto"/>
            <w:vAlign w:val="center"/>
          </w:tcPr>
          <w:p w14:paraId="7B27FF39">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sz w:val="21"/>
                <w:szCs w:val="21"/>
                <w:highlight w:val="none"/>
                <w:lang w:val="en-US" w:eastAsia="zh-CN"/>
              </w:rPr>
              <w:t>消毒剂废包装袋</w:t>
            </w:r>
          </w:p>
        </w:tc>
        <w:tc>
          <w:tcPr>
            <w:tcW w:w="586" w:type="pct"/>
            <w:vAlign w:val="center"/>
          </w:tcPr>
          <w:p w14:paraId="764683A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379B43F6">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19000E2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shd w:val="clear" w:color="auto" w:fill="auto"/>
            <w:vAlign w:val="center"/>
          </w:tcPr>
          <w:p w14:paraId="695B364F">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lang w:val="en-US" w:eastAsia="zh-CN"/>
              </w:rPr>
              <w:t>0.0</w:t>
            </w:r>
            <w:r>
              <w:rPr>
                <w:rFonts w:hint="eastAsia" w:ascii="Times New Roman" w:cs="Times New Roman"/>
                <w:snapToGrid w:val="0"/>
                <w:color w:val="auto"/>
                <w:spacing w:val="-6"/>
                <w:kern w:val="21"/>
                <w:sz w:val="21"/>
                <w:szCs w:val="21"/>
                <w:highlight w:val="none"/>
                <w:lang w:val="en-US" w:eastAsia="zh-CN"/>
              </w:rPr>
              <w:t>1</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2A78311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47EC3F7B">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default" w:ascii="Times New Roman" w:hAnsi="Times New Roman" w:eastAsia="宋体" w:cs="Times New Roman"/>
                <w:snapToGrid w:val="0"/>
                <w:color w:val="auto"/>
                <w:spacing w:val="-6"/>
                <w:kern w:val="21"/>
                <w:sz w:val="21"/>
                <w:szCs w:val="21"/>
                <w:highlight w:val="none"/>
                <w:lang w:val="en-US" w:eastAsia="zh-CN"/>
              </w:rPr>
              <w:t>0.0</w:t>
            </w:r>
            <w:r>
              <w:rPr>
                <w:rFonts w:hint="eastAsia" w:ascii="Times New Roman" w:cs="Times New Roman"/>
                <w:snapToGrid w:val="0"/>
                <w:color w:val="auto"/>
                <w:spacing w:val="-6"/>
                <w:kern w:val="21"/>
                <w:sz w:val="21"/>
                <w:szCs w:val="21"/>
                <w:highlight w:val="none"/>
                <w:lang w:val="en-US" w:eastAsia="zh-CN"/>
              </w:rPr>
              <w:t>1</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47AC2716">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eastAsia" w:ascii="Times New Roman" w:cs="Times New Roman"/>
                <w:snapToGrid w:val="0"/>
                <w:color w:val="auto"/>
                <w:spacing w:val="-6"/>
                <w:kern w:val="21"/>
                <w:sz w:val="21"/>
                <w:szCs w:val="21"/>
                <w:highlight w:val="none"/>
                <w:lang w:val="en-US" w:eastAsia="zh-CN"/>
              </w:rPr>
              <w:t>/</w:t>
            </w:r>
          </w:p>
        </w:tc>
      </w:tr>
      <w:tr w14:paraId="37272F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5D5D758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shd w:val="clear" w:color="auto" w:fill="auto"/>
            <w:vAlign w:val="center"/>
          </w:tcPr>
          <w:p w14:paraId="54655F4D">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sz w:val="21"/>
                <w:szCs w:val="21"/>
                <w:highlight w:val="none"/>
                <w:lang w:val="en-US" w:eastAsia="zh-CN"/>
              </w:rPr>
              <w:t>废活性炭</w:t>
            </w:r>
          </w:p>
        </w:tc>
        <w:tc>
          <w:tcPr>
            <w:tcW w:w="586" w:type="pct"/>
            <w:vAlign w:val="center"/>
          </w:tcPr>
          <w:p w14:paraId="4D49407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4FF6825F">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0215DC1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shd w:val="clear" w:color="auto" w:fill="auto"/>
            <w:vAlign w:val="center"/>
          </w:tcPr>
          <w:p w14:paraId="002235B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6.624</w:t>
            </w:r>
            <w:r>
              <w:rPr>
                <w:rFonts w:hint="default" w:ascii="Times New Roman" w:hAnsi="Times New Roman" w:eastAsia="宋体" w:cs="Times New Roman"/>
                <w:snapToGrid w:val="0"/>
                <w:color w:val="auto"/>
                <w:spacing w:val="-6"/>
                <w:kern w:val="21"/>
                <w:sz w:val="21"/>
                <w:szCs w:val="21"/>
                <w:highlight w:val="none"/>
                <w:lang w:val="en-US" w:eastAsia="zh-CN"/>
              </w:rPr>
              <w:t>/a</w:t>
            </w:r>
          </w:p>
        </w:tc>
        <w:tc>
          <w:tcPr>
            <w:tcW w:w="623" w:type="pct"/>
            <w:vAlign w:val="center"/>
          </w:tcPr>
          <w:p w14:paraId="615BC4F9">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7F40D0EE">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eastAsia" w:ascii="Times New Roman" w:cs="Times New Roman"/>
                <w:snapToGrid w:val="0"/>
                <w:color w:val="auto"/>
                <w:spacing w:val="-6"/>
                <w:kern w:val="21"/>
                <w:sz w:val="21"/>
                <w:szCs w:val="21"/>
                <w:highlight w:val="none"/>
                <w:lang w:val="en-US" w:eastAsia="zh-CN"/>
              </w:rPr>
              <w:t>6.624</w:t>
            </w:r>
            <w:r>
              <w:rPr>
                <w:rFonts w:hint="default" w:ascii="Times New Roman" w:hAnsi="Times New Roman" w:eastAsia="宋体" w:cs="Times New Roman"/>
                <w:snapToGrid w:val="0"/>
                <w:color w:val="auto"/>
                <w:spacing w:val="-6"/>
                <w:kern w:val="21"/>
                <w:sz w:val="21"/>
                <w:szCs w:val="21"/>
                <w:highlight w:val="none"/>
                <w:lang w:val="en-US" w:eastAsia="zh-CN"/>
              </w:rPr>
              <w:t>/a</w:t>
            </w:r>
          </w:p>
        </w:tc>
        <w:tc>
          <w:tcPr>
            <w:tcW w:w="357" w:type="pct"/>
            <w:vAlign w:val="center"/>
          </w:tcPr>
          <w:p w14:paraId="236DEFF8">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w:t>
            </w:r>
          </w:p>
        </w:tc>
      </w:tr>
      <w:tr w14:paraId="247A05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3" w:type="pct"/>
            <w:vMerge w:val="continue"/>
            <w:vAlign w:val="center"/>
          </w:tcPr>
          <w:p w14:paraId="253B4B1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p>
        </w:tc>
        <w:tc>
          <w:tcPr>
            <w:tcW w:w="654" w:type="pct"/>
            <w:shd w:val="clear" w:color="auto" w:fill="auto"/>
            <w:vAlign w:val="center"/>
          </w:tcPr>
          <w:p w14:paraId="4DDE0F46">
            <w:pPr>
              <w:pStyle w:val="81"/>
              <w:keepNext w:val="0"/>
              <w:keepLines w:val="0"/>
              <w:pageBreakBefore w:val="0"/>
              <w:widowControl w:val="0"/>
              <w:kinsoku/>
              <w:wordWrap/>
              <w:overflowPunct/>
              <w:topLinePunct w:val="0"/>
              <w:autoSpaceDE/>
              <w:autoSpaceDN/>
              <w:bidi w:val="0"/>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eastAsia="宋体" w:cs="Times New Roman"/>
                <w:color w:val="auto"/>
                <w:sz w:val="21"/>
                <w:szCs w:val="21"/>
                <w:highlight w:val="none"/>
                <w:lang w:val="en-US" w:eastAsia="zh-CN"/>
              </w:rPr>
              <w:t>含油废抹布及废棉纱手套</w:t>
            </w:r>
          </w:p>
        </w:tc>
        <w:tc>
          <w:tcPr>
            <w:tcW w:w="586" w:type="pct"/>
            <w:vAlign w:val="center"/>
          </w:tcPr>
          <w:p w14:paraId="52EFE371">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475" w:type="pct"/>
            <w:vAlign w:val="center"/>
          </w:tcPr>
          <w:p w14:paraId="0DAE2700">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82" w:type="pct"/>
            <w:vAlign w:val="center"/>
          </w:tcPr>
          <w:p w14:paraId="0F9B8178">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567" w:type="pct"/>
            <w:shd w:val="clear" w:color="auto" w:fill="auto"/>
            <w:vAlign w:val="center"/>
          </w:tcPr>
          <w:p w14:paraId="0E9EC163">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eastAsia="zh-CN"/>
              </w:rPr>
            </w:pPr>
            <w:r>
              <w:rPr>
                <w:rFonts w:hint="default" w:ascii="Times New Roman" w:hAnsi="Times New Roman" w:eastAsia="宋体" w:cs="Times New Roman"/>
                <w:snapToGrid w:val="0"/>
                <w:color w:val="auto"/>
                <w:spacing w:val="-6"/>
                <w:kern w:val="21"/>
                <w:sz w:val="21"/>
                <w:szCs w:val="21"/>
                <w:highlight w:val="none"/>
                <w:lang w:val="en-US" w:eastAsia="zh-CN"/>
              </w:rPr>
              <w:t>0.0</w:t>
            </w:r>
            <w:r>
              <w:rPr>
                <w:rFonts w:hint="eastAsia" w:ascii="Times New Roman" w:cs="Times New Roman"/>
                <w:snapToGrid w:val="0"/>
                <w:color w:val="auto"/>
                <w:spacing w:val="-6"/>
                <w:kern w:val="21"/>
                <w:sz w:val="21"/>
                <w:szCs w:val="21"/>
                <w:highlight w:val="none"/>
                <w:lang w:val="en-US" w:eastAsia="zh-CN"/>
              </w:rPr>
              <w:t>1</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623" w:type="pct"/>
            <w:vAlign w:val="center"/>
          </w:tcPr>
          <w:p w14:paraId="1CBB09EA">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rPr>
            </w:pPr>
            <w:r>
              <w:rPr>
                <w:rFonts w:hint="default" w:ascii="Times New Roman" w:hAnsi="Times New Roman" w:eastAsia="宋体" w:cs="Times New Roman"/>
                <w:snapToGrid w:val="0"/>
                <w:color w:val="auto"/>
                <w:spacing w:val="-6"/>
                <w:kern w:val="21"/>
                <w:sz w:val="21"/>
                <w:szCs w:val="21"/>
                <w:highlight w:val="none"/>
              </w:rPr>
              <w:t>/</w:t>
            </w:r>
          </w:p>
        </w:tc>
        <w:tc>
          <w:tcPr>
            <w:tcW w:w="629" w:type="pct"/>
            <w:vAlign w:val="center"/>
          </w:tcPr>
          <w:p w14:paraId="0511D1D4">
            <w:pPr>
              <w:pStyle w:val="65"/>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default" w:ascii="Times New Roman" w:hAnsi="Times New Roman" w:eastAsia="宋体" w:cs="Times New Roman"/>
                <w:snapToGrid w:val="0"/>
                <w:color w:val="auto"/>
                <w:spacing w:val="-6"/>
                <w:kern w:val="21"/>
                <w:sz w:val="21"/>
                <w:szCs w:val="21"/>
                <w:highlight w:val="none"/>
                <w:lang w:val="en-US" w:eastAsia="zh-CN"/>
              </w:rPr>
              <w:t>0.0</w:t>
            </w:r>
            <w:r>
              <w:rPr>
                <w:rFonts w:hint="eastAsia" w:ascii="Times New Roman" w:cs="Times New Roman"/>
                <w:snapToGrid w:val="0"/>
                <w:color w:val="auto"/>
                <w:spacing w:val="-6"/>
                <w:kern w:val="21"/>
                <w:sz w:val="21"/>
                <w:szCs w:val="21"/>
                <w:highlight w:val="none"/>
                <w:lang w:val="en-US" w:eastAsia="zh-CN"/>
              </w:rPr>
              <w:t>1</w:t>
            </w:r>
            <w:r>
              <w:rPr>
                <w:rFonts w:hint="default" w:ascii="Times New Roman" w:hAnsi="Times New Roman" w:eastAsia="宋体" w:cs="Times New Roman"/>
                <w:snapToGrid w:val="0"/>
                <w:color w:val="auto"/>
                <w:spacing w:val="-6"/>
                <w:kern w:val="21"/>
                <w:sz w:val="21"/>
                <w:szCs w:val="21"/>
                <w:highlight w:val="none"/>
                <w:lang w:val="en-US" w:eastAsia="zh-CN"/>
              </w:rPr>
              <w:t>t/a</w:t>
            </w:r>
          </w:p>
        </w:tc>
        <w:tc>
          <w:tcPr>
            <w:tcW w:w="357" w:type="pct"/>
            <w:vAlign w:val="center"/>
          </w:tcPr>
          <w:p w14:paraId="378F4D63">
            <w:pPr>
              <w:spacing w:beforeLines="0" w:afterLines="0" w:line="240" w:lineRule="auto"/>
              <w:jc w:val="center"/>
              <w:rPr>
                <w:rFonts w:hint="default" w:ascii="Times New Roman" w:hAnsi="Times New Roman" w:eastAsia="宋体" w:cs="Times New Roman"/>
                <w:snapToGrid w:val="0"/>
                <w:color w:val="auto"/>
                <w:spacing w:val="-6"/>
                <w:kern w:val="21"/>
                <w:sz w:val="21"/>
                <w:szCs w:val="21"/>
                <w:highlight w:val="none"/>
                <w:lang w:val="en-US"/>
              </w:rPr>
            </w:pPr>
            <w:r>
              <w:rPr>
                <w:rFonts w:hint="eastAsia" w:ascii="Times New Roman" w:cs="Times New Roman"/>
                <w:snapToGrid w:val="0"/>
                <w:color w:val="auto"/>
                <w:spacing w:val="-6"/>
                <w:kern w:val="21"/>
                <w:sz w:val="21"/>
                <w:szCs w:val="21"/>
                <w:highlight w:val="none"/>
                <w:lang w:val="en-US" w:eastAsia="zh-CN"/>
              </w:rPr>
              <w:t>/</w:t>
            </w:r>
          </w:p>
        </w:tc>
      </w:tr>
    </w:tbl>
    <w:p w14:paraId="170CB15F">
      <w:pPr>
        <w:pStyle w:val="65"/>
        <w:spacing w:before="192" w:beforeLines="80" w:after="24" w:line="260" w:lineRule="auto"/>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napToGrid w:val="0"/>
          <w:color w:val="auto"/>
          <w:kern w:val="21"/>
          <w:szCs w:val="21"/>
          <w:highlight w:val="none"/>
        </w:rPr>
        <w:t>注：</w:t>
      </w:r>
      <w:r>
        <w:rPr>
          <w:rFonts w:hint="default" w:ascii="Times New Roman" w:hAnsi="Times New Roman" w:eastAsia="宋体" w:cs="Times New Roman"/>
          <w:snapToGrid w:val="0"/>
          <w:color w:val="auto"/>
          <w:spacing w:val="-16"/>
          <w:kern w:val="21"/>
          <w:szCs w:val="21"/>
          <w:highlight w:val="none"/>
        </w:rPr>
        <w:fldChar w:fldCharType="begin"/>
      </w:r>
      <w:r>
        <w:rPr>
          <w:rFonts w:hint="default" w:ascii="Times New Roman" w:hAnsi="Times New Roman" w:eastAsia="宋体" w:cs="Times New Roman"/>
          <w:snapToGrid w:val="0"/>
          <w:color w:val="auto"/>
          <w:spacing w:val="-16"/>
          <w:kern w:val="21"/>
          <w:szCs w:val="21"/>
          <w:highlight w:val="none"/>
        </w:rPr>
        <w:instrText xml:space="preserve"> = 6 \* GB3 \* MERGEFORMAT </w:instrText>
      </w:r>
      <w:r>
        <w:rPr>
          <w:rFonts w:hint="default" w:ascii="Times New Roman" w:hAnsi="Times New Roman" w:eastAsia="宋体" w:cs="Times New Roman"/>
          <w:snapToGrid w:val="0"/>
          <w:color w:val="auto"/>
          <w:spacing w:val="-16"/>
          <w:kern w:val="21"/>
          <w:szCs w:val="21"/>
          <w:highlight w:val="none"/>
        </w:rPr>
        <w:fldChar w:fldCharType="separate"/>
      </w:r>
      <w:r>
        <w:rPr>
          <w:rFonts w:hint="default" w:ascii="Times New Roman" w:hAnsi="Times New Roman" w:eastAsia="宋体" w:cs="Times New Roman"/>
          <w:color w:val="auto"/>
          <w:szCs w:val="21"/>
          <w:highlight w:val="none"/>
        </w:rPr>
        <w:t>⑥</w:t>
      </w:r>
      <w:r>
        <w:rPr>
          <w:rFonts w:hint="default" w:ascii="Times New Roman" w:hAnsi="Times New Roman" w:eastAsia="宋体" w:cs="Times New Roman"/>
          <w:snapToGrid w:val="0"/>
          <w:color w:val="auto"/>
          <w:spacing w:val="-16"/>
          <w:kern w:val="21"/>
          <w:szCs w:val="21"/>
          <w:highlight w:val="none"/>
        </w:rPr>
        <w:fldChar w:fldCharType="end"/>
      </w:r>
      <w:r>
        <w:rPr>
          <w:rFonts w:hint="default" w:ascii="Times New Roman" w:hAnsi="Times New Roman" w:eastAsia="宋体" w:cs="Times New Roman"/>
          <w:snapToGrid w:val="0"/>
          <w:color w:val="auto"/>
          <w:spacing w:val="-1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1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①</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3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③</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4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④</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16"/>
          <w:kern w:val="21"/>
          <w:szCs w:val="21"/>
          <w:highlight w:val="none"/>
        </w:rPr>
        <w:fldChar w:fldCharType="begin"/>
      </w:r>
      <w:r>
        <w:rPr>
          <w:rFonts w:hint="default" w:ascii="Times New Roman" w:hAnsi="Times New Roman" w:eastAsia="宋体" w:cs="Times New Roman"/>
          <w:snapToGrid w:val="0"/>
          <w:color w:val="auto"/>
          <w:spacing w:val="-16"/>
          <w:kern w:val="21"/>
          <w:szCs w:val="21"/>
          <w:highlight w:val="none"/>
        </w:rPr>
        <w:instrText xml:space="preserve"> = 5 \* GB3 \* MERGEFORMAT </w:instrText>
      </w:r>
      <w:r>
        <w:rPr>
          <w:rFonts w:hint="default" w:ascii="Times New Roman" w:hAnsi="Times New Roman" w:eastAsia="宋体" w:cs="Times New Roman"/>
          <w:snapToGrid w:val="0"/>
          <w:color w:val="auto"/>
          <w:spacing w:val="-16"/>
          <w:kern w:val="21"/>
          <w:szCs w:val="21"/>
          <w:highlight w:val="none"/>
        </w:rPr>
        <w:fldChar w:fldCharType="separate"/>
      </w:r>
      <w:r>
        <w:rPr>
          <w:rFonts w:hint="default" w:ascii="Times New Roman" w:hAnsi="Times New Roman" w:eastAsia="宋体" w:cs="Times New Roman"/>
          <w:color w:val="auto"/>
          <w:szCs w:val="21"/>
          <w:highlight w:val="none"/>
        </w:rPr>
        <w:t>⑤</w:t>
      </w:r>
      <w:r>
        <w:rPr>
          <w:rFonts w:hint="default" w:ascii="Times New Roman" w:hAnsi="Times New Roman" w:eastAsia="宋体" w:cs="Times New Roman"/>
          <w:snapToGrid w:val="0"/>
          <w:color w:val="auto"/>
          <w:spacing w:val="-16"/>
          <w:kern w:val="21"/>
          <w:szCs w:val="21"/>
          <w:highlight w:val="none"/>
        </w:rPr>
        <w:fldChar w:fldCharType="end"/>
      </w:r>
      <w:r>
        <w:rPr>
          <w:rFonts w:hint="default" w:ascii="Times New Roman" w:hAnsi="Times New Roman" w:eastAsia="宋体" w:cs="Times New Roman"/>
          <w:snapToGrid w:val="0"/>
          <w:color w:val="auto"/>
          <w:spacing w:val="-1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7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⑦</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rPr>
        <w:t>=</w:t>
      </w:r>
      <w:r>
        <w:rPr>
          <w:rFonts w:hint="default" w:ascii="Times New Roman" w:hAnsi="Times New Roman" w:eastAsia="宋体" w:cs="Times New Roman"/>
          <w:snapToGrid w:val="0"/>
          <w:color w:val="auto"/>
          <w:spacing w:val="-16"/>
          <w:kern w:val="21"/>
          <w:szCs w:val="21"/>
          <w:highlight w:val="none"/>
        </w:rPr>
        <w:fldChar w:fldCharType="begin"/>
      </w:r>
      <w:r>
        <w:rPr>
          <w:rFonts w:hint="default" w:ascii="Times New Roman" w:hAnsi="Times New Roman" w:eastAsia="宋体" w:cs="Times New Roman"/>
          <w:snapToGrid w:val="0"/>
          <w:color w:val="auto"/>
          <w:spacing w:val="-16"/>
          <w:kern w:val="21"/>
          <w:szCs w:val="21"/>
          <w:highlight w:val="none"/>
        </w:rPr>
        <w:instrText xml:space="preserve"> = 6 \* GB3 \* MERGEFORMAT </w:instrText>
      </w:r>
      <w:r>
        <w:rPr>
          <w:rFonts w:hint="default" w:ascii="Times New Roman" w:hAnsi="Times New Roman" w:eastAsia="宋体" w:cs="Times New Roman"/>
          <w:snapToGrid w:val="0"/>
          <w:color w:val="auto"/>
          <w:spacing w:val="-16"/>
          <w:kern w:val="21"/>
          <w:szCs w:val="21"/>
          <w:highlight w:val="none"/>
        </w:rPr>
        <w:fldChar w:fldCharType="separate"/>
      </w:r>
      <w:r>
        <w:rPr>
          <w:rFonts w:hint="default" w:ascii="Times New Roman" w:hAnsi="Times New Roman" w:eastAsia="宋体" w:cs="Times New Roman"/>
          <w:color w:val="auto"/>
          <w:szCs w:val="21"/>
          <w:highlight w:val="none"/>
        </w:rPr>
        <w:t>⑥</w:t>
      </w:r>
      <w:r>
        <w:rPr>
          <w:rFonts w:hint="default" w:ascii="Times New Roman" w:hAnsi="Times New Roman" w:eastAsia="宋体" w:cs="Times New Roman"/>
          <w:snapToGrid w:val="0"/>
          <w:color w:val="auto"/>
          <w:spacing w:val="-16"/>
          <w:kern w:val="21"/>
          <w:szCs w:val="21"/>
          <w:highlight w:val="none"/>
        </w:rPr>
        <w:fldChar w:fldCharType="end"/>
      </w:r>
      <w:r>
        <w:rPr>
          <w:rFonts w:hint="default" w:ascii="Times New Roman" w:hAnsi="Times New Roman" w:eastAsia="宋体" w:cs="Times New Roman"/>
          <w:snapToGrid w:val="0"/>
          <w:color w:val="auto"/>
          <w:spacing w:val="-16"/>
          <w:kern w:val="21"/>
          <w:szCs w:val="21"/>
          <w:highlight w:val="none"/>
        </w:rPr>
        <w:t>-</w:t>
      </w:r>
      <w:r>
        <w:rPr>
          <w:rFonts w:hint="default" w:ascii="Times New Roman" w:hAnsi="Times New Roman" w:eastAsia="宋体" w:cs="Times New Roman"/>
          <w:snapToGrid w:val="0"/>
          <w:color w:val="auto"/>
          <w:spacing w:val="-6"/>
          <w:kern w:val="21"/>
          <w:szCs w:val="21"/>
          <w:highlight w:val="none"/>
        </w:rPr>
        <w:fldChar w:fldCharType="begin"/>
      </w:r>
      <w:r>
        <w:rPr>
          <w:rFonts w:hint="default" w:ascii="Times New Roman" w:hAnsi="Times New Roman" w:eastAsia="宋体" w:cs="Times New Roman"/>
          <w:snapToGrid w:val="0"/>
          <w:color w:val="auto"/>
          <w:spacing w:val="-6"/>
          <w:kern w:val="21"/>
          <w:szCs w:val="21"/>
          <w:highlight w:val="none"/>
        </w:rPr>
        <w:instrText xml:space="preserve"> = 1 \* GB3 \* MERGEFORMAT </w:instrText>
      </w:r>
      <w:r>
        <w:rPr>
          <w:rFonts w:hint="default" w:ascii="Times New Roman" w:hAnsi="Times New Roman" w:eastAsia="宋体" w:cs="Times New Roman"/>
          <w:snapToGrid w:val="0"/>
          <w:color w:val="auto"/>
          <w:spacing w:val="-6"/>
          <w:kern w:val="21"/>
          <w:szCs w:val="21"/>
          <w:highlight w:val="none"/>
        </w:rPr>
        <w:fldChar w:fldCharType="separate"/>
      </w:r>
      <w:r>
        <w:rPr>
          <w:rFonts w:hint="default" w:ascii="Times New Roman" w:hAnsi="Times New Roman" w:eastAsia="宋体" w:cs="Times New Roman"/>
          <w:color w:val="auto"/>
          <w:szCs w:val="21"/>
          <w:highlight w:val="none"/>
        </w:rPr>
        <w:t>①</w:t>
      </w:r>
      <w:r>
        <w:rPr>
          <w:rFonts w:hint="default" w:ascii="Times New Roman" w:hAnsi="Times New Roman" w:eastAsia="宋体" w:cs="Times New Roman"/>
          <w:snapToGrid w:val="0"/>
          <w:color w:val="auto"/>
          <w:spacing w:val="-6"/>
          <w:kern w:val="21"/>
          <w:szCs w:val="21"/>
          <w:highlight w:val="none"/>
        </w:rPr>
        <w:fldChar w:fldCharType="end"/>
      </w:r>
      <w:r>
        <w:rPr>
          <w:rFonts w:hint="default" w:ascii="Times New Roman" w:hAnsi="Times New Roman" w:eastAsia="宋体" w:cs="Times New Roman"/>
          <w:snapToGrid w:val="0"/>
          <w:color w:val="auto"/>
          <w:spacing w:val="-6"/>
          <w:kern w:val="21"/>
          <w:szCs w:val="21"/>
          <w:highlight w:val="none"/>
          <w:lang w:eastAsia="zh-CN"/>
        </w:rPr>
        <w:t>，</w:t>
      </w:r>
      <w:r>
        <w:rPr>
          <w:rFonts w:hint="default" w:ascii="Times New Roman" w:hAnsi="Times New Roman" w:eastAsia="宋体" w:cs="Times New Roman"/>
          <w:snapToGrid w:val="0"/>
          <w:color w:val="auto"/>
          <w:spacing w:val="-6"/>
          <w:kern w:val="21"/>
          <w:szCs w:val="21"/>
          <w:highlight w:val="none"/>
          <w:lang w:val="en-US" w:eastAsia="zh-CN"/>
        </w:rPr>
        <w:t>单位：t。</w:t>
      </w:r>
    </w:p>
    <w:p w14:paraId="1089BA49">
      <w:pPr>
        <w:rPr>
          <w:color w:val="auto"/>
          <w:highlight w:val="none"/>
        </w:rPr>
      </w:pPr>
    </w:p>
    <w:sectPr>
      <w:footerReference r:id="rId8" w:type="default"/>
      <w:pgSz w:w="16838" w:h="11906" w:orient="landscape"/>
      <w:pgMar w:top="1417" w:right="1701" w:bottom="1474"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257">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TimesNewRoman">
    <w:altName w:val="Times New Roman"/>
    <w:panose1 w:val="00000000000000000000"/>
    <w:charset w:val="00"/>
    <w:family w:val="decorative"/>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73A54">
    <w:pPr>
      <w:pStyle w:val="2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D166E">
    <w:pPr>
      <w:pStyle w:val="22"/>
      <w:framePr w:wrap="around" w:vAnchor="text" w:hAnchor="margin" w:xAlign="center" w:y="1"/>
      <w:rPr>
        <w:rStyle w:val="36"/>
      </w:rPr>
    </w:pPr>
    <w:r>
      <w:fldChar w:fldCharType="begin"/>
    </w:r>
    <w:r>
      <w:rPr>
        <w:rStyle w:val="36"/>
      </w:rPr>
      <w:instrText xml:space="preserve">PAGE  </w:instrText>
    </w:r>
    <w:r>
      <w:fldChar w:fldCharType="end"/>
    </w:r>
  </w:p>
  <w:p w14:paraId="23DB86BC">
    <w:pPr>
      <w:pStyle w:val="2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84CCF">
    <w:pPr>
      <w:pStyle w:val="22"/>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D38E854">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II</w:t>
                          </w:r>
                          <w:r>
                            <w:rPr>
                              <w:rFonts w:ascii="宋体" w:hAnsi="宋体"/>
                              <w:sz w:val="26"/>
                              <w:szCs w:val="26"/>
                            </w:rPr>
                            <w:fldChar w:fldCharType="end"/>
                          </w:r>
                          <w:r>
                            <w:rPr>
                              <w:rStyle w:val="36"/>
                              <w:rFonts w:hint="eastAsia" w:ascii="宋体" w:hAnsi="宋体"/>
                              <w:sz w:val="28"/>
                              <w:szCs w:val="28"/>
                            </w:rPr>
                            <w:t>—</w:t>
                          </w:r>
                        </w:p>
                      </w:txbxContent>
                    </wps:txbx>
                    <wps:bodyPr wrap="none" lIns="0" tIns="0" rIns="0" bIns="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l9iBgccBAACcAwAADgAAAAAAAAABACAAAAAeAQAAZHJzL2Uyb0RvYy54&#10;bWxQSwUGAAAAAAYABgBZAQAAVwUAAAAA&#10;">
              <v:fill on="f" focussize="0,0"/>
              <v:stroke on="f"/>
              <v:imagedata o:title=""/>
              <o:lock v:ext="edit" aspectratio="f"/>
              <v:textbox inset="0mm,0mm,0mm,0mm" style="mso-fit-shape-to-text:t;">
                <w:txbxContent>
                  <w:p w14:paraId="1D38E854">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II</w:t>
                    </w:r>
                    <w:r>
                      <w:rPr>
                        <w:rFonts w:ascii="宋体" w:hAnsi="宋体"/>
                        <w:sz w:val="26"/>
                        <w:szCs w:val="26"/>
                      </w:rPr>
                      <w:fldChar w:fldCharType="end"/>
                    </w:r>
                    <w:r>
                      <w:rPr>
                        <w:rStyle w:val="36"/>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70E74">
    <w:pPr>
      <w:pStyle w:val="22"/>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28B799B">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97</w:t>
                          </w:r>
                          <w:r>
                            <w:rPr>
                              <w:rFonts w:ascii="宋体" w:hAnsi="宋体"/>
                              <w:sz w:val="26"/>
                              <w:szCs w:val="26"/>
                            </w:rPr>
                            <w:fldChar w:fldCharType="end"/>
                          </w:r>
                          <w:r>
                            <w:rPr>
                              <w:rStyle w:val="36"/>
                              <w:rFonts w:hint="eastAsia" w:ascii="宋体" w:hAnsi="宋体"/>
                              <w:sz w:val="28"/>
                              <w:szCs w:val="28"/>
                            </w:rPr>
                            <w:t>—</w:t>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F0tzYccBAACcAwAADgAAAAAAAAABACAAAAAeAQAAZHJzL2Uyb0RvYy54&#10;bWxQSwUGAAAAAAYABgBZAQAAVwUAAAAA&#10;">
              <v:fill on="f" focussize="0,0"/>
              <v:stroke on="f"/>
              <v:imagedata o:title=""/>
              <o:lock v:ext="edit" aspectratio="f"/>
              <v:textbox inset="0mm,0mm,0mm,0mm" style="mso-fit-shape-to-text:t;">
                <w:txbxContent>
                  <w:p w14:paraId="728B799B">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97</w:t>
                    </w:r>
                    <w:r>
                      <w:rPr>
                        <w:rFonts w:ascii="宋体" w:hAnsi="宋体"/>
                        <w:sz w:val="26"/>
                        <w:szCs w:val="26"/>
                      </w:rPr>
                      <w:fldChar w:fldCharType="end"/>
                    </w:r>
                    <w:r>
                      <w:rPr>
                        <w:rStyle w:val="36"/>
                        <w:rFonts w:hint="eastAsia" w:ascii="宋体" w:hAnsi="宋体"/>
                        <w:sz w:val="28"/>
                        <w:szCs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8FEB7">
    <w:pPr>
      <w:pStyle w:val="22"/>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B5584DF">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97</w:t>
                          </w:r>
                          <w:r>
                            <w:rPr>
                              <w:rFonts w:ascii="宋体" w:hAnsi="宋体"/>
                              <w:sz w:val="26"/>
                              <w:szCs w:val="26"/>
                            </w:rPr>
                            <w:fldChar w:fldCharType="end"/>
                          </w:r>
                          <w:r>
                            <w:rPr>
                              <w:rStyle w:val="36"/>
                              <w:rFonts w:hint="eastAsia" w:ascii="宋体" w:hAnsi="宋体"/>
                              <w:sz w:val="28"/>
                              <w:szCs w:val="28"/>
                            </w:rPr>
                            <w:t>—</w:t>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5L3olscBAACcAwAADgAAAAAAAAABACAAAAAeAQAAZHJzL2Uyb0RvYy54&#10;bWxQSwUGAAAAAAYABgBZAQAAVwUAAAAA&#10;">
              <v:fill on="f" focussize="0,0"/>
              <v:stroke on="f"/>
              <v:imagedata o:title=""/>
              <o:lock v:ext="edit" aspectratio="f"/>
              <v:textbox inset="0mm,0mm,0mm,0mm" style="mso-fit-shape-to-text:t;">
                <w:txbxContent>
                  <w:p w14:paraId="5B5584DF">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97</w:t>
                    </w:r>
                    <w:r>
                      <w:rPr>
                        <w:rFonts w:ascii="宋体" w:hAnsi="宋体"/>
                        <w:sz w:val="26"/>
                        <w:szCs w:val="26"/>
                      </w:rPr>
                      <w:fldChar w:fldCharType="end"/>
                    </w:r>
                    <w:r>
                      <w:rPr>
                        <w:rStyle w:val="36"/>
                        <w:rFonts w:hint="eastAsia" w:ascii="宋体" w:hAnsi="宋体"/>
                        <w:sz w:val="28"/>
                        <w:szCs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840D8">
    <w:pPr>
      <w:pStyle w:val="22"/>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8C11A14">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112</w:t>
                          </w:r>
                          <w:r>
                            <w:rPr>
                              <w:rFonts w:ascii="宋体" w:hAnsi="宋体"/>
                              <w:sz w:val="26"/>
                              <w:szCs w:val="26"/>
                            </w:rPr>
                            <w:fldChar w:fldCharType="end"/>
                          </w:r>
                          <w:r>
                            <w:rPr>
                              <w:rStyle w:val="36"/>
                              <w:rFonts w:hint="eastAsia" w:ascii="宋体" w:hAnsi="宋体"/>
                              <w:sz w:val="28"/>
                              <w:szCs w:val="28"/>
                            </w:rPr>
                            <w:t>—</w:t>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6vS3DscBAACcAwAADgAAAAAAAAABACAAAAAeAQAAZHJzL2Uyb0RvYy54&#10;bWxQSwUGAAAAAAYABgBZAQAAVwUAAAAA&#10;">
              <v:fill on="f" focussize="0,0"/>
              <v:stroke on="f"/>
              <v:imagedata o:title=""/>
              <o:lock v:ext="edit" aspectratio="f"/>
              <v:textbox inset="0mm,0mm,0mm,0mm" style="mso-fit-shape-to-text:t;">
                <w:txbxContent>
                  <w:p w14:paraId="08C11A14">
                    <w:pPr>
                      <w:pStyle w:val="22"/>
                      <w:rPr>
                        <w:rStyle w:val="36"/>
                        <w:rFonts w:ascii="宋体" w:hAnsi="宋体"/>
                        <w:sz w:val="28"/>
                        <w:szCs w:val="28"/>
                      </w:rPr>
                    </w:pPr>
                    <w:r>
                      <w:rPr>
                        <w:rStyle w:val="36"/>
                        <w:rFonts w:hint="eastAsia" w:ascii="宋体" w:hAnsi="宋体"/>
                        <w:sz w:val="28"/>
                        <w:szCs w:val="28"/>
                      </w:rPr>
                      <w:t>—</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112</w:t>
                    </w:r>
                    <w:r>
                      <w:rPr>
                        <w:rFonts w:ascii="宋体" w:hAnsi="宋体"/>
                        <w:sz w:val="26"/>
                        <w:szCs w:val="26"/>
                      </w:rPr>
                      <w:fldChar w:fldCharType="end"/>
                    </w:r>
                    <w:r>
                      <w:rPr>
                        <w:rStyle w:val="36"/>
                        <w:rFonts w:hint="eastAsia" w:ascii="宋体" w:hAnsi="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9949"/>
    <w:multiLevelType w:val="singleLevel"/>
    <w:tmpl w:val="85DD9949"/>
    <w:lvl w:ilvl="0" w:tentative="0">
      <w:start w:val="11"/>
      <w:numFmt w:val="decimal"/>
      <w:suff w:val="nothing"/>
      <w:lvlText w:val="（%1）"/>
      <w:lvlJc w:val="left"/>
    </w:lvl>
  </w:abstractNum>
  <w:abstractNum w:abstractNumId="1">
    <w:nsid w:val="8B4BA734"/>
    <w:multiLevelType w:val="singleLevel"/>
    <w:tmpl w:val="8B4BA734"/>
    <w:lvl w:ilvl="0" w:tentative="0">
      <w:start w:val="1"/>
      <w:numFmt w:val="decimal"/>
      <w:lvlText w:val="表3-%1"/>
      <w:lvlJc w:val="left"/>
      <w:pPr>
        <w:tabs>
          <w:tab w:val="left" w:pos="420"/>
        </w:tabs>
        <w:ind w:left="425" w:leftChars="0" w:hanging="425" w:firstLineChars="0"/>
      </w:pPr>
      <w:rPr>
        <w:rFonts w:hint="default"/>
      </w:rPr>
    </w:lvl>
  </w:abstractNum>
  <w:abstractNum w:abstractNumId="2">
    <w:nsid w:val="90C522A8"/>
    <w:multiLevelType w:val="singleLevel"/>
    <w:tmpl w:val="90C522A8"/>
    <w:lvl w:ilvl="0" w:tentative="0">
      <w:start w:val="2"/>
      <w:numFmt w:val="decimal"/>
      <w:suff w:val="nothing"/>
      <w:lvlText w:val="%1、"/>
      <w:lvlJc w:val="left"/>
    </w:lvl>
  </w:abstractNum>
  <w:abstractNum w:abstractNumId="3">
    <w:nsid w:val="959D9C13"/>
    <w:multiLevelType w:val="singleLevel"/>
    <w:tmpl w:val="959D9C13"/>
    <w:lvl w:ilvl="0" w:tentative="0">
      <w:start w:val="1"/>
      <w:numFmt w:val="chineseCounting"/>
      <w:suff w:val="nothing"/>
      <w:lvlText w:val="%1、"/>
      <w:lvlJc w:val="left"/>
      <w:rPr>
        <w:rFonts w:hint="eastAsia"/>
      </w:rPr>
    </w:lvl>
  </w:abstractNum>
  <w:abstractNum w:abstractNumId="4">
    <w:nsid w:val="A614F632"/>
    <w:multiLevelType w:val="singleLevel"/>
    <w:tmpl w:val="A614F632"/>
    <w:lvl w:ilvl="0" w:tentative="0">
      <w:start w:val="2"/>
      <w:numFmt w:val="upperLetter"/>
      <w:suff w:val="nothing"/>
      <w:lvlText w:val="%1、"/>
      <w:lvlJc w:val="left"/>
    </w:lvl>
  </w:abstractNum>
  <w:abstractNum w:abstractNumId="5">
    <w:nsid w:val="C351F8F0"/>
    <w:multiLevelType w:val="singleLevel"/>
    <w:tmpl w:val="C351F8F0"/>
    <w:lvl w:ilvl="0" w:tentative="0">
      <w:start w:val="6"/>
      <w:numFmt w:val="decimal"/>
      <w:suff w:val="nothing"/>
      <w:lvlText w:val="（%1）"/>
      <w:lvlJc w:val="left"/>
    </w:lvl>
  </w:abstractNum>
  <w:abstractNum w:abstractNumId="6">
    <w:nsid w:val="C58BAC4C"/>
    <w:multiLevelType w:val="singleLevel"/>
    <w:tmpl w:val="C58BAC4C"/>
    <w:lvl w:ilvl="0" w:tentative="0">
      <w:start w:val="1"/>
      <w:numFmt w:val="decimal"/>
      <w:lvlText w:val="表2-%1"/>
      <w:lvlJc w:val="left"/>
      <w:pPr>
        <w:tabs>
          <w:tab w:val="left" w:pos="420"/>
        </w:tabs>
        <w:ind w:left="425" w:leftChars="0" w:hanging="425" w:firstLineChars="0"/>
      </w:pPr>
      <w:rPr>
        <w:rFonts w:hint="default"/>
        <w:sz w:val="21"/>
      </w:rPr>
    </w:lvl>
  </w:abstractNum>
  <w:abstractNum w:abstractNumId="7">
    <w:nsid w:val="CD0CCF28"/>
    <w:multiLevelType w:val="singleLevel"/>
    <w:tmpl w:val="CD0CCF28"/>
    <w:lvl w:ilvl="0" w:tentative="0">
      <w:start w:val="1"/>
      <w:numFmt w:val="decimal"/>
      <w:lvlText w:val="图4-%1"/>
      <w:lvlJc w:val="left"/>
      <w:pPr>
        <w:tabs>
          <w:tab w:val="left" w:pos="420"/>
        </w:tabs>
        <w:ind w:left="425" w:leftChars="0" w:hanging="425" w:firstLineChars="0"/>
      </w:pPr>
      <w:rPr>
        <w:rFonts w:hint="default"/>
      </w:rPr>
    </w:lvl>
  </w:abstractNum>
  <w:abstractNum w:abstractNumId="8">
    <w:nsid w:val="E15C99E7"/>
    <w:multiLevelType w:val="singleLevel"/>
    <w:tmpl w:val="E15C99E7"/>
    <w:lvl w:ilvl="0" w:tentative="0">
      <w:start w:val="1"/>
      <w:numFmt w:val="decimal"/>
      <w:suff w:val="nothing"/>
      <w:lvlText w:val="（%1）"/>
      <w:lvlJc w:val="left"/>
    </w:lvl>
  </w:abstractNum>
  <w:abstractNum w:abstractNumId="9">
    <w:nsid w:val="EE5F1810"/>
    <w:multiLevelType w:val="singleLevel"/>
    <w:tmpl w:val="EE5F1810"/>
    <w:lvl w:ilvl="0" w:tentative="0">
      <w:start w:val="2"/>
      <w:numFmt w:val="chineseCounting"/>
      <w:suff w:val="nothing"/>
      <w:lvlText w:val="%1、"/>
      <w:lvlJc w:val="left"/>
      <w:rPr>
        <w:rFonts w:hint="eastAsia"/>
      </w:rPr>
    </w:lvl>
  </w:abstractNum>
  <w:abstractNum w:abstractNumId="10">
    <w:nsid w:val="F309C8AE"/>
    <w:multiLevelType w:val="singleLevel"/>
    <w:tmpl w:val="F309C8AE"/>
    <w:lvl w:ilvl="0" w:tentative="0">
      <w:start w:val="1"/>
      <w:numFmt w:val="bullet"/>
      <w:pStyle w:val="18"/>
      <w:lvlText w:val=""/>
      <w:lvlJc w:val="left"/>
      <w:pPr>
        <w:tabs>
          <w:tab w:val="left" w:pos="2040"/>
        </w:tabs>
        <w:ind w:left="2040" w:hanging="360"/>
      </w:pPr>
      <w:rPr>
        <w:rFonts w:hint="default" w:ascii="Wingdings" w:hAnsi="Wingdings"/>
      </w:rPr>
    </w:lvl>
  </w:abstractNum>
  <w:abstractNum w:abstractNumId="11">
    <w:nsid w:val="F8332E36"/>
    <w:multiLevelType w:val="singleLevel"/>
    <w:tmpl w:val="F8332E36"/>
    <w:lvl w:ilvl="0" w:tentative="0">
      <w:start w:val="5"/>
      <w:numFmt w:val="decimal"/>
      <w:lvlText w:val="%1."/>
      <w:lvlJc w:val="left"/>
      <w:pPr>
        <w:tabs>
          <w:tab w:val="left" w:pos="312"/>
        </w:tabs>
      </w:pPr>
    </w:lvl>
  </w:abstractNum>
  <w:abstractNum w:abstractNumId="12">
    <w:nsid w:val="F9F7B1CD"/>
    <w:multiLevelType w:val="singleLevel"/>
    <w:tmpl w:val="F9F7B1CD"/>
    <w:lvl w:ilvl="0" w:tentative="0">
      <w:start w:val="2"/>
      <w:numFmt w:val="decimal"/>
      <w:suff w:val="nothing"/>
      <w:lvlText w:val="%1）"/>
      <w:lvlJc w:val="left"/>
    </w:lvl>
  </w:abstractNum>
  <w:abstractNum w:abstractNumId="13">
    <w:nsid w:val="FE3D13A6"/>
    <w:multiLevelType w:val="singleLevel"/>
    <w:tmpl w:val="FE3D13A6"/>
    <w:lvl w:ilvl="0" w:tentative="0">
      <w:start w:val="1"/>
      <w:numFmt w:val="decimal"/>
      <w:lvlText w:val="表4-%1"/>
      <w:lvlJc w:val="left"/>
      <w:pPr>
        <w:tabs>
          <w:tab w:val="left" w:pos="420"/>
        </w:tabs>
        <w:ind w:left="425" w:leftChars="0" w:hanging="425" w:firstLineChars="0"/>
      </w:pPr>
      <w:rPr>
        <w:rFonts w:hint="default"/>
      </w:rPr>
    </w:lvl>
  </w:abstractNum>
  <w:abstractNum w:abstractNumId="14">
    <w:nsid w:val="2537EA2C"/>
    <w:multiLevelType w:val="singleLevel"/>
    <w:tmpl w:val="2537EA2C"/>
    <w:lvl w:ilvl="0" w:tentative="0">
      <w:start w:val="1"/>
      <w:numFmt w:val="decimal"/>
      <w:lvlText w:val="表5-%1"/>
      <w:lvlJc w:val="left"/>
      <w:pPr>
        <w:tabs>
          <w:tab w:val="left" w:pos="420"/>
        </w:tabs>
        <w:ind w:left="425" w:leftChars="0" w:hanging="425" w:firstLineChars="0"/>
      </w:pPr>
      <w:rPr>
        <w:rFonts w:hint="default"/>
      </w:rPr>
    </w:lvl>
  </w:abstractNum>
  <w:abstractNum w:abstractNumId="15">
    <w:nsid w:val="2E675E67"/>
    <w:multiLevelType w:val="multilevel"/>
    <w:tmpl w:val="2E675E67"/>
    <w:lvl w:ilvl="0" w:tentative="0">
      <w:start w:val="1"/>
      <w:numFmt w:val="decimal"/>
      <w:lvlText w:val="%1."/>
      <w:lvlJc w:val="left"/>
      <w:pPr>
        <w:tabs>
          <w:tab w:val="left" w:pos="0"/>
        </w:tabs>
        <w:ind w:left="0" w:firstLine="0"/>
      </w:pPr>
      <w:rPr>
        <w:rFonts w:hint="eastAsia" w:ascii="宋体" w:eastAsia="宋体"/>
        <w:b/>
        <w:i w:val="0"/>
        <w:sz w:val="30"/>
      </w:rPr>
    </w:lvl>
    <w:lvl w:ilvl="1" w:tentative="0">
      <w:start w:val="1"/>
      <w:numFmt w:val="decimal"/>
      <w:pStyle w:val="75"/>
      <w:lvlText w:val="%1.%2."/>
      <w:lvlJc w:val="left"/>
      <w:pPr>
        <w:tabs>
          <w:tab w:val="left" w:pos="0"/>
        </w:tabs>
        <w:ind w:left="0" w:firstLine="0"/>
      </w:pPr>
      <w:rPr>
        <w:rFonts w:hint="default" w:ascii="Times New Roman" w:hAnsi="Times New Roman"/>
        <w:b w:val="0"/>
        <w:i w:val="0"/>
        <w:sz w:val="28"/>
      </w:rPr>
    </w:lvl>
    <w:lvl w:ilvl="2" w:tentative="0">
      <w:start w:val="1"/>
      <w:numFmt w:val="decimal"/>
      <w:lvlText w:val="%1.%2.%3."/>
      <w:lvlJc w:val="left"/>
      <w:pPr>
        <w:tabs>
          <w:tab w:val="left" w:pos="0"/>
        </w:tabs>
        <w:ind w:left="0" w:firstLine="0"/>
      </w:pPr>
      <w:rPr>
        <w:rFonts w:hint="default" w:ascii="Times New Roman" w:hAnsi="Times New Roman"/>
        <w:b w:val="0"/>
        <w:i w:val="0"/>
        <w:sz w:val="28"/>
      </w:rPr>
    </w:lvl>
    <w:lvl w:ilvl="3" w:tentative="0">
      <w:start w:val="1"/>
      <w:numFmt w:val="decimal"/>
      <w:lvlText w:val="%1.%2.%3.%4."/>
      <w:lvlJc w:val="left"/>
      <w:pPr>
        <w:tabs>
          <w:tab w:val="left" w:pos="0"/>
        </w:tabs>
        <w:ind w:left="0" w:firstLine="0"/>
      </w:pPr>
      <w:rPr>
        <w:rFonts w:hint="default" w:ascii="Times New Roman" w:hAnsi="Times New Roman"/>
        <w:b w:val="0"/>
        <w:i w:val="0"/>
        <w:sz w:val="28"/>
      </w:rPr>
    </w:lvl>
    <w:lvl w:ilvl="4" w:tentative="0">
      <w:start w:val="1"/>
      <w:numFmt w:val="decimal"/>
      <w:lvlText w:val="%1.%2.%3.%4.%5."/>
      <w:lvlJc w:val="left"/>
      <w:pPr>
        <w:tabs>
          <w:tab w:val="left" w:pos="0"/>
        </w:tabs>
        <w:ind w:left="0" w:firstLine="0"/>
      </w:pPr>
      <w:rPr>
        <w:rFonts w:hint="default" w:ascii="Times New Roman" w:hAnsi="Times New Roman"/>
        <w:b w:val="0"/>
        <w:i w:val="0"/>
        <w:sz w:val="24"/>
      </w:rPr>
    </w:lvl>
    <w:lvl w:ilvl="5" w:tentative="0">
      <w:start w:val="1"/>
      <w:numFmt w:val="decimal"/>
      <w:lvlText w:val="%1.%2.%3.%4.%5..%6"/>
      <w:lvlJc w:val="left"/>
      <w:pPr>
        <w:tabs>
          <w:tab w:val="left" w:pos="0"/>
        </w:tabs>
        <w:ind w:left="0" w:firstLine="0"/>
      </w:pPr>
      <w:rPr>
        <w:rFonts w:hint="eastAsia"/>
      </w:rPr>
    </w:lvl>
    <w:lvl w:ilvl="6" w:tentative="0">
      <w:start w:val="1"/>
      <w:numFmt w:val="decimal"/>
      <w:lvlText w:val="%1.%2.%3.%4.%5..%6.%7"/>
      <w:lvlJc w:val="left"/>
      <w:pPr>
        <w:tabs>
          <w:tab w:val="left" w:pos="0"/>
        </w:tabs>
        <w:ind w:left="0" w:firstLine="0"/>
      </w:pPr>
      <w:rPr>
        <w:rFonts w:hint="eastAsia"/>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16">
    <w:nsid w:val="309940E6"/>
    <w:multiLevelType w:val="singleLevel"/>
    <w:tmpl w:val="309940E6"/>
    <w:lvl w:ilvl="0" w:tentative="0">
      <w:start w:val="1"/>
      <w:numFmt w:val="decimal"/>
      <w:lvlText w:val="表1-%1"/>
      <w:lvlJc w:val="left"/>
      <w:pPr>
        <w:tabs>
          <w:tab w:val="left" w:pos="420"/>
        </w:tabs>
        <w:ind w:left="425" w:leftChars="0" w:hanging="425" w:firstLineChars="0"/>
      </w:pPr>
      <w:rPr>
        <w:rFonts w:hint="default"/>
      </w:rPr>
    </w:lvl>
  </w:abstractNum>
  <w:abstractNum w:abstractNumId="17">
    <w:nsid w:val="3433493E"/>
    <w:multiLevelType w:val="singleLevel"/>
    <w:tmpl w:val="3433493E"/>
    <w:lvl w:ilvl="0" w:tentative="0">
      <w:start w:val="1"/>
      <w:numFmt w:val="decimal"/>
      <w:lvlText w:val="图2-%1"/>
      <w:lvlJc w:val="left"/>
      <w:pPr>
        <w:tabs>
          <w:tab w:val="left" w:pos="420"/>
        </w:tabs>
        <w:ind w:left="425" w:leftChars="0" w:hanging="425" w:firstLineChars="0"/>
      </w:pPr>
      <w:rPr>
        <w:rFonts w:hint="default"/>
      </w:rPr>
    </w:lvl>
  </w:abstractNum>
  <w:abstractNum w:abstractNumId="18">
    <w:nsid w:val="3D3A9003"/>
    <w:multiLevelType w:val="singleLevel"/>
    <w:tmpl w:val="3D3A9003"/>
    <w:lvl w:ilvl="0" w:tentative="0">
      <w:start w:val="2"/>
      <w:numFmt w:val="decimal"/>
      <w:suff w:val="nothing"/>
      <w:lvlText w:val="%1）"/>
      <w:lvlJc w:val="left"/>
    </w:lvl>
  </w:abstractNum>
  <w:abstractNum w:abstractNumId="19">
    <w:nsid w:val="42FA6E51"/>
    <w:multiLevelType w:val="singleLevel"/>
    <w:tmpl w:val="42FA6E51"/>
    <w:lvl w:ilvl="0" w:tentative="0">
      <w:start w:val="1"/>
      <w:numFmt w:val="chineseCounting"/>
      <w:suff w:val="nothing"/>
      <w:lvlText w:val="%1、"/>
      <w:lvlJc w:val="left"/>
      <w:rPr>
        <w:rFonts w:hint="eastAsia"/>
      </w:rPr>
    </w:lvl>
  </w:abstractNum>
  <w:abstractNum w:abstractNumId="20">
    <w:nsid w:val="49F65A5E"/>
    <w:multiLevelType w:val="singleLevel"/>
    <w:tmpl w:val="49F65A5E"/>
    <w:lvl w:ilvl="0" w:tentative="0">
      <w:start w:val="3"/>
      <w:numFmt w:val="decimal"/>
      <w:suff w:val="nothing"/>
      <w:lvlText w:val="（%1）"/>
      <w:lvlJc w:val="left"/>
    </w:lvl>
  </w:abstractNum>
  <w:abstractNum w:abstractNumId="21">
    <w:nsid w:val="6657673A"/>
    <w:multiLevelType w:val="singleLevel"/>
    <w:tmpl w:val="6657673A"/>
    <w:lvl w:ilvl="0" w:tentative="0">
      <w:start w:val="1"/>
      <w:numFmt w:val="chineseCounting"/>
      <w:suff w:val="nothing"/>
      <w:lvlText w:val="%1、"/>
      <w:lvlJc w:val="left"/>
      <w:rPr>
        <w:rFonts w:hint="eastAsia"/>
      </w:rPr>
    </w:lvl>
  </w:abstractNum>
  <w:abstractNum w:abstractNumId="22">
    <w:nsid w:val="6A9D794C"/>
    <w:multiLevelType w:val="singleLevel"/>
    <w:tmpl w:val="6A9D794C"/>
    <w:lvl w:ilvl="0" w:tentative="0">
      <w:start w:val="1"/>
      <w:numFmt w:val="decimal"/>
      <w:lvlText w:val="图1-%1"/>
      <w:lvlJc w:val="left"/>
      <w:pPr>
        <w:tabs>
          <w:tab w:val="left" w:pos="420"/>
        </w:tabs>
        <w:ind w:left="425" w:leftChars="0" w:hanging="425" w:firstLineChars="0"/>
      </w:pPr>
      <w:rPr>
        <w:rFonts w:hint="default"/>
      </w:rPr>
    </w:lvl>
  </w:abstractNum>
  <w:abstractNum w:abstractNumId="23">
    <w:nsid w:val="72F407D6"/>
    <w:multiLevelType w:val="singleLevel"/>
    <w:tmpl w:val="72F407D6"/>
    <w:lvl w:ilvl="0" w:tentative="0">
      <w:start w:val="1"/>
      <w:numFmt w:val="decimal"/>
      <w:suff w:val="nothing"/>
      <w:lvlText w:val="%1、"/>
      <w:lvlJc w:val="left"/>
    </w:lvl>
  </w:abstractNum>
  <w:abstractNum w:abstractNumId="24">
    <w:nsid w:val="763B9FD6"/>
    <w:multiLevelType w:val="singleLevel"/>
    <w:tmpl w:val="763B9FD6"/>
    <w:lvl w:ilvl="0" w:tentative="0">
      <w:start w:val="3"/>
      <w:numFmt w:val="decimal"/>
      <w:suff w:val="nothing"/>
      <w:lvlText w:val="%1、"/>
      <w:lvlJc w:val="left"/>
    </w:lvl>
  </w:abstractNum>
  <w:abstractNum w:abstractNumId="25">
    <w:nsid w:val="78F10852"/>
    <w:multiLevelType w:val="singleLevel"/>
    <w:tmpl w:val="78F10852"/>
    <w:lvl w:ilvl="0" w:tentative="0">
      <w:start w:val="8"/>
      <w:numFmt w:val="decimal"/>
      <w:suff w:val="nothing"/>
      <w:lvlText w:val="%1、"/>
      <w:lvlJc w:val="left"/>
    </w:lvl>
  </w:abstractNum>
  <w:num w:numId="1">
    <w:abstractNumId w:val="10"/>
  </w:num>
  <w:num w:numId="2">
    <w:abstractNumId w:val="15"/>
  </w:num>
  <w:num w:numId="3">
    <w:abstractNumId w:val="16"/>
  </w:num>
  <w:num w:numId="4">
    <w:abstractNumId w:val="24"/>
  </w:num>
  <w:num w:numId="5">
    <w:abstractNumId w:val="22"/>
  </w:num>
  <w:num w:numId="6">
    <w:abstractNumId w:val="2"/>
  </w:num>
  <w:num w:numId="7">
    <w:abstractNumId w:val="6"/>
  </w:num>
  <w:num w:numId="8">
    <w:abstractNumId w:val="18"/>
  </w:num>
  <w:num w:numId="9">
    <w:abstractNumId w:val="12"/>
  </w:num>
  <w:num w:numId="10">
    <w:abstractNumId w:val="17"/>
  </w:num>
  <w:num w:numId="11">
    <w:abstractNumId w:val="5"/>
  </w:num>
  <w:num w:numId="12">
    <w:abstractNumId w:val="3"/>
  </w:num>
  <w:num w:numId="13">
    <w:abstractNumId w:val="0"/>
  </w:num>
  <w:num w:numId="14">
    <w:abstractNumId w:val="1"/>
  </w:num>
  <w:num w:numId="15">
    <w:abstractNumId w:val="9"/>
  </w:num>
  <w:num w:numId="16">
    <w:abstractNumId w:val="19"/>
  </w:num>
  <w:num w:numId="17">
    <w:abstractNumId w:val="21"/>
  </w:num>
  <w:num w:numId="18">
    <w:abstractNumId w:val="11"/>
  </w:num>
  <w:num w:numId="19">
    <w:abstractNumId w:val="13"/>
  </w:num>
  <w:num w:numId="20">
    <w:abstractNumId w:val="4"/>
  </w:num>
  <w:num w:numId="21">
    <w:abstractNumId w:val="7"/>
  </w:num>
  <w:num w:numId="22">
    <w:abstractNumId w:val="25"/>
  </w:num>
  <w:num w:numId="23">
    <w:abstractNumId w:val="8"/>
  </w:num>
  <w:num w:numId="24">
    <w:abstractNumId w:val="23"/>
  </w:num>
  <w:num w:numId="25">
    <w:abstractNumId w:val="20"/>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hMzNiYzViYTVhOGZlYWVmM2ViNWUyMzMyNDIxZGQifQ=="/>
    <w:docVar w:name="KSO_WPS_MARK_KEY" w:val="d7faf9dd-a641-47aa-8233-ea0f5b94c896"/>
  </w:docVars>
  <w:rsids>
    <w:rsidRoot w:val="00172A27"/>
    <w:rsid w:val="000002F1"/>
    <w:rsid w:val="00002C51"/>
    <w:rsid w:val="0000472C"/>
    <w:rsid w:val="0000486E"/>
    <w:rsid w:val="000050C4"/>
    <w:rsid w:val="00005339"/>
    <w:rsid w:val="00005402"/>
    <w:rsid w:val="000060B3"/>
    <w:rsid w:val="0000761A"/>
    <w:rsid w:val="000121D1"/>
    <w:rsid w:val="00013654"/>
    <w:rsid w:val="0001682F"/>
    <w:rsid w:val="000216BA"/>
    <w:rsid w:val="0002561E"/>
    <w:rsid w:val="000265A6"/>
    <w:rsid w:val="00026DF4"/>
    <w:rsid w:val="000273CC"/>
    <w:rsid w:val="00030158"/>
    <w:rsid w:val="000310FA"/>
    <w:rsid w:val="0003242D"/>
    <w:rsid w:val="0003453D"/>
    <w:rsid w:val="000373A4"/>
    <w:rsid w:val="00041843"/>
    <w:rsid w:val="00042C7E"/>
    <w:rsid w:val="0004364B"/>
    <w:rsid w:val="00043DB8"/>
    <w:rsid w:val="000440D2"/>
    <w:rsid w:val="00044848"/>
    <w:rsid w:val="00044EF2"/>
    <w:rsid w:val="00045AB3"/>
    <w:rsid w:val="00046398"/>
    <w:rsid w:val="00046CA0"/>
    <w:rsid w:val="00047F35"/>
    <w:rsid w:val="000510B6"/>
    <w:rsid w:val="00051592"/>
    <w:rsid w:val="00057B81"/>
    <w:rsid w:val="00057ED7"/>
    <w:rsid w:val="00061B1F"/>
    <w:rsid w:val="00065BB1"/>
    <w:rsid w:val="000701C4"/>
    <w:rsid w:val="000708B0"/>
    <w:rsid w:val="0007181A"/>
    <w:rsid w:val="000733C4"/>
    <w:rsid w:val="00074783"/>
    <w:rsid w:val="00074A81"/>
    <w:rsid w:val="0008070B"/>
    <w:rsid w:val="000810AC"/>
    <w:rsid w:val="00081A02"/>
    <w:rsid w:val="00082231"/>
    <w:rsid w:val="00082319"/>
    <w:rsid w:val="00087540"/>
    <w:rsid w:val="00090740"/>
    <w:rsid w:val="0009075B"/>
    <w:rsid w:val="00092AE4"/>
    <w:rsid w:val="00092AF1"/>
    <w:rsid w:val="00092D38"/>
    <w:rsid w:val="0009377B"/>
    <w:rsid w:val="00095BFD"/>
    <w:rsid w:val="00095F4D"/>
    <w:rsid w:val="00097341"/>
    <w:rsid w:val="0009798F"/>
    <w:rsid w:val="000A0A31"/>
    <w:rsid w:val="000A0BA7"/>
    <w:rsid w:val="000A1C5E"/>
    <w:rsid w:val="000A20C9"/>
    <w:rsid w:val="000A2F25"/>
    <w:rsid w:val="000A314F"/>
    <w:rsid w:val="000A3758"/>
    <w:rsid w:val="000A56B5"/>
    <w:rsid w:val="000A5BD2"/>
    <w:rsid w:val="000B058F"/>
    <w:rsid w:val="000B0A59"/>
    <w:rsid w:val="000B1860"/>
    <w:rsid w:val="000B3768"/>
    <w:rsid w:val="000B3F88"/>
    <w:rsid w:val="000B4467"/>
    <w:rsid w:val="000B48C4"/>
    <w:rsid w:val="000B4DB9"/>
    <w:rsid w:val="000B5928"/>
    <w:rsid w:val="000B6767"/>
    <w:rsid w:val="000C024B"/>
    <w:rsid w:val="000C09AC"/>
    <w:rsid w:val="000C1BBE"/>
    <w:rsid w:val="000C1CF8"/>
    <w:rsid w:val="000C1FF9"/>
    <w:rsid w:val="000C469F"/>
    <w:rsid w:val="000C5378"/>
    <w:rsid w:val="000C6C53"/>
    <w:rsid w:val="000C767F"/>
    <w:rsid w:val="000D13A9"/>
    <w:rsid w:val="000D5A44"/>
    <w:rsid w:val="000D68C5"/>
    <w:rsid w:val="000E20CB"/>
    <w:rsid w:val="000E26CB"/>
    <w:rsid w:val="000E3ED2"/>
    <w:rsid w:val="000E54C6"/>
    <w:rsid w:val="000E54EE"/>
    <w:rsid w:val="000E7B1F"/>
    <w:rsid w:val="000F197D"/>
    <w:rsid w:val="000F6A7D"/>
    <w:rsid w:val="000F6D16"/>
    <w:rsid w:val="000F74F8"/>
    <w:rsid w:val="000F7B1B"/>
    <w:rsid w:val="00100BA1"/>
    <w:rsid w:val="001018A6"/>
    <w:rsid w:val="00101AE9"/>
    <w:rsid w:val="001026AA"/>
    <w:rsid w:val="00102A75"/>
    <w:rsid w:val="001054DE"/>
    <w:rsid w:val="00105DD8"/>
    <w:rsid w:val="00110A7B"/>
    <w:rsid w:val="001113BD"/>
    <w:rsid w:val="001114CB"/>
    <w:rsid w:val="00115A4A"/>
    <w:rsid w:val="0011760F"/>
    <w:rsid w:val="00117E6D"/>
    <w:rsid w:val="00120547"/>
    <w:rsid w:val="001205DE"/>
    <w:rsid w:val="001206C0"/>
    <w:rsid w:val="00124B47"/>
    <w:rsid w:val="00125C5E"/>
    <w:rsid w:val="00126D45"/>
    <w:rsid w:val="00127C7E"/>
    <w:rsid w:val="001315D9"/>
    <w:rsid w:val="00131F42"/>
    <w:rsid w:val="001344FD"/>
    <w:rsid w:val="001357F1"/>
    <w:rsid w:val="00140FA8"/>
    <w:rsid w:val="00142FEB"/>
    <w:rsid w:val="00143A2D"/>
    <w:rsid w:val="00143AB4"/>
    <w:rsid w:val="00144BFA"/>
    <w:rsid w:val="00145A41"/>
    <w:rsid w:val="00150096"/>
    <w:rsid w:val="00150369"/>
    <w:rsid w:val="00150EAD"/>
    <w:rsid w:val="00151675"/>
    <w:rsid w:val="00151823"/>
    <w:rsid w:val="0015226F"/>
    <w:rsid w:val="00152539"/>
    <w:rsid w:val="001543C2"/>
    <w:rsid w:val="001570FF"/>
    <w:rsid w:val="00157435"/>
    <w:rsid w:val="001619B2"/>
    <w:rsid w:val="001621FC"/>
    <w:rsid w:val="001628B0"/>
    <w:rsid w:val="001650D5"/>
    <w:rsid w:val="001669D4"/>
    <w:rsid w:val="00172A27"/>
    <w:rsid w:val="0017504D"/>
    <w:rsid w:val="001750E8"/>
    <w:rsid w:val="0017671A"/>
    <w:rsid w:val="00177422"/>
    <w:rsid w:val="001778BC"/>
    <w:rsid w:val="0018099E"/>
    <w:rsid w:val="00181149"/>
    <w:rsid w:val="0018274C"/>
    <w:rsid w:val="00182B9D"/>
    <w:rsid w:val="00183F85"/>
    <w:rsid w:val="00184590"/>
    <w:rsid w:val="00186570"/>
    <w:rsid w:val="001870D1"/>
    <w:rsid w:val="0018781E"/>
    <w:rsid w:val="00190B14"/>
    <w:rsid w:val="0019262D"/>
    <w:rsid w:val="001927A0"/>
    <w:rsid w:val="00192BE2"/>
    <w:rsid w:val="00193DB8"/>
    <w:rsid w:val="001940FC"/>
    <w:rsid w:val="001941BF"/>
    <w:rsid w:val="001944D6"/>
    <w:rsid w:val="0019568B"/>
    <w:rsid w:val="001A0E98"/>
    <w:rsid w:val="001A1B35"/>
    <w:rsid w:val="001A45FB"/>
    <w:rsid w:val="001A48A2"/>
    <w:rsid w:val="001A6F61"/>
    <w:rsid w:val="001B06B4"/>
    <w:rsid w:val="001B171F"/>
    <w:rsid w:val="001B223C"/>
    <w:rsid w:val="001B4416"/>
    <w:rsid w:val="001B4745"/>
    <w:rsid w:val="001B47CB"/>
    <w:rsid w:val="001B5B84"/>
    <w:rsid w:val="001B72B8"/>
    <w:rsid w:val="001C117B"/>
    <w:rsid w:val="001C1A55"/>
    <w:rsid w:val="001C38ED"/>
    <w:rsid w:val="001C69B3"/>
    <w:rsid w:val="001C7A26"/>
    <w:rsid w:val="001D1BBF"/>
    <w:rsid w:val="001D31EC"/>
    <w:rsid w:val="001D4D63"/>
    <w:rsid w:val="001D5595"/>
    <w:rsid w:val="001D5FB4"/>
    <w:rsid w:val="001D70D1"/>
    <w:rsid w:val="001D7874"/>
    <w:rsid w:val="001D7D62"/>
    <w:rsid w:val="001D7F22"/>
    <w:rsid w:val="001E2D8E"/>
    <w:rsid w:val="001E66D8"/>
    <w:rsid w:val="001E6711"/>
    <w:rsid w:val="001F07B0"/>
    <w:rsid w:val="001F0F17"/>
    <w:rsid w:val="001F3347"/>
    <w:rsid w:val="001F3F08"/>
    <w:rsid w:val="001F488A"/>
    <w:rsid w:val="001F69E4"/>
    <w:rsid w:val="001F7F7E"/>
    <w:rsid w:val="00200806"/>
    <w:rsid w:val="00200875"/>
    <w:rsid w:val="002038D4"/>
    <w:rsid w:val="002057A8"/>
    <w:rsid w:val="0020635E"/>
    <w:rsid w:val="00207B6D"/>
    <w:rsid w:val="0021008C"/>
    <w:rsid w:val="002112B1"/>
    <w:rsid w:val="002125B4"/>
    <w:rsid w:val="00213CF6"/>
    <w:rsid w:val="00214566"/>
    <w:rsid w:val="002155B8"/>
    <w:rsid w:val="00215AA4"/>
    <w:rsid w:val="00216A1A"/>
    <w:rsid w:val="00221439"/>
    <w:rsid w:val="00221A6F"/>
    <w:rsid w:val="0022457F"/>
    <w:rsid w:val="00224839"/>
    <w:rsid w:val="002249B2"/>
    <w:rsid w:val="00226574"/>
    <w:rsid w:val="002278EC"/>
    <w:rsid w:val="0023008F"/>
    <w:rsid w:val="002322C4"/>
    <w:rsid w:val="0023280E"/>
    <w:rsid w:val="00234D35"/>
    <w:rsid w:val="0023625C"/>
    <w:rsid w:val="00236F20"/>
    <w:rsid w:val="002377D1"/>
    <w:rsid w:val="002410F1"/>
    <w:rsid w:val="002411CC"/>
    <w:rsid w:val="00241B2A"/>
    <w:rsid w:val="00242CD2"/>
    <w:rsid w:val="00245594"/>
    <w:rsid w:val="00247343"/>
    <w:rsid w:val="002506BC"/>
    <w:rsid w:val="00251AC3"/>
    <w:rsid w:val="002522D8"/>
    <w:rsid w:val="0025264E"/>
    <w:rsid w:val="0025282C"/>
    <w:rsid w:val="00253ACA"/>
    <w:rsid w:val="0025431C"/>
    <w:rsid w:val="00254345"/>
    <w:rsid w:val="002553D2"/>
    <w:rsid w:val="00255FF0"/>
    <w:rsid w:val="00256A8E"/>
    <w:rsid w:val="0026130D"/>
    <w:rsid w:val="002619C5"/>
    <w:rsid w:val="002621AB"/>
    <w:rsid w:val="00262542"/>
    <w:rsid w:val="00262758"/>
    <w:rsid w:val="0026296A"/>
    <w:rsid w:val="002630A0"/>
    <w:rsid w:val="002630BB"/>
    <w:rsid w:val="00264557"/>
    <w:rsid w:val="00264DEF"/>
    <w:rsid w:val="00264E69"/>
    <w:rsid w:val="0026644E"/>
    <w:rsid w:val="0026728A"/>
    <w:rsid w:val="0027038C"/>
    <w:rsid w:val="00270BE1"/>
    <w:rsid w:val="002713BA"/>
    <w:rsid w:val="0027232F"/>
    <w:rsid w:val="00273026"/>
    <w:rsid w:val="00273833"/>
    <w:rsid w:val="002805AB"/>
    <w:rsid w:val="00280780"/>
    <w:rsid w:val="00284204"/>
    <w:rsid w:val="00285085"/>
    <w:rsid w:val="00285E74"/>
    <w:rsid w:val="00285FAB"/>
    <w:rsid w:val="00290B58"/>
    <w:rsid w:val="00291773"/>
    <w:rsid w:val="002920CE"/>
    <w:rsid w:val="0029259F"/>
    <w:rsid w:val="00292BAB"/>
    <w:rsid w:val="00293F88"/>
    <w:rsid w:val="002951B5"/>
    <w:rsid w:val="002962A3"/>
    <w:rsid w:val="00296707"/>
    <w:rsid w:val="002974FD"/>
    <w:rsid w:val="002A0986"/>
    <w:rsid w:val="002A168C"/>
    <w:rsid w:val="002A35E5"/>
    <w:rsid w:val="002A3DC7"/>
    <w:rsid w:val="002A58AB"/>
    <w:rsid w:val="002A6A72"/>
    <w:rsid w:val="002A71B2"/>
    <w:rsid w:val="002A7BDD"/>
    <w:rsid w:val="002B0EFE"/>
    <w:rsid w:val="002B1418"/>
    <w:rsid w:val="002B15E5"/>
    <w:rsid w:val="002B3258"/>
    <w:rsid w:val="002B49E2"/>
    <w:rsid w:val="002B4B21"/>
    <w:rsid w:val="002B6923"/>
    <w:rsid w:val="002B6D68"/>
    <w:rsid w:val="002B6EE2"/>
    <w:rsid w:val="002B7281"/>
    <w:rsid w:val="002B7B00"/>
    <w:rsid w:val="002B7C44"/>
    <w:rsid w:val="002C26EB"/>
    <w:rsid w:val="002C2B17"/>
    <w:rsid w:val="002C4449"/>
    <w:rsid w:val="002C5BBA"/>
    <w:rsid w:val="002C61F7"/>
    <w:rsid w:val="002D0894"/>
    <w:rsid w:val="002D1009"/>
    <w:rsid w:val="002D1D09"/>
    <w:rsid w:val="002D2BF8"/>
    <w:rsid w:val="002D3DD0"/>
    <w:rsid w:val="002D4367"/>
    <w:rsid w:val="002D43B0"/>
    <w:rsid w:val="002E079E"/>
    <w:rsid w:val="002E171C"/>
    <w:rsid w:val="002E1F3A"/>
    <w:rsid w:val="002E298A"/>
    <w:rsid w:val="002E6413"/>
    <w:rsid w:val="002E687C"/>
    <w:rsid w:val="002F128F"/>
    <w:rsid w:val="002F479A"/>
    <w:rsid w:val="002F5A3B"/>
    <w:rsid w:val="0030139D"/>
    <w:rsid w:val="00301978"/>
    <w:rsid w:val="00302446"/>
    <w:rsid w:val="0030332C"/>
    <w:rsid w:val="00303F39"/>
    <w:rsid w:val="00304B3C"/>
    <w:rsid w:val="003051C2"/>
    <w:rsid w:val="00306D92"/>
    <w:rsid w:val="00307A95"/>
    <w:rsid w:val="0031034A"/>
    <w:rsid w:val="00310860"/>
    <w:rsid w:val="00312296"/>
    <w:rsid w:val="00313701"/>
    <w:rsid w:val="00314F0E"/>
    <w:rsid w:val="00321D8E"/>
    <w:rsid w:val="00325928"/>
    <w:rsid w:val="00325B5A"/>
    <w:rsid w:val="00325C6D"/>
    <w:rsid w:val="003271BF"/>
    <w:rsid w:val="00327CB1"/>
    <w:rsid w:val="0033192A"/>
    <w:rsid w:val="00332863"/>
    <w:rsid w:val="00333685"/>
    <w:rsid w:val="00333A2A"/>
    <w:rsid w:val="003357D8"/>
    <w:rsid w:val="0033684D"/>
    <w:rsid w:val="00337B42"/>
    <w:rsid w:val="00341B42"/>
    <w:rsid w:val="00341D86"/>
    <w:rsid w:val="0034348F"/>
    <w:rsid w:val="00345433"/>
    <w:rsid w:val="00352537"/>
    <w:rsid w:val="00353142"/>
    <w:rsid w:val="003532FE"/>
    <w:rsid w:val="003550AC"/>
    <w:rsid w:val="00356653"/>
    <w:rsid w:val="00356C1F"/>
    <w:rsid w:val="0035743F"/>
    <w:rsid w:val="003577A2"/>
    <w:rsid w:val="00357BE2"/>
    <w:rsid w:val="00357D6B"/>
    <w:rsid w:val="00360027"/>
    <w:rsid w:val="00360E24"/>
    <w:rsid w:val="0036170C"/>
    <w:rsid w:val="00361B01"/>
    <w:rsid w:val="0036405C"/>
    <w:rsid w:val="00366E0F"/>
    <w:rsid w:val="00366FA3"/>
    <w:rsid w:val="0037158B"/>
    <w:rsid w:val="003756DF"/>
    <w:rsid w:val="00377076"/>
    <w:rsid w:val="00381A72"/>
    <w:rsid w:val="00381DC7"/>
    <w:rsid w:val="00383CE4"/>
    <w:rsid w:val="00384392"/>
    <w:rsid w:val="00384676"/>
    <w:rsid w:val="00384AF9"/>
    <w:rsid w:val="00384B9C"/>
    <w:rsid w:val="003866AF"/>
    <w:rsid w:val="00390857"/>
    <w:rsid w:val="00394818"/>
    <w:rsid w:val="00396C9F"/>
    <w:rsid w:val="003A1B44"/>
    <w:rsid w:val="003A314D"/>
    <w:rsid w:val="003A333F"/>
    <w:rsid w:val="003A3689"/>
    <w:rsid w:val="003A3A03"/>
    <w:rsid w:val="003A4956"/>
    <w:rsid w:val="003A4BF3"/>
    <w:rsid w:val="003A4DB8"/>
    <w:rsid w:val="003A4FEB"/>
    <w:rsid w:val="003A6B66"/>
    <w:rsid w:val="003B0253"/>
    <w:rsid w:val="003B0E24"/>
    <w:rsid w:val="003B420D"/>
    <w:rsid w:val="003B6EB7"/>
    <w:rsid w:val="003B738F"/>
    <w:rsid w:val="003B7AFF"/>
    <w:rsid w:val="003C0EF8"/>
    <w:rsid w:val="003C2911"/>
    <w:rsid w:val="003C2B43"/>
    <w:rsid w:val="003C2E36"/>
    <w:rsid w:val="003C468C"/>
    <w:rsid w:val="003C4900"/>
    <w:rsid w:val="003C552A"/>
    <w:rsid w:val="003C603B"/>
    <w:rsid w:val="003C6596"/>
    <w:rsid w:val="003C6C16"/>
    <w:rsid w:val="003C6D74"/>
    <w:rsid w:val="003C7363"/>
    <w:rsid w:val="003C7F1B"/>
    <w:rsid w:val="003C7F9F"/>
    <w:rsid w:val="003D0404"/>
    <w:rsid w:val="003D086D"/>
    <w:rsid w:val="003D21B2"/>
    <w:rsid w:val="003D794D"/>
    <w:rsid w:val="003D7FCF"/>
    <w:rsid w:val="003E0508"/>
    <w:rsid w:val="003E0C28"/>
    <w:rsid w:val="003E1E84"/>
    <w:rsid w:val="003E2E64"/>
    <w:rsid w:val="003E3058"/>
    <w:rsid w:val="003E4316"/>
    <w:rsid w:val="003E76A9"/>
    <w:rsid w:val="003F0809"/>
    <w:rsid w:val="003F0FBF"/>
    <w:rsid w:val="003F20C8"/>
    <w:rsid w:val="003F23CE"/>
    <w:rsid w:val="003F2954"/>
    <w:rsid w:val="003F34E1"/>
    <w:rsid w:val="003F38E4"/>
    <w:rsid w:val="003F3A6E"/>
    <w:rsid w:val="003F5F2A"/>
    <w:rsid w:val="003F6A8C"/>
    <w:rsid w:val="003F755C"/>
    <w:rsid w:val="00403035"/>
    <w:rsid w:val="00406F01"/>
    <w:rsid w:val="004100FA"/>
    <w:rsid w:val="00410BFC"/>
    <w:rsid w:val="00410EE1"/>
    <w:rsid w:val="00411D4E"/>
    <w:rsid w:val="00412341"/>
    <w:rsid w:val="00415253"/>
    <w:rsid w:val="00415A69"/>
    <w:rsid w:val="00416D50"/>
    <w:rsid w:val="00416EB5"/>
    <w:rsid w:val="00416FD5"/>
    <w:rsid w:val="004172BF"/>
    <w:rsid w:val="00417772"/>
    <w:rsid w:val="00417EF4"/>
    <w:rsid w:val="00420E6A"/>
    <w:rsid w:val="004217E5"/>
    <w:rsid w:val="00421975"/>
    <w:rsid w:val="00421C84"/>
    <w:rsid w:val="00422F41"/>
    <w:rsid w:val="00423B36"/>
    <w:rsid w:val="00423C6D"/>
    <w:rsid w:val="004255B3"/>
    <w:rsid w:val="00425A9E"/>
    <w:rsid w:val="00426D6B"/>
    <w:rsid w:val="00426FF3"/>
    <w:rsid w:val="0043133C"/>
    <w:rsid w:val="00431E6C"/>
    <w:rsid w:val="00433CE7"/>
    <w:rsid w:val="00437B02"/>
    <w:rsid w:val="00440133"/>
    <w:rsid w:val="00441793"/>
    <w:rsid w:val="00444BC2"/>
    <w:rsid w:val="004475D4"/>
    <w:rsid w:val="00447D2A"/>
    <w:rsid w:val="00447DEA"/>
    <w:rsid w:val="00451911"/>
    <w:rsid w:val="00452738"/>
    <w:rsid w:val="00452FD4"/>
    <w:rsid w:val="00456091"/>
    <w:rsid w:val="00456594"/>
    <w:rsid w:val="00460FED"/>
    <w:rsid w:val="004613D5"/>
    <w:rsid w:val="00462A8A"/>
    <w:rsid w:val="00462B24"/>
    <w:rsid w:val="00462D14"/>
    <w:rsid w:val="0046375D"/>
    <w:rsid w:val="00466321"/>
    <w:rsid w:val="004672B9"/>
    <w:rsid w:val="00470047"/>
    <w:rsid w:val="004707D6"/>
    <w:rsid w:val="004715F3"/>
    <w:rsid w:val="00475E5E"/>
    <w:rsid w:val="0047786F"/>
    <w:rsid w:val="00481E92"/>
    <w:rsid w:val="00484B9B"/>
    <w:rsid w:val="004854CA"/>
    <w:rsid w:val="004855F6"/>
    <w:rsid w:val="00485A0A"/>
    <w:rsid w:val="0048661E"/>
    <w:rsid w:val="00486C48"/>
    <w:rsid w:val="004874D5"/>
    <w:rsid w:val="00490110"/>
    <w:rsid w:val="00490FDE"/>
    <w:rsid w:val="00493515"/>
    <w:rsid w:val="00494460"/>
    <w:rsid w:val="00494670"/>
    <w:rsid w:val="004958D4"/>
    <w:rsid w:val="004A03FF"/>
    <w:rsid w:val="004A329A"/>
    <w:rsid w:val="004A3368"/>
    <w:rsid w:val="004A3823"/>
    <w:rsid w:val="004A7DC9"/>
    <w:rsid w:val="004B0D73"/>
    <w:rsid w:val="004B2897"/>
    <w:rsid w:val="004B2B21"/>
    <w:rsid w:val="004B2E95"/>
    <w:rsid w:val="004B48CF"/>
    <w:rsid w:val="004B4F0B"/>
    <w:rsid w:val="004B52E1"/>
    <w:rsid w:val="004B6913"/>
    <w:rsid w:val="004B6C8A"/>
    <w:rsid w:val="004B756A"/>
    <w:rsid w:val="004C0985"/>
    <w:rsid w:val="004C0A52"/>
    <w:rsid w:val="004C281B"/>
    <w:rsid w:val="004C2D75"/>
    <w:rsid w:val="004C3D27"/>
    <w:rsid w:val="004C4C46"/>
    <w:rsid w:val="004C4CF0"/>
    <w:rsid w:val="004C5113"/>
    <w:rsid w:val="004C79D3"/>
    <w:rsid w:val="004C7F14"/>
    <w:rsid w:val="004D0B61"/>
    <w:rsid w:val="004D11AA"/>
    <w:rsid w:val="004D17F0"/>
    <w:rsid w:val="004D1BDB"/>
    <w:rsid w:val="004D3F9A"/>
    <w:rsid w:val="004D57F7"/>
    <w:rsid w:val="004D59BD"/>
    <w:rsid w:val="004D5C51"/>
    <w:rsid w:val="004D5CA8"/>
    <w:rsid w:val="004D6899"/>
    <w:rsid w:val="004E0863"/>
    <w:rsid w:val="004E4736"/>
    <w:rsid w:val="004E47BA"/>
    <w:rsid w:val="004E54A6"/>
    <w:rsid w:val="004E5E5C"/>
    <w:rsid w:val="004E5EC8"/>
    <w:rsid w:val="004E616D"/>
    <w:rsid w:val="004E6946"/>
    <w:rsid w:val="004F08B9"/>
    <w:rsid w:val="004F1AD8"/>
    <w:rsid w:val="004F286D"/>
    <w:rsid w:val="004F4C42"/>
    <w:rsid w:val="004F5124"/>
    <w:rsid w:val="00500138"/>
    <w:rsid w:val="00501243"/>
    <w:rsid w:val="005039CB"/>
    <w:rsid w:val="00503BB2"/>
    <w:rsid w:val="00503DAE"/>
    <w:rsid w:val="0050558F"/>
    <w:rsid w:val="00506286"/>
    <w:rsid w:val="0050638A"/>
    <w:rsid w:val="005068E0"/>
    <w:rsid w:val="0050738F"/>
    <w:rsid w:val="00510382"/>
    <w:rsid w:val="00510813"/>
    <w:rsid w:val="00511990"/>
    <w:rsid w:val="00511DE0"/>
    <w:rsid w:val="00513867"/>
    <w:rsid w:val="00513A34"/>
    <w:rsid w:val="00513B85"/>
    <w:rsid w:val="00514870"/>
    <w:rsid w:val="00514B9B"/>
    <w:rsid w:val="00515C5E"/>
    <w:rsid w:val="00517F02"/>
    <w:rsid w:val="00522102"/>
    <w:rsid w:val="00524303"/>
    <w:rsid w:val="005258A2"/>
    <w:rsid w:val="00526373"/>
    <w:rsid w:val="00526B86"/>
    <w:rsid w:val="005277E4"/>
    <w:rsid w:val="00531029"/>
    <w:rsid w:val="005319D6"/>
    <w:rsid w:val="00532FD8"/>
    <w:rsid w:val="00533307"/>
    <w:rsid w:val="0053552E"/>
    <w:rsid w:val="005401AE"/>
    <w:rsid w:val="00541A7C"/>
    <w:rsid w:val="00541EF7"/>
    <w:rsid w:val="00542E07"/>
    <w:rsid w:val="00543D13"/>
    <w:rsid w:val="00543EF5"/>
    <w:rsid w:val="00545424"/>
    <w:rsid w:val="005462EA"/>
    <w:rsid w:val="00550C38"/>
    <w:rsid w:val="00554581"/>
    <w:rsid w:val="00554A7B"/>
    <w:rsid w:val="00554B24"/>
    <w:rsid w:val="0055572C"/>
    <w:rsid w:val="005557EC"/>
    <w:rsid w:val="00555F5A"/>
    <w:rsid w:val="005577CC"/>
    <w:rsid w:val="0056106A"/>
    <w:rsid w:val="00563B93"/>
    <w:rsid w:val="005657BB"/>
    <w:rsid w:val="00565C72"/>
    <w:rsid w:val="00567764"/>
    <w:rsid w:val="00567D30"/>
    <w:rsid w:val="00571704"/>
    <w:rsid w:val="005720AE"/>
    <w:rsid w:val="00576779"/>
    <w:rsid w:val="00576DF1"/>
    <w:rsid w:val="00577248"/>
    <w:rsid w:val="0058523E"/>
    <w:rsid w:val="00585CC2"/>
    <w:rsid w:val="005865DC"/>
    <w:rsid w:val="00586FEC"/>
    <w:rsid w:val="0059169F"/>
    <w:rsid w:val="00591D3F"/>
    <w:rsid w:val="005920D1"/>
    <w:rsid w:val="00593034"/>
    <w:rsid w:val="00593490"/>
    <w:rsid w:val="00593FC5"/>
    <w:rsid w:val="00594D77"/>
    <w:rsid w:val="005969E4"/>
    <w:rsid w:val="00596C29"/>
    <w:rsid w:val="00597DDD"/>
    <w:rsid w:val="005A06B7"/>
    <w:rsid w:val="005A06C7"/>
    <w:rsid w:val="005A1759"/>
    <w:rsid w:val="005A2D64"/>
    <w:rsid w:val="005A620F"/>
    <w:rsid w:val="005A651D"/>
    <w:rsid w:val="005A6603"/>
    <w:rsid w:val="005A68A7"/>
    <w:rsid w:val="005A6A97"/>
    <w:rsid w:val="005A7208"/>
    <w:rsid w:val="005A7689"/>
    <w:rsid w:val="005B0505"/>
    <w:rsid w:val="005B2070"/>
    <w:rsid w:val="005B2B1D"/>
    <w:rsid w:val="005B2F3B"/>
    <w:rsid w:val="005B4838"/>
    <w:rsid w:val="005B4E61"/>
    <w:rsid w:val="005B55E7"/>
    <w:rsid w:val="005C11F2"/>
    <w:rsid w:val="005C3887"/>
    <w:rsid w:val="005C4CD8"/>
    <w:rsid w:val="005C6ADC"/>
    <w:rsid w:val="005C75A3"/>
    <w:rsid w:val="005C790E"/>
    <w:rsid w:val="005D12D2"/>
    <w:rsid w:val="005D2546"/>
    <w:rsid w:val="005D36AB"/>
    <w:rsid w:val="005D38E2"/>
    <w:rsid w:val="005D7ACE"/>
    <w:rsid w:val="005E0E93"/>
    <w:rsid w:val="005E1B19"/>
    <w:rsid w:val="005E2A47"/>
    <w:rsid w:val="005E30AA"/>
    <w:rsid w:val="005E787D"/>
    <w:rsid w:val="005F037B"/>
    <w:rsid w:val="005F0BC8"/>
    <w:rsid w:val="005F10A1"/>
    <w:rsid w:val="005F196F"/>
    <w:rsid w:val="005F35F4"/>
    <w:rsid w:val="005F6704"/>
    <w:rsid w:val="005F6ACE"/>
    <w:rsid w:val="005F7D00"/>
    <w:rsid w:val="00604E96"/>
    <w:rsid w:val="0060579E"/>
    <w:rsid w:val="00605E04"/>
    <w:rsid w:val="006063F2"/>
    <w:rsid w:val="00606F6D"/>
    <w:rsid w:val="00607C81"/>
    <w:rsid w:val="00613C93"/>
    <w:rsid w:val="00615EA1"/>
    <w:rsid w:val="00616C71"/>
    <w:rsid w:val="006179C2"/>
    <w:rsid w:val="00617B98"/>
    <w:rsid w:val="00617CC3"/>
    <w:rsid w:val="00621C19"/>
    <w:rsid w:val="006246A4"/>
    <w:rsid w:val="00624EE9"/>
    <w:rsid w:val="006261C4"/>
    <w:rsid w:val="00626880"/>
    <w:rsid w:val="006306F1"/>
    <w:rsid w:val="006317A4"/>
    <w:rsid w:val="006325DF"/>
    <w:rsid w:val="00632814"/>
    <w:rsid w:val="00635CCD"/>
    <w:rsid w:val="006377A6"/>
    <w:rsid w:val="00637A3D"/>
    <w:rsid w:val="00640825"/>
    <w:rsid w:val="006411EF"/>
    <w:rsid w:val="006423C3"/>
    <w:rsid w:val="00642ED9"/>
    <w:rsid w:val="006430B5"/>
    <w:rsid w:val="00643A8F"/>
    <w:rsid w:val="00643BE3"/>
    <w:rsid w:val="00645991"/>
    <w:rsid w:val="00645B90"/>
    <w:rsid w:val="00647896"/>
    <w:rsid w:val="0065043B"/>
    <w:rsid w:val="00650F98"/>
    <w:rsid w:val="00651F34"/>
    <w:rsid w:val="0065551D"/>
    <w:rsid w:val="0065726E"/>
    <w:rsid w:val="00660265"/>
    <w:rsid w:val="0066082D"/>
    <w:rsid w:val="00660BE0"/>
    <w:rsid w:val="00661709"/>
    <w:rsid w:val="00665BAD"/>
    <w:rsid w:val="006668CA"/>
    <w:rsid w:val="00666DB8"/>
    <w:rsid w:val="00670570"/>
    <w:rsid w:val="0067096C"/>
    <w:rsid w:val="00672D99"/>
    <w:rsid w:val="006746FD"/>
    <w:rsid w:val="006748B8"/>
    <w:rsid w:val="00675481"/>
    <w:rsid w:val="00675FC6"/>
    <w:rsid w:val="006775C3"/>
    <w:rsid w:val="00681978"/>
    <w:rsid w:val="00681BE2"/>
    <w:rsid w:val="0068201B"/>
    <w:rsid w:val="006852E8"/>
    <w:rsid w:val="00687E7E"/>
    <w:rsid w:val="00690CB1"/>
    <w:rsid w:val="0069290A"/>
    <w:rsid w:val="00692FA7"/>
    <w:rsid w:val="0069304D"/>
    <w:rsid w:val="006933B8"/>
    <w:rsid w:val="00694337"/>
    <w:rsid w:val="00694DE0"/>
    <w:rsid w:val="00696453"/>
    <w:rsid w:val="0069775A"/>
    <w:rsid w:val="00697813"/>
    <w:rsid w:val="006A1330"/>
    <w:rsid w:val="006A20A1"/>
    <w:rsid w:val="006A2D62"/>
    <w:rsid w:val="006A2EE8"/>
    <w:rsid w:val="006A3744"/>
    <w:rsid w:val="006A3EE8"/>
    <w:rsid w:val="006A72BF"/>
    <w:rsid w:val="006B00E7"/>
    <w:rsid w:val="006B03F2"/>
    <w:rsid w:val="006B107F"/>
    <w:rsid w:val="006B1E81"/>
    <w:rsid w:val="006B37DC"/>
    <w:rsid w:val="006B4F68"/>
    <w:rsid w:val="006B5D06"/>
    <w:rsid w:val="006C0592"/>
    <w:rsid w:val="006C272E"/>
    <w:rsid w:val="006C3B2F"/>
    <w:rsid w:val="006C5479"/>
    <w:rsid w:val="006C5BBA"/>
    <w:rsid w:val="006C68E3"/>
    <w:rsid w:val="006D13B5"/>
    <w:rsid w:val="006D2014"/>
    <w:rsid w:val="006D3CEC"/>
    <w:rsid w:val="006D5F6E"/>
    <w:rsid w:val="006D67B3"/>
    <w:rsid w:val="006D6F3B"/>
    <w:rsid w:val="006D785F"/>
    <w:rsid w:val="006E05BE"/>
    <w:rsid w:val="006E12FF"/>
    <w:rsid w:val="006E1BD6"/>
    <w:rsid w:val="006E28A0"/>
    <w:rsid w:val="006E42F1"/>
    <w:rsid w:val="006E4FE3"/>
    <w:rsid w:val="006E529D"/>
    <w:rsid w:val="006E607E"/>
    <w:rsid w:val="006E6810"/>
    <w:rsid w:val="006F072C"/>
    <w:rsid w:val="006F18AB"/>
    <w:rsid w:val="006F19B5"/>
    <w:rsid w:val="006F56BC"/>
    <w:rsid w:val="007004D1"/>
    <w:rsid w:val="00702385"/>
    <w:rsid w:val="00704268"/>
    <w:rsid w:val="00704863"/>
    <w:rsid w:val="00705A12"/>
    <w:rsid w:val="00706335"/>
    <w:rsid w:val="00706C5D"/>
    <w:rsid w:val="0071032B"/>
    <w:rsid w:val="00711979"/>
    <w:rsid w:val="007119EA"/>
    <w:rsid w:val="00711FFE"/>
    <w:rsid w:val="00712753"/>
    <w:rsid w:val="0071560B"/>
    <w:rsid w:val="00717625"/>
    <w:rsid w:val="00721D0F"/>
    <w:rsid w:val="00721EE7"/>
    <w:rsid w:val="00725EC0"/>
    <w:rsid w:val="00730BA5"/>
    <w:rsid w:val="00731527"/>
    <w:rsid w:val="00731666"/>
    <w:rsid w:val="00731AB5"/>
    <w:rsid w:val="00732922"/>
    <w:rsid w:val="00734C5A"/>
    <w:rsid w:val="007364BD"/>
    <w:rsid w:val="0074023E"/>
    <w:rsid w:val="007402CA"/>
    <w:rsid w:val="00742B1A"/>
    <w:rsid w:val="00744674"/>
    <w:rsid w:val="00745EF9"/>
    <w:rsid w:val="007463FB"/>
    <w:rsid w:val="0074720C"/>
    <w:rsid w:val="0075162E"/>
    <w:rsid w:val="00751766"/>
    <w:rsid w:val="0075324F"/>
    <w:rsid w:val="00753CB1"/>
    <w:rsid w:val="00754034"/>
    <w:rsid w:val="00756556"/>
    <w:rsid w:val="00757B9E"/>
    <w:rsid w:val="007618C4"/>
    <w:rsid w:val="00762360"/>
    <w:rsid w:val="00765018"/>
    <w:rsid w:val="007655C9"/>
    <w:rsid w:val="00767980"/>
    <w:rsid w:val="00770424"/>
    <w:rsid w:val="00770AC1"/>
    <w:rsid w:val="00770B19"/>
    <w:rsid w:val="00770EBC"/>
    <w:rsid w:val="00771B68"/>
    <w:rsid w:val="00773167"/>
    <w:rsid w:val="00773916"/>
    <w:rsid w:val="007740C9"/>
    <w:rsid w:val="0077463F"/>
    <w:rsid w:val="00775675"/>
    <w:rsid w:val="00775B96"/>
    <w:rsid w:val="007776CF"/>
    <w:rsid w:val="0078143C"/>
    <w:rsid w:val="00781570"/>
    <w:rsid w:val="00782674"/>
    <w:rsid w:val="007836EA"/>
    <w:rsid w:val="007848C8"/>
    <w:rsid w:val="00784CDA"/>
    <w:rsid w:val="007906C4"/>
    <w:rsid w:val="00790888"/>
    <w:rsid w:val="007931BE"/>
    <w:rsid w:val="007937B0"/>
    <w:rsid w:val="0079382F"/>
    <w:rsid w:val="007940EA"/>
    <w:rsid w:val="00795807"/>
    <w:rsid w:val="007958E0"/>
    <w:rsid w:val="0079624B"/>
    <w:rsid w:val="007967E8"/>
    <w:rsid w:val="00796FF0"/>
    <w:rsid w:val="007977F6"/>
    <w:rsid w:val="007A2170"/>
    <w:rsid w:val="007A21E0"/>
    <w:rsid w:val="007A229D"/>
    <w:rsid w:val="007A22BF"/>
    <w:rsid w:val="007A3323"/>
    <w:rsid w:val="007A4968"/>
    <w:rsid w:val="007A4B3D"/>
    <w:rsid w:val="007A4ECD"/>
    <w:rsid w:val="007A6F63"/>
    <w:rsid w:val="007A7344"/>
    <w:rsid w:val="007B07D6"/>
    <w:rsid w:val="007B2111"/>
    <w:rsid w:val="007B3578"/>
    <w:rsid w:val="007B72B8"/>
    <w:rsid w:val="007B7A58"/>
    <w:rsid w:val="007C10C9"/>
    <w:rsid w:val="007C21B5"/>
    <w:rsid w:val="007C2B03"/>
    <w:rsid w:val="007C4770"/>
    <w:rsid w:val="007C4A36"/>
    <w:rsid w:val="007C5551"/>
    <w:rsid w:val="007C6824"/>
    <w:rsid w:val="007C6B03"/>
    <w:rsid w:val="007C717F"/>
    <w:rsid w:val="007D02CE"/>
    <w:rsid w:val="007D3A79"/>
    <w:rsid w:val="007D6C64"/>
    <w:rsid w:val="007D6CF6"/>
    <w:rsid w:val="007D7AC5"/>
    <w:rsid w:val="007E2995"/>
    <w:rsid w:val="007E4B16"/>
    <w:rsid w:val="007E4BD2"/>
    <w:rsid w:val="007E4CA5"/>
    <w:rsid w:val="007E7B3F"/>
    <w:rsid w:val="007F06BF"/>
    <w:rsid w:val="007F216C"/>
    <w:rsid w:val="007F4C64"/>
    <w:rsid w:val="00801393"/>
    <w:rsid w:val="00801C68"/>
    <w:rsid w:val="00802C17"/>
    <w:rsid w:val="00802F88"/>
    <w:rsid w:val="00803C7E"/>
    <w:rsid w:val="0080601A"/>
    <w:rsid w:val="008102F1"/>
    <w:rsid w:val="0081293E"/>
    <w:rsid w:val="008145B6"/>
    <w:rsid w:val="00815465"/>
    <w:rsid w:val="00816543"/>
    <w:rsid w:val="00816BD2"/>
    <w:rsid w:val="008175CE"/>
    <w:rsid w:val="00817E9A"/>
    <w:rsid w:val="00822AF7"/>
    <w:rsid w:val="008258DF"/>
    <w:rsid w:val="00825DD2"/>
    <w:rsid w:val="00826464"/>
    <w:rsid w:val="008267D9"/>
    <w:rsid w:val="00830108"/>
    <w:rsid w:val="008306BD"/>
    <w:rsid w:val="00831A80"/>
    <w:rsid w:val="00832108"/>
    <w:rsid w:val="008322BB"/>
    <w:rsid w:val="00833743"/>
    <w:rsid w:val="00833A77"/>
    <w:rsid w:val="00833BFD"/>
    <w:rsid w:val="008340A4"/>
    <w:rsid w:val="008369C7"/>
    <w:rsid w:val="00837235"/>
    <w:rsid w:val="00841B5E"/>
    <w:rsid w:val="00844285"/>
    <w:rsid w:val="00847284"/>
    <w:rsid w:val="008541D6"/>
    <w:rsid w:val="008627D7"/>
    <w:rsid w:val="008639C5"/>
    <w:rsid w:val="00864D93"/>
    <w:rsid w:val="00865E8A"/>
    <w:rsid w:val="00867FFD"/>
    <w:rsid w:val="0087135F"/>
    <w:rsid w:val="0087167F"/>
    <w:rsid w:val="00872D94"/>
    <w:rsid w:val="00873556"/>
    <w:rsid w:val="00874293"/>
    <w:rsid w:val="00876B84"/>
    <w:rsid w:val="00877708"/>
    <w:rsid w:val="00880364"/>
    <w:rsid w:val="0088106F"/>
    <w:rsid w:val="0088358E"/>
    <w:rsid w:val="00883F7A"/>
    <w:rsid w:val="00886E01"/>
    <w:rsid w:val="00890290"/>
    <w:rsid w:val="00891592"/>
    <w:rsid w:val="0089189B"/>
    <w:rsid w:val="00891E9E"/>
    <w:rsid w:val="00893736"/>
    <w:rsid w:val="00895294"/>
    <w:rsid w:val="0089593F"/>
    <w:rsid w:val="008976EB"/>
    <w:rsid w:val="008978EA"/>
    <w:rsid w:val="008A13B5"/>
    <w:rsid w:val="008A266B"/>
    <w:rsid w:val="008A2AB6"/>
    <w:rsid w:val="008A2F1F"/>
    <w:rsid w:val="008A2F68"/>
    <w:rsid w:val="008A3644"/>
    <w:rsid w:val="008A3696"/>
    <w:rsid w:val="008A4BBA"/>
    <w:rsid w:val="008A55D8"/>
    <w:rsid w:val="008A7CF7"/>
    <w:rsid w:val="008B00D7"/>
    <w:rsid w:val="008B2E1B"/>
    <w:rsid w:val="008B4FA6"/>
    <w:rsid w:val="008B5282"/>
    <w:rsid w:val="008B5614"/>
    <w:rsid w:val="008B6765"/>
    <w:rsid w:val="008B7C17"/>
    <w:rsid w:val="008C12E5"/>
    <w:rsid w:val="008C2D01"/>
    <w:rsid w:val="008C40E6"/>
    <w:rsid w:val="008C4534"/>
    <w:rsid w:val="008C49AE"/>
    <w:rsid w:val="008C7D2F"/>
    <w:rsid w:val="008D0C4F"/>
    <w:rsid w:val="008D0F7A"/>
    <w:rsid w:val="008D340B"/>
    <w:rsid w:val="008D644E"/>
    <w:rsid w:val="008D68AB"/>
    <w:rsid w:val="008D68E4"/>
    <w:rsid w:val="008E0506"/>
    <w:rsid w:val="008E0CFF"/>
    <w:rsid w:val="008E1943"/>
    <w:rsid w:val="008E1B6D"/>
    <w:rsid w:val="008E31F5"/>
    <w:rsid w:val="008E3333"/>
    <w:rsid w:val="008E5D6B"/>
    <w:rsid w:val="008E5F87"/>
    <w:rsid w:val="008E76F0"/>
    <w:rsid w:val="008F0F69"/>
    <w:rsid w:val="008F127C"/>
    <w:rsid w:val="008F15FE"/>
    <w:rsid w:val="008F17C3"/>
    <w:rsid w:val="008F200F"/>
    <w:rsid w:val="008F2D29"/>
    <w:rsid w:val="008F5187"/>
    <w:rsid w:val="008F60D8"/>
    <w:rsid w:val="008F6A4D"/>
    <w:rsid w:val="008F6B2B"/>
    <w:rsid w:val="00900464"/>
    <w:rsid w:val="00900964"/>
    <w:rsid w:val="00900A74"/>
    <w:rsid w:val="00901C1A"/>
    <w:rsid w:val="00901F63"/>
    <w:rsid w:val="0090268E"/>
    <w:rsid w:val="00902727"/>
    <w:rsid w:val="009030C6"/>
    <w:rsid w:val="0090312B"/>
    <w:rsid w:val="00903A34"/>
    <w:rsid w:val="0090511B"/>
    <w:rsid w:val="009064A4"/>
    <w:rsid w:val="00906786"/>
    <w:rsid w:val="00914CBB"/>
    <w:rsid w:val="00916FA4"/>
    <w:rsid w:val="00917117"/>
    <w:rsid w:val="0091736D"/>
    <w:rsid w:val="00920750"/>
    <w:rsid w:val="00920C43"/>
    <w:rsid w:val="0092580C"/>
    <w:rsid w:val="0093037A"/>
    <w:rsid w:val="0093204F"/>
    <w:rsid w:val="00932D37"/>
    <w:rsid w:val="009357E2"/>
    <w:rsid w:val="00936276"/>
    <w:rsid w:val="009364BC"/>
    <w:rsid w:val="00940331"/>
    <w:rsid w:val="00940E72"/>
    <w:rsid w:val="0094154D"/>
    <w:rsid w:val="0094251D"/>
    <w:rsid w:val="0094299A"/>
    <w:rsid w:val="00942CBD"/>
    <w:rsid w:val="009430C5"/>
    <w:rsid w:val="00944C23"/>
    <w:rsid w:val="0094741D"/>
    <w:rsid w:val="00947BE3"/>
    <w:rsid w:val="00950240"/>
    <w:rsid w:val="0095050D"/>
    <w:rsid w:val="0095155F"/>
    <w:rsid w:val="009522AF"/>
    <w:rsid w:val="00952FBB"/>
    <w:rsid w:val="00953D9C"/>
    <w:rsid w:val="00954429"/>
    <w:rsid w:val="009561E6"/>
    <w:rsid w:val="009563CE"/>
    <w:rsid w:val="00957D8F"/>
    <w:rsid w:val="00961051"/>
    <w:rsid w:val="0096381D"/>
    <w:rsid w:val="00964B97"/>
    <w:rsid w:val="0096657E"/>
    <w:rsid w:val="00967BC0"/>
    <w:rsid w:val="009708FE"/>
    <w:rsid w:val="00972034"/>
    <w:rsid w:val="00974A3A"/>
    <w:rsid w:val="00975D66"/>
    <w:rsid w:val="00976328"/>
    <w:rsid w:val="0097680D"/>
    <w:rsid w:val="00977B14"/>
    <w:rsid w:val="00981C4D"/>
    <w:rsid w:val="00981D4E"/>
    <w:rsid w:val="00982438"/>
    <w:rsid w:val="00983A67"/>
    <w:rsid w:val="0098404C"/>
    <w:rsid w:val="00984F9B"/>
    <w:rsid w:val="00985283"/>
    <w:rsid w:val="0098623D"/>
    <w:rsid w:val="009871E6"/>
    <w:rsid w:val="00990000"/>
    <w:rsid w:val="00991ADF"/>
    <w:rsid w:val="009947F1"/>
    <w:rsid w:val="00995992"/>
    <w:rsid w:val="00995FE7"/>
    <w:rsid w:val="00996847"/>
    <w:rsid w:val="00996CEA"/>
    <w:rsid w:val="00997D30"/>
    <w:rsid w:val="009A03E5"/>
    <w:rsid w:val="009A0F3B"/>
    <w:rsid w:val="009A13B3"/>
    <w:rsid w:val="009A1BB4"/>
    <w:rsid w:val="009A2628"/>
    <w:rsid w:val="009A27D9"/>
    <w:rsid w:val="009A2D2E"/>
    <w:rsid w:val="009A3200"/>
    <w:rsid w:val="009A3488"/>
    <w:rsid w:val="009A3EC3"/>
    <w:rsid w:val="009A4B56"/>
    <w:rsid w:val="009A7605"/>
    <w:rsid w:val="009A7AFF"/>
    <w:rsid w:val="009A7F29"/>
    <w:rsid w:val="009B0897"/>
    <w:rsid w:val="009B1453"/>
    <w:rsid w:val="009B2B36"/>
    <w:rsid w:val="009B376C"/>
    <w:rsid w:val="009B451A"/>
    <w:rsid w:val="009B491F"/>
    <w:rsid w:val="009B7BD9"/>
    <w:rsid w:val="009C512B"/>
    <w:rsid w:val="009C6261"/>
    <w:rsid w:val="009C779F"/>
    <w:rsid w:val="009C7964"/>
    <w:rsid w:val="009C7DD5"/>
    <w:rsid w:val="009D278F"/>
    <w:rsid w:val="009D3318"/>
    <w:rsid w:val="009D628A"/>
    <w:rsid w:val="009D793E"/>
    <w:rsid w:val="009E1786"/>
    <w:rsid w:val="009E1A7B"/>
    <w:rsid w:val="009E227D"/>
    <w:rsid w:val="009E26BB"/>
    <w:rsid w:val="009E26D0"/>
    <w:rsid w:val="009E2F03"/>
    <w:rsid w:val="009E4E80"/>
    <w:rsid w:val="009E5019"/>
    <w:rsid w:val="009E70F5"/>
    <w:rsid w:val="009E72F4"/>
    <w:rsid w:val="009E7EB5"/>
    <w:rsid w:val="009F029D"/>
    <w:rsid w:val="009F12FC"/>
    <w:rsid w:val="009F22C6"/>
    <w:rsid w:val="009F499A"/>
    <w:rsid w:val="009F4C1B"/>
    <w:rsid w:val="009F4E21"/>
    <w:rsid w:val="009F58CC"/>
    <w:rsid w:val="00A00DD4"/>
    <w:rsid w:val="00A04F1B"/>
    <w:rsid w:val="00A0501B"/>
    <w:rsid w:val="00A05192"/>
    <w:rsid w:val="00A065C4"/>
    <w:rsid w:val="00A067C3"/>
    <w:rsid w:val="00A078D9"/>
    <w:rsid w:val="00A10993"/>
    <w:rsid w:val="00A109C7"/>
    <w:rsid w:val="00A120EE"/>
    <w:rsid w:val="00A12957"/>
    <w:rsid w:val="00A14947"/>
    <w:rsid w:val="00A15C11"/>
    <w:rsid w:val="00A16BE5"/>
    <w:rsid w:val="00A17F2F"/>
    <w:rsid w:val="00A2057C"/>
    <w:rsid w:val="00A247E4"/>
    <w:rsid w:val="00A30062"/>
    <w:rsid w:val="00A32A0F"/>
    <w:rsid w:val="00A32A83"/>
    <w:rsid w:val="00A32BBD"/>
    <w:rsid w:val="00A33EAA"/>
    <w:rsid w:val="00A3470B"/>
    <w:rsid w:val="00A34F47"/>
    <w:rsid w:val="00A364B9"/>
    <w:rsid w:val="00A368DB"/>
    <w:rsid w:val="00A36D64"/>
    <w:rsid w:val="00A40B8D"/>
    <w:rsid w:val="00A42012"/>
    <w:rsid w:val="00A42231"/>
    <w:rsid w:val="00A423AA"/>
    <w:rsid w:val="00A428F4"/>
    <w:rsid w:val="00A437D3"/>
    <w:rsid w:val="00A44DA8"/>
    <w:rsid w:val="00A478F1"/>
    <w:rsid w:val="00A5010D"/>
    <w:rsid w:val="00A50A65"/>
    <w:rsid w:val="00A52506"/>
    <w:rsid w:val="00A526BB"/>
    <w:rsid w:val="00A52D8C"/>
    <w:rsid w:val="00A53EC6"/>
    <w:rsid w:val="00A554C6"/>
    <w:rsid w:val="00A55B54"/>
    <w:rsid w:val="00A55C0F"/>
    <w:rsid w:val="00A6042E"/>
    <w:rsid w:val="00A60BD6"/>
    <w:rsid w:val="00A620E2"/>
    <w:rsid w:val="00A62DEB"/>
    <w:rsid w:val="00A63702"/>
    <w:rsid w:val="00A63716"/>
    <w:rsid w:val="00A65981"/>
    <w:rsid w:val="00A705BF"/>
    <w:rsid w:val="00A742E7"/>
    <w:rsid w:val="00A74E15"/>
    <w:rsid w:val="00A75DC2"/>
    <w:rsid w:val="00A75F6F"/>
    <w:rsid w:val="00A811FD"/>
    <w:rsid w:val="00A8231A"/>
    <w:rsid w:val="00A83B81"/>
    <w:rsid w:val="00A84D2C"/>
    <w:rsid w:val="00A8713F"/>
    <w:rsid w:val="00A875F7"/>
    <w:rsid w:val="00A87F74"/>
    <w:rsid w:val="00A90BA1"/>
    <w:rsid w:val="00A92A0B"/>
    <w:rsid w:val="00A97275"/>
    <w:rsid w:val="00A97848"/>
    <w:rsid w:val="00A97A9A"/>
    <w:rsid w:val="00AA0437"/>
    <w:rsid w:val="00AA0671"/>
    <w:rsid w:val="00AA0891"/>
    <w:rsid w:val="00AA1847"/>
    <w:rsid w:val="00AA1DB4"/>
    <w:rsid w:val="00AA1E87"/>
    <w:rsid w:val="00AA2531"/>
    <w:rsid w:val="00AA32B3"/>
    <w:rsid w:val="00AA6962"/>
    <w:rsid w:val="00AA6F38"/>
    <w:rsid w:val="00AB1025"/>
    <w:rsid w:val="00AB1C0E"/>
    <w:rsid w:val="00AB1E09"/>
    <w:rsid w:val="00AB35C0"/>
    <w:rsid w:val="00AB470A"/>
    <w:rsid w:val="00AB4743"/>
    <w:rsid w:val="00AB4EAB"/>
    <w:rsid w:val="00AB500F"/>
    <w:rsid w:val="00AB5330"/>
    <w:rsid w:val="00AB7747"/>
    <w:rsid w:val="00AB7A64"/>
    <w:rsid w:val="00AC14CE"/>
    <w:rsid w:val="00AC2A56"/>
    <w:rsid w:val="00AC3774"/>
    <w:rsid w:val="00AC3EC8"/>
    <w:rsid w:val="00AD0450"/>
    <w:rsid w:val="00AD055E"/>
    <w:rsid w:val="00AD0F91"/>
    <w:rsid w:val="00AD1628"/>
    <w:rsid w:val="00AD47A7"/>
    <w:rsid w:val="00AD558A"/>
    <w:rsid w:val="00AD5A00"/>
    <w:rsid w:val="00AD5BFE"/>
    <w:rsid w:val="00AD7338"/>
    <w:rsid w:val="00AE36C3"/>
    <w:rsid w:val="00AE4E5E"/>
    <w:rsid w:val="00AE67CE"/>
    <w:rsid w:val="00AE6D87"/>
    <w:rsid w:val="00AF0CBF"/>
    <w:rsid w:val="00AF1A01"/>
    <w:rsid w:val="00AF257F"/>
    <w:rsid w:val="00AF2775"/>
    <w:rsid w:val="00AF33CF"/>
    <w:rsid w:val="00AF3783"/>
    <w:rsid w:val="00AF3F36"/>
    <w:rsid w:val="00AF4D50"/>
    <w:rsid w:val="00AF4F4A"/>
    <w:rsid w:val="00AF6179"/>
    <w:rsid w:val="00AF7941"/>
    <w:rsid w:val="00B00302"/>
    <w:rsid w:val="00B00BD6"/>
    <w:rsid w:val="00B014DA"/>
    <w:rsid w:val="00B04312"/>
    <w:rsid w:val="00B0507A"/>
    <w:rsid w:val="00B066E0"/>
    <w:rsid w:val="00B06A78"/>
    <w:rsid w:val="00B06AE3"/>
    <w:rsid w:val="00B1295A"/>
    <w:rsid w:val="00B13C3F"/>
    <w:rsid w:val="00B20A45"/>
    <w:rsid w:val="00B20D03"/>
    <w:rsid w:val="00B22BA0"/>
    <w:rsid w:val="00B22C5C"/>
    <w:rsid w:val="00B2365F"/>
    <w:rsid w:val="00B2396F"/>
    <w:rsid w:val="00B24616"/>
    <w:rsid w:val="00B2494E"/>
    <w:rsid w:val="00B24F30"/>
    <w:rsid w:val="00B254C2"/>
    <w:rsid w:val="00B269BF"/>
    <w:rsid w:val="00B31ABF"/>
    <w:rsid w:val="00B3215B"/>
    <w:rsid w:val="00B32CFD"/>
    <w:rsid w:val="00B33BE3"/>
    <w:rsid w:val="00B33EEB"/>
    <w:rsid w:val="00B34898"/>
    <w:rsid w:val="00B355F9"/>
    <w:rsid w:val="00B37D63"/>
    <w:rsid w:val="00B37E2F"/>
    <w:rsid w:val="00B406C6"/>
    <w:rsid w:val="00B44545"/>
    <w:rsid w:val="00B44D6E"/>
    <w:rsid w:val="00B4764B"/>
    <w:rsid w:val="00B503A7"/>
    <w:rsid w:val="00B52690"/>
    <w:rsid w:val="00B52A9C"/>
    <w:rsid w:val="00B53B5D"/>
    <w:rsid w:val="00B5443F"/>
    <w:rsid w:val="00B5611A"/>
    <w:rsid w:val="00B561ED"/>
    <w:rsid w:val="00B6055E"/>
    <w:rsid w:val="00B620F8"/>
    <w:rsid w:val="00B6317D"/>
    <w:rsid w:val="00B654F3"/>
    <w:rsid w:val="00B701B7"/>
    <w:rsid w:val="00B74405"/>
    <w:rsid w:val="00B759B0"/>
    <w:rsid w:val="00B76567"/>
    <w:rsid w:val="00B769FB"/>
    <w:rsid w:val="00B76FEA"/>
    <w:rsid w:val="00B7723F"/>
    <w:rsid w:val="00B80534"/>
    <w:rsid w:val="00B8222F"/>
    <w:rsid w:val="00B82B0A"/>
    <w:rsid w:val="00B82FF3"/>
    <w:rsid w:val="00B834B4"/>
    <w:rsid w:val="00B83FA8"/>
    <w:rsid w:val="00B8433C"/>
    <w:rsid w:val="00B84E29"/>
    <w:rsid w:val="00B86F1A"/>
    <w:rsid w:val="00B87491"/>
    <w:rsid w:val="00B87A8B"/>
    <w:rsid w:val="00B90275"/>
    <w:rsid w:val="00B92181"/>
    <w:rsid w:val="00B93802"/>
    <w:rsid w:val="00B9393C"/>
    <w:rsid w:val="00B94D2F"/>
    <w:rsid w:val="00B96307"/>
    <w:rsid w:val="00B96456"/>
    <w:rsid w:val="00BA29E9"/>
    <w:rsid w:val="00BA4F4F"/>
    <w:rsid w:val="00BA60B1"/>
    <w:rsid w:val="00BA7142"/>
    <w:rsid w:val="00BA72CF"/>
    <w:rsid w:val="00BB08D9"/>
    <w:rsid w:val="00BB0DA9"/>
    <w:rsid w:val="00BB237C"/>
    <w:rsid w:val="00BB41A3"/>
    <w:rsid w:val="00BB56D3"/>
    <w:rsid w:val="00BB60D3"/>
    <w:rsid w:val="00BC036B"/>
    <w:rsid w:val="00BC1C44"/>
    <w:rsid w:val="00BC278F"/>
    <w:rsid w:val="00BC32DC"/>
    <w:rsid w:val="00BC35B6"/>
    <w:rsid w:val="00BC3A1F"/>
    <w:rsid w:val="00BC4CF2"/>
    <w:rsid w:val="00BC57CD"/>
    <w:rsid w:val="00BC6FDD"/>
    <w:rsid w:val="00BC757B"/>
    <w:rsid w:val="00BC7ADE"/>
    <w:rsid w:val="00BD1B51"/>
    <w:rsid w:val="00BD4596"/>
    <w:rsid w:val="00BD49E9"/>
    <w:rsid w:val="00BD5FE6"/>
    <w:rsid w:val="00BD7EC8"/>
    <w:rsid w:val="00BE1405"/>
    <w:rsid w:val="00BE1545"/>
    <w:rsid w:val="00BE312D"/>
    <w:rsid w:val="00BE32F3"/>
    <w:rsid w:val="00BE6EFB"/>
    <w:rsid w:val="00BE7EF8"/>
    <w:rsid w:val="00BF036A"/>
    <w:rsid w:val="00BF0E19"/>
    <w:rsid w:val="00BF0F5A"/>
    <w:rsid w:val="00BF1A5B"/>
    <w:rsid w:val="00BF1C20"/>
    <w:rsid w:val="00BF442D"/>
    <w:rsid w:val="00BF49AD"/>
    <w:rsid w:val="00BF54CC"/>
    <w:rsid w:val="00BF5536"/>
    <w:rsid w:val="00BF706B"/>
    <w:rsid w:val="00C02F15"/>
    <w:rsid w:val="00C041ED"/>
    <w:rsid w:val="00C04682"/>
    <w:rsid w:val="00C05881"/>
    <w:rsid w:val="00C077E0"/>
    <w:rsid w:val="00C10578"/>
    <w:rsid w:val="00C11035"/>
    <w:rsid w:val="00C12DE3"/>
    <w:rsid w:val="00C135BC"/>
    <w:rsid w:val="00C139AA"/>
    <w:rsid w:val="00C14B91"/>
    <w:rsid w:val="00C15C95"/>
    <w:rsid w:val="00C16612"/>
    <w:rsid w:val="00C17DF6"/>
    <w:rsid w:val="00C20228"/>
    <w:rsid w:val="00C241C8"/>
    <w:rsid w:val="00C24881"/>
    <w:rsid w:val="00C25338"/>
    <w:rsid w:val="00C2596A"/>
    <w:rsid w:val="00C2723E"/>
    <w:rsid w:val="00C27537"/>
    <w:rsid w:val="00C31420"/>
    <w:rsid w:val="00C316EF"/>
    <w:rsid w:val="00C32394"/>
    <w:rsid w:val="00C328FE"/>
    <w:rsid w:val="00C33507"/>
    <w:rsid w:val="00C33E43"/>
    <w:rsid w:val="00C34C24"/>
    <w:rsid w:val="00C41C96"/>
    <w:rsid w:val="00C4409D"/>
    <w:rsid w:val="00C44682"/>
    <w:rsid w:val="00C44E72"/>
    <w:rsid w:val="00C45A06"/>
    <w:rsid w:val="00C47307"/>
    <w:rsid w:val="00C47E5B"/>
    <w:rsid w:val="00C47FA7"/>
    <w:rsid w:val="00C50EFC"/>
    <w:rsid w:val="00C5107A"/>
    <w:rsid w:val="00C5153F"/>
    <w:rsid w:val="00C524D6"/>
    <w:rsid w:val="00C54147"/>
    <w:rsid w:val="00C55C62"/>
    <w:rsid w:val="00C565F7"/>
    <w:rsid w:val="00C57EBB"/>
    <w:rsid w:val="00C60B49"/>
    <w:rsid w:val="00C61E4B"/>
    <w:rsid w:val="00C61E8D"/>
    <w:rsid w:val="00C621A8"/>
    <w:rsid w:val="00C63F1C"/>
    <w:rsid w:val="00C64177"/>
    <w:rsid w:val="00C64BFF"/>
    <w:rsid w:val="00C66CA7"/>
    <w:rsid w:val="00C66F4B"/>
    <w:rsid w:val="00C70300"/>
    <w:rsid w:val="00C704E9"/>
    <w:rsid w:val="00C70A51"/>
    <w:rsid w:val="00C70D11"/>
    <w:rsid w:val="00C73635"/>
    <w:rsid w:val="00C73F05"/>
    <w:rsid w:val="00C73FFE"/>
    <w:rsid w:val="00C74CCF"/>
    <w:rsid w:val="00C74CF3"/>
    <w:rsid w:val="00C75EDE"/>
    <w:rsid w:val="00C763C9"/>
    <w:rsid w:val="00C77E20"/>
    <w:rsid w:val="00C80057"/>
    <w:rsid w:val="00C82232"/>
    <w:rsid w:val="00C82376"/>
    <w:rsid w:val="00C823C4"/>
    <w:rsid w:val="00C82913"/>
    <w:rsid w:val="00C832AA"/>
    <w:rsid w:val="00C84461"/>
    <w:rsid w:val="00C9174D"/>
    <w:rsid w:val="00C922FC"/>
    <w:rsid w:val="00C948EB"/>
    <w:rsid w:val="00C96B50"/>
    <w:rsid w:val="00C972B1"/>
    <w:rsid w:val="00CA0228"/>
    <w:rsid w:val="00CA0384"/>
    <w:rsid w:val="00CA2CCE"/>
    <w:rsid w:val="00CA3DD5"/>
    <w:rsid w:val="00CA43FD"/>
    <w:rsid w:val="00CA50BE"/>
    <w:rsid w:val="00CA54E4"/>
    <w:rsid w:val="00CA5B94"/>
    <w:rsid w:val="00CA613C"/>
    <w:rsid w:val="00CA7EEA"/>
    <w:rsid w:val="00CA7EF8"/>
    <w:rsid w:val="00CB188D"/>
    <w:rsid w:val="00CB33A4"/>
    <w:rsid w:val="00CB57D7"/>
    <w:rsid w:val="00CC0693"/>
    <w:rsid w:val="00CC1594"/>
    <w:rsid w:val="00CC39D5"/>
    <w:rsid w:val="00CC489B"/>
    <w:rsid w:val="00CC4E46"/>
    <w:rsid w:val="00CC51E4"/>
    <w:rsid w:val="00CC5C64"/>
    <w:rsid w:val="00CD030D"/>
    <w:rsid w:val="00CD0CC7"/>
    <w:rsid w:val="00CD121E"/>
    <w:rsid w:val="00CD1788"/>
    <w:rsid w:val="00CD268F"/>
    <w:rsid w:val="00CD2840"/>
    <w:rsid w:val="00CD2BCD"/>
    <w:rsid w:val="00CD3A4C"/>
    <w:rsid w:val="00CD4CEC"/>
    <w:rsid w:val="00CD75EE"/>
    <w:rsid w:val="00CD79DA"/>
    <w:rsid w:val="00CE001D"/>
    <w:rsid w:val="00CE10E9"/>
    <w:rsid w:val="00CE26AE"/>
    <w:rsid w:val="00CE2910"/>
    <w:rsid w:val="00CE2A98"/>
    <w:rsid w:val="00CE4B79"/>
    <w:rsid w:val="00CE5393"/>
    <w:rsid w:val="00CE5486"/>
    <w:rsid w:val="00CE5FFA"/>
    <w:rsid w:val="00CE72AE"/>
    <w:rsid w:val="00CF06D2"/>
    <w:rsid w:val="00CF2DB5"/>
    <w:rsid w:val="00CF36BE"/>
    <w:rsid w:val="00CF3752"/>
    <w:rsid w:val="00CF4068"/>
    <w:rsid w:val="00CF465F"/>
    <w:rsid w:val="00CF535D"/>
    <w:rsid w:val="00CF5BCC"/>
    <w:rsid w:val="00CF6000"/>
    <w:rsid w:val="00CF6F30"/>
    <w:rsid w:val="00CF7C21"/>
    <w:rsid w:val="00D003F3"/>
    <w:rsid w:val="00D0060F"/>
    <w:rsid w:val="00D01DE1"/>
    <w:rsid w:val="00D03026"/>
    <w:rsid w:val="00D03439"/>
    <w:rsid w:val="00D0364F"/>
    <w:rsid w:val="00D0407F"/>
    <w:rsid w:val="00D045D1"/>
    <w:rsid w:val="00D063D4"/>
    <w:rsid w:val="00D06834"/>
    <w:rsid w:val="00D073B0"/>
    <w:rsid w:val="00D074CA"/>
    <w:rsid w:val="00D11C5C"/>
    <w:rsid w:val="00D152F3"/>
    <w:rsid w:val="00D15438"/>
    <w:rsid w:val="00D16A9A"/>
    <w:rsid w:val="00D20B4D"/>
    <w:rsid w:val="00D24FF0"/>
    <w:rsid w:val="00D26175"/>
    <w:rsid w:val="00D26EA1"/>
    <w:rsid w:val="00D275FB"/>
    <w:rsid w:val="00D306FF"/>
    <w:rsid w:val="00D308ED"/>
    <w:rsid w:val="00D3394F"/>
    <w:rsid w:val="00D348C5"/>
    <w:rsid w:val="00D36138"/>
    <w:rsid w:val="00D36D86"/>
    <w:rsid w:val="00D41643"/>
    <w:rsid w:val="00D428AA"/>
    <w:rsid w:val="00D42B17"/>
    <w:rsid w:val="00D437A5"/>
    <w:rsid w:val="00D4549B"/>
    <w:rsid w:val="00D4587A"/>
    <w:rsid w:val="00D460D6"/>
    <w:rsid w:val="00D5063D"/>
    <w:rsid w:val="00D50A34"/>
    <w:rsid w:val="00D52E6F"/>
    <w:rsid w:val="00D53782"/>
    <w:rsid w:val="00D53E9B"/>
    <w:rsid w:val="00D53EFA"/>
    <w:rsid w:val="00D54477"/>
    <w:rsid w:val="00D57857"/>
    <w:rsid w:val="00D57915"/>
    <w:rsid w:val="00D57C8D"/>
    <w:rsid w:val="00D6016E"/>
    <w:rsid w:val="00D61FC4"/>
    <w:rsid w:val="00D63549"/>
    <w:rsid w:val="00D63D3B"/>
    <w:rsid w:val="00D6417E"/>
    <w:rsid w:val="00D66A2E"/>
    <w:rsid w:val="00D67484"/>
    <w:rsid w:val="00D67E0B"/>
    <w:rsid w:val="00D705D0"/>
    <w:rsid w:val="00D710F1"/>
    <w:rsid w:val="00D72607"/>
    <w:rsid w:val="00D75561"/>
    <w:rsid w:val="00D8174F"/>
    <w:rsid w:val="00D81946"/>
    <w:rsid w:val="00D82794"/>
    <w:rsid w:val="00D83988"/>
    <w:rsid w:val="00D852FB"/>
    <w:rsid w:val="00D87B8E"/>
    <w:rsid w:val="00D90104"/>
    <w:rsid w:val="00D915E3"/>
    <w:rsid w:val="00D926B4"/>
    <w:rsid w:val="00D94A7C"/>
    <w:rsid w:val="00D95382"/>
    <w:rsid w:val="00D95896"/>
    <w:rsid w:val="00D9613C"/>
    <w:rsid w:val="00D96302"/>
    <w:rsid w:val="00DA0928"/>
    <w:rsid w:val="00DA14C9"/>
    <w:rsid w:val="00DA3EA5"/>
    <w:rsid w:val="00DA5610"/>
    <w:rsid w:val="00DA72E1"/>
    <w:rsid w:val="00DB0137"/>
    <w:rsid w:val="00DB20F7"/>
    <w:rsid w:val="00DB215E"/>
    <w:rsid w:val="00DB2983"/>
    <w:rsid w:val="00DB2A8A"/>
    <w:rsid w:val="00DB427E"/>
    <w:rsid w:val="00DB4CB2"/>
    <w:rsid w:val="00DB6759"/>
    <w:rsid w:val="00DC06C5"/>
    <w:rsid w:val="00DC1257"/>
    <w:rsid w:val="00DC208C"/>
    <w:rsid w:val="00DC2DD5"/>
    <w:rsid w:val="00DC3DC0"/>
    <w:rsid w:val="00DC4A2A"/>
    <w:rsid w:val="00DC51CC"/>
    <w:rsid w:val="00DC5B2B"/>
    <w:rsid w:val="00DC5E6F"/>
    <w:rsid w:val="00DD2F96"/>
    <w:rsid w:val="00DD318D"/>
    <w:rsid w:val="00DD4F6F"/>
    <w:rsid w:val="00DD4FE1"/>
    <w:rsid w:val="00DD5748"/>
    <w:rsid w:val="00DD5970"/>
    <w:rsid w:val="00DD5B28"/>
    <w:rsid w:val="00DD5FD4"/>
    <w:rsid w:val="00DD7169"/>
    <w:rsid w:val="00DE06DA"/>
    <w:rsid w:val="00DE089D"/>
    <w:rsid w:val="00DE2692"/>
    <w:rsid w:val="00DE3F4C"/>
    <w:rsid w:val="00DE6BF3"/>
    <w:rsid w:val="00DF0CFE"/>
    <w:rsid w:val="00DF14BB"/>
    <w:rsid w:val="00DF2E12"/>
    <w:rsid w:val="00DF3269"/>
    <w:rsid w:val="00DF3BEE"/>
    <w:rsid w:val="00DF3F59"/>
    <w:rsid w:val="00DF50B9"/>
    <w:rsid w:val="00DF514A"/>
    <w:rsid w:val="00DF6690"/>
    <w:rsid w:val="00DF6804"/>
    <w:rsid w:val="00DF7398"/>
    <w:rsid w:val="00E019EA"/>
    <w:rsid w:val="00E0358D"/>
    <w:rsid w:val="00E03697"/>
    <w:rsid w:val="00E04323"/>
    <w:rsid w:val="00E04739"/>
    <w:rsid w:val="00E070A2"/>
    <w:rsid w:val="00E10B24"/>
    <w:rsid w:val="00E118B3"/>
    <w:rsid w:val="00E127AE"/>
    <w:rsid w:val="00E13EAD"/>
    <w:rsid w:val="00E16CE6"/>
    <w:rsid w:val="00E16FE2"/>
    <w:rsid w:val="00E21837"/>
    <w:rsid w:val="00E22BF4"/>
    <w:rsid w:val="00E26199"/>
    <w:rsid w:val="00E2656A"/>
    <w:rsid w:val="00E30459"/>
    <w:rsid w:val="00E30FAC"/>
    <w:rsid w:val="00E31D0D"/>
    <w:rsid w:val="00E32D5A"/>
    <w:rsid w:val="00E33444"/>
    <w:rsid w:val="00E34284"/>
    <w:rsid w:val="00E40880"/>
    <w:rsid w:val="00E412D0"/>
    <w:rsid w:val="00E414C2"/>
    <w:rsid w:val="00E4396B"/>
    <w:rsid w:val="00E43A5E"/>
    <w:rsid w:val="00E43D3A"/>
    <w:rsid w:val="00E4548C"/>
    <w:rsid w:val="00E4672A"/>
    <w:rsid w:val="00E506A4"/>
    <w:rsid w:val="00E50856"/>
    <w:rsid w:val="00E50D26"/>
    <w:rsid w:val="00E52424"/>
    <w:rsid w:val="00E56322"/>
    <w:rsid w:val="00E6056E"/>
    <w:rsid w:val="00E60982"/>
    <w:rsid w:val="00E60EE8"/>
    <w:rsid w:val="00E61131"/>
    <w:rsid w:val="00E61DC5"/>
    <w:rsid w:val="00E6284A"/>
    <w:rsid w:val="00E62C62"/>
    <w:rsid w:val="00E64D6C"/>
    <w:rsid w:val="00E653D6"/>
    <w:rsid w:val="00E654C1"/>
    <w:rsid w:val="00E65D97"/>
    <w:rsid w:val="00E6698B"/>
    <w:rsid w:val="00E6773A"/>
    <w:rsid w:val="00E70389"/>
    <w:rsid w:val="00E72A5A"/>
    <w:rsid w:val="00E73354"/>
    <w:rsid w:val="00E73383"/>
    <w:rsid w:val="00E760F5"/>
    <w:rsid w:val="00E77192"/>
    <w:rsid w:val="00E8047A"/>
    <w:rsid w:val="00E806B0"/>
    <w:rsid w:val="00E81DD2"/>
    <w:rsid w:val="00E82BB1"/>
    <w:rsid w:val="00E83B4D"/>
    <w:rsid w:val="00E86376"/>
    <w:rsid w:val="00E86DC7"/>
    <w:rsid w:val="00E9242D"/>
    <w:rsid w:val="00E92F46"/>
    <w:rsid w:val="00E933B5"/>
    <w:rsid w:val="00E93C82"/>
    <w:rsid w:val="00E95472"/>
    <w:rsid w:val="00E967A8"/>
    <w:rsid w:val="00E9734A"/>
    <w:rsid w:val="00EA1558"/>
    <w:rsid w:val="00EA197B"/>
    <w:rsid w:val="00EA42DA"/>
    <w:rsid w:val="00EA5B16"/>
    <w:rsid w:val="00EA6F89"/>
    <w:rsid w:val="00EB0297"/>
    <w:rsid w:val="00EB06A5"/>
    <w:rsid w:val="00EB1C0E"/>
    <w:rsid w:val="00EB3671"/>
    <w:rsid w:val="00EB3EB4"/>
    <w:rsid w:val="00EB5255"/>
    <w:rsid w:val="00EB5C47"/>
    <w:rsid w:val="00EB653A"/>
    <w:rsid w:val="00EB7B1E"/>
    <w:rsid w:val="00EB7E60"/>
    <w:rsid w:val="00EC1613"/>
    <w:rsid w:val="00EC24DA"/>
    <w:rsid w:val="00EC3E80"/>
    <w:rsid w:val="00EC7239"/>
    <w:rsid w:val="00ED0639"/>
    <w:rsid w:val="00ED3B36"/>
    <w:rsid w:val="00ED3BD8"/>
    <w:rsid w:val="00EE1223"/>
    <w:rsid w:val="00EE12F8"/>
    <w:rsid w:val="00EE1BD7"/>
    <w:rsid w:val="00EE2D18"/>
    <w:rsid w:val="00EE330E"/>
    <w:rsid w:val="00EE3D12"/>
    <w:rsid w:val="00EE5C20"/>
    <w:rsid w:val="00EE5DA6"/>
    <w:rsid w:val="00EE607E"/>
    <w:rsid w:val="00EF16FF"/>
    <w:rsid w:val="00EF269B"/>
    <w:rsid w:val="00EF2DC5"/>
    <w:rsid w:val="00EF380D"/>
    <w:rsid w:val="00EF4755"/>
    <w:rsid w:val="00EF4A1F"/>
    <w:rsid w:val="00EF5BA2"/>
    <w:rsid w:val="00EF66B2"/>
    <w:rsid w:val="00EF7135"/>
    <w:rsid w:val="00F001C9"/>
    <w:rsid w:val="00F027DB"/>
    <w:rsid w:val="00F03B26"/>
    <w:rsid w:val="00F04BF9"/>
    <w:rsid w:val="00F072A9"/>
    <w:rsid w:val="00F0765B"/>
    <w:rsid w:val="00F07FA5"/>
    <w:rsid w:val="00F13D76"/>
    <w:rsid w:val="00F14A7A"/>
    <w:rsid w:val="00F15AF7"/>
    <w:rsid w:val="00F17C29"/>
    <w:rsid w:val="00F22985"/>
    <w:rsid w:val="00F25D20"/>
    <w:rsid w:val="00F26C9A"/>
    <w:rsid w:val="00F30D09"/>
    <w:rsid w:val="00F3383E"/>
    <w:rsid w:val="00F3389A"/>
    <w:rsid w:val="00F34707"/>
    <w:rsid w:val="00F35636"/>
    <w:rsid w:val="00F368FC"/>
    <w:rsid w:val="00F36DF4"/>
    <w:rsid w:val="00F40F0F"/>
    <w:rsid w:val="00F417AC"/>
    <w:rsid w:val="00F4386C"/>
    <w:rsid w:val="00F44150"/>
    <w:rsid w:val="00F443C8"/>
    <w:rsid w:val="00F44F67"/>
    <w:rsid w:val="00F452C4"/>
    <w:rsid w:val="00F465A7"/>
    <w:rsid w:val="00F50B7C"/>
    <w:rsid w:val="00F52C52"/>
    <w:rsid w:val="00F52C68"/>
    <w:rsid w:val="00F53669"/>
    <w:rsid w:val="00F550E6"/>
    <w:rsid w:val="00F55858"/>
    <w:rsid w:val="00F705B3"/>
    <w:rsid w:val="00F7100D"/>
    <w:rsid w:val="00F72CA9"/>
    <w:rsid w:val="00F72D01"/>
    <w:rsid w:val="00F73714"/>
    <w:rsid w:val="00F74345"/>
    <w:rsid w:val="00F74A57"/>
    <w:rsid w:val="00F77108"/>
    <w:rsid w:val="00F77672"/>
    <w:rsid w:val="00F80A0A"/>
    <w:rsid w:val="00F82B19"/>
    <w:rsid w:val="00F82C55"/>
    <w:rsid w:val="00F82FD8"/>
    <w:rsid w:val="00F8695A"/>
    <w:rsid w:val="00F87199"/>
    <w:rsid w:val="00F903C7"/>
    <w:rsid w:val="00F907CF"/>
    <w:rsid w:val="00F9212D"/>
    <w:rsid w:val="00F932AE"/>
    <w:rsid w:val="00F965DA"/>
    <w:rsid w:val="00F96724"/>
    <w:rsid w:val="00F96992"/>
    <w:rsid w:val="00FA00A3"/>
    <w:rsid w:val="00FA2B09"/>
    <w:rsid w:val="00FA2C23"/>
    <w:rsid w:val="00FA406A"/>
    <w:rsid w:val="00FA4137"/>
    <w:rsid w:val="00FA60AC"/>
    <w:rsid w:val="00FA7D6F"/>
    <w:rsid w:val="00FB076F"/>
    <w:rsid w:val="00FB10FF"/>
    <w:rsid w:val="00FB127F"/>
    <w:rsid w:val="00FB1B19"/>
    <w:rsid w:val="00FB23D9"/>
    <w:rsid w:val="00FB2724"/>
    <w:rsid w:val="00FB2CF9"/>
    <w:rsid w:val="00FB503A"/>
    <w:rsid w:val="00FB516C"/>
    <w:rsid w:val="00FB62BB"/>
    <w:rsid w:val="00FB62F5"/>
    <w:rsid w:val="00FB7449"/>
    <w:rsid w:val="00FC0D24"/>
    <w:rsid w:val="00FC206D"/>
    <w:rsid w:val="00FC30A3"/>
    <w:rsid w:val="00FC3705"/>
    <w:rsid w:val="00FC4212"/>
    <w:rsid w:val="00FD0236"/>
    <w:rsid w:val="00FD18F4"/>
    <w:rsid w:val="00FD345A"/>
    <w:rsid w:val="00FD3F33"/>
    <w:rsid w:val="00FD43CD"/>
    <w:rsid w:val="00FD54DB"/>
    <w:rsid w:val="00FD5616"/>
    <w:rsid w:val="00FD5A14"/>
    <w:rsid w:val="00FD619F"/>
    <w:rsid w:val="00FD6EB0"/>
    <w:rsid w:val="00FE1942"/>
    <w:rsid w:val="00FE2070"/>
    <w:rsid w:val="00FE28CB"/>
    <w:rsid w:val="00FE4037"/>
    <w:rsid w:val="00FE59B7"/>
    <w:rsid w:val="00FE636D"/>
    <w:rsid w:val="00FE75B6"/>
    <w:rsid w:val="00FF067D"/>
    <w:rsid w:val="00FF4AB7"/>
    <w:rsid w:val="00FF50B5"/>
    <w:rsid w:val="00FF6A09"/>
    <w:rsid w:val="00FF6C32"/>
    <w:rsid w:val="00FF76AF"/>
    <w:rsid w:val="01001B5E"/>
    <w:rsid w:val="01004D0D"/>
    <w:rsid w:val="01011432"/>
    <w:rsid w:val="01012683"/>
    <w:rsid w:val="01015872"/>
    <w:rsid w:val="010179A4"/>
    <w:rsid w:val="01020E01"/>
    <w:rsid w:val="01022F1A"/>
    <w:rsid w:val="010238E8"/>
    <w:rsid w:val="010250E3"/>
    <w:rsid w:val="01026FFE"/>
    <w:rsid w:val="0103150C"/>
    <w:rsid w:val="010318FA"/>
    <w:rsid w:val="01032313"/>
    <w:rsid w:val="010330DB"/>
    <w:rsid w:val="0103674C"/>
    <w:rsid w:val="010417B4"/>
    <w:rsid w:val="010424EF"/>
    <w:rsid w:val="01044F76"/>
    <w:rsid w:val="01051482"/>
    <w:rsid w:val="01054013"/>
    <w:rsid w:val="0105534D"/>
    <w:rsid w:val="010637E1"/>
    <w:rsid w:val="01067C6D"/>
    <w:rsid w:val="01076908"/>
    <w:rsid w:val="010827C0"/>
    <w:rsid w:val="01086C64"/>
    <w:rsid w:val="01093391"/>
    <w:rsid w:val="01094755"/>
    <w:rsid w:val="010A29DC"/>
    <w:rsid w:val="010A353B"/>
    <w:rsid w:val="010A478A"/>
    <w:rsid w:val="010A5E21"/>
    <w:rsid w:val="010C3ADF"/>
    <w:rsid w:val="010D6029"/>
    <w:rsid w:val="010E7F54"/>
    <w:rsid w:val="010F3B4F"/>
    <w:rsid w:val="01102460"/>
    <w:rsid w:val="01103A85"/>
    <w:rsid w:val="01105031"/>
    <w:rsid w:val="01105D10"/>
    <w:rsid w:val="011078C7"/>
    <w:rsid w:val="011138F0"/>
    <w:rsid w:val="01113D6B"/>
    <w:rsid w:val="01115B19"/>
    <w:rsid w:val="01136353"/>
    <w:rsid w:val="011375A8"/>
    <w:rsid w:val="01145609"/>
    <w:rsid w:val="01154EDD"/>
    <w:rsid w:val="01161381"/>
    <w:rsid w:val="01162A0A"/>
    <w:rsid w:val="011662CC"/>
    <w:rsid w:val="011678BF"/>
    <w:rsid w:val="01170C55"/>
    <w:rsid w:val="01176EA7"/>
    <w:rsid w:val="01186083"/>
    <w:rsid w:val="01195642"/>
    <w:rsid w:val="0119677B"/>
    <w:rsid w:val="011B2144"/>
    <w:rsid w:val="011B523C"/>
    <w:rsid w:val="011C3615"/>
    <w:rsid w:val="011C626C"/>
    <w:rsid w:val="011D2710"/>
    <w:rsid w:val="011D5029"/>
    <w:rsid w:val="011E0236"/>
    <w:rsid w:val="011E1FE4"/>
    <w:rsid w:val="011F0212"/>
    <w:rsid w:val="011F23CD"/>
    <w:rsid w:val="011F3BA4"/>
    <w:rsid w:val="01203FAE"/>
    <w:rsid w:val="0120673C"/>
    <w:rsid w:val="01214875"/>
    <w:rsid w:val="01235E37"/>
    <w:rsid w:val="01237029"/>
    <w:rsid w:val="01242E93"/>
    <w:rsid w:val="01251650"/>
    <w:rsid w:val="01253372"/>
    <w:rsid w:val="01255120"/>
    <w:rsid w:val="012610EC"/>
    <w:rsid w:val="012610ED"/>
    <w:rsid w:val="01264686"/>
    <w:rsid w:val="012670EA"/>
    <w:rsid w:val="012704F5"/>
    <w:rsid w:val="01275B88"/>
    <w:rsid w:val="0127637F"/>
    <w:rsid w:val="012810B4"/>
    <w:rsid w:val="01284C10"/>
    <w:rsid w:val="01290F7E"/>
    <w:rsid w:val="01296AAA"/>
    <w:rsid w:val="012A083E"/>
    <w:rsid w:val="012A3E56"/>
    <w:rsid w:val="012A6BDB"/>
    <w:rsid w:val="012C2953"/>
    <w:rsid w:val="012C30C9"/>
    <w:rsid w:val="012D0479"/>
    <w:rsid w:val="012D66CB"/>
    <w:rsid w:val="012D74B5"/>
    <w:rsid w:val="012F2443"/>
    <w:rsid w:val="012F41F1"/>
    <w:rsid w:val="012F4995"/>
    <w:rsid w:val="012F4BBE"/>
    <w:rsid w:val="012F5F9F"/>
    <w:rsid w:val="01311D17"/>
    <w:rsid w:val="01313594"/>
    <w:rsid w:val="01315902"/>
    <w:rsid w:val="0132783D"/>
    <w:rsid w:val="0133410F"/>
    <w:rsid w:val="01335EAF"/>
    <w:rsid w:val="01341276"/>
    <w:rsid w:val="01343E1F"/>
    <w:rsid w:val="01344A07"/>
    <w:rsid w:val="01347A59"/>
    <w:rsid w:val="013549A2"/>
    <w:rsid w:val="01360D78"/>
    <w:rsid w:val="01360DBD"/>
    <w:rsid w:val="0136732D"/>
    <w:rsid w:val="013701DC"/>
    <w:rsid w:val="013712F7"/>
    <w:rsid w:val="013730A5"/>
    <w:rsid w:val="01374E54"/>
    <w:rsid w:val="01376EBD"/>
    <w:rsid w:val="01377239"/>
    <w:rsid w:val="013872C4"/>
    <w:rsid w:val="01390BCC"/>
    <w:rsid w:val="01392E52"/>
    <w:rsid w:val="01395070"/>
    <w:rsid w:val="01396E1E"/>
    <w:rsid w:val="013A56CD"/>
    <w:rsid w:val="013B2B96"/>
    <w:rsid w:val="013B6B5D"/>
    <w:rsid w:val="013C06BC"/>
    <w:rsid w:val="013C690E"/>
    <w:rsid w:val="013D404E"/>
    <w:rsid w:val="013D5C34"/>
    <w:rsid w:val="013E4434"/>
    <w:rsid w:val="013E61E2"/>
    <w:rsid w:val="014001AC"/>
    <w:rsid w:val="01412712"/>
    <w:rsid w:val="01414C19"/>
    <w:rsid w:val="01415F08"/>
    <w:rsid w:val="01421B36"/>
    <w:rsid w:val="01422176"/>
    <w:rsid w:val="01423F24"/>
    <w:rsid w:val="01424C9E"/>
    <w:rsid w:val="014270DF"/>
    <w:rsid w:val="014337F8"/>
    <w:rsid w:val="01435D9C"/>
    <w:rsid w:val="014360A6"/>
    <w:rsid w:val="01440858"/>
    <w:rsid w:val="01444A6E"/>
    <w:rsid w:val="01451576"/>
    <w:rsid w:val="01452F3F"/>
    <w:rsid w:val="01475B40"/>
    <w:rsid w:val="014852B3"/>
    <w:rsid w:val="014866DE"/>
    <w:rsid w:val="01487CE6"/>
    <w:rsid w:val="014B08FF"/>
    <w:rsid w:val="014B7160"/>
    <w:rsid w:val="014B7AE2"/>
    <w:rsid w:val="014C20F7"/>
    <w:rsid w:val="014C21BA"/>
    <w:rsid w:val="014C25AB"/>
    <w:rsid w:val="014C4DA3"/>
    <w:rsid w:val="014C6B51"/>
    <w:rsid w:val="014D0B1B"/>
    <w:rsid w:val="014D28C9"/>
    <w:rsid w:val="014D3BE0"/>
    <w:rsid w:val="014F219D"/>
    <w:rsid w:val="014F34AC"/>
    <w:rsid w:val="014F6463"/>
    <w:rsid w:val="01511C1C"/>
    <w:rsid w:val="01514167"/>
    <w:rsid w:val="01514860"/>
    <w:rsid w:val="015150E8"/>
    <w:rsid w:val="01521561"/>
    <w:rsid w:val="015224A0"/>
    <w:rsid w:val="01527921"/>
    <w:rsid w:val="01527EDF"/>
    <w:rsid w:val="01536131"/>
    <w:rsid w:val="01541EA9"/>
    <w:rsid w:val="01543C57"/>
    <w:rsid w:val="01545A05"/>
    <w:rsid w:val="01553765"/>
    <w:rsid w:val="01564BF5"/>
    <w:rsid w:val="01565C22"/>
    <w:rsid w:val="0157021D"/>
    <w:rsid w:val="015721D2"/>
    <w:rsid w:val="01574519"/>
    <w:rsid w:val="015754F6"/>
    <w:rsid w:val="01576085"/>
    <w:rsid w:val="01582887"/>
    <w:rsid w:val="01584C64"/>
    <w:rsid w:val="01590A3C"/>
    <w:rsid w:val="0159126E"/>
    <w:rsid w:val="0159595B"/>
    <w:rsid w:val="015974C0"/>
    <w:rsid w:val="015A62EC"/>
    <w:rsid w:val="015B3238"/>
    <w:rsid w:val="015C2B0C"/>
    <w:rsid w:val="015C48BA"/>
    <w:rsid w:val="015D0D5E"/>
    <w:rsid w:val="015D1E09"/>
    <w:rsid w:val="015D7E49"/>
    <w:rsid w:val="015E0632"/>
    <w:rsid w:val="015F33CC"/>
    <w:rsid w:val="0160034F"/>
    <w:rsid w:val="0160084E"/>
    <w:rsid w:val="0160298A"/>
    <w:rsid w:val="01603061"/>
    <w:rsid w:val="01605E40"/>
    <w:rsid w:val="01611F49"/>
    <w:rsid w:val="01615D05"/>
    <w:rsid w:val="016320EC"/>
    <w:rsid w:val="01633ADA"/>
    <w:rsid w:val="01633CD3"/>
    <w:rsid w:val="016340E6"/>
    <w:rsid w:val="0164079A"/>
    <w:rsid w:val="016471F9"/>
    <w:rsid w:val="016519C1"/>
    <w:rsid w:val="01665E9C"/>
    <w:rsid w:val="01671BDD"/>
    <w:rsid w:val="01675023"/>
    <w:rsid w:val="01675739"/>
    <w:rsid w:val="0168325F"/>
    <w:rsid w:val="01685AF7"/>
    <w:rsid w:val="01696E62"/>
    <w:rsid w:val="016A347B"/>
    <w:rsid w:val="016C055C"/>
    <w:rsid w:val="016D19EC"/>
    <w:rsid w:val="016D6AC7"/>
    <w:rsid w:val="016E2F6B"/>
    <w:rsid w:val="016F283F"/>
    <w:rsid w:val="01703AEE"/>
    <w:rsid w:val="01703CE4"/>
    <w:rsid w:val="0173411D"/>
    <w:rsid w:val="017442FA"/>
    <w:rsid w:val="01747E56"/>
    <w:rsid w:val="01752D4F"/>
    <w:rsid w:val="0176160E"/>
    <w:rsid w:val="01761E20"/>
    <w:rsid w:val="017641DF"/>
    <w:rsid w:val="017654F3"/>
    <w:rsid w:val="017716F4"/>
    <w:rsid w:val="01785B98"/>
    <w:rsid w:val="01785D5A"/>
    <w:rsid w:val="01787946"/>
    <w:rsid w:val="01791910"/>
    <w:rsid w:val="017936BE"/>
    <w:rsid w:val="017A53E0"/>
    <w:rsid w:val="017B2F92"/>
    <w:rsid w:val="017B514E"/>
    <w:rsid w:val="017B5688"/>
    <w:rsid w:val="017B7436"/>
    <w:rsid w:val="017C0051"/>
    <w:rsid w:val="017C414C"/>
    <w:rsid w:val="017D31AE"/>
    <w:rsid w:val="017D4F5C"/>
    <w:rsid w:val="017D58B3"/>
    <w:rsid w:val="017D7424"/>
    <w:rsid w:val="017D7944"/>
    <w:rsid w:val="017E0CD4"/>
    <w:rsid w:val="017E162C"/>
    <w:rsid w:val="017E2A82"/>
    <w:rsid w:val="017E34EB"/>
    <w:rsid w:val="017E6F26"/>
    <w:rsid w:val="017E7D60"/>
    <w:rsid w:val="017F14F9"/>
    <w:rsid w:val="017F3A89"/>
    <w:rsid w:val="017F6CCD"/>
    <w:rsid w:val="01802C9E"/>
    <w:rsid w:val="018067FB"/>
    <w:rsid w:val="01813163"/>
    <w:rsid w:val="01814321"/>
    <w:rsid w:val="018204AD"/>
    <w:rsid w:val="0182157D"/>
    <w:rsid w:val="01822573"/>
    <w:rsid w:val="01822782"/>
    <w:rsid w:val="018276FB"/>
    <w:rsid w:val="01830099"/>
    <w:rsid w:val="01833C12"/>
    <w:rsid w:val="018344BB"/>
    <w:rsid w:val="018362EB"/>
    <w:rsid w:val="01836952"/>
    <w:rsid w:val="0184241E"/>
    <w:rsid w:val="01843316"/>
    <w:rsid w:val="018436A7"/>
    <w:rsid w:val="01846A5E"/>
    <w:rsid w:val="018607C2"/>
    <w:rsid w:val="01863CD4"/>
    <w:rsid w:val="01866A9D"/>
    <w:rsid w:val="0187128D"/>
    <w:rsid w:val="01877B89"/>
    <w:rsid w:val="018856AF"/>
    <w:rsid w:val="01885C73"/>
    <w:rsid w:val="01892F05"/>
    <w:rsid w:val="01893741"/>
    <w:rsid w:val="01897A84"/>
    <w:rsid w:val="018A0F14"/>
    <w:rsid w:val="018A1DB8"/>
    <w:rsid w:val="018A7679"/>
    <w:rsid w:val="018B239E"/>
    <w:rsid w:val="018B23A4"/>
    <w:rsid w:val="018C1375"/>
    <w:rsid w:val="018C1643"/>
    <w:rsid w:val="018C23CB"/>
    <w:rsid w:val="018C519F"/>
    <w:rsid w:val="018C7327"/>
    <w:rsid w:val="018D0F17"/>
    <w:rsid w:val="018D7EF2"/>
    <w:rsid w:val="018F033A"/>
    <w:rsid w:val="018F2EE2"/>
    <w:rsid w:val="01902A0B"/>
    <w:rsid w:val="019127B6"/>
    <w:rsid w:val="01913DF5"/>
    <w:rsid w:val="01914B54"/>
    <w:rsid w:val="0193296B"/>
    <w:rsid w:val="019404F8"/>
    <w:rsid w:val="0194674A"/>
    <w:rsid w:val="01946CB2"/>
    <w:rsid w:val="0196601E"/>
    <w:rsid w:val="01967DCC"/>
    <w:rsid w:val="019770D8"/>
    <w:rsid w:val="0198159D"/>
    <w:rsid w:val="01981D96"/>
    <w:rsid w:val="019822BC"/>
    <w:rsid w:val="019849A8"/>
    <w:rsid w:val="01984ABA"/>
    <w:rsid w:val="01993D60"/>
    <w:rsid w:val="01995B0E"/>
    <w:rsid w:val="019A213F"/>
    <w:rsid w:val="019A2E62"/>
    <w:rsid w:val="019A4749"/>
    <w:rsid w:val="019B3634"/>
    <w:rsid w:val="019B53E2"/>
    <w:rsid w:val="019B770C"/>
    <w:rsid w:val="019B7734"/>
    <w:rsid w:val="019C1C8D"/>
    <w:rsid w:val="019C3329"/>
    <w:rsid w:val="019D115B"/>
    <w:rsid w:val="019D1851"/>
    <w:rsid w:val="019D4CF4"/>
    <w:rsid w:val="019D55FE"/>
    <w:rsid w:val="019D73AC"/>
    <w:rsid w:val="019E4ED3"/>
    <w:rsid w:val="019F1CAA"/>
    <w:rsid w:val="01A00C4B"/>
    <w:rsid w:val="01A15D0B"/>
    <w:rsid w:val="01A175A1"/>
    <w:rsid w:val="01A22C15"/>
    <w:rsid w:val="01A249C3"/>
    <w:rsid w:val="01A3073B"/>
    <w:rsid w:val="01A324E9"/>
    <w:rsid w:val="01A37CEA"/>
    <w:rsid w:val="01A459BB"/>
    <w:rsid w:val="01A52705"/>
    <w:rsid w:val="01A61B7D"/>
    <w:rsid w:val="01A6437F"/>
    <w:rsid w:val="01A7022B"/>
    <w:rsid w:val="01A7043C"/>
    <w:rsid w:val="01A7300D"/>
    <w:rsid w:val="01A73D87"/>
    <w:rsid w:val="01A87AFF"/>
    <w:rsid w:val="01A964E4"/>
    <w:rsid w:val="01AA3877"/>
    <w:rsid w:val="01AB4CC3"/>
    <w:rsid w:val="01AB52F3"/>
    <w:rsid w:val="01AC0464"/>
    <w:rsid w:val="01AC12D3"/>
    <w:rsid w:val="01AC5842"/>
    <w:rsid w:val="01AD48A5"/>
    <w:rsid w:val="01AD5116"/>
    <w:rsid w:val="01AF0E8E"/>
    <w:rsid w:val="01AF5332"/>
    <w:rsid w:val="01B02993"/>
    <w:rsid w:val="01B064CA"/>
    <w:rsid w:val="01B110AA"/>
    <w:rsid w:val="01B26557"/>
    <w:rsid w:val="01B30C63"/>
    <w:rsid w:val="01B32CF1"/>
    <w:rsid w:val="01B34E22"/>
    <w:rsid w:val="01B36BD0"/>
    <w:rsid w:val="01B42948"/>
    <w:rsid w:val="01B43DF4"/>
    <w:rsid w:val="01B5359F"/>
    <w:rsid w:val="01B55350"/>
    <w:rsid w:val="01B6046E"/>
    <w:rsid w:val="01B666C0"/>
    <w:rsid w:val="01B70B0C"/>
    <w:rsid w:val="01B800CA"/>
    <w:rsid w:val="01B8283F"/>
    <w:rsid w:val="01B8783E"/>
    <w:rsid w:val="01B91719"/>
    <w:rsid w:val="01BA68B2"/>
    <w:rsid w:val="01BB2E56"/>
    <w:rsid w:val="01BB3CD7"/>
    <w:rsid w:val="01BC2A1C"/>
    <w:rsid w:val="01BC2D82"/>
    <w:rsid w:val="01BC4A5C"/>
    <w:rsid w:val="01BD1F09"/>
    <w:rsid w:val="01BE7323"/>
    <w:rsid w:val="01BE7587"/>
    <w:rsid w:val="01BE7B97"/>
    <w:rsid w:val="01BE7E04"/>
    <w:rsid w:val="01BF5575"/>
    <w:rsid w:val="01C012ED"/>
    <w:rsid w:val="01C0309B"/>
    <w:rsid w:val="01C03307"/>
    <w:rsid w:val="01C05EA6"/>
    <w:rsid w:val="01C0753F"/>
    <w:rsid w:val="01C2082B"/>
    <w:rsid w:val="01C25065"/>
    <w:rsid w:val="01C26E13"/>
    <w:rsid w:val="01C275F0"/>
    <w:rsid w:val="01C32037"/>
    <w:rsid w:val="01C34939"/>
    <w:rsid w:val="01C40DDD"/>
    <w:rsid w:val="01C42B8B"/>
    <w:rsid w:val="01C505B5"/>
    <w:rsid w:val="01C532E9"/>
    <w:rsid w:val="01C5380A"/>
    <w:rsid w:val="01C565BD"/>
    <w:rsid w:val="01C56903"/>
    <w:rsid w:val="01C60A5D"/>
    <w:rsid w:val="01C626F2"/>
    <w:rsid w:val="01C761D7"/>
    <w:rsid w:val="01C80F04"/>
    <w:rsid w:val="01C81F50"/>
    <w:rsid w:val="01C84037"/>
    <w:rsid w:val="01C91471"/>
    <w:rsid w:val="01C953B1"/>
    <w:rsid w:val="01C963F3"/>
    <w:rsid w:val="01CA5CC8"/>
    <w:rsid w:val="01CB2408"/>
    <w:rsid w:val="01CC0498"/>
    <w:rsid w:val="01CC1A40"/>
    <w:rsid w:val="01CC715B"/>
    <w:rsid w:val="01CC7C92"/>
    <w:rsid w:val="01CD7566"/>
    <w:rsid w:val="01CF32DE"/>
    <w:rsid w:val="01CF4DC7"/>
    <w:rsid w:val="01CF7782"/>
    <w:rsid w:val="01D02219"/>
    <w:rsid w:val="01D029AF"/>
    <w:rsid w:val="01D1354E"/>
    <w:rsid w:val="01D17056"/>
    <w:rsid w:val="01D34903"/>
    <w:rsid w:val="01D35FC9"/>
    <w:rsid w:val="01D37272"/>
    <w:rsid w:val="01D42461"/>
    <w:rsid w:val="01D45E67"/>
    <w:rsid w:val="01D54D98"/>
    <w:rsid w:val="01D54ECF"/>
    <w:rsid w:val="01D5675C"/>
    <w:rsid w:val="01D57841"/>
    <w:rsid w:val="01D60B10"/>
    <w:rsid w:val="01D628BE"/>
    <w:rsid w:val="01D63EED"/>
    <w:rsid w:val="01D658A3"/>
    <w:rsid w:val="01D6734A"/>
    <w:rsid w:val="01D8059A"/>
    <w:rsid w:val="01D81EA2"/>
    <w:rsid w:val="01D861A0"/>
    <w:rsid w:val="01D86637"/>
    <w:rsid w:val="01D866AD"/>
    <w:rsid w:val="01D93886"/>
    <w:rsid w:val="01D95F0B"/>
    <w:rsid w:val="01DB1C83"/>
    <w:rsid w:val="01DB2C49"/>
    <w:rsid w:val="01DB2E0E"/>
    <w:rsid w:val="01DB6127"/>
    <w:rsid w:val="01DB7E89"/>
    <w:rsid w:val="01DC07BC"/>
    <w:rsid w:val="01DC6BF5"/>
    <w:rsid w:val="01DD4386"/>
    <w:rsid w:val="01DD4D72"/>
    <w:rsid w:val="01DD59FB"/>
    <w:rsid w:val="01DE06E2"/>
    <w:rsid w:val="01DE480A"/>
    <w:rsid w:val="01DE694E"/>
    <w:rsid w:val="01DF1394"/>
    <w:rsid w:val="01DF5C17"/>
    <w:rsid w:val="01E1319E"/>
    <w:rsid w:val="01E149F4"/>
    <w:rsid w:val="01E24A72"/>
    <w:rsid w:val="01E305B6"/>
    <w:rsid w:val="01E31F71"/>
    <w:rsid w:val="01E36F4E"/>
    <w:rsid w:val="01E37BCD"/>
    <w:rsid w:val="01E40F90"/>
    <w:rsid w:val="01E4322D"/>
    <w:rsid w:val="01E44FDB"/>
    <w:rsid w:val="01E46AB5"/>
    <w:rsid w:val="01E50B7D"/>
    <w:rsid w:val="01E50D53"/>
    <w:rsid w:val="01E52B01"/>
    <w:rsid w:val="01E6443F"/>
    <w:rsid w:val="01E7014F"/>
    <w:rsid w:val="01E704A0"/>
    <w:rsid w:val="01E70628"/>
    <w:rsid w:val="01E70802"/>
    <w:rsid w:val="01E730A7"/>
    <w:rsid w:val="01E7487B"/>
    <w:rsid w:val="01E750EA"/>
    <w:rsid w:val="01E85422"/>
    <w:rsid w:val="01E90844"/>
    <w:rsid w:val="01E94CB0"/>
    <w:rsid w:val="01EA0118"/>
    <w:rsid w:val="01EA1909"/>
    <w:rsid w:val="01EA5991"/>
    <w:rsid w:val="01EB00EE"/>
    <w:rsid w:val="01EB45BC"/>
    <w:rsid w:val="01EC3E90"/>
    <w:rsid w:val="01EC5C3E"/>
    <w:rsid w:val="01EC7DCA"/>
    <w:rsid w:val="01ED6915"/>
    <w:rsid w:val="01ED730C"/>
    <w:rsid w:val="01EE19B6"/>
    <w:rsid w:val="01EE2BD1"/>
    <w:rsid w:val="01EF5CD8"/>
    <w:rsid w:val="01EF722C"/>
    <w:rsid w:val="01F1126E"/>
    <w:rsid w:val="01F23506"/>
    <w:rsid w:val="01F23D9C"/>
    <w:rsid w:val="01F30330"/>
    <w:rsid w:val="01F33470"/>
    <w:rsid w:val="01F37A98"/>
    <w:rsid w:val="01F53487"/>
    <w:rsid w:val="01F571E8"/>
    <w:rsid w:val="01F62F61"/>
    <w:rsid w:val="01F64D0F"/>
    <w:rsid w:val="01F66ABD"/>
    <w:rsid w:val="01F82835"/>
    <w:rsid w:val="01F86CD9"/>
    <w:rsid w:val="01F96223"/>
    <w:rsid w:val="01FA47FF"/>
    <w:rsid w:val="01FA6AF8"/>
    <w:rsid w:val="01FB0577"/>
    <w:rsid w:val="01FC2DC5"/>
    <w:rsid w:val="01FC3993"/>
    <w:rsid w:val="01FC4409"/>
    <w:rsid w:val="01FC6EBE"/>
    <w:rsid w:val="01FD609D"/>
    <w:rsid w:val="01FE3B56"/>
    <w:rsid w:val="01FE5971"/>
    <w:rsid w:val="01FE6ECE"/>
    <w:rsid w:val="01FF3BC3"/>
    <w:rsid w:val="020016E9"/>
    <w:rsid w:val="02001FB6"/>
    <w:rsid w:val="0200382F"/>
    <w:rsid w:val="02005B8D"/>
    <w:rsid w:val="02007ABC"/>
    <w:rsid w:val="02007BB7"/>
    <w:rsid w:val="02021905"/>
    <w:rsid w:val="02025461"/>
    <w:rsid w:val="02026E30"/>
    <w:rsid w:val="02035593"/>
    <w:rsid w:val="020411DA"/>
    <w:rsid w:val="02050E58"/>
    <w:rsid w:val="02054F52"/>
    <w:rsid w:val="02062685"/>
    <w:rsid w:val="02064C9D"/>
    <w:rsid w:val="02072A78"/>
    <w:rsid w:val="02074A3A"/>
    <w:rsid w:val="0208054B"/>
    <w:rsid w:val="020829C5"/>
    <w:rsid w:val="02091139"/>
    <w:rsid w:val="020923AA"/>
    <w:rsid w:val="02092C94"/>
    <w:rsid w:val="020967F0"/>
    <w:rsid w:val="02096A67"/>
    <w:rsid w:val="020A2568"/>
    <w:rsid w:val="020A51B5"/>
    <w:rsid w:val="020B0419"/>
    <w:rsid w:val="020B07BA"/>
    <w:rsid w:val="020B640B"/>
    <w:rsid w:val="020B6A0C"/>
    <w:rsid w:val="020C008E"/>
    <w:rsid w:val="020C4532"/>
    <w:rsid w:val="020D21BB"/>
    <w:rsid w:val="020D3766"/>
    <w:rsid w:val="020D5533"/>
    <w:rsid w:val="020E2058"/>
    <w:rsid w:val="020E4338"/>
    <w:rsid w:val="020E4D8C"/>
    <w:rsid w:val="020E6C8E"/>
    <w:rsid w:val="020F0B14"/>
    <w:rsid w:val="020F1C05"/>
    <w:rsid w:val="020F628D"/>
    <w:rsid w:val="020F7B7E"/>
    <w:rsid w:val="0210376E"/>
    <w:rsid w:val="02104A5E"/>
    <w:rsid w:val="02104F7F"/>
    <w:rsid w:val="02105DD0"/>
    <w:rsid w:val="0211083E"/>
    <w:rsid w:val="02117D9A"/>
    <w:rsid w:val="021358C1"/>
    <w:rsid w:val="02145195"/>
    <w:rsid w:val="021533E7"/>
    <w:rsid w:val="02160F0D"/>
    <w:rsid w:val="02161DDD"/>
    <w:rsid w:val="0216715F"/>
    <w:rsid w:val="02181129"/>
    <w:rsid w:val="021876EC"/>
    <w:rsid w:val="0219075E"/>
    <w:rsid w:val="02190A3A"/>
    <w:rsid w:val="021929D5"/>
    <w:rsid w:val="02192D95"/>
    <w:rsid w:val="021A09FD"/>
    <w:rsid w:val="021B163F"/>
    <w:rsid w:val="021B1804"/>
    <w:rsid w:val="021B69C6"/>
    <w:rsid w:val="021B7390"/>
    <w:rsid w:val="021D12B5"/>
    <w:rsid w:val="021E078F"/>
    <w:rsid w:val="021E4A83"/>
    <w:rsid w:val="021F4265"/>
    <w:rsid w:val="02211096"/>
    <w:rsid w:val="022174EF"/>
    <w:rsid w:val="02221AC1"/>
    <w:rsid w:val="02224692"/>
    <w:rsid w:val="022278B2"/>
    <w:rsid w:val="02232769"/>
    <w:rsid w:val="02242AD4"/>
    <w:rsid w:val="0224362A"/>
    <w:rsid w:val="02244093"/>
    <w:rsid w:val="02251150"/>
    <w:rsid w:val="022573A2"/>
    <w:rsid w:val="0227311A"/>
    <w:rsid w:val="022841F2"/>
    <w:rsid w:val="02285793"/>
    <w:rsid w:val="02286B25"/>
    <w:rsid w:val="02287A18"/>
    <w:rsid w:val="022A0825"/>
    <w:rsid w:val="022A16E3"/>
    <w:rsid w:val="022A2E24"/>
    <w:rsid w:val="022A3FD6"/>
    <w:rsid w:val="022A403B"/>
    <w:rsid w:val="022A6766"/>
    <w:rsid w:val="022A7137"/>
    <w:rsid w:val="022B0E5C"/>
    <w:rsid w:val="022B2154"/>
    <w:rsid w:val="022B2C0A"/>
    <w:rsid w:val="022B38DD"/>
    <w:rsid w:val="022B42B4"/>
    <w:rsid w:val="022B50D3"/>
    <w:rsid w:val="022B7590"/>
    <w:rsid w:val="022C1F3C"/>
    <w:rsid w:val="022C24DE"/>
    <w:rsid w:val="022C297A"/>
    <w:rsid w:val="022C672A"/>
    <w:rsid w:val="022C6982"/>
    <w:rsid w:val="022C70DB"/>
    <w:rsid w:val="022E0D6C"/>
    <w:rsid w:val="022E6257"/>
    <w:rsid w:val="022E64A6"/>
    <w:rsid w:val="02300221"/>
    <w:rsid w:val="02301FCF"/>
    <w:rsid w:val="023021DE"/>
    <w:rsid w:val="02306842"/>
    <w:rsid w:val="0231319E"/>
    <w:rsid w:val="02337A29"/>
    <w:rsid w:val="02337D11"/>
    <w:rsid w:val="0234355C"/>
    <w:rsid w:val="023518FC"/>
    <w:rsid w:val="02354BB2"/>
    <w:rsid w:val="02355837"/>
    <w:rsid w:val="023567F6"/>
    <w:rsid w:val="023575E5"/>
    <w:rsid w:val="02374D4E"/>
    <w:rsid w:val="02377801"/>
    <w:rsid w:val="023870D5"/>
    <w:rsid w:val="0239626F"/>
    <w:rsid w:val="023A0393"/>
    <w:rsid w:val="023A4BFB"/>
    <w:rsid w:val="023B5DE0"/>
    <w:rsid w:val="023B6BC5"/>
    <w:rsid w:val="023C3E8A"/>
    <w:rsid w:val="023C6D0C"/>
    <w:rsid w:val="023D0B8F"/>
    <w:rsid w:val="023D293E"/>
    <w:rsid w:val="023D36F2"/>
    <w:rsid w:val="023D46EC"/>
    <w:rsid w:val="023D5E00"/>
    <w:rsid w:val="023D7EAF"/>
    <w:rsid w:val="023F4471"/>
    <w:rsid w:val="023F698C"/>
    <w:rsid w:val="024008D2"/>
    <w:rsid w:val="024036A9"/>
    <w:rsid w:val="02404E4B"/>
    <w:rsid w:val="02405E21"/>
    <w:rsid w:val="02405F8A"/>
    <w:rsid w:val="024110AB"/>
    <w:rsid w:val="02421D02"/>
    <w:rsid w:val="0243000C"/>
    <w:rsid w:val="02443CCC"/>
    <w:rsid w:val="02444F4F"/>
    <w:rsid w:val="02445A7A"/>
    <w:rsid w:val="02447348"/>
    <w:rsid w:val="02447828"/>
    <w:rsid w:val="024535A0"/>
    <w:rsid w:val="02460EBC"/>
    <w:rsid w:val="02461413"/>
    <w:rsid w:val="024617F2"/>
    <w:rsid w:val="02467A44"/>
    <w:rsid w:val="024737BC"/>
    <w:rsid w:val="02477318"/>
    <w:rsid w:val="024912E2"/>
    <w:rsid w:val="02493090"/>
    <w:rsid w:val="02494C6C"/>
    <w:rsid w:val="024A35DB"/>
    <w:rsid w:val="024A6BE2"/>
    <w:rsid w:val="024A6DDC"/>
    <w:rsid w:val="024B215D"/>
    <w:rsid w:val="024B6E08"/>
    <w:rsid w:val="024C0DD3"/>
    <w:rsid w:val="024C35ED"/>
    <w:rsid w:val="024C492F"/>
    <w:rsid w:val="024C61BE"/>
    <w:rsid w:val="024E68F9"/>
    <w:rsid w:val="024E7DE0"/>
    <w:rsid w:val="024F4864"/>
    <w:rsid w:val="0250202C"/>
    <w:rsid w:val="02502671"/>
    <w:rsid w:val="025033FE"/>
    <w:rsid w:val="02510197"/>
    <w:rsid w:val="025114D9"/>
    <w:rsid w:val="02511F45"/>
    <w:rsid w:val="02512098"/>
    <w:rsid w:val="02512AE0"/>
    <w:rsid w:val="02513249"/>
    <w:rsid w:val="02522B81"/>
    <w:rsid w:val="02532161"/>
    <w:rsid w:val="02533FAC"/>
    <w:rsid w:val="02543A07"/>
    <w:rsid w:val="02550252"/>
    <w:rsid w:val="02557C87"/>
    <w:rsid w:val="02562772"/>
    <w:rsid w:val="02571C51"/>
    <w:rsid w:val="02573B41"/>
    <w:rsid w:val="02580207"/>
    <w:rsid w:val="025832D3"/>
    <w:rsid w:val="025900AA"/>
    <w:rsid w:val="02590C8E"/>
    <w:rsid w:val="025A07C2"/>
    <w:rsid w:val="025A529E"/>
    <w:rsid w:val="025A7081"/>
    <w:rsid w:val="025C30E2"/>
    <w:rsid w:val="025C3E9F"/>
    <w:rsid w:val="025C7268"/>
    <w:rsid w:val="025C7697"/>
    <w:rsid w:val="025D6B3C"/>
    <w:rsid w:val="025E05D3"/>
    <w:rsid w:val="025F28B4"/>
    <w:rsid w:val="02604429"/>
    <w:rsid w:val="02604634"/>
    <w:rsid w:val="0261487E"/>
    <w:rsid w:val="02614F12"/>
    <w:rsid w:val="02614FD5"/>
    <w:rsid w:val="0261662C"/>
    <w:rsid w:val="026223A4"/>
    <w:rsid w:val="02624152"/>
    <w:rsid w:val="02626F54"/>
    <w:rsid w:val="026305F6"/>
    <w:rsid w:val="0263092F"/>
    <w:rsid w:val="0263731E"/>
    <w:rsid w:val="02641C78"/>
    <w:rsid w:val="02642D03"/>
    <w:rsid w:val="02645E05"/>
    <w:rsid w:val="0264609A"/>
    <w:rsid w:val="02650493"/>
    <w:rsid w:val="02652328"/>
    <w:rsid w:val="02661E94"/>
    <w:rsid w:val="02662AE4"/>
    <w:rsid w:val="02671768"/>
    <w:rsid w:val="02671C0A"/>
    <w:rsid w:val="02672DC5"/>
    <w:rsid w:val="02673621"/>
    <w:rsid w:val="02673C65"/>
    <w:rsid w:val="02684255"/>
    <w:rsid w:val="02687C7E"/>
    <w:rsid w:val="02691984"/>
    <w:rsid w:val="026954E1"/>
    <w:rsid w:val="02695506"/>
    <w:rsid w:val="02697903"/>
    <w:rsid w:val="026A02B6"/>
    <w:rsid w:val="026A40B0"/>
    <w:rsid w:val="026A50AB"/>
    <w:rsid w:val="026B3007"/>
    <w:rsid w:val="026C6D7F"/>
    <w:rsid w:val="026E0D49"/>
    <w:rsid w:val="026E2AF7"/>
    <w:rsid w:val="026E54F6"/>
    <w:rsid w:val="026F3678"/>
    <w:rsid w:val="02702D13"/>
    <w:rsid w:val="027113C7"/>
    <w:rsid w:val="02711490"/>
    <w:rsid w:val="02711972"/>
    <w:rsid w:val="027125E7"/>
    <w:rsid w:val="02714395"/>
    <w:rsid w:val="02720839"/>
    <w:rsid w:val="02725307"/>
    <w:rsid w:val="0273010D"/>
    <w:rsid w:val="027469EA"/>
    <w:rsid w:val="027520D7"/>
    <w:rsid w:val="02753054"/>
    <w:rsid w:val="02753C88"/>
    <w:rsid w:val="027553C9"/>
    <w:rsid w:val="0275544D"/>
    <w:rsid w:val="02756169"/>
    <w:rsid w:val="027569E4"/>
    <w:rsid w:val="027577C5"/>
    <w:rsid w:val="027619AC"/>
    <w:rsid w:val="02775E4F"/>
    <w:rsid w:val="027761DD"/>
    <w:rsid w:val="02782BD2"/>
    <w:rsid w:val="0278520F"/>
    <w:rsid w:val="02792609"/>
    <w:rsid w:val="02796658"/>
    <w:rsid w:val="027A149C"/>
    <w:rsid w:val="027A76EE"/>
    <w:rsid w:val="027B123B"/>
    <w:rsid w:val="027C062F"/>
    <w:rsid w:val="027C16B8"/>
    <w:rsid w:val="027C2531"/>
    <w:rsid w:val="027C3168"/>
    <w:rsid w:val="027C3466"/>
    <w:rsid w:val="027C76F0"/>
    <w:rsid w:val="027D4945"/>
    <w:rsid w:val="027E783D"/>
    <w:rsid w:val="027F2F56"/>
    <w:rsid w:val="027F4D04"/>
    <w:rsid w:val="0281152C"/>
    <w:rsid w:val="02820350"/>
    <w:rsid w:val="02822593"/>
    <w:rsid w:val="02822613"/>
    <w:rsid w:val="028228E9"/>
    <w:rsid w:val="028247F4"/>
    <w:rsid w:val="02830E5D"/>
    <w:rsid w:val="02832E35"/>
    <w:rsid w:val="02840270"/>
    <w:rsid w:val="0284231A"/>
    <w:rsid w:val="02843A23"/>
    <w:rsid w:val="02850DF6"/>
    <w:rsid w:val="0285372F"/>
    <w:rsid w:val="02857EDC"/>
    <w:rsid w:val="02862AAA"/>
    <w:rsid w:val="028642E4"/>
    <w:rsid w:val="02873320"/>
    <w:rsid w:val="02876056"/>
    <w:rsid w:val="0288005D"/>
    <w:rsid w:val="02881467"/>
    <w:rsid w:val="028920FE"/>
    <w:rsid w:val="028A31AB"/>
    <w:rsid w:val="028B36A9"/>
    <w:rsid w:val="028B38C4"/>
    <w:rsid w:val="028B75EF"/>
    <w:rsid w:val="028C01FC"/>
    <w:rsid w:val="028C11CF"/>
    <w:rsid w:val="028C467A"/>
    <w:rsid w:val="028C4F44"/>
    <w:rsid w:val="028D1E91"/>
    <w:rsid w:val="028D7421"/>
    <w:rsid w:val="028F0B41"/>
    <w:rsid w:val="02902A6D"/>
    <w:rsid w:val="0291169F"/>
    <w:rsid w:val="029307AF"/>
    <w:rsid w:val="02936A01"/>
    <w:rsid w:val="0295277A"/>
    <w:rsid w:val="02954528"/>
    <w:rsid w:val="02963DFC"/>
    <w:rsid w:val="029702A0"/>
    <w:rsid w:val="02971C44"/>
    <w:rsid w:val="0297204E"/>
    <w:rsid w:val="02976BEA"/>
    <w:rsid w:val="02977454"/>
    <w:rsid w:val="02985DC6"/>
    <w:rsid w:val="02987B74"/>
    <w:rsid w:val="02991ABB"/>
    <w:rsid w:val="0299432B"/>
    <w:rsid w:val="029A1B3E"/>
    <w:rsid w:val="029A48F4"/>
    <w:rsid w:val="029C5EA1"/>
    <w:rsid w:val="029C6AA2"/>
    <w:rsid w:val="029D3C7D"/>
    <w:rsid w:val="029D45D5"/>
    <w:rsid w:val="029D518A"/>
    <w:rsid w:val="029F0F02"/>
    <w:rsid w:val="029F7154"/>
    <w:rsid w:val="029F7E9C"/>
    <w:rsid w:val="02A01AC6"/>
    <w:rsid w:val="02A10225"/>
    <w:rsid w:val="02A12ECC"/>
    <w:rsid w:val="02A147E9"/>
    <w:rsid w:val="02A21240"/>
    <w:rsid w:val="02A21528"/>
    <w:rsid w:val="02A227A1"/>
    <w:rsid w:val="02A35AD5"/>
    <w:rsid w:val="02A36C44"/>
    <w:rsid w:val="02A41EB6"/>
    <w:rsid w:val="02A46519"/>
    <w:rsid w:val="02A571EF"/>
    <w:rsid w:val="02A60423"/>
    <w:rsid w:val="02A604E3"/>
    <w:rsid w:val="02A70258"/>
    <w:rsid w:val="02A76009"/>
    <w:rsid w:val="02A76DC8"/>
    <w:rsid w:val="02A8425B"/>
    <w:rsid w:val="02A86B17"/>
    <w:rsid w:val="02A91D81"/>
    <w:rsid w:val="02A92245"/>
    <w:rsid w:val="02A96742"/>
    <w:rsid w:val="02AA388E"/>
    <w:rsid w:val="02AB0514"/>
    <w:rsid w:val="02AB3D4B"/>
    <w:rsid w:val="02AB5AF9"/>
    <w:rsid w:val="02AC373D"/>
    <w:rsid w:val="02AC4282"/>
    <w:rsid w:val="02AC4631"/>
    <w:rsid w:val="02AC64D7"/>
    <w:rsid w:val="02AD1871"/>
    <w:rsid w:val="02AD37A4"/>
    <w:rsid w:val="02AD7AC3"/>
    <w:rsid w:val="02AE1145"/>
    <w:rsid w:val="02AF0AED"/>
    <w:rsid w:val="02AF717B"/>
    <w:rsid w:val="02B0001A"/>
    <w:rsid w:val="02B01361"/>
    <w:rsid w:val="02B037FE"/>
    <w:rsid w:val="02B04EBD"/>
    <w:rsid w:val="02B068EF"/>
    <w:rsid w:val="02B15796"/>
    <w:rsid w:val="02B20C36"/>
    <w:rsid w:val="02B313FF"/>
    <w:rsid w:val="02B32E51"/>
    <w:rsid w:val="02B349AE"/>
    <w:rsid w:val="02B36437"/>
    <w:rsid w:val="02B458C1"/>
    <w:rsid w:val="02B50726"/>
    <w:rsid w:val="02B640B5"/>
    <w:rsid w:val="02B75812"/>
    <w:rsid w:val="02B7624C"/>
    <w:rsid w:val="02B7705E"/>
    <w:rsid w:val="02B8660C"/>
    <w:rsid w:val="02B9267A"/>
    <w:rsid w:val="02B9575C"/>
    <w:rsid w:val="02BA02CB"/>
    <w:rsid w:val="02BA3AFD"/>
    <w:rsid w:val="02BA3F8E"/>
    <w:rsid w:val="02BB1F19"/>
    <w:rsid w:val="02BB4F8D"/>
    <w:rsid w:val="02BC641D"/>
    <w:rsid w:val="02BC7D06"/>
    <w:rsid w:val="02BD4886"/>
    <w:rsid w:val="02BE441C"/>
    <w:rsid w:val="02BE582C"/>
    <w:rsid w:val="02BF00EE"/>
    <w:rsid w:val="02BF1210"/>
    <w:rsid w:val="02BF556A"/>
    <w:rsid w:val="02C10E79"/>
    <w:rsid w:val="02C1356F"/>
    <w:rsid w:val="02C13975"/>
    <w:rsid w:val="02C21364"/>
    <w:rsid w:val="02C24BF1"/>
    <w:rsid w:val="02C37754"/>
    <w:rsid w:val="02C40969"/>
    <w:rsid w:val="02C44E0D"/>
    <w:rsid w:val="02C458C8"/>
    <w:rsid w:val="02C467E8"/>
    <w:rsid w:val="02C46BBB"/>
    <w:rsid w:val="02C578F7"/>
    <w:rsid w:val="02C60B85"/>
    <w:rsid w:val="02C646E1"/>
    <w:rsid w:val="02C72207"/>
    <w:rsid w:val="02C73CB5"/>
    <w:rsid w:val="02C77EC2"/>
    <w:rsid w:val="02C81BB5"/>
    <w:rsid w:val="02C848FD"/>
    <w:rsid w:val="02C866AB"/>
    <w:rsid w:val="02CB1CF7"/>
    <w:rsid w:val="02CB619B"/>
    <w:rsid w:val="02CB7F49"/>
    <w:rsid w:val="02CC3DD3"/>
    <w:rsid w:val="02CD00DF"/>
    <w:rsid w:val="02CD59F6"/>
    <w:rsid w:val="02CE2AFD"/>
    <w:rsid w:val="02CE3596"/>
    <w:rsid w:val="02CE4CF7"/>
    <w:rsid w:val="02CE773E"/>
    <w:rsid w:val="02CE7A67"/>
    <w:rsid w:val="02CF351A"/>
    <w:rsid w:val="02D037B2"/>
    <w:rsid w:val="02D0730E"/>
    <w:rsid w:val="02D171B3"/>
    <w:rsid w:val="02D31DCB"/>
    <w:rsid w:val="02D35DE5"/>
    <w:rsid w:val="02D50DC8"/>
    <w:rsid w:val="02D52EEC"/>
    <w:rsid w:val="02D62D94"/>
    <w:rsid w:val="02D65A3B"/>
    <w:rsid w:val="02D71173"/>
    <w:rsid w:val="02D8103C"/>
    <w:rsid w:val="02D84414"/>
    <w:rsid w:val="02D84A47"/>
    <w:rsid w:val="02D908B8"/>
    <w:rsid w:val="02D91CAC"/>
    <w:rsid w:val="02D92666"/>
    <w:rsid w:val="02D973F4"/>
    <w:rsid w:val="02DA4630"/>
    <w:rsid w:val="02DB39D9"/>
    <w:rsid w:val="02DC07C0"/>
    <w:rsid w:val="02DC1741"/>
    <w:rsid w:val="02DC313F"/>
    <w:rsid w:val="02DC5445"/>
    <w:rsid w:val="02DD1A2B"/>
    <w:rsid w:val="02DD1D38"/>
    <w:rsid w:val="02DD77F9"/>
    <w:rsid w:val="02DE1864"/>
    <w:rsid w:val="02DE2EF8"/>
    <w:rsid w:val="02DE3C97"/>
    <w:rsid w:val="02DE5D00"/>
    <w:rsid w:val="02DE7C7D"/>
    <w:rsid w:val="02DF0FCA"/>
    <w:rsid w:val="02DF4388"/>
    <w:rsid w:val="02DF5396"/>
    <w:rsid w:val="02DF57A3"/>
    <w:rsid w:val="02E103E9"/>
    <w:rsid w:val="02E132C9"/>
    <w:rsid w:val="02E209F4"/>
    <w:rsid w:val="02E227EE"/>
    <w:rsid w:val="02E42DB9"/>
    <w:rsid w:val="02E47ADB"/>
    <w:rsid w:val="02E56AB9"/>
    <w:rsid w:val="02E75E6A"/>
    <w:rsid w:val="02E80AFB"/>
    <w:rsid w:val="02E917C6"/>
    <w:rsid w:val="02E92312"/>
    <w:rsid w:val="02E95D4E"/>
    <w:rsid w:val="02EA4873"/>
    <w:rsid w:val="02EB239A"/>
    <w:rsid w:val="02EB406C"/>
    <w:rsid w:val="02EB4148"/>
    <w:rsid w:val="02EB7901"/>
    <w:rsid w:val="02EC67E8"/>
    <w:rsid w:val="02EC742B"/>
    <w:rsid w:val="02ED4765"/>
    <w:rsid w:val="02ED5238"/>
    <w:rsid w:val="02ED698C"/>
    <w:rsid w:val="02ED7EC0"/>
    <w:rsid w:val="02EE29ED"/>
    <w:rsid w:val="02EE59E6"/>
    <w:rsid w:val="02EE7DB8"/>
    <w:rsid w:val="02EF3099"/>
    <w:rsid w:val="02F0530D"/>
    <w:rsid w:val="02F05C02"/>
    <w:rsid w:val="02F079B0"/>
    <w:rsid w:val="02F2136E"/>
    <w:rsid w:val="02F2197A"/>
    <w:rsid w:val="02F31C94"/>
    <w:rsid w:val="02F32FFC"/>
    <w:rsid w:val="02F4124E"/>
    <w:rsid w:val="02F47552"/>
    <w:rsid w:val="02F53218"/>
    <w:rsid w:val="02F56D74"/>
    <w:rsid w:val="02F70D3E"/>
    <w:rsid w:val="02F72AEC"/>
    <w:rsid w:val="02F864E8"/>
    <w:rsid w:val="02F94AB6"/>
    <w:rsid w:val="02F94F2F"/>
    <w:rsid w:val="02F96569"/>
    <w:rsid w:val="02F96864"/>
    <w:rsid w:val="02FA03B3"/>
    <w:rsid w:val="02FA082F"/>
    <w:rsid w:val="02FA25DD"/>
    <w:rsid w:val="02FA438B"/>
    <w:rsid w:val="02FB539A"/>
    <w:rsid w:val="02FC6355"/>
    <w:rsid w:val="02FC7879"/>
    <w:rsid w:val="02FC7F3E"/>
    <w:rsid w:val="02FD4009"/>
    <w:rsid w:val="02FE031F"/>
    <w:rsid w:val="02FE20CD"/>
    <w:rsid w:val="02FF0DA1"/>
    <w:rsid w:val="02FF5E45"/>
    <w:rsid w:val="030036C1"/>
    <w:rsid w:val="03004A88"/>
    <w:rsid w:val="03004E02"/>
    <w:rsid w:val="03011BBD"/>
    <w:rsid w:val="0301396B"/>
    <w:rsid w:val="03015719"/>
    <w:rsid w:val="03034E7A"/>
    <w:rsid w:val="03035935"/>
    <w:rsid w:val="030376E3"/>
    <w:rsid w:val="030422EA"/>
    <w:rsid w:val="03045021"/>
    <w:rsid w:val="0305345B"/>
    <w:rsid w:val="03055183"/>
    <w:rsid w:val="03055E50"/>
    <w:rsid w:val="03056936"/>
    <w:rsid w:val="03060F81"/>
    <w:rsid w:val="0306420C"/>
    <w:rsid w:val="030649CC"/>
    <w:rsid w:val="03067A0A"/>
    <w:rsid w:val="03073C0C"/>
    <w:rsid w:val="03074706"/>
    <w:rsid w:val="03077138"/>
    <w:rsid w:val="03082F4B"/>
    <w:rsid w:val="03083594"/>
    <w:rsid w:val="030A0A72"/>
    <w:rsid w:val="030A1C2A"/>
    <w:rsid w:val="030A29F1"/>
    <w:rsid w:val="030B0B6F"/>
    <w:rsid w:val="030B711F"/>
    <w:rsid w:val="030D40BE"/>
    <w:rsid w:val="030E0896"/>
    <w:rsid w:val="030E7406"/>
    <w:rsid w:val="030F2976"/>
    <w:rsid w:val="030F3530"/>
    <w:rsid w:val="030F42DA"/>
    <w:rsid w:val="030F53B2"/>
    <w:rsid w:val="03100052"/>
    <w:rsid w:val="03111A00"/>
    <w:rsid w:val="031145CE"/>
    <w:rsid w:val="03114646"/>
    <w:rsid w:val="03116FFF"/>
    <w:rsid w:val="03127926"/>
    <w:rsid w:val="03140BF2"/>
    <w:rsid w:val="031418F0"/>
    <w:rsid w:val="031424D5"/>
    <w:rsid w:val="0314369E"/>
    <w:rsid w:val="03144708"/>
    <w:rsid w:val="03151325"/>
    <w:rsid w:val="03183089"/>
    <w:rsid w:val="03190CB5"/>
    <w:rsid w:val="03191D1B"/>
    <w:rsid w:val="03195159"/>
    <w:rsid w:val="03196F07"/>
    <w:rsid w:val="031A45F2"/>
    <w:rsid w:val="031A4A2D"/>
    <w:rsid w:val="031C0676"/>
    <w:rsid w:val="031C07A5"/>
    <w:rsid w:val="031C2553"/>
    <w:rsid w:val="031C2A0A"/>
    <w:rsid w:val="031D432A"/>
    <w:rsid w:val="031D48A3"/>
    <w:rsid w:val="031E451D"/>
    <w:rsid w:val="031F2043"/>
    <w:rsid w:val="032064E7"/>
    <w:rsid w:val="0321400D"/>
    <w:rsid w:val="0321591B"/>
    <w:rsid w:val="03215DBB"/>
    <w:rsid w:val="03217B69"/>
    <w:rsid w:val="03221C9E"/>
    <w:rsid w:val="03227EF2"/>
    <w:rsid w:val="03231B33"/>
    <w:rsid w:val="032416C0"/>
    <w:rsid w:val="032425A2"/>
    <w:rsid w:val="03244D24"/>
    <w:rsid w:val="03246A06"/>
    <w:rsid w:val="03247659"/>
    <w:rsid w:val="03250E34"/>
    <w:rsid w:val="03253AFD"/>
    <w:rsid w:val="0325508A"/>
    <w:rsid w:val="032561C2"/>
    <w:rsid w:val="03261624"/>
    <w:rsid w:val="03276A17"/>
    <w:rsid w:val="03277BB3"/>
    <w:rsid w:val="03280EF8"/>
    <w:rsid w:val="03282B7E"/>
    <w:rsid w:val="0328400E"/>
    <w:rsid w:val="03285998"/>
    <w:rsid w:val="03285B37"/>
    <w:rsid w:val="0328714A"/>
    <w:rsid w:val="0328798D"/>
    <w:rsid w:val="03291E9E"/>
    <w:rsid w:val="032A1114"/>
    <w:rsid w:val="032A1A05"/>
    <w:rsid w:val="032A2EC2"/>
    <w:rsid w:val="032A3F08"/>
    <w:rsid w:val="032A692E"/>
    <w:rsid w:val="032A7F7D"/>
    <w:rsid w:val="032C298F"/>
    <w:rsid w:val="032C5172"/>
    <w:rsid w:val="032D26DE"/>
    <w:rsid w:val="032D3E1F"/>
    <w:rsid w:val="032D650E"/>
    <w:rsid w:val="032F04D8"/>
    <w:rsid w:val="03304250"/>
    <w:rsid w:val="033049C7"/>
    <w:rsid w:val="03311987"/>
    <w:rsid w:val="033124A2"/>
    <w:rsid w:val="03313C30"/>
    <w:rsid w:val="033220DE"/>
    <w:rsid w:val="03324A94"/>
    <w:rsid w:val="03326279"/>
    <w:rsid w:val="03326475"/>
    <w:rsid w:val="03327FC8"/>
    <w:rsid w:val="03332CFF"/>
    <w:rsid w:val="03340902"/>
    <w:rsid w:val="03340AC7"/>
    <w:rsid w:val="03343D40"/>
    <w:rsid w:val="03351867"/>
    <w:rsid w:val="033518D8"/>
    <w:rsid w:val="03353D51"/>
    <w:rsid w:val="033755DF"/>
    <w:rsid w:val="03377AA2"/>
    <w:rsid w:val="033819FA"/>
    <w:rsid w:val="03383B03"/>
    <w:rsid w:val="03391357"/>
    <w:rsid w:val="03393105"/>
    <w:rsid w:val="033A0C37"/>
    <w:rsid w:val="033A3852"/>
    <w:rsid w:val="033A5B60"/>
    <w:rsid w:val="033A6423"/>
    <w:rsid w:val="033B50CF"/>
    <w:rsid w:val="033B56D0"/>
    <w:rsid w:val="033B783D"/>
    <w:rsid w:val="033C0D43"/>
    <w:rsid w:val="033C28C5"/>
    <w:rsid w:val="033C697A"/>
    <w:rsid w:val="033E071B"/>
    <w:rsid w:val="033E696D"/>
    <w:rsid w:val="034026E5"/>
    <w:rsid w:val="03402B33"/>
    <w:rsid w:val="03411FE4"/>
    <w:rsid w:val="034122DA"/>
    <w:rsid w:val="03413725"/>
    <w:rsid w:val="03415C8D"/>
    <w:rsid w:val="0341645D"/>
    <w:rsid w:val="03425C39"/>
    <w:rsid w:val="03430C16"/>
    <w:rsid w:val="034321D6"/>
    <w:rsid w:val="03441061"/>
    <w:rsid w:val="034420A6"/>
    <w:rsid w:val="034443F1"/>
    <w:rsid w:val="03452BA8"/>
    <w:rsid w:val="03455F4E"/>
    <w:rsid w:val="03457CFC"/>
    <w:rsid w:val="03463A74"/>
    <w:rsid w:val="03465822"/>
    <w:rsid w:val="034721E0"/>
    <w:rsid w:val="03482F95"/>
    <w:rsid w:val="03483348"/>
    <w:rsid w:val="03485463"/>
    <w:rsid w:val="034A3564"/>
    <w:rsid w:val="034A5312"/>
    <w:rsid w:val="034A70C0"/>
    <w:rsid w:val="034A7BB7"/>
    <w:rsid w:val="034B24F2"/>
    <w:rsid w:val="034B73A8"/>
    <w:rsid w:val="034C05CA"/>
    <w:rsid w:val="034C108A"/>
    <w:rsid w:val="034C1B99"/>
    <w:rsid w:val="034C4F0C"/>
    <w:rsid w:val="034C704E"/>
    <w:rsid w:val="034C72DC"/>
    <w:rsid w:val="034D4FEF"/>
    <w:rsid w:val="034D7BC7"/>
    <w:rsid w:val="034E1BF4"/>
    <w:rsid w:val="034F11C2"/>
    <w:rsid w:val="034F2928"/>
    <w:rsid w:val="034F46D6"/>
    <w:rsid w:val="034F71B9"/>
    <w:rsid w:val="03503256"/>
    <w:rsid w:val="03505229"/>
    <w:rsid w:val="0351321A"/>
    <w:rsid w:val="035148F2"/>
    <w:rsid w:val="03522419"/>
    <w:rsid w:val="03522E7C"/>
    <w:rsid w:val="035241C7"/>
    <w:rsid w:val="03525B51"/>
    <w:rsid w:val="03525F75"/>
    <w:rsid w:val="03535563"/>
    <w:rsid w:val="03546191"/>
    <w:rsid w:val="03550F8F"/>
    <w:rsid w:val="03553F48"/>
    <w:rsid w:val="03560771"/>
    <w:rsid w:val="0356161D"/>
    <w:rsid w:val="0356467A"/>
    <w:rsid w:val="03571FF7"/>
    <w:rsid w:val="03582B96"/>
    <w:rsid w:val="03582EB0"/>
    <w:rsid w:val="035835FB"/>
    <w:rsid w:val="03590FB5"/>
    <w:rsid w:val="035937A7"/>
    <w:rsid w:val="03597303"/>
    <w:rsid w:val="035A2E3C"/>
    <w:rsid w:val="035A38DE"/>
    <w:rsid w:val="035A3F4A"/>
    <w:rsid w:val="035B2972"/>
    <w:rsid w:val="035B7B35"/>
    <w:rsid w:val="035C4902"/>
    <w:rsid w:val="035C4F20"/>
    <w:rsid w:val="035C5045"/>
    <w:rsid w:val="035C6DF3"/>
    <w:rsid w:val="035C7A7E"/>
    <w:rsid w:val="035D07EB"/>
    <w:rsid w:val="035D0B93"/>
    <w:rsid w:val="035D17BD"/>
    <w:rsid w:val="035D43E1"/>
    <w:rsid w:val="035D6442"/>
    <w:rsid w:val="035E0DBD"/>
    <w:rsid w:val="035E2B6B"/>
    <w:rsid w:val="035E35F0"/>
    <w:rsid w:val="035E4919"/>
    <w:rsid w:val="035E700F"/>
    <w:rsid w:val="035E779F"/>
    <w:rsid w:val="035E7BD0"/>
    <w:rsid w:val="035F693C"/>
    <w:rsid w:val="035F7928"/>
    <w:rsid w:val="0360013E"/>
    <w:rsid w:val="03600692"/>
    <w:rsid w:val="036068E4"/>
    <w:rsid w:val="03613E1C"/>
    <w:rsid w:val="03614355"/>
    <w:rsid w:val="0361440A"/>
    <w:rsid w:val="03615C9F"/>
    <w:rsid w:val="036208AE"/>
    <w:rsid w:val="03622591"/>
    <w:rsid w:val="0363562F"/>
    <w:rsid w:val="036428A2"/>
    <w:rsid w:val="036450A4"/>
    <w:rsid w:val="036477E1"/>
    <w:rsid w:val="0365214C"/>
    <w:rsid w:val="03652B20"/>
    <w:rsid w:val="03653EFA"/>
    <w:rsid w:val="0365456D"/>
    <w:rsid w:val="03655CA8"/>
    <w:rsid w:val="03655DEA"/>
    <w:rsid w:val="036613DF"/>
    <w:rsid w:val="03681C3C"/>
    <w:rsid w:val="03685798"/>
    <w:rsid w:val="03685F1E"/>
    <w:rsid w:val="036868D0"/>
    <w:rsid w:val="036A04B8"/>
    <w:rsid w:val="036A59B4"/>
    <w:rsid w:val="036A7762"/>
    <w:rsid w:val="036A790C"/>
    <w:rsid w:val="036B14CC"/>
    <w:rsid w:val="036B6853"/>
    <w:rsid w:val="036B7036"/>
    <w:rsid w:val="036C617D"/>
    <w:rsid w:val="036C7E22"/>
    <w:rsid w:val="036D28B4"/>
    <w:rsid w:val="036D2DAF"/>
    <w:rsid w:val="036D7252"/>
    <w:rsid w:val="036D7B71"/>
    <w:rsid w:val="036E2742"/>
    <w:rsid w:val="036E2E73"/>
    <w:rsid w:val="036F6897"/>
    <w:rsid w:val="036F6B27"/>
    <w:rsid w:val="03704155"/>
    <w:rsid w:val="0370574B"/>
    <w:rsid w:val="03710AF1"/>
    <w:rsid w:val="03714993"/>
    <w:rsid w:val="037152BE"/>
    <w:rsid w:val="03724869"/>
    <w:rsid w:val="03740EB9"/>
    <w:rsid w:val="037465B4"/>
    <w:rsid w:val="037512F3"/>
    <w:rsid w:val="03755BB1"/>
    <w:rsid w:val="03756240"/>
    <w:rsid w:val="03763AA5"/>
    <w:rsid w:val="03773C2D"/>
    <w:rsid w:val="03791753"/>
    <w:rsid w:val="03791998"/>
    <w:rsid w:val="03794C38"/>
    <w:rsid w:val="03797855"/>
    <w:rsid w:val="037A0B0F"/>
    <w:rsid w:val="037A1A64"/>
    <w:rsid w:val="037A38B6"/>
    <w:rsid w:val="037B196F"/>
    <w:rsid w:val="037B4C65"/>
    <w:rsid w:val="037C1244"/>
    <w:rsid w:val="037C672A"/>
    <w:rsid w:val="037C7496"/>
    <w:rsid w:val="037D7CCF"/>
    <w:rsid w:val="037E0AF6"/>
    <w:rsid w:val="037E2237"/>
    <w:rsid w:val="037E6D6A"/>
    <w:rsid w:val="037F5F5C"/>
    <w:rsid w:val="03822048"/>
    <w:rsid w:val="03822CFE"/>
    <w:rsid w:val="03830824"/>
    <w:rsid w:val="038334D8"/>
    <w:rsid w:val="03840696"/>
    <w:rsid w:val="0385300A"/>
    <w:rsid w:val="0385634A"/>
    <w:rsid w:val="03863E70"/>
    <w:rsid w:val="038720C2"/>
    <w:rsid w:val="03874173"/>
    <w:rsid w:val="0388408C"/>
    <w:rsid w:val="03887BE8"/>
    <w:rsid w:val="03892540"/>
    <w:rsid w:val="03892A60"/>
    <w:rsid w:val="038970AE"/>
    <w:rsid w:val="038A1AFE"/>
    <w:rsid w:val="038A1BB2"/>
    <w:rsid w:val="038C592B"/>
    <w:rsid w:val="038D07E8"/>
    <w:rsid w:val="038D37B9"/>
    <w:rsid w:val="038F0F77"/>
    <w:rsid w:val="038F541B"/>
    <w:rsid w:val="03903DE4"/>
    <w:rsid w:val="0390489B"/>
    <w:rsid w:val="03906A9D"/>
    <w:rsid w:val="0391207E"/>
    <w:rsid w:val="03912346"/>
    <w:rsid w:val="03912F41"/>
    <w:rsid w:val="03921B3D"/>
    <w:rsid w:val="039251CE"/>
    <w:rsid w:val="039362CF"/>
    <w:rsid w:val="03936CB9"/>
    <w:rsid w:val="03940340"/>
    <w:rsid w:val="03942A31"/>
    <w:rsid w:val="03943B8E"/>
    <w:rsid w:val="039447DF"/>
    <w:rsid w:val="0394534B"/>
    <w:rsid w:val="0394658D"/>
    <w:rsid w:val="03954A0D"/>
    <w:rsid w:val="03977E2B"/>
    <w:rsid w:val="039813D0"/>
    <w:rsid w:val="0398426E"/>
    <w:rsid w:val="039842CF"/>
    <w:rsid w:val="03984646"/>
    <w:rsid w:val="03991DF6"/>
    <w:rsid w:val="03993A4F"/>
    <w:rsid w:val="03996689"/>
    <w:rsid w:val="039A36A3"/>
    <w:rsid w:val="039B5B6E"/>
    <w:rsid w:val="039C3694"/>
    <w:rsid w:val="039E565E"/>
    <w:rsid w:val="039E5752"/>
    <w:rsid w:val="039E57AB"/>
    <w:rsid w:val="039E740C"/>
    <w:rsid w:val="03A03184"/>
    <w:rsid w:val="03A10CAA"/>
    <w:rsid w:val="03A15E16"/>
    <w:rsid w:val="03A23EFA"/>
    <w:rsid w:val="03A2514E"/>
    <w:rsid w:val="03A26EFC"/>
    <w:rsid w:val="03A32AC2"/>
    <w:rsid w:val="03A333BC"/>
    <w:rsid w:val="03A50017"/>
    <w:rsid w:val="03A5393D"/>
    <w:rsid w:val="03A569EC"/>
    <w:rsid w:val="03A621D8"/>
    <w:rsid w:val="03A72764"/>
    <w:rsid w:val="03A74512"/>
    <w:rsid w:val="03A8028B"/>
    <w:rsid w:val="03A82039"/>
    <w:rsid w:val="03A85A55"/>
    <w:rsid w:val="03A96934"/>
    <w:rsid w:val="03AA1254"/>
    <w:rsid w:val="03AA5DB1"/>
    <w:rsid w:val="03AA7B5F"/>
    <w:rsid w:val="03AB1804"/>
    <w:rsid w:val="03AB26E4"/>
    <w:rsid w:val="03AC17C3"/>
    <w:rsid w:val="03AC4B62"/>
    <w:rsid w:val="03AD3C8B"/>
    <w:rsid w:val="03AD764F"/>
    <w:rsid w:val="03AF1065"/>
    <w:rsid w:val="03AF1619"/>
    <w:rsid w:val="03AF3C36"/>
    <w:rsid w:val="03AF4425"/>
    <w:rsid w:val="03AF786B"/>
    <w:rsid w:val="03B14776"/>
    <w:rsid w:val="03B261D1"/>
    <w:rsid w:val="03B31109"/>
    <w:rsid w:val="03B34186"/>
    <w:rsid w:val="03B35CEE"/>
    <w:rsid w:val="03B409DD"/>
    <w:rsid w:val="03B42718"/>
    <w:rsid w:val="03B44E81"/>
    <w:rsid w:val="03B51601"/>
    <w:rsid w:val="03B53475"/>
    <w:rsid w:val="03B60BF9"/>
    <w:rsid w:val="03B629A7"/>
    <w:rsid w:val="03B64756"/>
    <w:rsid w:val="03B67D01"/>
    <w:rsid w:val="03B67E06"/>
    <w:rsid w:val="03B7227C"/>
    <w:rsid w:val="03B723C8"/>
    <w:rsid w:val="03B72CC7"/>
    <w:rsid w:val="03B804CE"/>
    <w:rsid w:val="03B80955"/>
    <w:rsid w:val="03B80F4C"/>
    <w:rsid w:val="03B90FC0"/>
    <w:rsid w:val="03B91543"/>
    <w:rsid w:val="03B92498"/>
    <w:rsid w:val="03B955F3"/>
    <w:rsid w:val="03B978B9"/>
    <w:rsid w:val="03BA0D49"/>
    <w:rsid w:val="03BB1D6C"/>
    <w:rsid w:val="03BB23AC"/>
    <w:rsid w:val="03BB2728"/>
    <w:rsid w:val="03BB56F1"/>
    <w:rsid w:val="03BC2D1F"/>
    <w:rsid w:val="03BC2D28"/>
    <w:rsid w:val="03BC3669"/>
    <w:rsid w:val="03BD5772"/>
    <w:rsid w:val="03BD5AE4"/>
    <w:rsid w:val="03BE0200"/>
    <w:rsid w:val="03BE2947"/>
    <w:rsid w:val="03BF0B5A"/>
    <w:rsid w:val="03BF27B6"/>
    <w:rsid w:val="03C03826"/>
    <w:rsid w:val="03C03AC9"/>
    <w:rsid w:val="03C055D4"/>
    <w:rsid w:val="03C076C5"/>
    <w:rsid w:val="03C2134C"/>
    <w:rsid w:val="03C2759E"/>
    <w:rsid w:val="03C31541"/>
    <w:rsid w:val="03C344B4"/>
    <w:rsid w:val="03C350C4"/>
    <w:rsid w:val="03C36E72"/>
    <w:rsid w:val="03C42B10"/>
    <w:rsid w:val="03C42CC6"/>
    <w:rsid w:val="03C50E3C"/>
    <w:rsid w:val="03C70711"/>
    <w:rsid w:val="03C76963"/>
    <w:rsid w:val="03C84489"/>
    <w:rsid w:val="03C84E33"/>
    <w:rsid w:val="03C85412"/>
    <w:rsid w:val="03C86237"/>
    <w:rsid w:val="03C9092D"/>
    <w:rsid w:val="03C92E62"/>
    <w:rsid w:val="03CA0201"/>
    <w:rsid w:val="03CA253F"/>
    <w:rsid w:val="03CB02AE"/>
    <w:rsid w:val="03CC366C"/>
    <w:rsid w:val="03CC3F79"/>
    <w:rsid w:val="03CC5D27"/>
    <w:rsid w:val="03CD028D"/>
    <w:rsid w:val="03CD1548"/>
    <w:rsid w:val="03CD1A9F"/>
    <w:rsid w:val="03CD45E4"/>
    <w:rsid w:val="03CE17A1"/>
    <w:rsid w:val="03CE5F43"/>
    <w:rsid w:val="03CF2D0B"/>
    <w:rsid w:val="03CF3A69"/>
    <w:rsid w:val="03CF5817"/>
    <w:rsid w:val="03CF642A"/>
    <w:rsid w:val="03D0039E"/>
    <w:rsid w:val="03D02C2D"/>
    <w:rsid w:val="03D02F6F"/>
    <w:rsid w:val="03D031B4"/>
    <w:rsid w:val="03D16A65"/>
    <w:rsid w:val="03D20992"/>
    <w:rsid w:val="03D209BB"/>
    <w:rsid w:val="03D270B5"/>
    <w:rsid w:val="03D34A61"/>
    <w:rsid w:val="03D34C17"/>
    <w:rsid w:val="03D35307"/>
    <w:rsid w:val="03D36D1F"/>
    <w:rsid w:val="03D41080"/>
    <w:rsid w:val="03D461E8"/>
    <w:rsid w:val="03D472D2"/>
    <w:rsid w:val="03D66BA6"/>
    <w:rsid w:val="03D70B20"/>
    <w:rsid w:val="03D756A0"/>
    <w:rsid w:val="03D80B70"/>
    <w:rsid w:val="03D814FB"/>
    <w:rsid w:val="03D90444"/>
    <w:rsid w:val="03D92B91"/>
    <w:rsid w:val="03D93827"/>
    <w:rsid w:val="03D94A39"/>
    <w:rsid w:val="03DA48E8"/>
    <w:rsid w:val="03DB0660"/>
    <w:rsid w:val="03DB240E"/>
    <w:rsid w:val="03DB41BC"/>
    <w:rsid w:val="03DC585F"/>
    <w:rsid w:val="03DD6186"/>
    <w:rsid w:val="03DD7F34"/>
    <w:rsid w:val="03DE3CAC"/>
    <w:rsid w:val="03DE5572"/>
    <w:rsid w:val="03DE5A5A"/>
    <w:rsid w:val="03DF1EFE"/>
    <w:rsid w:val="03DF496A"/>
    <w:rsid w:val="03E0008C"/>
    <w:rsid w:val="03E017D2"/>
    <w:rsid w:val="03E07E92"/>
    <w:rsid w:val="03E10A40"/>
    <w:rsid w:val="03E2554B"/>
    <w:rsid w:val="03E51E35"/>
    <w:rsid w:val="03E5328D"/>
    <w:rsid w:val="03E545BA"/>
    <w:rsid w:val="03E54E94"/>
    <w:rsid w:val="03E55313"/>
    <w:rsid w:val="03E56DE9"/>
    <w:rsid w:val="03E66DE8"/>
    <w:rsid w:val="03E70971"/>
    <w:rsid w:val="03E7444B"/>
    <w:rsid w:val="03E76624"/>
    <w:rsid w:val="03E77005"/>
    <w:rsid w:val="03E80687"/>
    <w:rsid w:val="03E823BD"/>
    <w:rsid w:val="03E846DB"/>
    <w:rsid w:val="03E92685"/>
    <w:rsid w:val="03E9316B"/>
    <w:rsid w:val="03E94B2B"/>
    <w:rsid w:val="03E959C4"/>
    <w:rsid w:val="03EA08A3"/>
    <w:rsid w:val="03EA6449"/>
    <w:rsid w:val="03EA6727"/>
    <w:rsid w:val="03EA7B21"/>
    <w:rsid w:val="03EB7B76"/>
    <w:rsid w:val="03ED2496"/>
    <w:rsid w:val="03ED6F0E"/>
    <w:rsid w:val="03EE0393"/>
    <w:rsid w:val="03EF1A15"/>
    <w:rsid w:val="03EF64D6"/>
    <w:rsid w:val="03EF64F7"/>
    <w:rsid w:val="03F014FB"/>
    <w:rsid w:val="03F01D87"/>
    <w:rsid w:val="03F02791"/>
    <w:rsid w:val="03F03B68"/>
    <w:rsid w:val="03F059EE"/>
    <w:rsid w:val="03F11C32"/>
    <w:rsid w:val="03F139E8"/>
    <w:rsid w:val="03F16302"/>
    <w:rsid w:val="03F24E78"/>
    <w:rsid w:val="03F31506"/>
    <w:rsid w:val="03F34B0E"/>
    <w:rsid w:val="03F359AA"/>
    <w:rsid w:val="03F36175"/>
    <w:rsid w:val="03F434D0"/>
    <w:rsid w:val="03F4527E"/>
    <w:rsid w:val="03F4608E"/>
    <w:rsid w:val="03F4702C"/>
    <w:rsid w:val="03F51722"/>
    <w:rsid w:val="03F62ABB"/>
    <w:rsid w:val="03F62DA4"/>
    <w:rsid w:val="03F669F5"/>
    <w:rsid w:val="03F70B81"/>
    <w:rsid w:val="03F82FC0"/>
    <w:rsid w:val="03F875A9"/>
    <w:rsid w:val="03F924D8"/>
    <w:rsid w:val="03FA61DB"/>
    <w:rsid w:val="03FA6D38"/>
    <w:rsid w:val="03FB03BA"/>
    <w:rsid w:val="03FC5F2A"/>
    <w:rsid w:val="03FD08A8"/>
    <w:rsid w:val="03FD1F8B"/>
    <w:rsid w:val="03FD2384"/>
    <w:rsid w:val="03FD3D3F"/>
    <w:rsid w:val="03FE03D1"/>
    <w:rsid w:val="03FE4C3A"/>
    <w:rsid w:val="03FE7EAB"/>
    <w:rsid w:val="03FF3644"/>
    <w:rsid w:val="03FF60FC"/>
    <w:rsid w:val="03FF7DBF"/>
    <w:rsid w:val="04003C23"/>
    <w:rsid w:val="0400747C"/>
    <w:rsid w:val="04010226"/>
    <w:rsid w:val="0401729D"/>
    <w:rsid w:val="0402322C"/>
    <w:rsid w:val="0402799B"/>
    <w:rsid w:val="040353CB"/>
    <w:rsid w:val="04041965"/>
    <w:rsid w:val="040556DD"/>
    <w:rsid w:val="04071455"/>
    <w:rsid w:val="04082AD7"/>
    <w:rsid w:val="04086474"/>
    <w:rsid w:val="04091C6F"/>
    <w:rsid w:val="04092408"/>
    <w:rsid w:val="040A1242"/>
    <w:rsid w:val="040A3844"/>
    <w:rsid w:val="040A4AA1"/>
    <w:rsid w:val="040C05F0"/>
    <w:rsid w:val="040C0819"/>
    <w:rsid w:val="040C3AB3"/>
    <w:rsid w:val="040C4F07"/>
    <w:rsid w:val="040C6A6B"/>
    <w:rsid w:val="040D447D"/>
    <w:rsid w:val="040D64B5"/>
    <w:rsid w:val="040D7A92"/>
    <w:rsid w:val="040E08EE"/>
    <w:rsid w:val="040E27E3"/>
    <w:rsid w:val="040F3E66"/>
    <w:rsid w:val="040F5AE1"/>
    <w:rsid w:val="0410030A"/>
    <w:rsid w:val="04101DB7"/>
    <w:rsid w:val="04106C6A"/>
    <w:rsid w:val="04115E30"/>
    <w:rsid w:val="04117ADE"/>
    <w:rsid w:val="041446E8"/>
    <w:rsid w:val="0415162B"/>
    <w:rsid w:val="04155920"/>
    <w:rsid w:val="04164273"/>
    <w:rsid w:val="04165F1D"/>
    <w:rsid w:val="04185410"/>
    <w:rsid w:val="04191764"/>
    <w:rsid w:val="04192391"/>
    <w:rsid w:val="041A1188"/>
    <w:rsid w:val="041A1DAA"/>
    <w:rsid w:val="041A1F5F"/>
    <w:rsid w:val="041A2480"/>
    <w:rsid w:val="041A2F36"/>
    <w:rsid w:val="041A7C17"/>
    <w:rsid w:val="041C0E3E"/>
    <w:rsid w:val="041C1741"/>
    <w:rsid w:val="041C6F4E"/>
    <w:rsid w:val="041C7156"/>
    <w:rsid w:val="041D2A27"/>
    <w:rsid w:val="041E22FB"/>
    <w:rsid w:val="041E340D"/>
    <w:rsid w:val="041F2CAC"/>
    <w:rsid w:val="041F69FF"/>
    <w:rsid w:val="041F6A66"/>
    <w:rsid w:val="0420226A"/>
    <w:rsid w:val="04206073"/>
    <w:rsid w:val="04223B99"/>
    <w:rsid w:val="0424299D"/>
    <w:rsid w:val="04246877"/>
    <w:rsid w:val="042518DB"/>
    <w:rsid w:val="04261197"/>
    <w:rsid w:val="04266C82"/>
    <w:rsid w:val="04267AF8"/>
    <w:rsid w:val="04274DEE"/>
    <w:rsid w:val="04277401"/>
    <w:rsid w:val="042820E1"/>
    <w:rsid w:val="042839DF"/>
    <w:rsid w:val="04284BDA"/>
    <w:rsid w:val="042913CB"/>
    <w:rsid w:val="04293179"/>
    <w:rsid w:val="04293EB0"/>
    <w:rsid w:val="04295514"/>
    <w:rsid w:val="042A0CA0"/>
    <w:rsid w:val="042A3104"/>
    <w:rsid w:val="042A32B9"/>
    <w:rsid w:val="042B5143"/>
    <w:rsid w:val="042D1FAA"/>
    <w:rsid w:val="042E253E"/>
    <w:rsid w:val="042F2C6F"/>
    <w:rsid w:val="04307983"/>
    <w:rsid w:val="04310280"/>
    <w:rsid w:val="0431202E"/>
    <w:rsid w:val="04315F54"/>
    <w:rsid w:val="0431775F"/>
    <w:rsid w:val="0432150E"/>
    <w:rsid w:val="0432230B"/>
    <w:rsid w:val="0432469C"/>
    <w:rsid w:val="04333FF8"/>
    <w:rsid w:val="04334820"/>
    <w:rsid w:val="04335DA6"/>
    <w:rsid w:val="04340621"/>
    <w:rsid w:val="04341AB8"/>
    <w:rsid w:val="043438CC"/>
    <w:rsid w:val="0434484F"/>
    <w:rsid w:val="04350D16"/>
    <w:rsid w:val="04351B1E"/>
    <w:rsid w:val="0435488B"/>
    <w:rsid w:val="0435691B"/>
    <w:rsid w:val="04357D70"/>
    <w:rsid w:val="04371904"/>
    <w:rsid w:val="0438160E"/>
    <w:rsid w:val="04387860"/>
    <w:rsid w:val="04390A47"/>
    <w:rsid w:val="04390EE3"/>
    <w:rsid w:val="043912B7"/>
    <w:rsid w:val="043930E0"/>
    <w:rsid w:val="04396DE5"/>
    <w:rsid w:val="04396FC9"/>
    <w:rsid w:val="043A1855"/>
    <w:rsid w:val="043A3327"/>
    <w:rsid w:val="043A5387"/>
    <w:rsid w:val="043B10FF"/>
    <w:rsid w:val="043B1F2D"/>
    <w:rsid w:val="043B2EAD"/>
    <w:rsid w:val="043B4C5B"/>
    <w:rsid w:val="043B6147"/>
    <w:rsid w:val="043D2B30"/>
    <w:rsid w:val="043D2EE5"/>
    <w:rsid w:val="043D4E77"/>
    <w:rsid w:val="043D5AFB"/>
    <w:rsid w:val="043E429C"/>
    <w:rsid w:val="043F31E0"/>
    <w:rsid w:val="043F6098"/>
    <w:rsid w:val="043F7F1A"/>
    <w:rsid w:val="044004C3"/>
    <w:rsid w:val="044161EF"/>
    <w:rsid w:val="04417874"/>
    <w:rsid w:val="0442423B"/>
    <w:rsid w:val="04425FE9"/>
    <w:rsid w:val="044319E6"/>
    <w:rsid w:val="04441D61"/>
    <w:rsid w:val="04444720"/>
    <w:rsid w:val="04461F7D"/>
    <w:rsid w:val="04463D2B"/>
    <w:rsid w:val="04471852"/>
    <w:rsid w:val="04473600"/>
    <w:rsid w:val="04477B9D"/>
    <w:rsid w:val="04482874"/>
    <w:rsid w:val="04484531"/>
    <w:rsid w:val="044870B2"/>
    <w:rsid w:val="04491B37"/>
    <w:rsid w:val="04494535"/>
    <w:rsid w:val="044955CA"/>
    <w:rsid w:val="044960DF"/>
    <w:rsid w:val="04497378"/>
    <w:rsid w:val="044A6D67"/>
    <w:rsid w:val="044B1342"/>
    <w:rsid w:val="044D0604"/>
    <w:rsid w:val="044D1E53"/>
    <w:rsid w:val="044E2BE0"/>
    <w:rsid w:val="044F46F5"/>
    <w:rsid w:val="044F5447"/>
    <w:rsid w:val="04504BAA"/>
    <w:rsid w:val="04510922"/>
    <w:rsid w:val="04516E80"/>
    <w:rsid w:val="04525DA3"/>
    <w:rsid w:val="04531FA4"/>
    <w:rsid w:val="04532D85"/>
    <w:rsid w:val="045332A7"/>
    <w:rsid w:val="045515F7"/>
    <w:rsid w:val="04553FEB"/>
    <w:rsid w:val="045566F5"/>
    <w:rsid w:val="0456344C"/>
    <w:rsid w:val="04567CE7"/>
    <w:rsid w:val="04571DD4"/>
    <w:rsid w:val="04577FC5"/>
    <w:rsid w:val="04581CB1"/>
    <w:rsid w:val="045A1585"/>
    <w:rsid w:val="045A3333"/>
    <w:rsid w:val="045B52FD"/>
    <w:rsid w:val="045B70AB"/>
    <w:rsid w:val="045B7DD6"/>
    <w:rsid w:val="045C67D7"/>
    <w:rsid w:val="045D1075"/>
    <w:rsid w:val="045D2E23"/>
    <w:rsid w:val="045D52C7"/>
    <w:rsid w:val="045D7DF2"/>
    <w:rsid w:val="045E4E58"/>
    <w:rsid w:val="045F4C2B"/>
    <w:rsid w:val="045F5574"/>
    <w:rsid w:val="045F6B9B"/>
    <w:rsid w:val="04605389"/>
    <w:rsid w:val="04610DE0"/>
    <w:rsid w:val="046161A6"/>
    <w:rsid w:val="046402BE"/>
    <w:rsid w:val="046425C9"/>
    <w:rsid w:val="04643E49"/>
    <w:rsid w:val="0465073B"/>
    <w:rsid w:val="04661E98"/>
    <w:rsid w:val="046643CE"/>
    <w:rsid w:val="04666290"/>
    <w:rsid w:val="04671EF4"/>
    <w:rsid w:val="04673CA2"/>
    <w:rsid w:val="04675A49"/>
    <w:rsid w:val="04680F4A"/>
    <w:rsid w:val="046823DA"/>
    <w:rsid w:val="04683B1B"/>
    <w:rsid w:val="046917C8"/>
    <w:rsid w:val="04691A29"/>
    <w:rsid w:val="046930FC"/>
    <w:rsid w:val="046A4DFB"/>
    <w:rsid w:val="046A643B"/>
    <w:rsid w:val="046B45E8"/>
    <w:rsid w:val="046B5540"/>
    <w:rsid w:val="046C12B8"/>
    <w:rsid w:val="046C392C"/>
    <w:rsid w:val="046D395F"/>
    <w:rsid w:val="046E3F9E"/>
    <w:rsid w:val="046E5030"/>
    <w:rsid w:val="046E6DDE"/>
    <w:rsid w:val="046F2851"/>
    <w:rsid w:val="04700DA8"/>
    <w:rsid w:val="04702B56"/>
    <w:rsid w:val="04727855"/>
    <w:rsid w:val="04730898"/>
    <w:rsid w:val="04732647"/>
    <w:rsid w:val="0473673D"/>
    <w:rsid w:val="047420BE"/>
    <w:rsid w:val="0475016D"/>
    <w:rsid w:val="04754611"/>
    <w:rsid w:val="047563BF"/>
    <w:rsid w:val="047606CB"/>
    <w:rsid w:val="04760D95"/>
    <w:rsid w:val="04761639"/>
    <w:rsid w:val="04762137"/>
    <w:rsid w:val="04763EE5"/>
    <w:rsid w:val="04771B65"/>
    <w:rsid w:val="047734ED"/>
    <w:rsid w:val="04775EC4"/>
    <w:rsid w:val="04781A0B"/>
    <w:rsid w:val="04784101"/>
    <w:rsid w:val="04794AA0"/>
    <w:rsid w:val="047A5783"/>
    <w:rsid w:val="047A7FDB"/>
    <w:rsid w:val="047B20B6"/>
    <w:rsid w:val="047C3421"/>
    <w:rsid w:val="047C50C1"/>
    <w:rsid w:val="047C599F"/>
    <w:rsid w:val="047C774D"/>
    <w:rsid w:val="047D0AF6"/>
    <w:rsid w:val="047D4229"/>
    <w:rsid w:val="047D5273"/>
    <w:rsid w:val="047F0FEB"/>
    <w:rsid w:val="047F2C29"/>
    <w:rsid w:val="0480239D"/>
    <w:rsid w:val="04812FB5"/>
    <w:rsid w:val="04814D63"/>
    <w:rsid w:val="04815802"/>
    <w:rsid w:val="04815F62"/>
    <w:rsid w:val="048209F9"/>
    <w:rsid w:val="0482288A"/>
    <w:rsid w:val="0482615E"/>
    <w:rsid w:val="04827293"/>
    <w:rsid w:val="04830AB2"/>
    <w:rsid w:val="04842AA6"/>
    <w:rsid w:val="04846602"/>
    <w:rsid w:val="0485711A"/>
    <w:rsid w:val="0486237A"/>
    <w:rsid w:val="04863229"/>
    <w:rsid w:val="04864EB4"/>
    <w:rsid w:val="04865C14"/>
    <w:rsid w:val="04871440"/>
    <w:rsid w:val="04876D4A"/>
    <w:rsid w:val="04891341"/>
    <w:rsid w:val="048913D1"/>
    <w:rsid w:val="04891E6A"/>
    <w:rsid w:val="04892E54"/>
    <w:rsid w:val="048A42E4"/>
    <w:rsid w:val="048A5A25"/>
    <w:rsid w:val="048B7990"/>
    <w:rsid w:val="048C452E"/>
    <w:rsid w:val="048C54B6"/>
    <w:rsid w:val="048C558A"/>
    <w:rsid w:val="048E55BC"/>
    <w:rsid w:val="048E7480"/>
    <w:rsid w:val="048F0F53"/>
    <w:rsid w:val="048F465A"/>
    <w:rsid w:val="048F7B35"/>
    <w:rsid w:val="04903046"/>
    <w:rsid w:val="04904FA7"/>
    <w:rsid w:val="04910D1F"/>
    <w:rsid w:val="04916985"/>
    <w:rsid w:val="04926F71"/>
    <w:rsid w:val="049319EC"/>
    <w:rsid w:val="049329AF"/>
    <w:rsid w:val="04934609"/>
    <w:rsid w:val="04936BA9"/>
    <w:rsid w:val="049525BD"/>
    <w:rsid w:val="04966B99"/>
    <w:rsid w:val="049674C3"/>
    <w:rsid w:val="04970029"/>
    <w:rsid w:val="04971F34"/>
    <w:rsid w:val="04983104"/>
    <w:rsid w:val="04983E5B"/>
    <w:rsid w:val="049859E7"/>
    <w:rsid w:val="04991296"/>
    <w:rsid w:val="04993B4F"/>
    <w:rsid w:val="049A7266"/>
    <w:rsid w:val="049B2795"/>
    <w:rsid w:val="049B3A5F"/>
    <w:rsid w:val="049C16D0"/>
    <w:rsid w:val="049C1B9D"/>
    <w:rsid w:val="049C7E3A"/>
    <w:rsid w:val="049D76C3"/>
    <w:rsid w:val="049E32BA"/>
    <w:rsid w:val="049E5D1F"/>
    <w:rsid w:val="049E6387"/>
    <w:rsid w:val="049F168E"/>
    <w:rsid w:val="04A171B4"/>
    <w:rsid w:val="04A3117E"/>
    <w:rsid w:val="04A32715"/>
    <w:rsid w:val="04A36551"/>
    <w:rsid w:val="04A365CC"/>
    <w:rsid w:val="04A37660"/>
    <w:rsid w:val="04A40A52"/>
    <w:rsid w:val="04A44EF6"/>
    <w:rsid w:val="04A45E57"/>
    <w:rsid w:val="04A46CA4"/>
    <w:rsid w:val="04A47A17"/>
    <w:rsid w:val="04A50D75"/>
    <w:rsid w:val="04A62A1C"/>
    <w:rsid w:val="04A647DE"/>
    <w:rsid w:val="04A70542"/>
    <w:rsid w:val="04A722F0"/>
    <w:rsid w:val="04A80FAE"/>
    <w:rsid w:val="04A90B4F"/>
    <w:rsid w:val="04A90D24"/>
    <w:rsid w:val="04A9243E"/>
    <w:rsid w:val="04A9250C"/>
    <w:rsid w:val="04A92E4C"/>
    <w:rsid w:val="04A93587"/>
    <w:rsid w:val="04A942BA"/>
    <w:rsid w:val="04A9786D"/>
    <w:rsid w:val="04AB0032"/>
    <w:rsid w:val="04AB1DE0"/>
    <w:rsid w:val="04AB4620"/>
    <w:rsid w:val="04AB4D5E"/>
    <w:rsid w:val="04AC145E"/>
    <w:rsid w:val="04AD7633"/>
    <w:rsid w:val="04AD7C70"/>
    <w:rsid w:val="04AD7FDB"/>
    <w:rsid w:val="04AE18D1"/>
    <w:rsid w:val="04AE367F"/>
    <w:rsid w:val="04AE4E0D"/>
    <w:rsid w:val="04AE6D35"/>
    <w:rsid w:val="04AE7B23"/>
    <w:rsid w:val="04B02F1F"/>
    <w:rsid w:val="04B14F1D"/>
    <w:rsid w:val="04B213C1"/>
    <w:rsid w:val="04B2316F"/>
    <w:rsid w:val="04B26DDD"/>
    <w:rsid w:val="04B334F0"/>
    <w:rsid w:val="04B35139"/>
    <w:rsid w:val="04B35F44"/>
    <w:rsid w:val="04B43341"/>
    <w:rsid w:val="04B43AE4"/>
    <w:rsid w:val="04B47551"/>
    <w:rsid w:val="04B50718"/>
    <w:rsid w:val="04B50EB1"/>
    <w:rsid w:val="04B52C5F"/>
    <w:rsid w:val="04B54A0D"/>
    <w:rsid w:val="04B5647F"/>
    <w:rsid w:val="04B62533"/>
    <w:rsid w:val="04B63D47"/>
    <w:rsid w:val="04B648BA"/>
    <w:rsid w:val="04B70785"/>
    <w:rsid w:val="04B74A42"/>
    <w:rsid w:val="04B74C29"/>
    <w:rsid w:val="04B769D7"/>
    <w:rsid w:val="04B85ED2"/>
    <w:rsid w:val="04B861F7"/>
    <w:rsid w:val="04BA64C7"/>
    <w:rsid w:val="04BB1570"/>
    <w:rsid w:val="04BB239F"/>
    <w:rsid w:val="04BB3044"/>
    <w:rsid w:val="04BB7320"/>
    <w:rsid w:val="04BB7424"/>
    <w:rsid w:val="04BC0AE9"/>
    <w:rsid w:val="04BC1F2C"/>
    <w:rsid w:val="04BC223F"/>
    <w:rsid w:val="04BD1D44"/>
    <w:rsid w:val="04BD41D9"/>
    <w:rsid w:val="04BE4571"/>
    <w:rsid w:val="04BE616E"/>
    <w:rsid w:val="04C020AE"/>
    <w:rsid w:val="04C04528"/>
    <w:rsid w:val="04C11D11"/>
    <w:rsid w:val="04C133B2"/>
    <w:rsid w:val="04C17856"/>
    <w:rsid w:val="04C2318E"/>
    <w:rsid w:val="04C2388A"/>
    <w:rsid w:val="04C31787"/>
    <w:rsid w:val="04C335CE"/>
    <w:rsid w:val="04C37AA2"/>
    <w:rsid w:val="04C410F4"/>
    <w:rsid w:val="04C425F6"/>
    <w:rsid w:val="04C42EA2"/>
    <w:rsid w:val="04C430CC"/>
    <w:rsid w:val="04C44A87"/>
    <w:rsid w:val="04C44C50"/>
    <w:rsid w:val="04C45905"/>
    <w:rsid w:val="04C504D6"/>
    <w:rsid w:val="04C5780A"/>
    <w:rsid w:val="04C609C8"/>
    <w:rsid w:val="04C64E6C"/>
    <w:rsid w:val="04C71BC1"/>
    <w:rsid w:val="04C74740"/>
    <w:rsid w:val="04C759C7"/>
    <w:rsid w:val="04C77AA0"/>
    <w:rsid w:val="04C825EA"/>
    <w:rsid w:val="04C86263"/>
    <w:rsid w:val="04C865CE"/>
    <w:rsid w:val="04C86939"/>
    <w:rsid w:val="04C904B8"/>
    <w:rsid w:val="04CA2EB8"/>
    <w:rsid w:val="04CB2C07"/>
    <w:rsid w:val="04CB3884"/>
    <w:rsid w:val="04CB3E7D"/>
    <w:rsid w:val="04CB4231"/>
    <w:rsid w:val="04CB5FDF"/>
    <w:rsid w:val="04CC45D7"/>
    <w:rsid w:val="04CD5502"/>
    <w:rsid w:val="04CD61FB"/>
    <w:rsid w:val="04CD7FA9"/>
    <w:rsid w:val="04CE1F73"/>
    <w:rsid w:val="04CE3D21"/>
    <w:rsid w:val="04D035F5"/>
    <w:rsid w:val="04D05CEB"/>
    <w:rsid w:val="04D07C68"/>
    <w:rsid w:val="04D07C7E"/>
    <w:rsid w:val="04D124A8"/>
    <w:rsid w:val="04D131AD"/>
    <w:rsid w:val="04D1736D"/>
    <w:rsid w:val="04D22D03"/>
    <w:rsid w:val="04D255BF"/>
    <w:rsid w:val="04D330E5"/>
    <w:rsid w:val="04D3716A"/>
    <w:rsid w:val="04D43831"/>
    <w:rsid w:val="04D71AC4"/>
    <w:rsid w:val="04D74983"/>
    <w:rsid w:val="04D817F3"/>
    <w:rsid w:val="04D8694E"/>
    <w:rsid w:val="04D87252"/>
    <w:rsid w:val="04D87407"/>
    <w:rsid w:val="04D87478"/>
    <w:rsid w:val="04D9520B"/>
    <w:rsid w:val="04D9665A"/>
    <w:rsid w:val="04D97DDC"/>
    <w:rsid w:val="04DA26C6"/>
    <w:rsid w:val="04DA421E"/>
    <w:rsid w:val="04DA76EC"/>
    <w:rsid w:val="04DB00E6"/>
    <w:rsid w:val="04DB26FC"/>
    <w:rsid w:val="04DC01EC"/>
    <w:rsid w:val="04DC0AA0"/>
    <w:rsid w:val="04DC4690"/>
    <w:rsid w:val="04DC643E"/>
    <w:rsid w:val="04DD5BC9"/>
    <w:rsid w:val="04DD5D12"/>
    <w:rsid w:val="04DE21B6"/>
    <w:rsid w:val="04E11CA6"/>
    <w:rsid w:val="04E13A54"/>
    <w:rsid w:val="04E225CF"/>
    <w:rsid w:val="04E252EF"/>
    <w:rsid w:val="04E35692"/>
    <w:rsid w:val="04E35A1E"/>
    <w:rsid w:val="04E43544"/>
    <w:rsid w:val="04E44859"/>
    <w:rsid w:val="04E452F2"/>
    <w:rsid w:val="04E5017D"/>
    <w:rsid w:val="04E52EB2"/>
    <w:rsid w:val="04E53067"/>
    <w:rsid w:val="04E57AC0"/>
    <w:rsid w:val="04E622BB"/>
    <w:rsid w:val="04E62E18"/>
    <w:rsid w:val="04E778D7"/>
    <w:rsid w:val="04E80761"/>
    <w:rsid w:val="04E81B1A"/>
    <w:rsid w:val="04E83035"/>
    <w:rsid w:val="04E8451B"/>
    <w:rsid w:val="04E84DE3"/>
    <w:rsid w:val="04E86B91"/>
    <w:rsid w:val="04E87DB0"/>
    <w:rsid w:val="04E91598"/>
    <w:rsid w:val="04EB042F"/>
    <w:rsid w:val="04EB1B83"/>
    <w:rsid w:val="04EB3976"/>
    <w:rsid w:val="04EC4DC2"/>
    <w:rsid w:val="04EC6C06"/>
    <w:rsid w:val="04ED123A"/>
    <w:rsid w:val="04ED6A6C"/>
    <w:rsid w:val="04EE0B72"/>
    <w:rsid w:val="04EE6171"/>
    <w:rsid w:val="04EF43C3"/>
    <w:rsid w:val="04F03343"/>
    <w:rsid w:val="04F03C97"/>
    <w:rsid w:val="04F069BD"/>
    <w:rsid w:val="04F21253"/>
    <w:rsid w:val="04F217BD"/>
    <w:rsid w:val="04F41E13"/>
    <w:rsid w:val="04F512AE"/>
    <w:rsid w:val="04F528D6"/>
    <w:rsid w:val="04F574E4"/>
    <w:rsid w:val="04F632EB"/>
    <w:rsid w:val="04F75026"/>
    <w:rsid w:val="04F80D9E"/>
    <w:rsid w:val="04F9106B"/>
    <w:rsid w:val="04F96FF0"/>
    <w:rsid w:val="04FA0856"/>
    <w:rsid w:val="04FA1DA8"/>
    <w:rsid w:val="04FA2D68"/>
    <w:rsid w:val="04FA68C4"/>
    <w:rsid w:val="04FB00DD"/>
    <w:rsid w:val="04FB761A"/>
    <w:rsid w:val="04FC088E"/>
    <w:rsid w:val="04FC263C"/>
    <w:rsid w:val="04FC43EA"/>
    <w:rsid w:val="04FE63B4"/>
    <w:rsid w:val="04FF212C"/>
    <w:rsid w:val="050037E4"/>
    <w:rsid w:val="050046C8"/>
    <w:rsid w:val="050122BE"/>
    <w:rsid w:val="050140F6"/>
    <w:rsid w:val="050149A5"/>
    <w:rsid w:val="05017C52"/>
    <w:rsid w:val="05033049"/>
    <w:rsid w:val="05036E7F"/>
    <w:rsid w:val="05045994"/>
    <w:rsid w:val="05046312"/>
    <w:rsid w:val="05047F88"/>
    <w:rsid w:val="0506170D"/>
    <w:rsid w:val="050634BB"/>
    <w:rsid w:val="05065CFC"/>
    <w:rsid w:val="050670D9"/>
    <w:rsid w:val="05072E5A"/>
    <w:rsid w:val="050733A6"/>
    <w:rsid w:val="05080EB6"/>
    <w:rsid w:val="05085644"/>
    <w:rsid w:val="05087233"/>
    <w:rsid w:val="050A50E8"/>
    <w:rsid w:val="050D4849"/>
    <w:rsid w:val="050D725E"/>
    <w:rsid w:val="050E236F"/>
    <w:rsid w:val="050E411D"/>
    <w:rsid w:val="050E7620"/>
    <w:rsid w:val="050F05C1"/>
    <w:rsid w:val="050F6813"/>
    <w:rsid w:val="050F6F40"/>
    <w:rsid w:val="050F7790"/>
    <w:rsid w:val="05102C95"/>
    <w:rsid w:val="051060E7"/>
    <w:rsid w:val="051074F7"/>
    <w:rsid w:val="05120CA5"/>
    <w:rsid w:val="05123C0E"/>
    <w:rsid w:val="051351D0"/>
    <w:rsid w:val="05137986"/>
    <w:rsid w:val="05141A17"/>
    <w:rsid w:val="05145BD8"/>
    <w:rsid w:val="05147067"/>
    <w:rsid w:val="05151950"/>
    <w:rsid w:val="051529F5"/>
    <w:rsid w:val="0516342C"/>
    <w:rsid w:val="05164D65"/>
    <w:rsid w:val="05174ED7"/>
    <w:rsid w:val="05177476"/>
    <w:rsid w:val="05191440"/>
    <w:rsid w:val="05191CA2"/>
    <w:rsid w:val="0519269E"/>
    <w:rsid w:val="051931EE"/>
    <w:rsid w:val="051949D9"/>
    <w:rsid w:val="0519526F"/>
    <w:rsid w:val="051A1DF5"/>
    <w:rsid w:val="051A51B8"/>
    <w:rsid w:val="051C048B"/>
    <w:rsid w:val="051C2CDE"/>
    <w:rsid w:val="051C2E0D"/>
    <w:rsid w:val="051C4A8C"/>
    <w:rsid w:val="051C683A"/>
    <w:rsid w:val="051D01F9"/>
    <w:rsid w:val="051E0804"/>
    <w:rsid w:val="051E6A56"/>
    <w:rsid w:val="051E7C24"/>
    <w:rsid w:val="051F457C"/>
    <w:rsid w:val="051F632A"/>
    <w:rsid w:val="052039A3"/>
    <w:rsid w:val="052102F4"/>
    <w:rsid w:val="052136C5"/>
    <w:rsid w:val="05216546"/>
    <w:rsid w:val="052221B5"/>
    <w:rsid w:val="05224A3A"/>
    <w:rsid w:val="052252B2"/>
    <w:rsid w:val="0523406D"/>
    <w:rsid w:val="05237BC9"/>
    <w:rsid w:val="05241B93"/>
    <w:rsid w:val="052457DD"/>
    <w:rsid w:val="05246FA6"/>
    <w:rsid w:val="05251414"/>
    <w:rsid w:val="052546EF"/>
    <w:rsid w:val="0525608B"/>
    <w:rsid w:val="05263C7D"/>
    <w:rsid w:val="0526590B"/>
    <w:rsid w:val="052662CC"/>
    <w:rsid w:val="05266F1A"/>
    <w:rsid w:val="052676B9"/>
    <w:rsid w:val="05281683"/>
    <w:rsid w:val="05281F52"/>
    <w:rsid w:val="05283431"/>
    <w:rsid w:val="05292193"/>
    <w:rsid w:val="05292583"/>
    <w:rsid w:val="05294D64"/>
    <w:rsid w:val="052A2D8E"/>
    <w:rsid w:val="052A3623"/>
    <w:rsid w:val="052B2F21"/>
    <w:rsid w:val="052D4B75"/>
    <w:rsid w:val="052D4EEB"/>
    <w:rsid w:val="052D6C99"/>
    <w:rsid w:val="052E47BF"/>
    <w:rsid w:val="052E5A1D"/>
    <w:rsid w:val="052E6005"/>
    <w:rsid w:val="052E656D"/>
    <w:rsid w:val="052F5D10"/>
    <w:rsid w:val="05302066"/>
    <w:rsid w:val="0532605E"/>
    <w:rsid w:val="05327D53"/>
    <w:rsid w:val="05350869"/>
    <w:rsid w:val="05353307"/>
    <w:rsid w:val="05355B4E"/>
    <w:rsid w:val="05355F14"/>
    <w:rsid w:val="05356A71"/>
    <w:rsid w:val="05364797"/>
    <w:rsid w:val="05365ED8"/>
    <w:rsid w:val="05374614"/>
    <w:rsid w:val="053770D6"/>
    <w:rsid w:val="05383505"/>
    <w:rsid w:val="05383F82"/>
    <w:rsid w:val="053840F0"/>
    <w:rsid w:val="05384814"/>
    <w:rsid w:val="05391C88"/>
    <w:rsid w:val="05392F06"/>
    <w:rsid w:val="05393890"/>
    <w:rsid w:val="053944D7"/>
    <w:rsid w:val="053A01E6"/>
    <w:rsid w:val="053A4F12"/>
    <w:rsid w:val="053A7CE3"/>
    <w:rsid w:val="053B7608"/>
    <w:rsid w:val="053C15BE"/>
    <w:rsid w:val="053C512E"/>
    <w:rsid w:val="053D1A99"/>
    <w:rsid w:val="053D2316"/>
    <w:rsid w:val="053E0EA6"/>
    <w:rsid w:val="053E2C54"/>
    <w:rsid w:val="053F69CD"/>
    <w:rsid w:val="05400967"/>
    <w:rsid w:val="0541053E"/>
    <w:rsid w:val="05410997"/>
    <w:rsid w:val="05412745"/>
    <w:rsid w:val="05424E30"/>
    <w:rsid w:val="0543692C"/>
    <w:rsid w:val="05441D1A"/>
    <w:rsid w:val="05446C4C"/>
    <w:rsid w:val="05452235"/>
    <w:rsid w:val="05461B09"/>
    <w:rsid w:val="0546428C"/>
    <w:rsid w:val="05476E5D"/>
    <w:rsid w:val="05485881"/>
    <w:rsid w:val="0548762F"/>
    <w:rsid w:val="05490FE9"/>
    <w:rsid w:val="054933A7"/>
    <w:rsid w:val="054A11D0"/>
    <w:rsid w:val="054A1C9D"/>
    <w:rsid w:val="054A409D"/>
    <w:rsid w:val="054B5371"/>
    <w:rsid w:val="054B552D"/>
    <w:rsid w:val="054B711F"/>
    <w:rsid w:val="054C21D8"/>
    <w:rsid w:val="054C238D"/>
    <w:rsid w:val="054D1AE3"/>
    <w:rsid w:val="054D2E98"/>
    <w:rsid w:val="054D3C9F"/>
    <w:rsid w:val="054D415F"/>
    <w:rsid w:val="054D6FE6"/>
    <w:rsid w:val="054F4E62"/>
    <w:rsid w:val="054F5AA2"/>
    <w:rsid w:val="054F6864"/>
    <w:rsid w:val="054F6B27"/>
    <w:rsid w:val="05502988"/>
    <w:rsid w:val="05507F0F"/>
    <w:rsid w:val="055150B0"/>
    <w:rsid w:val="055204AE"/>
    <w:rsid w:val="0552282F"/>
    <w:rsid w:val="05526700"/>
    <w:rsid w:val="05533CBE"/>
    <w:rsid w:val="0553688F"/>
    <w:rsid w:val="055406CA"/>
    <w:rsid w:val="055410F2"/>
    <w:rsid w:val="05545C2F"/>
    <w:rsid w:val="055511AF"/>
    <w:rsid w:val="05551D4C"/>
    <w:rsid w:val="05563D80"/>
    <w:rsid w:val="05566185"/>
    <w:rsid w:val="05571F68"/>
    <w:rsid w:val="05573D16"/>
    <w:rsid w:val="0557666E"/>
    <w:rsid w:val="05586331"/>
    <w:rsid w:val="05595CE0"/>
    <w:rsid w:val="055A3B91"/>
    <w:rsid w:val="055B1286"/>
    <w:rsid w:val="055C132D"/>
    <w:rsid w:val="055C337C"/>
    <w:rsid w:val="055C3A53"/>
    <w:rsid w:val="055C4AE0"/>
    <w:rsid w:val="055C757F"/>
    <w:rsid w:val="055E32F7"/>
    <w:rsid w:val="055E6E53"/>
    <w:rsid w:val="055F24A7"/>
    <w:rsid w:val="055F24F8"/>
    <w:rsid w:val="056016E1"/>
    <w:rsid w:val="0560706F"/>
    <w:rsid w:val="056106F1"/>
    <w:rsid w:val="05614B95"/>
    <w:rsid w:val="05634469"/>
    <w:rsid w:val="056401E1"/>
    <w:rsid w:val="05654685"/>
    <w:rsid w:val="056621AB"/>
    <w:rsid w:val="05663D79"/>
    <w:rsid w:val="056653B9"/>
    <w:rsid w:val="05665D07"/>
    <w:rsid w:val="056703FD"/>
    <w:rsid w:val="05670D5F"/>
    <w:rsid w:val="05681A7F"/>
    <w:rsid w:val="056874D4"/>
    <w:rsid w:val="05687A1E"/>
    <w:rsid w:val="05687CD1"/>
    <w:rsid w:val="056921F6"/>
    <w:rsid w:val="05697625"/>
    <w:rsid w:val="056A3A4A"/>
    <w:rsid w:val="056A57F8"/>
    <w:rsid w:val="056A6ABC"/>
    <w:rsid w:val="056B4FAB"/>
    <w:rsid w:val="056B57EE"/>
    <w:rsid w:val="056B7F96"/>
    <w:rsid w:val="056C5A14"/>
    <w:rsid w:val="056D04EF"/>
    <w:rsid w:val="056D274C"/>
    <w:rsid w:val="056D57CE"/>
    <w:rsid w:val="056F1060"/>
    <w:rsid w:val="056F2E0E"/>
    <w:rsid w:val="056F4EFC"/>
    <w:rsid w:val="056F72B2"/>
    <w:rsid w:val="05704DD8"/>
    <w:rsid w:val="057060E1"/>
    <w:rsid w:val="05707386"/>
    <w:rsid w:val="05716F81"/>
    <w:rsid w:val="05720B50"/>
    <w:rsid w:val="05724376"/>
    <w:rsid w:val="05726CA9"/>
    <w:rsid w:val="057330D8"/>
    <w:rsid w:val="057332A8"/>
    <w:rsid w:val="05736B83"/>
    <w:rsid w:val="05740424"/>
    <w:rsid w:val="05755BC8"/>
    <w:rsid w:val="05755F38"/>
    <w:rsid w:val="05756193"/>
    <w:rsid w:val="05760640"/>
    <w:rsid w:val="05780C72"/>
    <w:rsid w:val="057810AA"/>
    <w:rsid w:val="057855C2"/>
    <w:rsid w:val="05785C8A"/>
    <w:rsid w:val="05790131"/>
    <w:rsid w:val="057905AA"/>
    <w:rsid w:val="05790857"/>
    <w:rsid w:val="057945DC"/>
    <w:rsid w:val="05795DC0"/>
    <w:rsid w:val="057A317B"/>
    <w:rsid w:val="057B10F9"/>
    <w:rsid w:val="057B373C"/>
    <w:rsid w:val="057B5C57"/>
    <w:rsid w:val="057B6B99"/>
    <w:rsid w:val="057C0E30"/>
    <w:rsid w:val="057C377D"/>
    <w:rsid w:val="057C552B"/>
    <w:rsid w:val="057D5297"/>
    <w:rsid w:val="057D705A"/>
    <w:rsid w:val="057E03BB"/>
    <w:rsid w:val="057E2166"/>
    <w:rsid w:val="057E2F8C"/>
    <w:rsid w:val="057F441C"/>
    <w:rsid w:val="058014BF"/>
    <w:rsid w:val="0580326D"/>
    <w:rsid w:val="0580507E"/>
    <w:rsid w:val="05807E3A"/>
    <w:rsid w:val="05810D93"/>
    <w:rsid w:val="05812B41"/>
    <w:rsid w:val="05822DD6"/>
    <w:rsid w:val="0583192B"/>
    <w:rsid w:val="05832D9D"/>
    <w:rsid w:val="05833FAB"/>
    <w:rsid w:val="058368B9"/>
    <w:rsid w:val="0584682A"/>
    <w:rsid w:val="0585028E"/>
    <w:rsid w:val="05850883"/>
    <w:rsid w:val="05852631"/>
    <w:rsid w:val="0586171E"/>
    <w:rsid w:val="0586370B"/>
    <w:rsid w:val="058820D2"/>
    <w:rsid w:val="05882122"/>
    <w:rsid w:val="058A40EC"/>
    <w:rsid w:val="058A5E9A"/>
    <w:rsid w:val="058A7C48"/>
    <w:rsid w:val="058B39C0"/>
    <w:rsid w:val="058C1C12"/>
    <w:rsid w:val="058D14E6"/>
    <w:rsid w:val="058D598A"/>
    <w:rsid w:val="058D67FB"/>
    <w:rsid w:val="058D6A20"/>
    <w:rsid w:val="058E2A81"/>
    <w:rsid w:val="058E3070"/>
    <w:rsid w:val="058E5593"/>
    <w:rsid w:val="058F5BDE"/>
    <w:rsid w:val="05900FD6"/>
    <w:rsid w:val="0591287A"/>
    <w:rsid w:val="05914CD7"/>
    <w:rsid w:val="05915F95"/>
    <w:rsid w:val="05917228"/>
    <w:rsid w:val="059211F2"/>
    <w:rsid w:val="05924D4E"/>
    <w:rsid w:val="05926AFC"/>
    <w:rsid w:val="059309AB"/>
    <w:rsid w:val="059325AC"/>
    <w:rsid w:val="059369B1"/>
    <w:rsid w:val="05957D83"/>
    <w:rsid w:val="05962A91"/>
    <w:rsid w:val="0596483F"/>
    <w:rsid w:val="05967AD2"/>
    <w:rsid w:val="05971F55"/>
    <w:rsid w:val="05976809"/>
    <w:rsid w:val="05981969"/>
    <w:rsid w:val="059837EB"/>
    <w:rsid w:val="059960DD"/>
    <w:rsid w:val="059A3C03"/>
    <w:rsid w:val="059B1E55"/>
    <w:rsid w:val="059B4EEA"/>
    <w:rsid w:val="059B7441"/>
    <w:rsid w:val="059C797B"/>
    <w:rsid w:val="059D23A3"/>
    <w:rsid w:val="059E1314"/>
    <w:rsid w:val="059E2EDC"/>
    <w:rsid w:val="059E7538"/>
    <w:rsid w:val="059E7B97"/>
    <w:rsid w:val="059F02C5"/>
    <w:rsid w:val="059F6A85"/>
    <w:rsid w:val="05A00AB1"/>
    <w:rsid w:val="05A056BD"/>
    <w:rsid w:val="05A131E3"/>
    <w:rsid w:val="05A16E55"/>
    <w:rsid w:val="05A21435"/>
    <w:rsid w:val="05A3035A"/>
    <w:rsid w:val="05A3116A"/>
    <w:rsid w:val="05A473F7"/>
    <w:rsid w:val="05A52CD4"/>
    <w:rsid w:val="05A54A82"/>
    <w:rsid w:val="05A6184B"/>
    <w:rsid w:val="05A64CE0"/>
    <w:rsid w:val="05A827C4"/>
    <w:rsid w:val="05A870F9"/>
    <w:rsid w:val="05AA02EA"/>
    <w:rsid w:val="05AA653C"/>
    <w:rsid w:val="05AA7350"/>
    <w:rsid w:val="05AB08D3"/>
    <w:rsid w:val="05AB73D8"/>
    <w:rsid w:val="05AC2F27"/>
    <w:rsid w:val="05AD1C57"/>
    <w:rsid w:val="05AE3027"/>
    <w:rsid w:val="05AF3B52"/>
    <w:rsid w:val="05AF76AE"/>
    <w:rsid w:val="05B005B8"/>
    <w:rsid w:val="05B045A0"/>
    <w:rsid w:val="05B11678"/>
    <w:rsid w:val="05B12C95"/>
    <w:rsid w:val="05B133C3"/>
    <w:rsid w:val="05B13426"/>
    <w:rsid w:val="05B13A99"/>
    <w:rsid w:val="05B222AB"/>
    <w:rsid w:val="05B253AC"/>
    <w:rsid w:val="05B42F17"/>
    <w:rsid w:val="05B447F0"/>
    <w:rsid w:val="05B44823"/>
    <w:rsid w:val="05B44CC5"/>
    <w:rsid w:val="05B544A0"/>
    <w:rsid w:val="05B54CF1"/>
    <w:rsid w:val="05B57DF5"/>
    <w:rsid w:val="05B60EBD"/>
    <w:rsid w:val="05B61C24"/>
    <w:rsid w:val="05B72A07"/>
    <w:rsid w:val="05B747B5"/>
    <w:rsid w:val="05B819DC"/>
    <w:rsid w:val="05B857AC"/>
    <w:rsid w:val="05B85FF6"/>
    <w:rsid w:val="05B8664A"/>
    <w:rsid w:val="05B9677F"/>
    <w:rsid w:val="05BA060E"/>
    <w:rsid w:val="05BB0BB8"/>
    <w:rsid w:val="05BB1A9E"/>
    <w:rsid w:val="05BB24F7"/>
    <w:rsid w:val="05BB3B17"/>
    <w:rsid w:val="05BB6ED9"/>
    <w:rsid w:val="05BD626F"/>
    <w:rsid w:val="05BE78F1"/>
    <w:rsid w:val="05C00D87"/>
    <w:rsid w:val="05C059EA"/>
    <w:rsid w:val="05C07B0D"/>
    <w:rsid w:val="05C15910"/>
    <w:rsid w:val="05C173E2"/>
    <w:rsid w:val="05C228EF"/>
    <w:rsid w:val="05C2329C"/>
    <w:rsid w:val="05C313AC"/>
    <w:rsid w:val="05C375FE"/>
    <w:rsid w:val="05C45142"/>
    <w:rsid w:val="05C4703B"/>
    <w:rsid w:val="05C50C80"/>
    <w:rsid w:val="05C542C8"/>
    <w:rsid w:val="05C55049"/>
    <w:rsid w:val="05C56ED2"/>
    <w:rsid w:val="05C644A5"/>
    <w:rsid w:val="05C649F8"/>
    <w:rsid w:val="05C70E9C"/>
    <w:rsid w:val="05C759FB"/>
    <w:rsid w:val="05C807C9"/>
    <w:rsid w:val="05C863D5"/>
    <w:rsid w:val="05C928A8"/>
    <w:rsid w:val="05C943F5"/>
    <w:rsid w:val="05CA273A"/>
    <w:rsid w:val="05CA44E8"/>
    <w:rsid w:val="05CA4E94"/>
    <w:rsid w:val="05CA58C9"/>
    <w:rsid w:val="05CB1593"/>
    <w:rsid w:val="05CB200E"/>
    <w:rsid w:val="05CB4F1A"/>
    <w:rsid w:val="05CB4FE3"/>
    <w:rsid w:val="05CC108B"/>
    <w:rsid w:val="05CC20C2"/>
    <w:rsid w:val="05CC2A23"/>
    <w:rsid w:val="05CC64B2"/>
    <w:rsid w:val="05CD222A"/>
    <w:rsid w:val="05CD5D86"/>
    <w:rsid w:val="05CE11DA"/>
    <w:rsid w:val="05CE1436"/>
    <w:rsid w:val="05CE4D81"/>
    <w:rsid w:val="05CF1AFF"/>
    <w:rsid w:val="05CF3581"/>
    <w:rsid w:val="05CF426C"/>
    <w:rsid w:val="05CF7AF1"/>
    <w:rsid w:val="05D13E98"/>
    <w:rsid w:val="05D14611"/>
    <w:rsid w:val="05D215EF"/>
    <w:rsid w:val="05D24B93"/>
    <w:rsid w:val="05D25154"/>
    <w:rsid w:val="05D252BA"/>
    <w:rsid w:val="05D35152"/>
    <w:rsid w:val="05D435B9"/>
    <w:rsid w:val="05D45367"/>
    <w:rsid w:val="05D47115"/>
    <w:rsid w:val="05D56144"/>
    <w:rsid w:val="05D60D15"/>
    <w:rsid w:val="05D62E8D"/>
    <w:rsid w:val="05D65A75"/>
    <w:rsid w:val="05D709B3"/>
    <w:rsid w:val="05D7131C"/>
    <w:rsid w:val="05D763E5"/>
    <w:rsid w:val="05D830A9"/>
    <w:rsid w:val="05D84E57"/>
    <w:rsid w:val="05DB04A3"/>
    <w:rsid w:val="05DC2859"/>
    <w:rsid w:val="05DC396A"/>
    <w:rsid w:val="05DC421B"/>
    <w:rsid w:val="05DD06BF"/>
    <w:rsid w:val="05DE1000"/>
    <w:rsid w:val="05DE36F7"/>
    <w:rsid w:val="05DE7F94"/>
    <w:rsid w:val="05DF0E99"/>
    <w:rsid w:val="05E0020A"/>
    <w:rsid w:val="05E01D4D"/>
    <w:rsid w:val="05E01F5E"/>
    <w:rsid w:val="05E03166"/>
    <w:rsid w:val="05E137B9"/>
    <w:rsid w:val="05E24C49"/>
    <w:rsid w:val="05E2551E"/>
    <w:rsid w:val="05E25CD6"/>
    <w:rsid w:val="05E27A84"/>
    <w:rsid w:val="05E32322"/>
    <w:rsid w:val="05E35235"/>
    <w:rsid w:val="05E35E7F"/>
    <w:rsid w:val="05E44294"/>
    <w:rsid w:val="05E51322"/>
    <w:rsid w:val="05E530D0"/>
    <w:rsid w:val="05E5389B"/>
    <w:rsid w:val="05E57574"/>
    <w:rsid w:val="05E76DFD"/>
    <w:rsid w:val="05E8737A"/>
    <w:rsid w:val="05E91F4B"/>
    <w:rsid w:val="05EA490E"/>
    <w:rsid w:val="05EA5FAC"/>
    <w:rsid w:val="05EB7905"/>
    <w:rsid w:val="05EC3993"/>
    <w:rsid w:val="05ED2A31"/>
    <w:rsid w:val="05ED3565"/>
    <w:rsid w:val="05ED6429"/>
    <w:rsid w:val="05EE467B"/>
    <w:rsid w:val="05EF03F3"/>
    <w:rsid w:val="05EF4620"/>
    <w:rsid w:val="05EF5DBD"/>
    <w:rsid w:val="05F000BB"/>
    <w:rsid w:val="05F017D4"/>
    <w:rsid w:val="05F05E5F"/>
    <w:rsid w:val="05F11A75"/>
    <w:rsid w:val="05F158C2"/>
    <w:rsid w:val="05F15F19"/>
    <w:rsid w:val="05F17CC7"/>
    <w:rsid w:val="05F22FFD"/>
    <w:rsid w:val="05F2473E"/>
    <w:rsid w:val="05F24B3F"/>
    <w:rsid w:val="05F31C91"/>
    <w:rsid w:val="05F332DC"/>
    <w:rsid w:val="05F41565"/>
    <w:rsid w:val="05F479BF"/>
    <w:rsid w:val="05F612AC"/>
    <w:rsid w:val="05F67D64"/>
    <w:rsid w:val="05F83EAE"/>
    <w:rsid w:val="05F872A7"/>
    <w:rsid w:val="05F902FF"/>
    <w:rsid w:val="05F92325"/>
    <w:rsid w:val="05F9301F"/>
    <w:rsid w:val="05F96B7B"/>
    <w:rsid w:val="05F973D8"/>
    <w:rsid w:val="05F97C5A"/>
    <w:rsid w:val="05FA4859"/>
    <w:rsid w:val="05FB28F4"/>
    <w:rsid w:val="05FB5C4F"/>
    <w:rsid w:val="05FB5E05"/>
    <w:rsid w:val="05FC35E3"/>
    <w:rsid w:val="05FD48BE"/>
    <w:rsid w:val="05FD666C"/>
    <w:rsid w:val="05FE26E8"/>
    <w:rsid w:val="05FE2CE1"/>
    <w:rsid w:val="05FE79D1"/>
    <w:rsid w:val="05FF4171"/>
    <w:rsid w:val="05FF6D42"/>
    <w:rsid w:val="060043AE"/>
    <w:rsid w:val="060057D3"/>
    <w:rsid w:val="06020126"/>
    <w:rsid w:val="06020B9C"/>
    <w:rsid w:val="06022AF2"/>
    <w:rsid w:val="06032D5D"/>
    <w:rsid w:val="06033F82"/>
    <w:rsid w:val="060356C3"/>
    <w:rsid w:val="06035BA4"/>
    <w:rsid w:val="06035C4C"/>
    <w:rsid w:val="06044BDB"/>
    <w:rsid w:val="060465FA"/>
    <w:rsid w:val="0604756D"/>
    <w:rsid w:val="060519C4"/>
    <w:rsid w:val="06067AC2"/>
    <w:rsid w:val="0607027A"/>
    <w:rsid w:val="06071298"/>
    <w:rsid w:val="06075CD8"/>
    <w:rsid w:val="06081386"/>
    <w:rsid w:val="06084F90"/>
    <w:rsid w:val="06085010"/>
    <w:rsid w:val="0609094D"/>
    <w:rsid w:val="06090A29"/>
    <w:rsid w:val="060914B4"/>
    <w:rsid w:val="06093262"/>
    <w:rsid w:val="06096508"/>
    <w:rsid w:val="06097DF4"/>
    <w:rsid w:val="060A0D89"/>
    <w:rsid w:val="060A1284"/>
    <w:rsid w:val="060B63F9"/>
    <w:rsid w:val="060B7A81"/>
    <w:rsid w:val="060C2C8D"/>
    <w:rsid w:val="060D2627"/>
    <w:rsid w:val="060D3AE7"/>
    <w:rsid w:val="060D4E3C"/>
    <w:rsid w:val="060E0879"/>
    <w:rsid w:val="060F18F6"/>
    <w:rsid w:val="06112117"/>
    <w:rsid w:val="06132A89"/>
    <w:rsid w:val="06135E8F"/>
    <w:rsid w:val="061439B5"/>
    <w:rsid w:val="06147E59"/>
    <w:rsid w:val="06155C77"/>
    <w:rsid w:val="06161733"/>
    <w:rsid w:val="06163BD1"/>
    <w:rsid w:val="0616597F"/>
    <w:rsid w:val="0617049F"/>
    <w:rsid w:val="0617312A"/>
    <w:rsid w:val="0617516F"/>
    <w:rsid w:val="06175254"/>
    <w:rsid w:val="061816F7"/>
    <w:rsid w:val="06182A54"/>
    <w:rsid w:val="06190FCC"/>
    <w:rsid w:val="06191AF2"/>
    <w:rsid w:val="06191CA7"/>
    <w:rsid w:val="061924BA"/>
    <w:rsid w:val="0619721E"/>
    <w:rsid w:val="061B11E8"/>
    <w:rsid w:val="061B2F96"/>
    <w:rsid w:val="061B4553"/>
    <w:rsid w:val="061B4DDA"/>
    <w:rsid w:val="061C626A"/>
    <w:rsid w:val="061D0ABC"/>
    <w:rsid w:val="061D286A"/>
    <w:rsid w:val="061D6D0E"/>
    <w:rsid w:val="061E4834"/>
    <w:rsid w:val="0620235A"/>
    <w:rsid w:val="0620399E"/>
    <w:rsid w:val="06204BEB"/>
    <w:rsid w:val="06210C4C"/>
    <w:rsid w:val="062220DC"/>
    <w:rsid w:val="0622640F"/>
    <w:rsid w:val="06231E4A"/>
    <w:rsid w:val="06234B8E"/>
    <w:rsid w:val="06237365"/>
    <w:rsid w:val="06241CCC"/>
    <w:rsid w:val="06244E71"/>
    <w:rsid w:val="06253E14"/>
    <w:rsid w:val="06257970"/>
    <w:rsid w:val="06261E81"/>
    <w:rsid w:val="06261EED"/>
    <w:rsid w:val="062736E9"/>
    <w:rsid w:val="062751BA"/>
    <w:rsid w:val="062753B4"/>
    <w:rsid w:val="06291F45"/>
    <w:rsid w:val="06296D68"/>
    <w:rsid w:val="062B2816"/>
    <w:rsid w:val="062B4D7C"/>
    <w:rsid w:val="062C0CFF"/>
    <w:rsid w:val="062C2D04"/>
    <w:rsid w:val="062C51A3"/>
    <w:rsid w:val="062D5F6A"/>
    <w:rsid w:val="062E2A3F"/>
    <w:rsid w:val="062E49D6"/>
    <w:rsid w:val="062E69A3"/>
    <w:rsid w:val="062F0769"/>
    <w:rsid w:val="062F07EF"/>
    <w:rsid w:val="062F10DB"/>
    <w:rsid w:val="062F1292"/>
    <w:rsid w:val="062F259D"/>
    <w:rsid w:val="0630252B"/>
    <w:rsid w:val="063110B1"/>
    <w:rsid w:val="063127B9"/>
    <w:rsid w:val="06316315"/>
    <w:rsid w:val="06317000"/>
    <w:rsid w:val="06321BD1"/>
    <w:rsid w:val="063302DF"/>
    <w:rsid w:val="06331310"/>
    <w:rsid w:val="0633208D"/>
    <w:rsid w:val="06336531"/>
    <w:rsid w:val="06347CE1"/>
    <w:rsid w:val="06350154"/>
    <w:rsid w:val="06352B3C"/>
    <w:rsid w:val="06361B7E"/>
    <w:rsid w:val="0636392C"/>
    <w:rsid w:val="06363AB5"/>
    <w:rsid w:val="06364DC4"/>
    <w:rsid w:val="06366740"/>
    <w:rsid w:val="06367DD0"/>
    <w:rsid w:val="06382023"/>
    <w:rsid w:val="06383B48"/>
    <w:rsid w:val="063858F6"/>
    <w:rsid w:val="06385A43"/>
    <w:rsid w:val="06393386"/>
    <w:rsid w:val="06394177"/>
    <w:rsid w:val="063A0CB4"/>
    <w:rsid w:val="063A4E8A"/>
    <w:rsid w:val="063A78C0"/>
    <w:rsid w:val="063B10D8"/>
    <w:rsid w:val="063B2BDE"/>
    <w:rsid w:val="063B3638"/>
    <w:rsid w:val="063C31A5"/>
    <w:rsid w:val="063D40C6"/>
    <w:rsid w:val="063D416D"/>
    <w:rsid w:val="063D6CE4"/>
    <w:rsid w:val="063E0A32"/>
    <w:rsid w:val="063E5696"/>
    <w:rsid w:val="063E7D85"/>
    <w:rsid w:val="063F4ED6"/>
    <w:rsid w:val="063F6C84"/>
    <w:rsid w:val="06400C4E"/>
    <w:rsid w:val="0640486B"/>
    <w:rsid w:val="06407661"/>
    <w:rsid w:val="06416AC3"/>
    <w:rsid w:val="06416BB8"/>
    <w:rsid w:val="06426774"/>
    <w:rsid w:val="06431415"/>
    <w:rsid w:val="06440B61"/>
    <w:rsid w:val="06441289"/>
    <w:rsid w:val="0644429B"/>
    <w:rsid w:val="06450013"/>
    <w:rsid w:val="06457ED2"/>
    <w:rsid w:val="06471FDD"/>
    <w:rsid w:val="064725B4"/>
    <w:rsid w:val="06473D8B"/>
    <w:rsid w:val="06475B39"/>
    <w:rsid w:val="06483DF7"/>
    <w:rsid w:val="06484009"/>
    <w:rsid w:val="064860B1"/>
    <w:rsid w:val="064868D1"/>
    <w:rsid w:val="064918B1"/>
    <w:rsid w:val="06495287"/>
    <w:rsid w:val="064C13A1"/>
    <w:rsid w:val="064C75F3"/>
    <w:rsid w:val="064D002B"/>
    <w:rsid w:val="064D26A6"/>
    <w:rsid w:val="064E336B"/>
    <w:rsid w:val="064E38CF"/>
    <w:rsid w:val="064E5B3B"/>
    <w:rsid w:val="064F1B08"/>
    <w:rsid w:val="064F49ED"/>
    <w:rsid w:val="06503D83"/>
    <w:rsid w:val="06514B7E"/>
    <w:rsid w:val="06515254"/>
    <w:rsid w:val="065169B7"/>
    <w:rsid w:val="06527A7A"/>
    <w:rsid w:val="06530982"/>
    <w:rsid w:val="06530F0A"/>
    <w:rsid w:val="06532730"/>
    <w:rsid w:val="06532E6F"/>
    <w:rsid w:val="06533978"/>
    <w:rsid w:val="065344DE"/>
    <w:rsid w:val="065663FB"/>
    <w:rsid w:val="065668D5"/>
    <w:rsid w:val="06567493"/>
    <w:rsid w:val="0656788B"/>
    <w:rsid w:val="06594888"/>
    <w:rsid w:val="0659794D"/>
    <w:rsid w:val="065A1D10"/>
    <w:rsid w:val="065B5A88"/>
    <w:rsid w:val="065C2C4C"/>
    <w:rsid w:val="065D35AE"/>
    <w:rsid w:val="065E2E82"/>
    <w:rsid w:val="065E7972"/>
    <w:rsid w:val="065F7326"/>
    <w:rsid w:val="065F7A31"/>
    <w:rsid w:val="06600081"/>
    <w:rsid w:val="0661309E"/>
    <w:rsid w:val="066163F9"/>
    <w:rsid w:val="06620BC5"/>
    <w:rsid w:val="0662249B"/>
    <w:rsid w:val="06622973"/>
    <w:rsid w:val="06624721"/>
    <w:rsid w:val="06626AE8"/>
    <w:rsid w:val="06627908"/>
    <w:rsid w:val="06627AAF"/>
    <w:rsid w:val="066309FF"/>
    <w:rsid w:val="066466EB"/>
    <w:rsid w:val="06654211"/>
    <w:rsid w:val="066606B5"/>
    <w:rsid w:val="066707A2"/>
    <w:rsid w:val="06670810"/>
    <w:rsid w:val="0667442D"/>
    <w:rsid w:val="06683779"/>
    <w:rsid w:val="06692653"/>
    <w:rsid w:val="06693D01"/>
    <w:rsid w:val="066A1827"/>
    <w:rsid w:val="066A7A79"/>
    <w:rsid w:val="066B5CCB"/>
    <w:rsid w:val="066B642F"/>
    <w:rsid w:val="066C1A43"/>
    <w:rsid w:val="066C1C85"/>
    <w:rsid w:val="066C5147"/>
    <w:rsid w:val="066E070B"/>
    <w:rsid w:val="066E7569"/>
    <w:rsid w:val="066E7703"/>
    <w:rsid w:val="066F003F"/>
    <w:rsid w:val="066F0BD6"/>
    <w:rsid w:val="066F433A"/>
    <w:rsid w:val="06702C31"/>
    <w:rsid w:val="067032E2"/>
    <w:rsid w:val="06710E08"/>
    <w:rsid w:val="06712BB6"/>
    <w:rsid w:val="06712DA4"/>
    <w:rsid w:val="06714493"/>
    <w:rsid w:val="067160FF"/>
    <w:rsid w:val="06721F45"/>
    <w:rsid w:val="06725923"/>
    <w:rsid w:val="06732DD2"/>
    <w:rsid w:val="0673692E"/>
    <w:rsid w:val="06741A71"/>
    <w:rsid w:val="06744454"/>
    <w:rsid w:val="067466EF"/>
    <w:rsid w:val="067508F8"/>
    <w:rsid w:val="06752E14"/>
    <w:rsid w:val="06754E53"/>
    <w:rsid w:val="067559E5"/>
    <w:rsid w:val="06761D63"/>
    <w:rsid w:val="067642A4"/>
    <w:rsid w:val="06764670"/>
    <w:rsid w:val="06787E06"/>
    <w:rsid w:val="06790FC8"/>
    <w:rsid w:val="067A1543"/>
    <w:rsid w:val="067A1963"/>
    <w:rsid w:val="067A4160"/>
    <w:rsid w:val="067B1C86"/>
    <w:rsid w:val="067B3A34"/>
    <w:rsid w:val="067C2CE7"/>
    <w:rsid w:val="067D3A89"/>
    <w:rsid w:val="067E13F1"/>
    <w:rsid w:val="0680104B"/>
    <w:rsid w:val="06805A62"/>
    <w:rsid w:val="06816C1F"/>
    <w:rsid w:val="06820BE7"/>
    <w:rsid w:val="06830329"/>
    <w:rsid w:val="0683733C"/>
    <w:rsid w:val="06843FA6"/>
    <w:rsid w:val="06844461"/>
    <w:rsid w:val="06852909"/>
    <w:rsid w:val="06856661"/>
    <w:rsid w:val="06860B1B"/>
    <w:rsid w:val="06863D99"/>
    <w:rsid w:val="068648B3"/>
    <w:rsid w:val="068723D9"/>
    <w:rsid w:val="06874F03"/>
    <w:rsid w:val="06877DFA"/>
    <w:rsid w:val="0688092E"/>
    <w:rsid w:val="0688128A"/>
    <w:rsid w:val="06896151"/>
    <w:rsid w:val="068A3FCA"/>
    <w:rsid w:val="068A497D"/>
    <w:rsid w:val="068A7F07"/>
    <w:rsid w:val="068B1EC9"/>
    <w:rsid w:val="068B641C"/>
    <w:rsid w:val="068D3005"/>
    <w:rsid w:val="068D41EC"/>
    <w:rsid w:val="068E4036"/>
    <w:rsid w:val="068E50FC"/>
    <w:rsid w:val="068F128E"/>
    <w:rsid w:val="0690109C"/>
    <w:rsid w:val="069025ED"/>
    <w:rsid w:val="069041AF"/>
    <w:rsid w:val="06904618"/>
    <w:rsid w:val="06905732"/>
    <w:rsid w:val="069074E0"/>
    <w:rsid w:val="06911A77"/>
    <w:rsid w:val="06915006"/>
    <w:rsid w:val="0692272D"/>
    <w:rsid w:val="06930D7E"/>
    <w:rsid w:val="069331B4"/>
    <w:rsid w:val="069448F1"/>
    <w:rsid w:val="0694782D"/>
    <w:rsid w:val="069523FE"/>
    <w:rsid w:val="06952D48"/>
    <w:rsid w:val="06954AF6"/>
    <w:rsid w:val="0696086E"/>
    <w:rsid w:val="0696261C"/>
    <w:rsid w:val="06976844"/>
    <w:rsid w:val="06976AC0"/>
    <w:rsid w:val="069800FA"/>
    <w:rsid w:val="06980D7F"/>
    <w:rsid w:val="06982838"/>
    <w:rsid w:val="069845E6"/>
    <w:rsid w:val="06986394"/>
    <w:rsid w:val="0698640C"/>
    <w:rsid w:val="06991EB3"/>
    <w:rsid w:val="06994ED3"/>
    <w:rsid w:val="069950A3"/>
    <w:rsid w:val="069A035E"/>
    <w:rsid w:val="069A3EBB"/>
    <w:rsid w:val="069A6270"/>
    <w:rsid w:val="069A65B0"/>
    <w:rsid w:val="069B0C8B"/>
    <w:rsid w:val="069B5E85"/>
    <w:rsid w:val="069B7776"/>
    <w:rsid w:val="069B7C33"/>
    <w:rsid w:val="069D7E4F"/>
    <w:rsid w:val="069E3D60"/>
    <w:rsid w:val="069E49D8"/>
    <w:rsid w:val="069F3BC7"/>
    <w:rsid w:val="069F5975"/>
    <w:rsid w:val="06A0061B"/>
    <w:rsid w:val="06A05249"/>
    <w:rsid w:val="06A1254B"/>
    <w:rsid w:val="06A20FC1"/>
    <w:rsid w:val="06A2177D"/>
    <w:rsid w:val="06A2612A"/>
    <w:rsid w:val="06A47322"/>
    <w:rsid w:val="06A50AB1"/>
    <w:rsid w:val="06A50BF6"/>
    <w:rsid w:val="06A55A83"/>
    <w:rsid w:val="06A66D03"/>
    <w:rsid w:val="06A71C0B"/>
    <w:rsid w:val="06A74829"/>
    <w:rsid w:val="06A7526D"/>
    <w:rsid w:val="06A765D7"/>
    <w:rsid w:val="06A92350"/>
    <w:rsid w:val="06AA5246"/>
    <w:rsid w:val="06AB091A"/>
    <w:rsid w:val="06AB431A"/>
    <w:rsid w:val="06AB747E"/>
    <w:rsid w:val="06AC0092"/>
    <w:rsid w:val="06AC0E77"/>
    <w:rsid w:val="06AC1E40"/>
    <w:rsid w:val="06AC5AB4"/>
    <w:rsid w:val="06AD62E4"/>
    <w:rsid w:val="06AE3E0A"/>
    <w:rsid w:val="06B01930"/>
    <w:rsid w:val="06B058C5"/>
    <w:rsid w:val="06B06D38"/>
    <w:rsid w:val="06B225CD"/>
    <w:rsid w:val="06B238FA"/>
    <w:rsid w:val="06B31420"/>
    <w:rsid w:val="06B34246"/>
    <w:rsid w:val="06B35987"/>
    <w:rsid w:val="06B430EC"/>
    <w:rsid w:val="06B62CBE"/>
    <w:rsid w:val="06B64A6C"/>
    <w:rsid w:val="06B70F10"/>
    <w:rsid w:val="06B72BC7"/>
    <w:rsid w:val="06B75171"/>
    <w:rsid w:val="06B807E5"/>
    <w:rsid w:val="06B8493B"/>
    <w:rsid w:val="06B84C89"/>
    <w:rsid w:val="06B86A37"/>
    <w:rsid w:val="06B91756"/>
    <w:rsid w:val="06B9599E"/>
    <w:rsid w:val="06BA1363"/>
    <w:rsid w:val="06BA27AF"/>
    <w:rsid w:val="06BA630B"/>
    <w:rsid w:val="06BC02D5"/>
    <w:rsid w:val="06BC55A9"/>
    <w:rsid w:val="06BC6A39"/>
    <w:rsid w:val="06BD1E8C"/>
    <w:rsid w:val="06BD229F"/>
    <w:rsid w:val="06BD3726"/>
    <w:rsid w:val="06BD7F3B"/>
    <w:rsid w:val="06BE2A9A"/>
    <w:rsid w:val="06BF2175"/>
    <w:rsid w:val="06BF3F2A"/>
    <w:rsid w:val="06BF6017"/>
    <w:rsid w:val="06BF7DC5"/>
    <w:rsid w:val="06C02C7A"/>
    <w:rsid w:val="06C11E4D"/>
    <w:rsid w:val="06C13B3D"/>
    <w:rsid w:val="06C21663"/>
    <w:rsid w:val="06C2237B"/>
    <w:rsid w:val="06C22C5A"/>
    <w:rsid w:val="06C24697"/>
    <w:rsid w:val="06C35109"/>
    <w:rsid w:val="06C4362D"/>
    <w:rsid w:val="06C453DB"/>
    <w:rsid w:val="06C50397"/>
    <w:rsid w:val="06C54CB0"/>
    <w:rsid w:val="06C63DFD"/>
    <w:rsid w:val="06C66D57"/>
    <w:rsid w:val="06C71A61"/>
    <w:rsid w:val="06C726BC"/>
    <w:rsid w:val="06C76C7A"/>
    <w:rsid w:val="06C80CB5"/>
    <w:rsid w:val="06C84863"/>
    <w:rsid w:val="06C86CE6"/>
    <w:rsid w:val="06C90C44"/>
    <w:rsid w:val="06C92510"/>
    <w:rsid w:val="06C929F2"/>
    <w:rsid w:val="06C92CC5"/>
    <w:rsid w:val="06C94FB8"/>
    <w:rsid w:val="06CA159C"/>
    <w:rsid w:val="06CB0518"/>
    <w:rsid w:val="06CB24CD"/>
    <w:rsid w:val="06CB3C0E"/>
    <w:rsid w:val="06CB64FF"/>
    <w:rsid w:val="06CC0578"/>
    <w:rsid w:val="06CC603E"/>
    <w:rsid w:val="06CF4908"/>
    <w:rsid w:val="06CF5857"/>
    <w:rsid w:val="06D01FD2"/>
    <w:rsid w:val="06D05B2E"/>
    <w:rsid w:val="06D07FBE"/>
    <w:rsid w:val="06D25F28"/>
    <w:rsid w:val="06D277CE"/>
    <w:rsid w:val="06D36878"/>
    <w:rsid w:val="06D4173B"/>
    <w:rsid w:val="06D53145"/>
    <w:rsid w:val="06D575E9"/>
    <w:rsid w:val="06D67825"/>
    <w:rsid w:val="06D73361"/>
    <w:rsid w:val="06D77773"/>
    <w:rsid w:val="06D80E5E"/>
    <w:rsid w:val="06D8196E"/>
    <w:rsid w:val="06D82C35"/>
    <w:rsid w:val="06D870D9"/>
    <w:rsid w:val="06D92BEB"/>
    <w:rsid w:val="06DA075B"/>
    <w:rsid w:val="06DA3E72"/>
    <w:rsid w:val="06DB1FC1"/>
    <w:rsid w:val="06DC2025"/>
    <w:rsid w:val="06DC242E"/>
    <w:rsid w:val="06DC2725"/>
    <w:rsid w:val="06DD024B"/>
    <w:rsid w:val="06DD1CFD"/>
    <w:rsid w:val="06DD597D"/>
    <w:rsid w:val="06DD6009"/>
    <w:rsid w:val="06DE46EF"/>
    <w:rsid w:val="06DF0823"/>
    <w:rsid w:val="06E01E0A"/>
    <w:rsid w:val="06E15F8D"/>
    <w:rsid w:val="06E23AB3"/>
    <w:rsid w:val="06E25862"/>
    <w:rsid w:val="06E31CA8"/>
    <w:rsid w:val="06E4311A"/>
    <w:rsid w:val="06E447B4"/>
    <w:rsid w:val="06E45A7E"/>
    <w:rsid w:val="06E51E4D"/>
    <w:rsid w:val="06E608F6"/>
    <w:rsid w:val="06E635A4"/>
    <w:rsid w:val="06E65352"/>
    <w:rsid w:val="06E670D4"/>
    <w:rsid w:val="06E67100"/>
    <w:rsid w:val="06E710CA"/>
    <w:rsid w:val="06E74952"/>
    <w:rsid w:val="06E85D06"/>
    <w:rsid w:val="06E8731C"/>
    <w:rsid w:val="06E93094"/>
    <w:rsid w:val="06E96BF0"/>
    <w:rsid w:val="06EA011D"/>
    <w:rsid w:val="06EA21A8"/>
    <w:rsid w:val="06EB0BBA"/>
    <w:rsid w:val="06EB39CE"/>
    <w:rsid w:val="06EB6E0C"/>
    <w:rsid w:val="06EC5B17"/>
    <w:rsid w:val="06EC66E0"/>
    <w:rsid w:val="06ED4932"/>
    <w:rsid w:val="06EF06EC"/>
    <w:rsid w:val="06F03B29"/>
    <w:rsid w:val="06F061D0"/>
    <w:rsid w:val="06F07A4A"/>
    <w:rsid w:val="06F12520"/>
    <w:rsid w:val="06F15AA5"/>
    <w:rsid w:val="06F16183"/>
    <w:rsid w:val="06F23CF7"/>
    <w:rsid w:val="06F3181D"/>
    <w:rsid w:val="06F32E19"/>
    <w:rsid w:val="06F34EB6"/>
    <w:rsid w:val="06F4684C"/>
    <w:rsid w:val="06F537E7"/>
    <w:rsid w:val="06F53E3D"/>
    <w:rsid w:val="06F54A7F"/>
    <w:rsid w:val="06F55595"/>
    <w:rsid w:val="06F61A7D"/>
    <w:rsid w:val="06F66BC9"/>
    <w:rsid w:val="06F67737"/>
    <w:rsid w:val="06F7130D"/>
    <w:rsid w:val="06F71A23"/>
    <w:rsid w:val="06F71A42"/>
    <w:rsid w:val="06F757B1"/>
    <w:rsid w:val="06F76370"/>
    <w:rsid w:val="06F7755F"/>
    <w:rsid w:val="06F93259"/>
    <w:rsid w:val="06F93FE6"/>
    <w:rsid w:val="06FA69DA"/>
    <w:rsid w:val="06FA704F"/>
    <w:rsid w:val="06FB6255"/>
    <w:rsid w:val="06FB62C0"/>
    <w:rsid w:val="06FC0882"/>
    <w:rsid w:val="06FC4B75"/>
    <w:rsid w:val="06FC6923"/>
    <w:rsid w:val="06FC7BBA"/>
    <w:rsid w:val="06FE41E9"/>
    <w:rsid w:val="06FE7F2C"/>
    <w:rsid w:val="06FF01C2"/>
    <w:rsid w:val="06FF62ED"/>
    <w:rsid w:val="06FF6413"/>
    <w:rsid w:val="07001604"/>
    <w:rsid w:val="0700541D"/>
    <w:rsid w:val="070103DE"/>
    <w:rsid w:val="07010F3E"/>
    <w:rsid w:val="07012746"/>
    <w:rsid w:val="07013CDC"/>
    <w:rsid w:val="07014C76"/>
    <w:rsid w:val="070168AD"/>
    <w:rsid w:val="07017693"/>
    <w:rsid w:val="07017D69"/>
    <w:rsid w:val="0702516C"/>
    <w:rsid w:val="07041C7C"/>
    <w:rsid w:val="0704265D"/>
    <w:rsid w:val="07064323"/>
    <w:rsid w:val="070659F4"/>
    <w:rsid w:val="07066307"/>
    <w:rsid w:val="07071B14"/>
    <w:rsid w:val="070725D8"/>
    <w:rsid w:val="070752C8"/>
    <w:rsid w:val="0708176C"/>
    <w:rsid w:val="0708351A"/>
    <w:rsid w:val="07085E93"/>
    <w:rsid w:val="0709241E"/>
    <w:rsid w:val="0709503F"/>
    <w:rsid w:val="070A698F"/>
    <w:rsid w:val="070B3997"/>
    <w:rsid w:val="070B4DB8"/>
    <w:rsid w:val="070C28DE"/>
    <w:rsid w:val="070D0B30"/>
    <w:rsid w:val="070D21CC"/>
    <w:rsid w:val="070D6D82"/>
    <w:rsid w:val="070E1153"/>
    <w:rsid w:val="070F2546"/>
    <w:rsid w:val="070F2C07"/>
    <w:rsid w:val="07101279"/>
    <w:rsid w:val="071015E4"/>
    <w:rsid w:val="071023CF"/>
    <w:rsid w:val="07107BC6"/>
    <w:rsid w:val="07117EF5"/>
    <w:rsid w:val="07127E05"/>
    <w:rsid w:val="071330CE"/>
    <w:rsid w:val="07133151"/>
    <w:rsid w:val="07133C6D"/>
    <w:rsid w:val="07135617"/>
    <w:rsid w:val="071420A2"/>
    <w:rsid w:val="071502CD"/>
    <w:rsid w:val="07153256"/>
    <w:rsid w:val="071656B7"/>
    <w:rsid w:val="07174993"/>
    <w:rsid w:val="07177C01"/>
    <w:rsid w:val="07181283"/>
    <w:rsid w:val="0718536E"/>
    <w:rsid w:val="071874D5"/>
    <w:rsid w:val="07187F86"/>
    <w:rsid w:val="07195727"/>
    <w:rsid w:val="071A4FFB"/>
    <w:rsid w:val="071C3B5D"/>
    <w:rsid w:val="071D0052"/>
    <w:rsid w:val="071D0A13"/>
    <w:rsid w:val="071D4019"/>
    <w:rsid w:val="071D5A4B"/>
    <w:rsid w:val="071E2B3C"/>
    <w:rsid w:val="071E3483"/>
    <w:rsid w:val="071E3B7B"/>
    <w:rsid w:val="071E3DC1"/>
    <w:rsid w:val="071E7188"/>
    <w:rsid w:val="071F0864"/>
    <w:rsid w:val="071F09A6"/>
    <w:rsid w:val="071F2612"/>
    <w:rsid w:val="07214C5F"/>
    <w:rsid w:val="0721638A"/>
    <w:rsid w:val="07221552"/>
    <w:rsid w:val="07222102"/>
    <w:rsid w:val="0722584D"/>
    <w:rsid w:val="07227440"/>
    <w:rsid w:val="07230354"/>
    <w:rsid w:val="07231B49"/>
    <w:rsid w:val="072365A6"/>
    <w:rsid w:val="072408B5"/>
    <w:rsid w:val="072440CC"/>
    <w:rsid w:val="07246D73"/>
    <w:rsid w:val="07247C28"/>
    <w:rsid w:val="07257A15"/>
    <w:rsid w:val="072639A0"/>
    <w:rsid w:val="07281A58"/>
    <w:rsid w:val="07283BBC"/>
    <w:rsid w:val="072857D4"/>
    <w:rsid w:val="07287718"/>
    <w:rsid w:val="07293586"/>
    <w:rsid w:val="07295285"/>
    <w:rsid w:val="072A5AB9"/>
    <w:rsid w:val="072A7934"/>
    <w:rsid w:val="072B0FB7"/>
    <w:rsid w:val="072B545A"/>
    <w:rsid w:val="072B7208"/>
    <w:rsid w:val="072B7EE9"/>
    <w:rsid w:val="072C03D9"/>
    <w:rsid w:val="072C7501"/>
    <w:rsid w:val="072D11D3"/>
    <w:rsid w:val="072D2A56"/>
    <w:rsid w:val="072D2F81"/>
    <w:rsid w:val="072D324E"/>
    <w:rsid w:val="072D5D12"/>
    <w:rsid w:val="072D63E9"/>
    <w:rsid w:val="072E0AA7"/>
    <w:rsid w:val="072E2CF9"/>
    <w:rsid w:val="072F4F4B"/>
    <w:rsid w:val="072F5BC1"/>
    <w:rsid w:val="072F6D5A"/>
    <w:rsid w:val="072F71DE"/>
    <w:rsid w:val="07300CC3"/>
    <w:rsid w:val="07304A04"/>
    <w:rsid w:val="073065CD"/>
    <w:rsid w:val="07322345"/>
    <w:rsid w:val="0732424B"/>
    <w:rsid w:val="07324347"/>
    <w:rsid w:val="07324BB7"/>
    <w:rsid w:val="073321A9"/>
    <w:rsid w:val="0733430F"/>
    <w:rsid w:val="073360BD"/>
    <w:rsid w:val="07336B6B"/>
    <w:rsid w:val="07342561"/>
    <w:rsid w:val="07346FF5"/>
    <w:rsid w:val="07347581"/>
    <w:rsid w:val="07351E35"/>
    <w:rsid w:val="0736405C"/>
    <w:rsid w:val="073677B7"/>
    <w:rsid w:val="07371C09"/>
    <w:rsid w:val="07372051"/>
    <w:rsid w:val="07375BAD"/>
    <w:rsid w:val="0737795B"/>
    <w:rsid w:val="07384786"/>
    <w:rsid w:val="073A0139"/>
    <w:rsid w:val="073A38EF"/>
    <w:rsid w:val="073A569E"/>
    <w:rsid w:val="073A744C"/>
    <w:rsid w:val="073B415B"/>
    <w:rsid w:val="073C31C4"/>
    <w:rsid w:val="073D5004"/>
    <w:rsid w:val="073E3C7E"/>
    <w:rsid w:val="073E518E"/>
    <w:rsid w:val="073F0E82"/>
    <w:rsid w:val="073F2CB4"/>
    <w:rsid w:val="073F4A62"/>
    <w:rsid w:val="0741116F"/>
    <w:rsid w:val="07414B89"/>
    <w:rsid w:val="074174AC"/>
    <w:rsid w:val="074202C3"/>
    <w:rsid w:val="07431473"/>
    <w:rsid w:val="07434E4C"/>
    <w:rsid w:val="07436660"/>
    <w:rsid w:val="07441231"/>
    <w:rsid w:val="07444509"/>
    <w:rsid w:val="0744651C"/>
    <w:rsid w:val="07450F80"/>
    <w:rsid w:val="07453BF4"/>
    <w:rsid w:val="074612AA"/>
    <w:rsid w:val="07462294"/>
    <w:rsid w:val="07463B51"/>
    <w:rsid w:val="07465DF0"/>
    <w:rsid w:val="074669C5"/>
    <w:rsid w:val="074676D6"/>
    <w:rsid w:val="07472E52"/>
    <w:rsid w:val="074774A3"/>
    <w:rsid w:val="07481B68"/>
    <w:rsid w:val="074844BB"/>
    <w:rsid w:val="07487DBA"/>
    <w:rsid w:val="07493DE4"/>
    <w:rsid w:val="074A1D85"/>
    <w:rsid w:val="074A3038"/>
    <w:rsid w:val="074A33A3"/>
    <w:rsid w:val="074A3B33"/>
    <w:rsid w:val="074A4B4F"/>
    <w:rsid w:val="074A57D5"/>
    <w:rsid w:val="074B1659"/>
    <w:rsid w:val="074B3407"/>
    <w:rsid w:val="074B78AB"/>
    <w:rsid w:val="074C22BB"/>
    <w:rsid w:val="074C6282"/>
    <w:rsid w:val="074D1EDA"/>
    <w:rsid w:val="074D2288"/>
    <w:rsid w:val="074D4734"/>
    <w:rsid w:val="074D53D1"/>
    <w:rsid w:val="074D6BAD"/>
    <w:rsid w:val="074E4EB4"/>
    <w:rsid w:val="074E62C4"/>
    <w:rsid w:val="074F4623"/>
    <w:rsid w:val="074F4C03"/>
    <w:rsid w:val="074F739B"/>
    <w:rsid w:val="07500A1D"/>
    <w:rsid w:val="075077D4"/>
    <w:rsid w:val="07511370"/>
    <w:rsid w:val="075131E4"/>
    <w:rsid w:val="0751486F"/>
    <w:rsid w:val="075167B5"/>
    <w:rsid w:val="07520535"/>
    <w:rsid w:val="07521B64"/>
    <w:rsid w:val="07521B65"/>
    <w:rsid w:val="075229E7"/>
    <w:rsid w:val="07524795"/>
    <w:rsid w:val="0753050D"/>
    <w:rsid w:val="07535130"/>
    <w:rsid w:val="075368DB"/>
    <w:rsid w:val="0754201E"/>
    <w:rsid w:val="075449B1"/>
    <w:rsid w:val="07550729"/>
    <w:rsid w:val="075524D7"/>
    <w:rsid w:val="07552E4B"/>
    <w:rsid w:val="07554285"/>
    <w:rsid w:val="075676D5"/>
    <w:rsid w:val="07567F36"/>
    <w:rsid w:val="075739C1"/>
    <w:rsid w:val="0757624F"/>
    <w:rsid w:val="0757640C"/>
    <w:rsid w:val="075765C1"/>
    <w:rsid w:val="07576C98"/>
    <w:rsid w:val="07577FFE"/>
    <w:rsid w:val="07580B37"/>
    <w:rsid w:val="075854A9"/>
    <w:rsid w:val="07585B24"/>
    <w:rsid w:val="075860A1"/>
    <w:rsid w:val="07593956"/>
    <w:rsid w:val="075954A1"/>
    <w:rsid w:val="075A7AEE"/>
    <w:rsid w:val="075A7EFF"/>
    <w:rsid w:val="075B48E7"/>
    <w:rsid w:val="075B5D40"/>
    <w:rsid w:val="075C3866"/>
    <w:rsid w:val="075C62A8"/>
    <w:rsid w:val="075D7F93"/>
    <w:rsid w:val="075E5771"/>
    <w:rsid w:val="075E75DE"/>
    <w:rsid w:val="075E7F0C"/>
    <w:rsid w:val="075F0286"/>
    <w:rsid w:val="075F5104"/>
    <w:rsid w:val="075F6EB2"/>
    <w:rsid w:val="07606B32"/>
    <w:rsid w:val="07610E7C"/>
    <w:rsid w:val="07613801"/>
    <w:rsid w:val="07614528"/>
    <w:rsid w:val="07614872"/>
    <w:rsid w:val="07617018"/>
    <w:rsid w:val="076170CE"/>
    <w:rsid w:val="07626B53"/>
    <w:rsid w:val="07630750"/>
    <w:rsid w:val="07632E46"/>
    <w:rsid w:val="076362DB"/>
    <w:rsid w:val="07636392"/>
    <w:rsid w:val="076417BA"/>
    <w:rsid w:val="076470DA"/>
    <w:rsid w:val="0765096C"/>
    <w:rsid w:val="07660241"/>
    <w:rsid w:val="076646E5"/>
    <w:rsid w:val="076775B0"/>
    <w:rsid w:val="0768045D"/>
    <w:rsid w:val="07683FB9"/>
    <w:rsid w:val="076A5F83"/>
    <w:rsid w:val="076B1CFB"/>
    <w:rsid w:val="076B2508"/>
    <w:rsid w:val="076B3AA9"/>
    <w:rsid w:val="076B5857"/>
    <w:rsid w:val="076C586C"/>
    <w:rsid w:val="076D15CF"/>
    <w:rsid w:val="076E38BC"/>
    <w:rsid w:val="076E7B79"/>
    <w:rsid w:val="076F17EB"/>
    <w:rsid w:val="076F2318"/>
    <w:rsid w:val="076F3599"/>
    <w:rsid w:val="077010BF"/>
    <w:rsid w:val="07724E37"/>
    <w:rsid w:val="077449FB"/>
    <w:rsid w:val="07752464"/>
    <w:rsid w:val="077548AF"/>
    <w:rsid w:val="077566D6"/>
    <w:rsid w:val="07757B04"/>
    <w:rsid w:val="07762B7A"/>
    <w:rsid w:val="07767EE3"/>
    <w:rsid w:val="077704E7"/>
    <w:rsid w:val="077706A0"/>
    <w:rsid w:val="07770C56"/>
    <w:rsid w:val="0777244E"/>
    <w:rsid w:val="07776FFE"/>
    <w:rsid w:val="077961C6"/>
    <w:rsid w:val="07797F74"/>
    <w:rsid w:val="077A1F3E"/>
    <w:rsid w:val="077A32FE"/>
    <w:rsid w:val="077A3CEC"/>
    <w:rsid w:val="077B2790"/>
    <w:rsid w:val="077C1812"/>
    <w:rsid w:val="077C1D9D"/>
    <w:rsid w:val="077C7A64"/>
    <w:rsid w:val="077D6BC9"/>
    <w:rsid w:val="077E1111"/>
    <w:rsid w:val="077E37DC"/>
    <w:rsid w:val="077E558A"/>
    <w:rsid w:val="077E5A28"/>
    <w:rsid w:val="077E5F97"/>
    <w:rsid w:val="077E7895"/>
    <w:rsid w:val="077F1631"/>
    <w:rsid w:val="07800840"/>
    <w:rsid w:val="07802071"/>
    <w:rsid w:val="0780281E"/>
    <w:rsid w:val="078057A6"/>
    <w:rsid w:val="078132CC"/>
    <w:rsid w:val="07822398"/>
    <w:rsid w:val="07832BA1"/>
    <w:rsid w:val="078415B5"/>
    <w:rsid w:val="07843CDE"/>
    <w:rsid w:val="07843E94"/>
    <w:rsid w:val="07852DBD"/>
    <w:rsid w:val="07853608"/>
    <w:rsid w:val="07854B6B"/>
    <w:rsid w:val="07866B35"/>
    <w:rsid w:val="078725A7"/>
    <w:rsid w:val="078860F0"/>
    <w:rsid w:val="07893F2F"/>
    <w:rsid w:val="07897965"/>
    <w:rsid w:val="078B7CA7"/>
    <w:rsid w:val="078D3ED8"/>
    <w:rsid w:val="078D4BA5"/>
    <w:rsid w:val="078D7EC3"/>
    <w:rsid w:val="078E37FC"/>
    <w:rsid w:val="078E6439"/>
    <w:rsid w:val="078F59E9"/>
    <w:rsid w:val="078F75C8"/>
    <w:rsid w:val="0790350F"/>
    <w:rsid w:val="07904C67"/>
    <w:rsid w:val="07904EF3"/>
    <w:rsid w:val="079101CB"/>
    <w:rsid w:val="07910536"/>
    <w:rsid w:val="07910A04"/>
    <w:rsid w:val="07911761"/>
    <w:rsid w:val="0791652A"/>
    <w:rsid w:val="079170D6"/>
    <w:rsid w:val="07921036"/>
    <w:rsid w:val="079254DA"/>
    <w:rsid w:val="07926B92"/>
    <w:rsid w:val="07927288"/>
    <w:rsid w:val="07936306"/>
    <w:rsid w:val="07943000"/>
    <w:rsid w:val="079528D4"/>
    <w:rsid w:val="079557E2"/>
    <w:rsid w:val="07955BF7"/>
    <w:rsid w:val="07961D7F"/>
    <w:rsid w:val="0796580B"/>
    <w:rsid w:val="07967055"/>
    <w:rsid w:val="07967398"/>
    <w:rsid w:val="07970ABB"/>
    <w:rsid w:val="07972AF0"/>
    <w:rsid w:val="079923C4"/>
    <w:rsid w:val="07995987"/>
    <w:rsid w:val="07996868"/>
    <w:rsid w:val="079B0C19"/>
    <w:rsid w:val="079B438E"/>
    <w:rsid w:val="079B77CE"/>
    <w:rsid w:val="079C3A8E"/>
    <w:rsid w:val="079E5C2C"/>
    <w:rsid w:val="079F1899"/>
    <w:rsid w:val="079F70B5"/>
    <w:rsid w:val="07A0263C"/>
    <w:rsid w:val="07A06D3F"/>
    <w:rsid w:val="07A07564"/>
    <w:rsid w:val="07A07A91"/>
    <w:rsid w:val="07A1571D"/>
    <w:rsid w:val="07A16A15"/>
    <w:rsid w:val="07A172F1"/>
    <w:rsid w:val="07A174CB"/>
    <w:rsid w:val="07A31495"/>
    <w:rsid w:val="07A34FF1"/>
    <w:rsid w:val="07A47831"/>
    <w:rsid w:val="07A54B0B"/>
    <w:rsid w:val="07A5520D"/>
    <w:rsid w:val="07A56FBB"/>
    <w:rsid w:val="07A63A05"/>
    <w:rsid w:val="07A64AE1"/>
    <w:rsid w:val="07A66E8D"/>
    <w:rsid w:val="07A717B4"/>
    <w:rsid w:val="07A73F0D"/>
    <w:rsid w:val="07A80859"/>
    <w:rsid w:val="07A85A5C"/>
    <w:rsid w:val="07AA637F"/>
    <w:rsid w:val="07AB0349"/>
    <w:rsid w:val="07AB18D9"/>
    <w:rsid w:val="07AC00A3"/>
    <w:rsid w:val="07AC22B3"/>
    <w:rsid w:val="07AC659B"/>
    <w:rsid w:val="07AD6D60"/>
    <w:rsid w:val="07AE4AAE"/>
    <w:rsid w:val="07AE5CDD"/>
    <w:rsid w:val="07AF279B"/>
    <w:rsid w:val="07AF3877"/>
    <w:rsid w:val="07B0089E"/>
    <w:rsid w:val="07B05982"/>
    <w:rsid w:val="07B13BB2"/>
    <w:rsid w:val="07B15B08"/>
    <w:rsid w:val="07B23486"/>
    <w:rsid w:val="07B26B71"/>
    <w:rsid w:val="07B27A2E"/>
    <w:rsid w:val="07B40FAC"/>
    <w:rsid w:val="07B471FE"/>
    <w:rsid w:val="07B60499"/>
    <w:rsid w:val="07B73ED8"/>
    <w:rsid w:val="07B74F40"/>
    <w:rsid w:val="07B76CEE"/>
    <w:rsid w:val="07B92A66"/>
    <w:rsid w:val="07B93C8A"/>
    <w:rsid w:val="07B94814"/>
    <w:rsid w:val="07BB058C"/>
    <w:rsid w:val="07BC2556"/>
    <w:rsid w:val="07BC30BD"/>
    <w:rsid w:val="07BC4304"/>
    <w:rsid w:val="07BC4FBB"/>
    <w:rsid w:val="07BC5F66"/>
    <w:rsid w:val="07BC60B3"/>
    <w:rsid w:val="07BE007D"/>
    <w:rsid w:val="07BE1E2B"/>
    <w:rsid w:val="07BE3B52"/>
    <w:rsid w:val="07BE7CE5"/>
    <w:rsid w:val="07BF007D"/>
    <w:rsid w:val="07BF7EB9"/>
    <w:rsid w:val="07C02047"/>
    <w:rsid w:val="07C03DF5"/>
    <w:rsid w:val="07C06F8A"/>
    <w:rsid w:val="07C1696A"/>
    <w:rsid w:val="07C17B6D"/>
    <w:rsid w:val="07C318E8"/>
    <w:rsid w:val="07C338E5"/>
    <w:rsid w:val="07C44FDB"/>
    <w:rsid w:val="07C552EF"/>
    <w:rsid w:val="07C65661"/>
    <w:rsid w:val="07C66F31"/>
    <w:rsid w:val="07C733D5"/>
    <w:rsid w:val="07C76E3A"/>
    <w:rsid w:val="07C94AF0"/>
    <w:rsid w:val="07CA293D"/>
    <w:rsid w:val="07CA4BBF"/>
    <w:rsid w:val="07CB2335"/>
    <w:rsid w:val="07CB3852"/>
    <w:rsid w:val="07CB4548"/>
    <w:rsid w:val="07CC079B"/>
    <w:rsid w:val="07CC09EB"/>
    <w:rsid w:val="07CC18BC"/>
    <w:rsid w:val="07CC5A57"/>
    <w:rsid w:val="07CD02C0"/>
    <w:rsid w:val="07CD16BA"/>
    <w:rsid w:val="07CD206E"/>
    <w:rsid w:val="07CD260F"/>
    <w:rsid w:val="07CD4764"/>
    <w:rsid w:val="07CD6512"/>
    <w:rsid w:val="07CE68C8"/>
    <w:rsid w:val="07CE6C44"/>
    <w:rsid w:val="07CF7F67"/>
    <w:rsid w:val="07D01B5E"/>
    <w:rsid w:val="07D0423D"/>
    <w:rsid w:val="07D13DBC"/>
    <w:rsid w:val="07D16002"/>
    <w:rsid w:val="07D17DB0"/>
    <w:rsid w:val="07D21D7A"/>
    <w:rsid w:val="07D2310B"/>
    <w:rsid w:val="07D23B28"/>
    <w:rsid w:val="07D30A7B"/>
    <w:rsid w:val="07D46720"/>
    <w:rsid w:val="07D478A0"/>
    <w:rsid w:val="07D653C6"/>
    <w:rsid w:val="07D6750A"/>
    <w:rsid w:val="07D7113E"/>
    <w:rsid w:val="07D71EE0"/>
    <w:rsid w:val="07D72EEC"/>
    <w:rsid w:val="07D90C80"/>
    <w:rsid w:val="07D92F53"/>
    <w:rsid w:val="07D970BB"/>
    <w:rsid w:val="07DB2682"/>
    <w:rsid w:val="07DB29DD"/>
    <w:rsid w:val="07DB2DC2"/>
    <w:rsid w:val="07DC0CB2"/>
    <w:rsid w:val="07DC1AF5"/>
    <w:rsid w:val="07DC3155"/>
    <w:rsid w:val="07DD46FE"/>
    <w:rsid w:val="07E06245"/>
    <w:rsid w:val="07E13D6B"/>
    <w:rsid w:val="07E15B19"/>
    <w:rsid w:val="07E163D5"/>
    <w:rsid w:val="07E3184F"/>
    <w:rsid w:val="07E5385B"/>
    <w:rsid w:val="07E6312F"/>
    <w:rsid w:val="07E75C3E"/>
    <w:rsid w:val="07E775D3"/>
    <w:rsid w:val="07E8334B"/>
    <w:rsid w:val="07E850FA"/>
    <w:rsid w:val="07E86C40"/>
    <w:rsid w:val="07E86EA8"/>
    <w:rsid w:val="07E95AC0"/>
    <w:rsid w:val="07EA0E72"/>
    <w:rsid w:val="07EA185C"/>
    <w:rsid w:val="07EA4131"/>
    <w:rsid w:val="07EA70C4"/>
    <w:rsid w:val="07ED2710"/>
    <w:rsid w:val="07ED44BE"/>
    <w:rsid w:val="07F01A75"/>
    <w:rsid w:val="07F10452"/>
    <w:rsid w:val="07F144F5"/>
    <w:rsid w:val="07F228C3"/>
    <w:rsid w:val="07F27D00"/>
    <w:rsid w:val="07F27D26"/>
    <w:rsid w:val="07F308AB"/>
    <w:rsid w:val="07F33D53"/>
    <w:rsid w:val="07F41CF0"/>
    <w:rsid w:val="07F47E3C"/>
    <w:rsid w:val="07F6072D"/>
    <w:rsid w:val="07F631D1"/>
    <w:rsid w:val="07F63E15"/>
    <w:rsid w:val="07F65A68"/>
    <w:rsid w:val="07F67816"/>
    <w:rsid w:val="07F70609"/>
    <w:rsid w:val="07F7479D"/>
    <w:rsid w:val="07F817E1"/>
    <w:rsid w:val="07F87D3F"/>
    <w:rsid w:val="07F92E63"/>
    <w:rsid w:val="07F9321E"/>
    <w:rsid w:val="07F95559"/>
    <w:rsid w:val="07FB1404"/>
    <w:rsid w:val="07FB307F"/>
    <w:rsid w:val="07FB4E2D"/>
    <w:rsid w:val="07FB6BDB"/>
    <w:rsid w:val="07FB7039"/>
    <w:rsid w:val="07FC0BA5"/>
    <w:rsid w:val="07FC2953"/>
    <w:rsid w:val="07FC6546"/>
    <w:rsid w:val="07FC7A8E"/>
    <w:rsid w:val="07FD41F7"/>
    <w:rsid w:val="07FD49AC"/>
    <w:rsid w:val="07FD6DF7"/>
    <w:rsid w:val="07FE491D"/>
    <w:rsid w:val="07FE66CB"/>
    <w:rsid w:val="07FF31D7"/>
    <w:rsid w:val="07FF711B"/>
    <w:rsid w:val="08002443"/>
    <w:rsid w:val="080041F1"/>
    <w:rsid w:val="08006B84"/>
    <w:rsid w:val="08007A98"/>
    <w:rsid w:val="08010167"/>
    <w:rsid w:val="080106B7"/>
    <w:rsid w:val="08017F69"/>
    <w:rsid w:val="080223B8"/>
    <w:rsid w:val="0802440D"/>
    <w:rsid w:val="080261BB"/>
    <w:rsid w:val="08030185"/>
    <w:rsid w:val="0803371E"/>
    <w:rsid w:val="080412A0"/>
    <w:rsid w:val="08042CA2"/>
    <w:rsid w:val="08042F08"/>
    <w:rsid w:val="08055CAB"/>
    <w:rsid w:val="08071A24"/>
    <w:rsid w:val="080737D2"/>
    <w:rsid w:val="08074BF6"/>
    <w:rsid w:val="080976BA"/>
    <w:rsid w:val="080A1514"/>
    <w:rsid w:val="080A248E"/>
    <w:rsid w:val="080A32C2"/>
    <w:rsid w:val="080A5070"/>
    <w:rsid w:val="080B044A"/>
    <w:rsid w:val="080C528C"/>
    <w:rsid w:val="080D2DB2"/>
    <w:rsid w:val="080D4B60"/>
    <w:rsid w:val="080F08D8"/>
    <w:rsid w:val="080F0E04"/>
    <w:rsid w:val="081128A2"/>
    <w:rsid w:val="081172DC"/>
    <w:rsid w:val="08123F24"/>
    <w:rsid w:val="081303C8"/>
    <w:rsid w:val="08134054"/>
    <w:rsid w:val="08134EF8"/>
    <w:rsid w:val="08147C9D"/>
    <w:rsid w:val="081577B4"/>
    <w:rsid w:val="08161C67"/>
    <w:rsid w:val="081676AE"/>
    <w:rsid w:val="08167EB9"/>
    <w:rsid w:val="08174575"/>
    <w:rsid w:val="0817778D"/>
    <w:rsid w:val="081859DF"/>
    <w:rsid w:val="081952B3"/>
    <w:rsid w:val="081A1ACF"/>
    <w:rsid w:val="081B102B"/>
    <w:rsid w:val="081B1349"/>
    <w:rsid w:val="081B3D75"/>
    <w:rsid w:val="081B727D"/>
    <w:rsid w:val="081C4DA3"/>
    <w:rsid w:val="081C545A"/>
    <w:rsid w:val="081C770E"/>
    <w:rsid w:val="081E06F6"/>
    <w:rsid w:val="081E0B1B"/>
    <w:rsid w:val="081E2F51"/>
    <w:rsid w:val="081E3021"/>
    <w:rsid w:val="081E5E8C"/>
    <w:rsid w:val="082336C8"/>
    <w:rsid w:val="08234384"/>
    <w:rsid w:val="08236132"/>
    <w:rsid w:val="0824157E"/>
    <w:rsid w:val="082419EA"/>
    <w:rsid w:val="082476FC"/>
    <w:rsid w:val="082500FC"/>
    <w:rsid w:val="08250323"/>
    <w:rsid w:val="082529AC"/>
    <w:rsid w:val="0825556B"/>
    <w:rsid w:val="0825634E"/>
    <w:rsid w:val="08256BE2"/>
    <w:rsid w:val="08271BB3"/>
    <w:rsid w:val="08273E74"/>
    <w:rsid w:val="08275345"/>
    <w:rsid w:val="08276A72"/>
    <w:rsid w:val="082771A1"/>
    <w:rsid w:val="0828199A"/>
    <w:rsid w:val="0828764D"/>
    <w:rsid w:val="08297BEC"/>
    <w:rsid w:val="082A040A"/>
    <w:rsid w:val="082A1811"/>
    <w:rsid w:val="082A74C0"/>
    <w:rsid w:val="082B5124"/>
    <w:rsid w:val="082B6B22"/>
    <w:rsid w:val="082C2BAD"/>
    <w:rsid w:val="082C3238"/>
    <w:rsid w:val="082C4FE6"/>
    <w:rsid w:val="082D2511"/>
    <w:rsid w:val="082D6FB0"/>
    <w:rsid w:val="082F0F7A"/>
    <w:rsid w:val="082F44BD"/>
    <w:rsid w:val="082F6F8A"/>
    <w:rsid w:val="08312889"/>
    <w:rsid w:val="08314567"/>
    <w:rsid w:val="08321497"/>
    <w:rsid w:val="083375A0"/>
    <w:rsid w:val="0834033F"/>
    <w:rsid w:val="08341162"/>
    <w:rsid w:val="083420ED"/>
    <w:rsid w:val="08342663"/>
    <w:rsid w:val="08345247"/>
    <w:rsid w:val="08346591"/>
    <w:rsid w:val="083612A8"/>
    <w:rsid w:val="08361598"/>
    <w:rsid w:val="083640B7"/>
    <w:rsid w:val="08386081"/>
    <w:rsid w:val="083868FB"/>
    <w:rsid w:val="08395955"/>
    <w:rsid w:val="08397703"/>
    <w:rsid w:val="083C39D9"/>
    <w:rsid w:val="083C3EF0"/>
    <w:rsid w:val="083C511A"/>
    <w:rsid w:val="083C70FF"/>
    <w:rsid w:val="083D41C1"/>
    <w:rsid w:val="083D7D2E"/>
    <w:rsid w:val="083E463A"/>
    <w:rsid w:val="083E4D1A"/>
    <w:rsid w:val="0840285A"/>
    <w:rsid w:val="08404F36"/>
    <w:rsid w:val="08412E95"/>
    <w:rsid w:val="08420CAE"/>
    <w:rsid w:val="08422A5C"/>
    <w:rsid w:val="0842480A"/>
    <w:rsid w:val="0843002B"/>
    <w:rsid w:val="08430582"/>
    <w:rsid w:val="08430947"/>
    <w:rsid w:val="0843241C"/>
    <w:rsid w:val="084367D4"/>
    <w:rsid w:val="08444A26"/>
    <w:rsid w:val="0845254C"/>
    <w:rsid w:val="08470072"/>
    <w:rsid w:val="08471787"/>
    <w:rsid w:val="08471E20"/>
    <w:rsid w:val="084739BA"/>
    <w:rsid w:val="08475B0B"/>
    <w:rsid w:val="08477586"/>
    <w:rsid w:val="08477D63"/>
    <w:rsid w:val="08485B98"/>
    <w:rsid w:val="08486D88"/>
    <w:rsid w:val="08493B3C"/>
    <w:rsid w:val="08495633"/>
    <w:rsid w:val="084A1910"/>
    <w:rsid w:val="084A239C"/>
    <w:rsid w:val="084A7B62"/>
    <w:rsid w:val="084B51ED"/>
    <w:rsid w:val="084B79DF"/>
    <w:rsid w:val="084C34CD"/>
    <w:rsid w:val="084C38DA"/>
    <w:rsid w:val="084C5688"/>
    <w:rsid w:val="084D1CF0"/>
    <w:rsid w:val="084D6628"/>
    <w:rsid w:val="084E5DED"/>
    <w:rsid w:val="084E7652"/>
    <w:rsid w:val="084F33CB"/>
    <w:rsid w:val="084F6F27"/>
    <w:rsid w:val="08503B13"/>
    <w:rsid w:val="08504A82"/>
    <w:rsid w:val="08510EF1"/>
    <w:rsid w:val="08512C9F"/>
    <w:rsid w:val="08515F3C"/>
    <w:rsid w:val="0852733F"/>
    <w:rsid w:val="0854341D"/>
    <w:rsid w:val="08543A14"/>
    <w:rsid w:val="08555CC0"/>
    <w:rsid w:val="085602B5"/>
    <w:rsid w:val="08563ADB"/>
    <w:rsid w:val="08566507"/>
    <w:rsid w:val="08566A7B"/>
    <w:rsid w:val="08570EF4"/>
    <w:rsid w:val="0858227F"/>
    <w:rsid w:val="08585DDB"/>
    <w:rsid w:val="08591B53"/>
    <w:rsid w:val="08597DA5"/>
    <w:rsid w:val="085A5071"/>
    <w:rsid w:val="085A5FF7"/>
    <w:rsid w:val="085A6F61"/>
    <w:rsid w:val="085B3B1D"/>
    <w:rsid w:val="085C3CE3"/>
    <w:rsid w:val="085D0370"/>
    <w:rsid w:val="085D6676"/>
    <w:rsid w:val="085E716A"/>
    <w:rsid w:val="085F6661"/>
    <w:rsid w:val="08601134"/>
    <w:rsid w:val="08606F9C"/>
    <w:rsid w:val="08607386"/>
    <w:rsid w:val="08611CB6"/>
    <w:rsid w:val="08614583"/>
    <w:rsid w:val="086159A4"/>
    <w:rsid w:val="08617538"/>
    <w:rsid w:val="086230FE"/>
    <w:rsid w:val="08626E3A"/>
    <w:rsid w:val="08634780"/>
    <w:rsid w:val="08635A5F"/>
    <w:rsid w:val="08637AFE"/>
    <w:rsid w:val="08640C24"/>
    <w:rsid w:val="08646E76"/>
    <w:rsid w:val="086504F8"/>
    <w:rsid w:val="08652646"/>
    <w:rsid w:val="08670714"/>
    <w:rsid w:val="086724C2"/>
    <w:rsid w:val="08675E1C"/>
    <w:rsid w:val="08677AB5"/>
    <w:rsid w:val="086809E8"/>
    <w:rsid w:val="0869623A"/>
    <w:rsid w:val="086A0115"/>
    <w:rsid w:val="086A3D60"/>
    <w:rsid w:val="086A6A56"/>
    <w:rsid w:val="086B1173"/>
    <w:rsid w:val="086B6EB6"/>
    <w:rsid w:val="086D7A09"/>
    <w:rsid w:val="086E3851"/>
    <w:rsid w:val="086F13E3"/>
    <w:rsid w:val="0870581B"/>
    <w:rsid w:val="087104BF"/>
    <w:rsid w:val="08713D58"/>
    <w:rsid w:val="087150EF"/>
    <w:rsid w:val="08716E9D"/>
    <w:rsid w:val="08730E67"/>
    <w:rsid w:val="08732C15"/>
    <w:rsid w:val="087345A0"/>
    <w:rsid w:val="087370B9"/>
    <w:rsid w:val="08741249"/>
    <w:rsid w:val="08746718"/>
    <w:rsid w:val="0874698D"/>
    <w:rsid w:val="087526D9"/>
    <w:rsid w:val="08752E31"/>
    <w:rsid w:val="087552AA"/>
    <w:rsid w:val="0876673A"/>
    <w:rsid w:val="08773568"/>
    <w:rsid w:val="0878105A"/>
    <w:rsid w:val="08783404"/>
    <w:rsid w:val="08783C2B"/>
    <w:rsid w:val="087846CF"/>
    <w:rsid w:val="0878647D"/>
    <w:rsid w:val="0878672D"/>
    <w:rsid w:val="087931BE"/>
    <w:rsid w:val="08793FA4"/>
    <w:rsid w:val="087A654B"/>
    <w:rsid w:val="087B1B61"/>
    <w:rsid w:val="087B41C0"/>
    <w:rsid w:val="087B4212"/>
    <w:rsid w:val="087B58B7"/>
    <w:rsid w:val="087B6B16"/>
    <w:rsid w:val="087C25AC"/>
    <w:rsid w:val="087C3598"/>
    <w:rsid w:val="087D5842"/>
    <w:rsid w:val="087E15BA"/>
    <w:rsid w:val="087E49FE"/>
    <w:rsid w:val="087F33A6"/>
    <w:rsid w:val="087F53D8"/>
    <w:rsid w:val="087F780C"/>
    <w:rsid w:val="08807028"/>
    <w:rsid w:val="0881322D"/>
    <w:rsid w:val="088169B2"/>
    <w:rsid w:val="088203D2"/>
    <w:rsid w:val="0882702D"/>
    <w:rsid w:val="08844E22"/>
    <w:rsid w:val="08850B9A"/>
    <w:rsid w:val="08856DEC"/>
    <w:rsid w:val="08857B86"/>
    <w:rsid w:val="08874912"/>
    <w:rsid w:val="088776BF"/>
    <w:rsid w:val="088868D0"/>
    <w:rsid w:val="0888711A"/>
    <w:rsid w:val="0889068B"/>
    <w:rsid w:val="0889683A"/>
    <w:rsid w:val="08897181"/>
    <w:rsid w:val="088A4403"/>
    <w:rsid w:val="088A61B1"/>
    <w:rsid w:val="088A6A55"/>
    <w:rsid w:val="088A7F5F"/>
    <w:rsid w:val="088B29B2"/>
    <w:rsid w:val="088B36F2"/>
    <w:rsid w:val="088B4823"/>
    <w:rsid w:val="088C1F29"/>
    <w:rsid w:val="088D7E40"/>
    <w:rsid w:val="088E0328"/>
    <w:rsid w:val="088F23F0"/>
    <w:rsid w:val="088F37C7"/>
    <w:rsid w:val="08905ED4"/>
    <w:rsid w:val="08907C6B"/>
    <w:rsid w:val="08911C01"/>
    <w:rsid w:val="08913342"/>
    <w:rsid w:val="089201C5"/>
    <w:rsid w:val="08931509"/>
    <w:rsid w:val="089332B7"/>
    <w:rsid w:val="0893710B"/>
    <w:rsid w:val="0894259F"/>
    <w:rsid w:val="08947BEC"/>
    <w:rsid w:val="08955281"/>
    <w:rsid w:val="0895702F"/>
    <w:rsid w:val="08961A12"/>
    <w:rsid w:val="08963F22"/>
    <w:rsid w:val="08964B56"/>
    <w:rsid w:val="08966904"/>
    <w:rsid w:val="08980644"/>
    <w:rsid w:val="08980941"/>
    <w:rsid w:val="08991B2F"/>
    <w:rsid w:val="089934E0"/>
    <w:rsid w:val="0899470D"/>
    <w:rsid w:val="089963F4"/>
    <w:rsid w:val="08997B94"/>
    <w:rsid w:val="08997EFF"/>
    <w:rsid w:val="089A1341"/>
    <w:rsid w:val="089A297A"/>
    <w:rsid w:val="089A6EC6"/>
    <w:rsid w:val="089B03BE"/>
    <w:rsid w:val="089B216C"/>
    <w:rsid w:val="089B3C86"/>
    <w:rsid w:val="089B5884"/>
    <w:rsid w:val="089B6610"/>
    <w:rsid w:val="089B6FC5"/>
    <w:rsid w:val="089B798D"/>
    <w:rsid w:val="089C289E"/>
    <w:rsid w:val="089C3D38"/>
    <w:rsid w:val="089D4136"/>
    <w:rsid w:val="089E6E4C"/>
    <w:rsid w:val="089E70DF"/>
    <w:rsid w:val="089F1491"/>
    <w:rsid w:val="08A043E6"/>
    <w:rsid w:val="08A0490C"/>
    <w:rsid w:val="08A05695"/>
    <w:rsid w:val="08A059D4"/>
    <w:rsid w:val="08A07782"/>
    <w:rsid w:val="08A13C26"/>
    <w:rsid w:val="08A2174C"/>
    <w:rsid w:val="08A31C89"/>
    <w:rsid w:val="08A31F60"/>
    <w:rsid w:val="08A40A20"/>
    <w:rsid w:val="08A454C4"/>
    <w:rsid w:val="08A54080"/>
    <w:rsid w:val="08A543EB"/>
    <w:rsid w:val="08A54D99"/>
    <w:rsid w:val="08A55595"/>
    <w:rsid w:val="08A61507"/>
    <w:rsid w:val="08A61E67"/>
    <w:rsid w:val="08A63D09"/>
    <w:rsid w:val="08A67019"/>
    <w:rsid w:val="08A74300"/>
    <w:rsid w:val="08A76D63"/>
    <w:rsid w:val="08A901C7"/>
    <w:rsid w:val="08A92ADB"/>
    <w:rsid w:val="08AA0601"/>
    <w:rsid w:val="08AA23AF"/>
    <w:rsid w:val="08AA4E14"/>
    <w:rsid w:val="08AA7134"/>
    <w:rsid w:val="08AB4E3F"/>
    <w:rsid w:val="08AB57EE"/>
    <w:rsid w:val="08AB66CA"/>
    <w:rsid w:val="08AB6853"/>
    <w:rsid w:val="08AB6F60"/>
    <w:rsid w:val="08AC6127"/>
    <w:rsid w:val="08AC6809"/>
    <w:rsid w:val="08AC6D67"/>
    <w:rsid w:val="08AD6024"/>
    <w:rsid w:val="08AD75A1"/>
    <w:rsid w:val="08AE00F1"/>
    <w:rsid w:val="08AE1E9F"/>
    <w:rsid w:val="08AE4799"/>
    <w:rsid w:val="08B1198F"/>
    <w:rsid w:val="08B17BE1"/>
    <w:rsid w:val="08B21560"/>
    <w:rsid w:val="08B2267B"/>
    <w:rsid w:val="08B330AC"/>
    <w:rsid w:val="08B33B0B"/>
    <w:rsid w:val="08B34B13"/>
    <w:rsid w:val="08B35707"/>
    <w:rsid w:val="08B374B6"/>
    <w:rsid w:val="08B40674"/>
    <w:rsid w:val="08B50CB4"/>
    <w:rsid w:val="08B50FFC"/>
    <w:rsid w:val="08B5322E"/>
    <w:rsid w:val="08B5506F"/>
    <w:rsid w:val="08B651F8"/>
    <w:rsid w:val="08B74D7C"/>
    <w:rsid w:val="08B80F70"/>
    <w:rsid w:val="08B82D1E"/>
    <w:rsid w:val="08B9073E"/>
    <w:rsid w:val="08B9254E"/>
    <w:rsid w:val="08BA0844"/>
    <w:rsid w:val="08BA4CE8"/>
    <w:rsid w:val="08BA5CE6"/>
    <w:rsid w:val="08BB6159"/>
    <w:rsid w:val="08BB636A"/>
    <w:rsid w:val="08BB7E44"/>
    <w:rsid w:val="08BC0A60"/>
    <w:rsid w:val="08BC2855"/>
    <w:rsid w:val="08BC545E"/>
    <w:rsid w:val="08BD0753"/>
    <w:rsid w:val="08BD6586"/>
    <w:rsid w:val="08BE3B9D"/>
    <w:rsid w:val="08BE433B"/>
    <w:rsid w:val="08BF40AC"/>
    <w:rsid w:val="08BF5E5A"/>
    <w:rsid w:val="08BF6BA1"/>
    <w:rsid w:val="08C01BD2"/>
    <w:rsid w:val="08C031CE"/>
    <w:rsid w:val="08C04C7F"/>
    <w:rsid w:val="08C07E24"/>
    <w:rsid w:val="08C16076"/>
    <w:rsid w:val="08C1610F"/>
    <w:rsid w:val="08C22170"/>
    <w:rsid w:val="08C2578B"/>
    <w:rsid w:val="08C2594B"/>
    <w:rsid w:val="08C305F9"/>
    <w:rsid w:val="08C4101A"/>
    <w:rsid w:val="08C416C3"/>
    <w:rsid w:val="08C461D1"/>
    <w:rsid w:val="08C47661"/>
    <w:rsid w:val="08C47915"/>
    <w:rsid w:val="08C53BB1"/>
    <w:rsid w:val="08C77405"/>
    <w:rsid w:val="08C90A87"/>
    <w:rsid w:val="08C930E2"/>
    <w:rsid w:val="08C94F2B"/>
    <w:rsid w:val="08C96CD9"/>
    <w:rsid w:val="08CA47FF"/>
    <w:rsid w:val="08CB13AF"/>
    <w:rsid w:val="08CD6EE3"/>
    <w:rsid w:val="08CE0713"/>
    <w:rsid w:val="08CE0793"/>
    <w:rsid w:val="08CE609D"/>
    <w:rsid w:val="08CF1E16"/>
    <w:rsid w:val="08D00E36"/>
    <w:rsid w:val="08D03AAE"/>
    <w:rsid w:val="08D107D5"/>
    <w:rsid w:val="08D13DE0"/>
    <w:rsid w:val="08D17094"/>
    <w:rsid w:val="08D249A9"/>
    <w:rsid w:val="08D30D5B"/>
    <w:rsid w:val="08D31906"/>
    <w:rsid w:val="08D31953"/>
    <w:rsid w:val="08D330F5"/>
    <w:rsid w:val="08D35E16"/>
    <w:rsid w:val="08D42882"/>
    <w:rsid w:val="08D45557"/>
    <w:rsid w:val="08D5567E"/>
    <w:rsid w:val="08D57E11"/>
    <w:rsid w:val="08D613F6"/>
    <w:rsid w:val="08D63E88"/>
    <w:rsid w:val="08D77648"/>
    <w:rsid w:val="08D84396"/>
    <w:rsid w:val="08D84504"/>
    <w:rsid w:val="08D85AD7"/>
    <w:rsid w:val="08D86F1C"/>
    <w:rsid w:val="08D8717C"/>
    <w:rsid w:val="08D87204"/>
    <w:rsid w:val="08D97348"/>
    <w:rsid w:val="08DA7138"/>
    <w:rsid w:val="08DB07BA"/>
    <w:rsid w:val="08DB1887"/>
    <w:rsid w:val="08DB2D17"/>
    <w:rsid w:val="08DB6A0C"/>
    <w:rsid w:val="08DC4C5E"/>
    <w:rsid w:val="08DD4532"/>
    <w:rsid w:val="08DE2623"/>
    <w:rsid w:val="08DF2DD9"/>
    <w:rsid w:val="08DF474E"/>
    <w:rsid w:val="08DF4ECB"/>
    <w:rsid w:val="08DF64FD"/>
    <w:rsid w:val="08E01053"/>
    <w:rsid w:val="08E04AE9"/>
    <w:rsid w:val="08E05248"/>
    <w:rsid w:val="08E104C7"/>
    <w:rsid w:val="08E13F7A"/>
    <w:rsid w:val="08E16062"/>
    <w:rsid w:val="08E20120"/>
    <w:rsid w:val="08E237BA"/>
    <w:rsid w:val="08E27D9B"/>
    <w:rsid w:val="08E36C5D"/>
    <w:rsid w:val="08E51639"/>
    <w:rsid w:val="08E52240"/>
    <w:rsid w:val="08E61E86"/>
    <w:rsid w:val="08E65ADD"/>
    <w:rsid w:val="08E73787"/>
    <w:rsid w:val="08E7643E"/>
    <w:rsid w:val="08E7715F"/>
    <w:rsid w:val="08E81855"/>
    <w:rsid w:val="08E81CF0"/>
    <w:rsid w:val="08E83E8B"/>
    <w:rsid w:val="08E91129"/>
    <w:rsid w:val="08EB30F3"/>
    <w:rsid w:val="08EB4EA1"/>
    <w:rsid w:val="08EC29C7"/>
    <w:rsid w:val="08ED41FA"/>
    <w:rsid w:val="08ED64C0"/>
    <w:rsid w:val="08ED6E6B"/>
    <w:rsid w:val="08EE04EE"/>
    <w:rsid w:val="08EE4992"/>
    <w:rsid w:val="08EE7D90"/>
    <w:rsid w:val="08EF05D7"/>
    <w:rsid w:val="08EF6FE3"/>
    <w:rsid w:val="08F0070A"/>
    <w:rsid w:val="08F024B8"/>
    <w:rsid w:val="08F04266"/>
    <w:rsid w:val="08F24482"/>
    <w:rsid w:val="08F27F5C"/>
    <w:rsid w:val="08F301FA"/>
    <w:rsid w:val="08F3226B"/>
    <w:rsid w:val="08F33D56"/>
    <w:rsid w:val="08F4242E"/>
    <w:rsid w:val="08F43B6F"/>
    <w:rsid w:val="08F5187C"/>
    <w:rsid w:val="08F55D20"/>
    <w:rsid w:val="08F74E36"/>
    <w:rsid w:val="08F8136C"/>
    <w:rsid w:val="08F83980"/>
    <w:rsid w:val="08F85810"/>
    <w:rsid w:val="08FA0EDA"/>
    <w:rsid w:val="08FA6E92"/>
    <w:rsid w:val="08FB1A11"/>
    <w:rsid w:val="08FB2C0B"/>
    <w:rsid w:val="08FC70AE"/>
    <w:rsid w:val="08FD05A6"/>
    <w:rsid w:val="08FD1430"/>
    <w:rsid w:val="08FD1B2B"/>
    <w:rsid w:val="08FD4BD5"/>
    <w:rsid w:val="08FD6983"/>
    <w:rsid w:val="08FE0D7F"/>
    <w:rsid w:val="08FE6D3F"/>
    <w:rsid w:val="08FF033D"/>
    <w:rsid w:val="08FF094D"/>
    <w:rsid w:val="08FF1601"/>
    <w:rsid w:val="090048DC"/>
    <w:rsid w:val="09013FF0"/>
    <w:rsid w:val="09016473"/>
    <w:rsid w:val="09023E6C"/>
    <w:rsid w:val="09027603"/>
    <w:rsid w:val="09045EC1"/>
    <w:rsid w:val="09046B4E"/>
    <w:rsid w:val="09050131"/>
    <w:rsid w:val="0905638D"/>
    <w:rsid w:val="090570BA"/>
    <w:rsid w:val="09063A89"/>
    <w:rsid w:val="090715AF"/>
    <w:rsid w:val="09074F27"/>
    <w:rsid w:val="09075A53"/>
    <w:rsid w:val="090767B2"/>
    <w:rsid w:val="09077801"/>
    <w:rsid w:val="09082248"/>
    <w:rsid w:val="090917CB"/>
    <w:rsid w:val="09091E10"/>
    <w:rsid w:val="09093579"/>
    <w:rsid w:val="090B72F2"/>
    <w:rsid w:val="090C38C7"/>
    <w:rsid w:val="090C3C32"/>
    <w:rsid w:val="090D12BC"/>
    <w:rsid w:val="090D6477"/>
    <w:rsid w:val="090F3AD2"/>
    <w:rsid w:val="09102B5A"/>
    <w:rsid w:val="091066B6"/>
    <w:rsid w:val="0910729B"/>
    <w:rsid w:val="0911242E"/>
    <w:rsid w:val="0911268B"/>
    <w:rsid w:val="09114527"/>
    <w:rsid w:val="091167DE"/>
    <w:rsid w:val="091270F8"/>
    <w:rsid w:val="0912740D"/>
    <w:rsid w:val="0913236E"/>
    <w:rsid w:val="09137F54"/>
    <w:rsid w:val="091467EB"/>
    <w:rsid w:val="09150170"/>
    <w:rsid w:val="09150D75"/>
    <w:rsid w:val="09152EA8"/>
    <w:rsid w:val="09153CCC"/>
    <w:rsid w:val="09155A79"/>
    <w:rsid w:val="09170399"/>
    <w:rsid w:val="09171238"/>
    <w:rsid w:val="09172450"/>
    <w:rsid w:val="09177D3F"/>
    <w:rsid w:val="09181A0E"/>
    <w:rsid w:val="09187C60"/>
    <w:rsid w:val="0919716F"/>
    <w:rsid w:val="091A3917"/>
    <w:rsid w:val="091A4897"/>
    <w:rsid w:val="091A5787"/>
    <w:rsid w:val="091A588A"/>
    <w:rsid w:val="091A625D"/>
    <w:rsid w:val="091B54AD"/>
    <w:rsid w:val="091B62C7"/>
    <w:rsid w:val="091B6D1A"/>
    <w:rsid w:val="091C01AA"/>
    <w:rsid w:val="091C32AD"/>
    <w:rsid w:val="091D0DD3"/>
    <w:rsid w:val="091D1DA1"/>
    <w:rsid w:val="091F009D"/>
    <w:rsid w:val="091F291D"/>
    <w:rsid w:val="091F6B2B"/>
    <w:rsid w:val="09205F21"/>
    <w:rsid w:val="092108C3"/>
    <w:rsid w:val="0921401C"/>
    <w:rsid w:val="09216B15"/>
    <w:rsid w:val="09217CAA"/>
    <w:rsid w:val="092217DD"/>
    <w:rsid w:val="092254AC"/>
    <w:rsid w:val="092263E9"/>
    <w:rsid w:val="09242161"/>
    <w:rsid w:val="09244C24"/>
    <w:rsid w:val="09246605"/>
    <w:rsid w:val="09247DCC"/>
    <w:rsid w:val="09252279"/>
    <w:rsid w:val="0925322B"/>
    <w:rsid w:val="092603AB"/>
    <w:rsid w:val="092603B0"/>
    <w:rsid w:val="0926237D"/>
    <w:rsid w:val="09265ED9"/>
    <w:rsid w:val="09273A00"/>
    <w:rsid w:val="0928131E"/>
    <w:rsid w:val="09293C1C"/>
    <w:rsid w:val="09295200"/>
    <w:rsid w:val="092959CA"/>
    <w:rsid w:val="092A393D"/>
    <w:rsid w:val="092A3975"/>
    <w:rsid w:val="092A7C70"/>
    <w:rsid w:val="092B680F"/>
    <w:rsid w:val="092B7994"/>
    <w:rsid w:val="092C1016"/>
    <w:rsid w:val="092C69DC"/>
    <w:rsid w:val="092C6BAE"/>
    <w:rsid w:val="092C7268"/>
    <w:rsid w:val="092D32CF"/>
    <w:rsid w:val="092D370C"/>
    <w:rsid w:val="092D497D"/>
    <w:rsid w:val="092D54BA"/>
    <w:rsid w:val="092E1232"/>
    <w:rsid w:val="092E4D8E"/>
    <w:rsid w:val="092E5190"/>
    <w:rsid w:val="093018FD"/>
    <w:rsid w:val="09302681"/>
    <w:rsid w:val="0930353B"/>
    <w:rsid w:val="09303D3E"/>
    <w:rsid w:val="09306D58"/>
    <w:rsid w:val="09313816"/>
    <w:rsid w:val="09320D22"/>
    <w:rsid w:val="093223D0"/>
    <w:rsid w:val="0932487E"/>
    <w:rsid w:val="09324FA1"/>
    <w:rsid w:val="093323A4"/>
    <w:rsid w:val="093373B8"/>
    <w:rsid w:val="0934746B"/>
    <w:rsid w:val="09347CE6"/>
    <w:rsid w:val="09355BE0"/>
    <w:rsid w:val="0935611C"/>
    <w:rsid w:val="09364080"/>
    <w:rsid w:val="09366FA2"/>
    <w:rsid w:val="09376242"/>
    <w:rsid w:val="09380BF6"/>
    <w:rsid w:val="09380E13"/>
    <w:rsid w:val="093827D2"/>
    <w:rsid w:val="09383E5F"/>
    <w:rsid w:val="09385C0D"/>
    <w:rsid w:val="09391A5E"/>
    <w:rsid w:val="093922A3"/>
    <w:rsid w:val="093A185C"/>
    <w:rsid w:val="093A3733"/>
    <w:rsid w:val="093A6304"/>
    <w:rsid w:val="093A7294"/>
    <w:rsid w:val="093B7C4B"/>
    <w:rsid w:val="093C394F"/>
    <w:rsid w:val="093C74AB"/>
    <w:rsid w:val="093D6726"/>
    <w:rsid w:val="093E76C7"/>
    <w:rsid w:val="093F0D49"/>
    <w:rsid w:val="093F51ED"/>
    <w:rsid w:val="093F64EB"/>
    <w:rsid w:val="09410F65"/>
    <w:rsid w:val="09412D13"/>
    <w:rsid w:val="094338E5"/>
    <w:rsid w:val="09434CBB"/>
    <w:rsid w:val="09434CDD"/>
    <w:rsid w:val="094353E9"/>
    <w:rsid w:val="09437A01"/>
    <w:rsid w:val="09440A55"/>
    <w:rsid w:val="0944681E"/>
    <w:rsid w:val="09450FF6"/>
    <w:rsid w:val="09451D17"/>
    <w:rsid w:val="094559F1"/>
    <w:rsid w:val="094620D8"/>
    <w:rsid w:val="09464A8E"/>
    <w:rsid w:val="09464C44"/>
    <w:rsid w:val="09476F18"/>
    <w:rsid w:val="094817DD"/>
    <w:rsid w:val="094840A2"/>
    <w:rsid w:val="094A2B91"/>
    <w:rsid w:val="094A43F6"/>
    <w:rsid w:val="094B1AAD"/>
    <w:rsid w:val="094B1DE4"/>
    <w:rsid w:val="094B38F4"/>
    <w:rsid w:val="094B46B8"/>
    <w:rsid w:val="094C053E"/>
    <w:rsid w:val="094D1F28"/>
    <w:rsid w:val="094D790A"/>
    <w:rsid w:val="094E3039"/>
    <w:rsid w:val="094E5430"/>
    <w:rsid w:val="094F3001"/>
    <w:rsid w:val="0951052A"/>
    <w:rsid w:val="09523172"/>
    <w:rsid w:val="09524F20"/>
    <w:rsid w:val="09526CCE"/>
    <w:rsid w:val="09527F53"/>
    <w:rsid w:val="09531675"/>
    <w:rsid w:val="09531D27"/>
    <w:rsid w:val="09532A47"/>
    <w:rsid w:val="09533540"/>
    <w:rsid w:val="095347F5"/>
    <w:rsid w:val="09536052"/>
    <w:rsid w:val="09540C99"/>
    <w:rsid w:val="09543E5D"/>
    <w:rsid w:val="09547AF8"/>
    <w:rsid w:val="09552287"/>
    <w:rsid w:val="095567BF"/>
    <w:rsid w:val="095659DC"/>
    <w:rsid w:val="0956702E"/>
    <w:rsid w:val="095742E5"/>
    <w:rsid w:val="0957582C"/>
    <w:rsid w:val="0958722D"/>
    <w:rsid w:val="09594501"/>
    <w:rsid w:val="095962AF"/>
    <w:rsid w:val="09596C99"/>
    <w:rsid w:val="09597696"/>
    <w:rsid w:val="095A5B83"/>
    <w:rsid w:val="095B6BC0"/>
    <w:rsid w:val="095C020E"/>
    <w:rsid w:val="095C18FB"/>
    <w:rsid w:val="095C6CEE"/>
    <w:rsid w:val="095C7B4D"/>
    <w:rsid w:val="095D32EB"/>
    <w:rsid w:val="095D4CB0"/>
    <w:rsid w:val="095D5673"/>
    <w:rsid w:val="095D7F5D"/>
    <w:rsid w:val="095E1B17"/>
    <w:rsid w:val="095F13EB"/>
    <w:rsid w:val="095F1D10"/>
    <w:rsid w:val="095F763D"/>
    <w:rsid w:val="0960107A"/>
    <w:rsid w:val="09615163"/>
    <w:rsid w:val="09616F12"/>
    <w:rsid w:val="0962126E"/>
    <w:rsid w:val="09630EDC"/>
    <w:rsid w:val="09637B82"/>
    <w:rsid w:val="09644641"/>
    <w:rsid w:val="0964525F"/>
    <w:rsid w:val="09675B24"/>
    <w:rsid w:val="09677743"/>
    <w:rsid w:val="0968496C"/>
    <w:rsid w:val="096864F2"/>
    <w:rsid w:val="09691B90"/>
    <w:rsid w:val="0969226A"/>
    <w:rsid w:val="0969387C"/>
    <w:rsid w:val="096B4234"/>
    <w:rsid w:val="096B7D90"/>
    <w:rsid w:val="096C444A"/>
    <w:rsid w:val="096D2AAA"/>
    <w:rsid w:val="096D671E"/>
    <w:rsid w:val="096E5A5F"/>
    <w:rsid w:val="096E7880"/>
    <w:rsid w:val="096F639D"/>
    <w:rsid w:val="096F6604"/>
    <w:rsid w:val="097035F9"/>
    <w:rsid w:val="09714A3F"/>
    <w:rsid w:val="09727371"/>
    <w:rsid w:val="09727863"/>
    <w:rsid w:val="09736C45"/>
    <w:rsid w:val="097430E9"/>
    <w:rsid w:val="097529BD"/>
    <w:rsid w:val="09753629"/>
    <w:rsid w:val="09772245"/>
    <w:rsid w:val="09773D0A"/>
    <w:rsid w:val="09774987"/>
    <w:rsid w:val="09776735"/>
    <w:rsid w:val="0978425B"/>
    <w:rsid w:val="09784670"/>
    <w:rsid w:val="097862EF"/>
    <w:rsid w:val="097924AD"/>
    <w:rsid w:val="097A6225"/>
    <w:rsid w:val="097A67FC"/>
    <w:rsid w:val="097A7FD3"/>
    <w:rsid w:val="097B6118"/>
    <w:rsid w:val="097B6AF5"/>
    <w:rsid w:val="097C01EF"/>
    <w:rsid w:val="097C1F9D"/>
    <w:rsid w:val="097C6E2F"/>
    <w:rsid w:val="097D22EF"/>
    <w:rsid w:val="097E7AC3"/>
    <w:rsid w:val="09806F24"/>
    <w:rsid w:val="09810A99"/>
    <w:rsid w:val="09811362"/>
    <w:rsid w:val="09811FCF"/>
    <w:rsid w:val="09815806"/>
    <w:rsid w:val="09815EC8"/>
    <w:rsid w:val="09827358"/>
    <w:rsid w:val="0983157E"/>
    <w:rsid w:val="09833D36"/>
    <w:rsid w:val="09842B95"/>
    <w:rsid w:val="09842C00"/>
    <w:rsid w:val="098506D5"/>
    <w:rsid w:val="09854A18"/>
    <w:rsid w:val="098552E8"/>
    <w:rsid w:val="09855EF7"/>
    <w:rsid w:val="098600A2"/>
    <w:rsid w:val="0986200E"/>
    <w:rsid w:val="09864BCA"/>
    <w:rsid w:val="09866978"/>
    <w:rsid w:val="09867C86"/>
    <w:rsid w:val="098701D3"/>
    <w:rsid w:val="098731CA"/>
    <w:rsid w:val="09874053"/>
    <w:rsid w:val="0988000E"/>
    <w:rsid w:val="09880942"/>
    <w:rsid w:val="09880F49"/>
    <w:rsid w:val="09886B94"/>
    <w:rsid w:val="09891E53"/>
    <w:rsid w:val="09897A94"/>
    <w:rsid w:val="098A290C"/>
    <w:rsid w:val="098A4A65"/>
    <w:rsid w:val="098B0432"/>
    <w:rsid w:val="098B459B"/>
    <w:rsid w:val="098C2FDB"/>
    <w:rsid w:val="098D41AA"/>
    <w:rsid w:val="098D423D"/>
    <w:rsid w:val="098F0433"/>
    <w:rsid w:val="098F57B6"/>
    <w:rsid w:val="098F7F23"/>
    <w:rsid w:val="09902DEC"/>
    <w:rsid w:val="09903C9B"/>
    <w:rsid w:val="09906519"/>
    <w:rsid w:val="099077F7"/>
    <w:rsid w:val="0992531D"/>
    <w:rsid w:val="09926E4D"/>
    <w:rsid w:val="099278CE"/>
    <w:rsid w:val="09931095"/>
    <w:rsid w:val="09932EAE"/>
    <w:rsid w:val="09945539"/>
    <w:rsid w:val="0995305F"/>
    <w:rsid w:val="09954E0D"/>
    <w:rsid w:val="099700EE"/>
    <w:rsid w:val="09970B85"/>
    <w:rsid w:val="09980258"/>
    <w:rsid w:val="09984675"/>
    <w:rsid w:val="09987F95"/>
    <w:rsid w:val="0999142E"/>
    <w:rsid w:val="09995076"/>
    <w:rsid w:val="099A15DB"/>
    <w:rsid w:val="099A2423"/>
    <w:rsid w:val="099A2BA5"/>
    <w:rsid w:val="099A6A6F"/>
    <w:rsid w:val="099B7FD6"/>
    <w:rsid w:val="099C2A51"/>
    <w:rsid w:val="099C5DC4"/>
    <w:rsid w:val="099C60BB"/>
    <w:rsid w:val="099C619C"/>
    <w:rsid w:val="099E26EF"/>
    <w:rsid w:val="099F3964"/>
    <w:rsid w:val="09A03EDE"/>
    <w:rsid w:val="09A1536E"/>
    <w:rsid w:val="09A17C56"/>
    <w:rsid w:val="09A30FAA"/>
    <w:rsid w:val="09A3577C"/>
    <w:rsid w:val="09A42C53"/>
    <w:rsid w:val="09A432A2"/>
    <w:rsid w:val="09A45050"/>
    <w:rsid w:val="09A514F4"/>
    <w:rsid w:val="09A552C3"/>
    <w:rsid w:val="09A6701A"/>
    <w:rsid w:val="09A92667"/>
    <w:rsid w:val="09A97B27"/>
    <w:rsid w:val="09A97C5B"/>
    <w:rsid w:val="09AB22A2"/>
    <w:rsid w:val="09AB4631"/>
    <w:rsid w:val="09AB5FE4"/>
    <w:rsid w:val="09AB79F4"/>
    <w:rsid w:val="09AD0B70"/>
    <w:rsid w:val="09AD2157"/>
    <w:rsid w:val="09AD381B"/>
    <w:rsid w:val="09AD4641"/>
    <w:rsid w:val="09AD65FB"/>
    <w:rsid w:val="09AE2FE9"/>
    <w:rsid w:val="09AF2373"/>
    <w:rsid w:val="09B0234C"/>
    <w:rsid w:val="09B04C57"/>
    <w:rsid w:val="09B07E99"/>
    <w:rsid w:val="09B215FF"/>
    <w:rsid w:val="09B23531"/>
    <w:rsid w:val="09B259BF"/>
    <w:rsid w:val="09B275F1"/>
    <w:rsid w:val="09B42132"/>
    <w:rsid w:val="09B434E5"/>
    <w:rsid w:val="09B43E53"/>
    <w:rsid w:val="09B47989"/>
    <w:rsid w:val="09B63701"/>
    <w:rsid w:val="09B65A80"/>
    <w:rsid w:val="09B72FD5"/>
    <w:rsid w:val="09B74D83"/>
    <w:rsid w:val="09B7601C"/>
    <w:rsid w:val="09B83E1D"/>
    <w:rsid w:val="09B841CE"/>
    <w:rsid w:val="09B90AFC"/>
    <w:rsid w:val="09B9485A"/>
    <w:rsid w:val="09B94F9F"/>
    <w:rsid w:val="09BA2AC6"/>
    <w:rsid w:val="09BA4874"/>
    <w:rsid w:val="09BA7A15"/>
    <w:rsid w:val="09BB0DD7"/>
    <w:rsid w:val="09BB563C"/>
    <w:rsid w:val="09BC05EC"/>
    <w:rsid w:val="09BC4A90"/>
    <w:rsid w:val="09BC6226"/>
    <w:rsid w:val="09BE0882"/>
    <w:rsid w:val="09BE6112"/>
    <w:rsid w:val="09BF06E4"/>
    <w:rsid w:val="09BF1E8A"/>
    <w:rsid w:val="09BF4FF0"/>
    <w:rsid w:val="09BF5601"/>
    <w:rsid w:val="09BF72F9"/>
    <w:rsid w:val="09C120A6"/>
    <w:rsid w:val="09C12C50"/>
    <w:rsid w:val="09C15C02"/>
    <w:rsid w:val="09C23538"/>
    <w:rsid w:val="09C23694"/>
    <w:rsid w:val="09C245F1"/>
    <w:rsid w:val="09C256B5"/>
    <w:rsid w:val="09C273BB"/>
    <w:rsid w:val="09C3197A"/>
    <w:rsid w:val="09C5316B"/>
    <w:rsid w:val="09C55650"/>
    <w:rsid w:val="09C556F2"/>
    <w:rsid w:val="09C57AF9"/>
    <w:rsid w:val="09C626F4"/>
    <w:rsid w:val="09C63218"/>
    <w:rsid w:val="09C753BD"/>
    <w:rsid w:val="09C771CC"/>
    <w:rsid w:val="09C851E3"/>
    <w:rsid w:val="09C91CD1"/>
    <w:rsid w:val="09C9255D"/>
    <w:rsid w:val="09C93315"/>
    <w:rsid w:val="09C96E99"/>
    <w:rsid w:val="09CA3A35"/>
    <w:rsid w:val="09CB082F"/>
    <w:rsid w:val="09CB12D0"/>
    <w:rsid w:val="09CB6A81"/>
    <w:rsid w:val="09CB6FDD"/>
    <w:rsid w:val="09CD0A4B"/>
    <w:rsid w:val="09CD18FD"/>
    <w:rsid w:val="09CD27F9"/>
    <w:rsid w:val="09CD37D2"/>
    <w:rsid w:val="09CD45A7"/>
    <w:rsid w:val="09CD590C"/>
    <w:rsid w:val="09CE0557"/>
    <w:rsid w:val="09CF031F"/>
    <w:rsid w:val="09CF2349"/>
    <w:rsid w:val="09CF47C3"/>
    <w:rsid w:val="09CF7E8D"/>
    <w:rsid w:val="09D0027E"/>
    <w:rsid w:val="09D01D63"/>
    <w:rsid w:val="09D036CB"/>
    <w:rsid w:val="09D04097"/>
    <w:rsid w:val="09D05E45"/>
    <w:rsid w:val="09D122E9"/>
    <w:rsid w:val="09D136E8"/>
    <w:rsid w:val="09D210F2"/>
    <w:rsid w:val="09D21BBD"/>
    <w:rsid w:val="09D45935"/>
    <w:rsid w:val="09D5345C"/>
    <w:rsid w:val="09D67445"/>
    <w:rsid w:val="09D92F4C"/>
    <w:rsid w:val="09D9302B"/>
    <w:rsid w:val="09D931E1"/>
    <w:rsid w:val="09DA6CC4"/>
    <w:rsid w:val="09DB3168"/>
    <w:rsid w:val="09DC6713"/>
    <w:rsid w:val="09DD4E88"/>
    <w:rsid w:val="09DD59B9"/>
    <w:rsid w:val="09DD72C1"/>
    <w:rsid w:val="09DE029B"/>
    <w:rsid w:val="09DE147F"/>
    <w:rsid w:val="09DE177A"/>
    <w:rsid w:val="09DE3D12"/>
    <w:rsid w:val="09DE4A06"/>
    <w:rsid w:val="09DE7E5F"/>
    <w:rsid w:val="09DF2D8D"/>
    <w:rsid w:val="09DF6D3E"/>
    <w:rsid w:val="09E00855"/>
    <w:rsid w:val="09E00B35"/>
    <w:rsid w:val="09E031CD"/>
    <w:rsid w:val="09E11F77"/>
    <w:rsid w:val="09E22B15"/>
    <w:rsid w:val="09E25264"/>
    <w:rsid w:val="09E3201C"/>
    <w:rsid w:val="09E33281"/>
    <w:rsid w:val="09E34FF0"/>
    <w:rsid w:val="09E35B78"/>
    <w:rsid w:val="09E51014"/>
    <w:rsid w:val="09E55D95"/>
    <w:rsid w:val="09E57B43"/>
    <w:rsid w:val="09E65669"/>
    <w:rsid w:val="09E71B0D"/>
    <w:rsid w:val="09E75808"/>
    <w:rsid w:val="09E76EC7"/>
    <w:rsid w:val="09E830DD"/>
    <w:rsid w:val="09E84F7C"/>
    <w:rsid w:val="09E85885"/>
    <w:rsid w:val="09E85ADD"/>
    <w:rsid w:val="09E87633"/>
    <w:rsid w:val="09E94985"/>
    <w:rsid w:val="09E97995"/>
    <w:rsid w:val="09EA0C98"/>
    <w:rsid w:val="09EB2C7F"/>
    <w:rsid w:val="09EB3E43"/>
    <w:rsid w:val="09EB4E86"/>
    <w:rsid w:val="09EC7123"/>
    <w:rsid w:val="09ED0EE7"/>
    <w:rsid w:val="09ED2377"/>
    <w:rsid w:val="09ED2E9B"/>
    <w:rsid w:val="09ED69F7"/>
    <w:rsid w:val="09EF09C1"/>
    <w:rsid w:val="09EF276F"/>
    <w:rsid w:val="09EF451D"/>
    <w:rsid w:val="09EF6C13"/>
    <w:rsid w:val="09EF7E78"/>
    <w:rsid w:val="09F00295"/>
    <w:rsid w:val="09F07E4E"/>
    <w:rsid w:val="09F10F3A"/>
    <w:rsid w:val="09F204B1"/>
    <w:rsid w:val="09F22188"/>
    <w:rsid w:val="09F2400E"/>
    <w:rsid w:val="09F36388"/>
    <w:rsid w:val="09F4422A"/>
    <w:rsid w:val="09F47CA3"/>
    <w:rsid w:val="09F47D86"/>
    <w:rsid w:val="09F50350"/>
    <w:rsid w:val="09F50A27"/>
    <w:rsid w:val="09F54C53"/>
    <w:rsid w:val="09F61D50"/>
    <w:rsid w:val="09F636DA"/>
    <w:rsid w:val="09F71624"/>
    <w:rsid w:val="09F75AC8"/>
    <w:rsid w:val="09F7750B"/>
    <w:rsid w:val="09F83049"/>
    <w:rsid w:val="09F9539C"/>
    <w:rsid w:val="09F978E8"/>
    <w:rsid w:val="09FA34EB"/>
    <w:rsid w:val="09FA4720"/>
    <w:rsid w:val="09FB1114"/>
    <w:rsid w:val="09FB341E"/>
    <w:rsid w:val="09FB55B8"/>
    <w:rsid w:val="09FC6C3A"/>
    <w:rsid w:val="09FE0C04"/>
    <w:rsid w:val="09FE29B2"/>
    <w:rsid w:val="09FE4CFA"/>
    <w:rsid w:val="09FE6E56"/>
    <w:rsid w:val="09FE7206"/>
    <w:rsid w:val="09FF68F7"/>
    <w:rsid w:val="0A000170"/>
    <w:rsid w:val="0A002BCE"/>
    <w:rsid w:val="0A00497C"/>
    <w:rsid w:val="0A00672A"/>
    <w:rsid w:val="0A010ED1"/>
    <w:rsid w:val="0A021F2E"/>
    <w:rsid w:val="0A02484E"/>
    <w:rsid w:val="0A025BE9"/>
    <w:rsid w:val="0A026946"/>
    <w:rsid w:val="0A027ABB"/>
    <w:rsid w:val="0A04233D"/>
    <w:rsid w:val="0A044046"/>
    <w:rsid w:val="0A045CBE"/>
    <w:rsid w:val="0A04716E"/>
    <w:rsid w:val="0A066350"/>
    <w:rsid w:val="0A067AB9"/>
    <w:rsid w:val="0A0720F2"/>
    <w:rsid w:val="0A072F1E"/>
    <w:rsid w:val="0A075BF1"/>
    <w:rsid w:val="0A075D0B"/>
    <w:rsid w:val="0A081A83"/>
    <w:rsid w:val="0A081CE1"/>
    <w:rsid w:val="0A082D47"/>
    <w:rsid w:val="0A083831"/>
    <w:rsid w:val="0A0855DF"/>
    <w:rsid w:val="0A09357F"/>
    <w:rsid w:val="0A0A189F"/>
    <w:rsid w:val="0A0A57FB"/>
    <w:rsid w:val="0A0A6D1A"/>
    <w:rsid w:val="0A0A75A9"/>
    <w:rsid w:val="0A0B2D2F"/>
    <w:rsid w:val="0A0B3AF1"/>
    <w:rsid w:val="0A0B50CF"/>
    <w:rsid w:val="0A0B5B41"/>
    <w:rsid w:val="0A0C1A23"/>
    <w:rsid w:val="0A0C3321"/>
    <w:rsid w:val="0A0C5900"/>
    <w:rsid w:val="0A0D0E47"/>
    <w:rsid w:val="0A0D1961"/>
    <w:rsid w:val="0A0D1B9A"/>
    <w:rsid w:val="0A0D60C8"/>
    <w:rsid w:val="0A0D6D90"/>
    <w:rsid w:val="0A0D7099"/>
    <w:rsid w:val="0A0E0422"/>
    <w:rsid w:val="0A0E0EF8"/>
    <w:rsid w:val="0A0E70D8"/>
    <w:rsid w:val="0A0F2E11"/>
    <w:rsid w:val="0A0F3741"/>
    <w:rsid w:val="0A0F6089"/>
    <w:rsid w:val="0A1026E6"/>
    <w:rsid w:val="0A105711"/>
    <w:rsid w:val="0A105DC4"/>
    <w:rsid w:val="0A1062E8"/>
    <w:rsid w:val="0A106E52"/>
    <w:rsid w:val="0A1102E2"/>
    <w:rsid w:val="0A1103BE"/>
    <w:rsid w:val="0A1160B7"/>
    <w:rsid w:val="0A116B8A"/>
    <w:rsid w:val="0A121772"/>
    <w:rsid w:val="0A1246B0"/>
    <w:rsid w:val="0A1259E1"/>
    <w:rsid w:val="0A1261E5"/>
    <w:rsid w:val="0A1263F7"/>
    <w:rsid w:val="0A1301F7"/>
    <w:rsid w:val="0A134713"/>
    <w:rsid w:val="0A140428"/>
    <w:rsid w:val="0A145522"/>
    <w:rsid w:val="0A157EF5"/>
    <w:rsid w:val="0A161087"/>
    <w:rsid w:val="0A16411B"/>
    <w:rsid w:val="0A165F4E"/>
    <w:rsid w:val="0A173A74"/>
    <w:rsid w:val="0A1755E4"/>
    <w:rsid w:val="0A177E2B"/>
    <w:rsid w:val="0A1827EB"/>
    <w:rsid w:val="0A183D92"/>
    <w:rsid w:val="0A193000"/>
    <w:rsid w:val="0A194DA5"/>
    <w:rsid w:val="0A197F04"/>
    <w:rsid w:val="0A1A1670"/>
    <w:rsid w:val="0A1A4D12"/>
    <w:rsid w:val="0A1B17B6"/>
    <w:rsid w:val="0A1B3692"/>
    <w:rsid w:val="0A1B473E"/>
    <w:rsid w:val="0A1B7A44"/>
    <w:rsid w:val="0A1C108A"/>
    <w:rsid w:val="0A1C2427"/>
    <w:rsid w:val="0A1C3CB4"/>
    <w:rsid w:val="0A1D5CB7"/>
    <w:rsid w:val="0A1E11A5"/>
    <w:rsid w:val="0A1E12A6"/>
    <w:rsid w:val="0A1E13A1"/>
    <w:rsid w:val="0A1E3055"/>
    <w:rsid w:val="0A1E4E03"/>
    <w:rsid w:val="0A1E7D15"/>
    <w:rsid w:val="0A200B7B"/>
    <w:rsid w:val="0A210598"/>
    <w:rsid w:val="0A213752"/>
    <w:rsid w:val="0A2166A1"/>
    <w:rsid w:val="0A221EE6"/>
    <w:rsid w:val="0A227922"/>
    <w:rsid w:val="0A23066B"/>
    <w:rsid w:val="0A232776"/>
    <w:rsid w:val="0A2328C0"/>
    <w:rsid w:val="0A232A84"/>
    <w:rsid w:val="0A235592"/>
    <w:rsid w:val="0A246C08"/>
    <w:rsid w:val="0A251724"/>
    <w:rsid w:val="0A255209"/>
    <w:rsid w:val="0A2564A7"/>
    <w:rsid w:val="0A257BE8"/>
    <w:rsid w:val="0A263993"/>
    <w:rsid w:val="0A2649D7"/>
    <w:rsid w:val="0A2824A9"/>
    <w:rsid w:val="0A283ED3"/>
    <w:rsid w:val="0A292838"/>
    <w:rsid w:val="0A2A37A7"/>
    <w:rsid w:val="0A2A7C4B"/>
    <w:rsid w:val="0A2C5771"/>
    <w:rsid w:val="0A2D3AC2"/>
    <w:rsid w:val="0A2D5046"/>
    <w:rsid w:val="0A2E0C9A"/>
    <w:rsid w:val="0A2E16CC"/>
    <w:rsid w:val="0A2E2D04"/>
    <w:rsid w:val="0A2E5357"/>
    <w:rsid w:val="0A2F0DBE"/>
    <w:rsid w:val="0A2F4694"/>
    <w:rsid w:val="0A300AD6"/>
    <w:rsid w:val="0A304CFB"/>
    <w:rsid w:val="0A305D53"/>
    <w:rsid w:val="0A310821"/>
    <w:rsid w:val="0A3208AE"/>
    <w:rsid w:val="0A324AD7"/>
    <w:rsid w:val="0A326B00"/>
    <w:rsid w:val="0A334D52"/>
    <w:rsid w:val="0A342878"/>
    <w:rsid w:val="0A35078F"/>
    <w:rsid w:val="0A357AEC"/>
    <w:rsid w:val="0A3665F0"/>
    <w:rsid w:val="0A371911"/>
    <w:rsid w:val="0A371F08"/>
    <w:rsid w:val="0A371FFD"/>
    <w:rsid w:val="0A373D8A"/>
    <w:rsid w:val="0A382368"/>
    <w:rsid w:val="0A384381"/>
    <w:rsid w:val="0A384943"/>
    <w:rsid w:val="0A390C74"/>
    <w:rsid w:val="0A391C3C"/>
    <w:rsid w:val="0A3B59B5"/>
    <w:rsid w:val="0A3B7763"/>
    <w:rsid w:val="0A3C237F"/>
    <w:rsid w:val="0A3D5E32"/>
    <w:rsid w:val="0A3D6DC1"/>
    <w:rsid w:val="0A3D7F03"/>
    <w:rsid w:val="0A3E05CC"/>
    <w:rsid w:val="0A3E4B46"/>
    <w:rsid w:val="0A3E54A5"/>
    <w:rsid w:val="0A3F5991"/>
    <w:rsid w:val="0A40121D"/>
    <w:rsid w:val="0A4047F0"/>
    <w:rsid w:val="0A40746F"/>
    <w:rsid w:val="0A415C80"/>
    <w:rsid w:val="0A4168E7"/>
    <w:rsid w:val="0A424F95"/>
    <w:rsid w:val="0A4305A0"/>
    <w:rsid w:val="0A430D0D"/>
    <w:rsid w:val="0A431B07"/>
    <w:rsid w:val="0A432ABB"/>
    <w:rsid w:val="0A4505E1"/>
    <w:rsid w:val="0A4725AB"/>
    <w:rsid w:val="0A47785D"/>
    <w:rsid w:val="0A4800D1"/>
    <w:rsid w:val="0A481EA1"/>
    <w:rsid w:val="0A482F82"/>
    <w:rsid w:val="0A485AA8"/>
    <w:rsid w:val="0A486323"/>
    <w:rsid w:val="0A493C11"/>
    <w:rsid w:val="0A4A3E4A"/>
    <w:rsid w:val="0A4A59F7"/>
    <w:rsid w:val="0A4A5BF8"/>
    <w:rsid w:val="0A4C1970"/>
    <w:rsid w:val="0A4C5E14"/>
    <w:rsid w:val="0A4C64D2"/>
    <w:rsid w:val="0A4C7BC2"/>
    <w:rsid w:val="0A4D56E8"/>
    <w:rsid w:val="0A4D6219"/>
    <w:rsid w:val="0A4E0284"/>
    <w:rsid w:val="0A4E56B3"/>
    <w:rsid w:val="0A4F1714"/>
    <w:rsid w:val="0A4F76B2"/>
    <w:rsid w:val="0A503A39"/>
    <w:rsid w:val="0A5151D8"/>
    <w:rsid w:val="0A516F86"/>
    <w:rsid w:val="0A521C87"/>
    <w:rsid w:val="0A522CFE"/>
    <w:rsid w:val="0A526475"/>
    <w:rsid w:val="0A53612F"/>
    <w:rsid w:val="0A540824"/>
    <w:rsid w:val="0A556F05"/>
    <w:rsid w:val="0A5624D8"/>
    <w:rsid w:val="0A56459C"/>
    <w:rsid w:val="0A570314"/>
    <w:rsid w:val="0A5728EB"/>
    <w:rsid w:val="0A581336"/>
    <w:rsid w:val="0A582063"/>
    <w:rsid w:val="0A586566"/>
    <w:rsid w:val="0A5922DF"/>
    <w:rsid w:val="0A5927C6"/>
    <w:rsid w:val="0A59408D"/>
    <w:rsid w:val="0A595E3B"/>
    <w:rsid w:val="0A5B042A"/>
    <w:rsid w:val="0A5B1BB3"/>
    <w:rsid w:val="0A5C782C"/>
    <w:rsid w:val="0A5C7F02"/>
    <w:rsid w:val="0A5D1DCF"/>
    <w:rsid w:val="0A5D3B7D"/>
    <w:rsid w:val="0A5E16A3"/>
    <w:rsid w:val="0A5E51A8"/>
    <w:rsid w:val="0A5E78F5"/>
    <w:rsid w:val="0A5F5791"/>
    <w:rsid w:val="0A60366D"/>
    <w:rsid w:val="0A612163"/>
    <w:rsid w:val="0A621193"/>
    <w:rsid w:val="0A62124F"/>
    <w:rsid w:val="0A634F0B"/>
    <w:rsid w:val="0A6424AA"/>
    <w:rsid w:val="0A643107"/>
    <w:rsid w:val="0A64315D"/>
    <w:rsid w:val="0A647E43"/>
    <w:rsid w:val="0A652A31"/>
    <w:rsid w:val="0A653592"/>
    <w:rsid w:val="0A653B36"/>
    <w:rsid w:val="0A65507B"/>
    <w:rsid w:val="0A656ED5"/>
    <w:rsid w:val="0A661336"/>
    <w:rsid w:val="0A663F6C"/>
    <w:rsid w:val="0A665632"/>
    <w:rsid w:val="0A670558"/>
    <w:rsid w:val="0A671F62"/>
    <w:rsid w:val="0A6749FB"/>
    <w:rsid w:val="0A6767AA"/>
    <w:rsid w:val="0A682522"/>
    <w:rsid w:val="0A686E27"/>
    <w:rsid w:val="0A6A0048"/>
    <w:rsid w:val="0A6A44EC"/>
    <w:rsid w:val="0A6A48CA"/>
    <w:rsid w:val="0A6A631C"/>
    <w:rsid w:val="0A6C2012"/>
    <w:rsid w:val="0A6C3CA5"/>
    <w:rsid w:val="0A6C3DC0"/>
    <w:rsid w:val="0A6D380D"/>
    <w:rsid w:val="0A6D7633"/>
    <w:rsid w:val="0A6D7B38"/>
    <w:rsid w:val="0A6E2124"/>
    <w:rsid w:val="0A701422"/>
    <w:rsid w:val="0A7113D6"/>
    <w:rsid w:val="0A715C20"/>
    <w:rsid w:val="0A717628"/>
    <w:rsid w:val="0A722516"/>
    <w:rsid w:val="0A7333A0"/>
    <w:rsid w:val="0A73514E"/>
    <w:rsid w:val="0A751FFA"/>
    <w:rsid w:val="0A7521DE"/>
    <w:rsid w:val="0A75239A"/>
    <w:rsid w:val="0A7619BA"/>
    <w:rsid w:val="0A762E91"/>
    <w:rsid w:val="0A7669ED"/>
    <w:rsid w:val="0A77544C"/>
    <w:rsid w:val="0A777490"/>
    <w:rsid w:val="0A7809B7"/>
    <w:rsid w:val="0A786180"/>
    <w:rsid w:val="0A786C09"/>
    <w:rsid w:val="0A79028B"/>
    <w:rsid w:val="0A79447B"/>
    <w:rsid w:val="0A79472F"/>
    <w:rsid w:val="0A794B51"/>
    <w:rsid w:val="0A7964DD"/>
    <w:rsid w:val="0A7B04A7"/>
    <w:rsid w:val="0A7B2255"/>
    <w:rsid w:val="0A7B4003"/>
    <w:rsid w:val="0A7C1732"/>
    <w:rsid w:val="0A7D421F"/>
    <w:rsid w:val="0A7D7D7B"/>
    <w:rsid w:val="0A7E1D5B"/>
    <w:rsid w:val="0A7E3051"/>
    <w:rsid w:val="0A7E3AF3"/>
    <w:rsid w:val="0A7E54A1"/>
    <w:rsid w:val="0A7E69F9"/>
    <w:rsid w:val="0A7F7F97"/>
    <w:rsid w:val="0A80144A"/>
    <w:rsid w:val="0A805ABD"/>
    <w:rsid w:val="0A825391"/>
    <w:rsid w:val="0A83110A"/>
    <w:rsid w:val="0A835A33"/>
    <w:rsid w:val="0A841FD0"/>
    <w:rsid w:val="0A8455AD"/>
    <w:rsid w:val="0A84735B"/>
    <w:rsid w:val="0A85391F"/>
    <w:rsid w:val="0A856C30"/>
    <w:rsid w:val="0A864FDC"/>
    <w:rsid w:val="0A867B7A"/>
    <w:rsid w:val="0A870BFA"/>
    <w:rsid w:val="0A8729A8"/>
    <w:rsid w:val="0A875844"/>
    <w:rsid w:val="0A876E4C"/>
    <w:rsid w:val="0A8818A5"/>
    <w:rsid w:val="0A884EDF"/>
    <w:rsid w:val="0A892BC4"/>
    <w:rsid w:val="0A894972"/>
    <w:rsid w:val="0A895AFC"/>
    <w:rsid w:val="0A896067"/>
    <w:rsid w:val="0A8A2498"/>
    <w:rsid w:val="0A8B5655"/>
    <w:rsid w:val="0A8B5EF3"/>
    <w:rsid w:val="0A8B6D96"/>
    <w:rsid w:val="0A8B76DE"/>
    <w:rsid w:val="0A8C3207"/>
    <w:rsid w:val="0A8C6210"/>
    <w:rsid w:val="0A8C7FBE"/>
    <w:rsid w:val="0A8D3D36"/>
    <w:rsid w:val="0A8D5E32"/>
    <w:rsid w:val="0A8E01DA"/>
    <w:rsid w:val="0A8E51B6"/>
    <w:rsid w:val="0A8F7AAE"/>
    <w:rsid w:val="0A90021D"/>
    <w:rsid w:val="0A903F21"/>
    <w:rsid w:val="0A90533D"/>
    <w:rsid w:val="0A917CCA"/>
    <w:rsid w:val="0A92134D"/>
    <w:rsid w:val="0A9224DA"/>
    <w:rsid w:val="0A924098"/>
    <w:rsid w:val="0A9351AB"/>
    <w:rsid w:val="0A9357F1"/>
    <w:rsid w:val="0A9458FA"/>
    <w:rsid w:val="0A945F11"/>
    <w:rsid w:val="0A951569"/>
    <w:rsid w:val="0A951956"/>
    <w:rsid w:val="0A951CC1"/>
    <w:rsid w:val="0A951D76"/>
    <w:rsid w:val="0A9524AF"/>
    <w:rsid w:val="0A960E3D"/>
    <w:rsid w:val="0A962768"/>
    <w:rsid w:val="0A98139A"/>
    <w:rsid w:val="0A982E07"/>
    <w:rsid w:val="0A9834A7"/>
    <w:rsid w:val="0A99092D"/>
    <w:rsid w:val="0A9A6B7F"/>
    <w:rsid w:val="0A9B46A5"/>
    <w:rsid w:val="0A9B67F0"/>
    <w:rsid w:val="0A9D041D"/>
    <w:rsid w:val="0A9D1CF9"/>
    <w:rsid w:val="0A9D666F"/>
    <w:rsid w:val="0A9D75AC"/>
    <w:rsid w:val="0A9E5F43"/>
    <w:rsid w:val="0A9E7CF1"/>
    <w:rsid w:val="0AA03A6A"/>
    <w:rsid w:val="0AA073F2"/>
    <w:rsid w:val="0AA14587"/>
    <w:rsid w:val="0AA222A9"/>
    <w:rsid w:val="0AA2576C"/>
    <w:rsid w:val="0AA25A34"/>
    <w:rsid w:val="0AA3355A"/>
    <w:rsid w:val="0AA34B75"/>
    <w:rsid w:val="0AA34CCF"/>
    <w:rsid w:val="0AA417AC"/>
    <w:rsid w:val="0AA41D45"/>
    <w:rsid w:val="0AA479FE"/>
    <w:rsid w:val="0AA516C4"/>
    <w:rsid w:val="0AA51F88"/>
    <w:rsid w:val="0AA55524"/>
    <w:rsid w:val="0AA57091"/>
    <w:rsid w:val="0AA572D2"/>
    <w:rsid w:val="0AA64689"/>
    <w:rsid w:val="0AA67127"/>
    <w:rsid w:val="0AA7299B"/>
    <w:rsid w:val="0AA74DF8"/>
    <w:rsid w:val="0AA755DF"/>
    <w:rsid w:val="0AA95618"/>
    <w:rsid w:val="0AAA48E8"/>
    <w:rsid w:val="0AAB0D8C"/>
    <w:rsid w:val="0AAB16CB"/>
    <w:rsid w:val="0AAC68B2"/>
    <w:rsid w:val="0AAC7535"/>
    <w:rsid w:val="0AAE262A"/>
    <w:rsid w:val="0AAE6186"/>
    <w:rsid w:val="0AAF1EFF"/>
    <w:rsid w:val="0AB063A2"/>
    <w:rsid w:val="0AB07173"/>
    <w:rsid w:val="0AB1211B"/>
    <w:rsid w:val="0AB155F2"/>
    <w:rsid w:val="0AB17A25"/>
    <w:rsid w:val="0AB21F41"/>
    <w:rsid w:val="0AB26FE6"/>
    <w:rsid w:val="0AB31943"/>
    <w:rsid w:val="0AB333D1"/>
    <w:rsid w:val="0AB40397"/>
    <w:rsid w:val="0AB47515"/>
    <w:rsid w:val="0AB539B9"/>
    <w:rsid w:val="0AB53DCA"/>
    <w:rsid w:val="0AB55A76"/>
    <w:rsid w:val="0AB57FDF"/>
    <w:rsid w:val="0AB614DF"/>
    <w:rsid w:val="0AB6328D"/>
    <w:rsid w:val="0AB644C5"/>
    <w:rsid w:val="0AB67731"/>
    <w:rsid w:val="0AB80DB3"/>
    <w:rsid w:val="0AB829CB"/>
    <w:rsid w:val="0AB85927"/>
    <w:rsid w:val="0AB87005"/>
    <w:rsid w:val="0AB917A4"/>
    <w:rsid w:val="0AB94FA1"/>
    <w:rsid w:val="0AB9546F"/>
    <w:rsid w:val="0AB9737B"/>
    <w:rsid w:val="0ABA06D3"/>
    <w:rsid w:val="0ABA0FCF"/>
    <w:rsid w:val="0ABA2D7D"/>
    <w:rsid w:val="0ABB4D47"/>
    <w:rsid w:val="0ABB6AF5"/>
    <w:rsid w:val="0ABC216B"/>
    <w:rsid w:val="0ABC5CC2"/>
    <w:rsid w:val="0ABC5E6F"/>
    <w:rsid w:val="0ABD0ABF"/>
    <w:rsid w:val="0ABD286D"/>
    <w:rsid w:val="0ABD2D59"/>
    <w:rsid w:val="0ABD3F63"/>
    <w:rsid w:val="0ABD7054"/>
    <w:rsid w:val="0ABE2EE1"/>
    <w:rsid w:val="0ABE30B5"/>
    <w:rsid w:val="0ABF0394"/>
    <w:rsid w:val="0ABF1974"/>
    <w:rsid w:val="0AC00703"/>
    <w:rsid w:val="0AC0107C"/>
    <w:rsid w:val="0AC01F5D"/>
    <w:rsid w:val="0AC0235E"/>
    <w:rsid w:val="0AC0410C"/>
    <w:rsid w:val="0AC05EBA"/>
    <w:rsid w:val="0AC06D7C"/>
    <w:rsid w:val="0AC10BCC"/>
    <w:rsid w:val="0AC117EE"/>
    <w:rsid w:val="0AC27289"/>
    <w:rsid w:val="0AC27E84"/>
    <w:rsid w:val="0AC319CE"/>
    <w:rsid w:val="0AC3300B"/>
    <w:rsid w:val="0AC34AEB"/>
    <w:rsid w:val="0AC41565"/>
    <w:rsid w:val="0AC41AD0"/>
    <w:rsid w:val="0AC41E4E"/>
    <w:rsid w:val="0AC42AC2"/>
    <w:rsid w:val="0AC43BFC"/>
    <w:rsid w:val="0AC459AA"/>
    <w:rsid w:val="0AC46F27"/>
    <w:rsid w:val="0AC46FD9"/>
    <w:rsid w:val="0AC503B7"/>
    <w:rsid w:val="0AC534D0"/>
    <w:rsid w:val="0AC57974"/>
    <w:rsid w:val="0AC7549A"/>
    <w:rsid w:val="0AC77248"/>
    <w:rsid w:val="0AC84D7F"/>
    <w:rsid w:val="0AC94A31"/>
    <w:rsid w:val="0ACA6D38"/>
    <w:rsid w:val="0ACB31DC"/>
    <w:rsid w:val="0ACB4F8A"/>
    <w:rsid w:val="0ACB564C"/>
    <w:rsid w:val="0ACC2AB1"/>
    <w:rsid w:val="0ACC485F"/>
    <w:rsid w:val="0ACD0ED2"/>
    <w:rsid w:val="0ACD0FB6"/>
    <w:rsid w:val="0ACE1A9E"/>
    <w:rsid w:val="0ACE6829"/>
    <w:rsid w:val="0ACF1393"/>
    <w:rsid w:val="0ACF35D0"/>
    <w:rsid w:val="0ACF4F8C"/>
    <w:rsid w:val="0AD007F3"/>
    <w:rsid w:val="0AD025A1"/>
    <w:rsid w:val="0AD02E89"/>
    <w:rsid w:val="0AD03148"/>
    <w:rsid w:val="0AD100C7"/>
    <w:rsid w:val="0AD23916"/>
    <w:rsid w:val="0AD32091"/>
    <w:rsid w:val="0AD342F0"/>
    <w:rsid w:val="0AD35BED"/>
    <w:rsid w:val="0AD41965"/>
    <w:rsid w:val="0AD43E4B"/>
    <w:rsid w:val="0AD44731"/>
    <w:rsid w:val="0AD54D5A"/>
    <w:rsid w:val="0AD54F8E"/>
    <w:rsid w:val="0AD55E09"/>
    <w:rsid w:val="0AD57BB7"/>
    <w:rsid w:val="0AD57C76"/>
    <w:rsid w:val="0AD656DD"/>
    <w:rsid w:val="0AD67BFB"/>
    <w:rsid w:val="0AD834E9"/>
    <w:rsid w:val="0AD955A5"/>
    <w:rsid w:val="0ADA341F"/>
    <w:rsid w:val="0ADB0F46"/>
    <w:rsid w:val="0ADB2250"/>
    <w:rsid w:val="0ADB7197"/>
    <w:rsid w:val="0ADC3A6D"/>
    <w:rsid w:val="0ADD081A"/>
    <w:rsid w:val="0ADD2F10"/>
    <w:rsid w:val="0ADD6A6C"/>
    <w:rsid w:val="0ADE5666"/>
    <w:rsid w:val="0ADE5D3C"/>
    <w:rsid w:val="0ADE7689"/>
    <w:rsid w:val="0ADE7FCB"/>
    <w:rsid w:val="0ADF0F5E"/>
    <w:rsid w:val="0ADF27E4"/>
    <w:rsid w:val="0ADF4592"/>
    <w:rsid w:val="0ADF4DDA"/>
    <w:rsid w:val="0AE03629"/>
    <w:rsid w:val="0AE0655C"/>
    <w:rsid w:val="0AE15872"/>
    <w:rsid w:val="0AE20526"/>
    <w:rsid w:val="0AE30B2F"/>
    <w:rsid w:val="0AE37DDF"/>
    <w:rsid w:val="0AE4236B"/>
    <w:rsid w:val="0AE42701"/>
    <w:rsid w:val="0AE44DD0"/>
    <w:rsid w:val="0AE47DFA"/>
    <w:rsid w:val="0AE61299"/>
    <w:rsid w:val="0AE61DC4"/>
    <w:rsid w:val="0AE61F1B"/>
    <w:rsid w:val="0AE734CA"/>
    <w:rsid w:val="0AE778EA"/>
    <w:rsid w:val="0AE84F24"/>
    <w:rsid w:val="0AE918B4"/>
    <w:rsid w:val="0AE93662"/>
    <w:rsid w:val="0AE977B2"/>
    <w:rsid w:val="0AEA1189"/>
    <w:rsid w:val="0AEA40D7"/>
    <w:rsid w:val="0AEB1631"/>
    <w:rsid w:val="0AEC0519"/>
    <w:rsid w:val="0AEC0884"/>
    <w:rsid w:val="0AEC37C6"/>
    <w:rsid w:val="0AED7401"/>
    <w:rsid w:val="0AEE089F"/>
    <w:rsid w:val="0AEE6ECB"/>
    <w:rsid w:val="0AEE75C3"/>
    <w:rsid w:val="0AEF054D"/>
    <w:rsid w:val="0AF0031F"/>
    <w:rsid w:val="0AF02C43"/>
    <w:rsid w:val="0AF049F1"/>
    <w:rsid w:val="0AF10769"/>
    <w:rsid w:val="0AF142C5"/>
    <w:rsid w:val="0AF15916"/>
    <w:rsid w:val="0AF30864"/>
    <w:rsid w:val="0AF33435"/>
    <w:rsid w:val="0AF4381C"/>
    <w:rsid w:val="0AF50259"/>
    <w:rsid w:val="0AF52007"/>
    <w:rsid w:val="0AF5608F"/>
    <w:rsid w:val="0AF618DB"/>
    <w:rsid w:val="0AF67B2D"/>
    <w:rsid w:val="0AF76584"/>
    <w:rsid w:val="0AF85654"/>
    <w:rsid w:val="0AF87903"/>
    <w:rsid w:val="0AFA298B"/>
    <w:rsid w:val="0AFA33CD"/>
    <w:rsid w:val="0AFA4C42"/>
    <w:rsid w:val="0AFB1AF2"/>
    <w:rsid w:val="0AFB5144"/>
    <w:rsid w:val="0AFB76A2"/>
    <w:rsid w:val="0AFB7B29"/>
    <w:rsid w:val="0AFD0EBC"/>
    <w:rsid w:val="0AFD44E7"/>
    <w:rsid w:val="0AFD710E"/>
    <w:rsid w:val="0AFF46CE"/>
    <w:rsid w:val="0AFF7ECA"/>
    <w:rsid w:val="0B0009AC"/>
    <w:rsid w:val="0B00275A"/>
    <w:rsid w:val="0B0111E3"/>
    <w:rsid w:val="0B015E43"/>
    <w:rsid w:val="0B01641A"/>
    <w:rsid w:val="0B024724"/>
    <w:rsid w:val="0B0264D2"/>
    <w:rsid w:val="0B026EC9"/>
    <w:rsid w:val="0B04049C"/>
    <w:rsid w:val="0B043FF8"/>
    <w:rsid w:val="0B057D70"/>
    <w:rsid w:val="0B064109"/>
    <w:rsid w:val="0B064214"/>
    <w:rsid w:val="0B065FC2"/>
    <w:rsid w:val="0B071D3B"/>
    <w:rsid w:val="0B073AE9"/>
    <w:rsid w:val="0B077F8D"/>
    <w:rsid w:val="0B0815FA"/>
    <w:rsid w:val="0B092124"/>
    <w:rsid w:val="0B093D05"/>
    <w:rsid w:val="0B0941CB"/>
    <w:rsid w:val="0B095AB3"/>
    <w:rsid w:val="0B0A43BB"/>
    <w:rsid w:val="0B0A5387"/>
    <w:rsid w:val="0B0B35D9"/>
    <w:rsid w:val="0B0B37C4"/>
    <w:rsid w:val="0B0B61C0"/>
    <w:rsid w:val="0B0B7291"/>
    <w:rsid w:val="0B0C1872"/>
    <w:rsid w:val="0B0C38BD"/>
    <w:rsid w:val="0B0C55A3"/>
    <w:rsid w:val="0B0C6FC2"/>
    <w:rsid w:val="0B0E131B"/>
    <w:rsid w:val="0B0F00F9"/>
    <w:rsid w:val="0B0F299D"/>
    <w:rsid w:val="0B0F437F"/>
    <w:rsid w:val="0B0F4ED0"/>
    <w:rsid w:val="0B0F68FC"/>
    <w:rsid w:val="0B107D8C"/>
    <w:rsid w:val="0B112003"/>
    <w:rsid w:val="0B112BB9"/>
    <w:rsid w:val="0B112FAF"/>
    <w:rsid w:val="0B120D44"/>
    <w:rsid w:val="0B1224D1"/>
    <w:rsid w:val="0B13248D"/>
    <w:rsid w:val="0B132F9F"/>
    <w:rsid w:val="0B133596"/>
    <w:rsid w:val="0B136931"/>
    <w:rsid w:val="0B141A1B"/>
    <w:rsid w:val="0B143B8D"/>
    <w:rsid w:val="0B15276E"/>
    <w:rsid w:val="0B153BFE"/>
    <w:rsid w:val="0B154457"/>
    <w:rsid w:val="0B156206"/>
    <w:rsid w:val="0B1572F7"/>
    <w:rsid w:val="0B15783E"/>
    <w:rsid w:val="0B163D2C"/>
    <w:rsid w:val="0B1701D0"/>
    <w:rsid w:val="0B174652"/>
    <w:rsid w:val="0B183F48"/>
    <w:rsid w:val="0B18726F"/>
    <w:rsid w:val="0B191420"/>
    <w:rsid w:val="0B1921E0"/>
    <w:rsid w:val="0B1A381C"/>
    <w:rsid w:val="0B1A7EA4"/>
    <w:rsid w:val="0B1B0655"/>
    <w:rsid w:val="0B1B102D"/>
    <w:rsid w:val="0B1B7594"/>
    <w:rsid w:val="0B1B7A70"/>
    <w:rsid w:val="0B1C0F00"/>
    <w:rsid w:val="0B1C57E6"/>
    <w:rsid w:val="0B1D330C"/>
    <w:rsid w:val="0B1F443B"/>
    <w:rsid w:val="0B1F483C"/>
    <w:rsid w:val="0B204BAA"/>
    <w:rsid w:val="0B210227"/>
    <w:rsid w:val="0B220922"/>
    <w:rsid w:val="0B224DC6"/>
    <w:rsid w:val="0B225FBF"/>
    <w:rsid w:val="0B226B74"/>
    <w:rsid w:val="0B2428ED"/>
    <w:rsid w:val="0B24309D"/>
    <w:rsid w:val="0B2430BA"/>
    <w:rsid w:val="0B245DFD"/>
    <w:rsid w:val="0B246516"/>
    <w:rsid w:val="0B247692"/>
    <w:rsid w:val="0B250B22"/>
    <w:rsid w:val="0B252E6D"/>
    <w:rsid w:val="0B2536F3"/>
    <w:rsid w:val="0B260413"/>
    <w:rsid w:val="0B26148B"/>
    <w:rsid w:val="0B261896"/>
    <w:rsid w:val="0B266665"/>
    <w:rsid w:val="0B27418B"/>
    <w:rsid w:val="0B276013"/>
    <w:rsid w:val="0B2840D1"/>
    <w:rsid w:val="0B291CB1"/>
    <w:rsid w:val="0B292074"/>
    <w:rsid w:val="0B293A5F"/>
    <w:rsid w:val="0B294248"/>
    <w:rsid w:val="0B297F03"/>
    <w:rsid w:val="0B2A6604"/>
    <w:rsid w:val="0B2B01B0"/>
    <w:rsid w:val="0B2B1E9F"/>
    <w:rsid w:val="0B2B400D"/>
    <w:rsid w:val="0B2B5A29"/>
    <w:rsid w:val="0B2B7565"/>
    <w:rsid w:val="0B2D79F3"/>
    <w:rsid w:val="0B2E3315"/>
    <w:rsid w:val="0B2E5519"/>
    <w:rsid w:val="0B2E72C7"/>
    <w:rsid w:val="0B2F2BC1"/>
    <w:rsid w:val="0B2F47A5"/>
    <w:rsid w:val="0B300F0F"/>
    <w:rsid w:val="0B301175"/>
    <w:rsid w:val="0B301291"/>
    <w:rsid w:val="0B30303F"/>
    <w:rsid w:val="0B304DED"/>
    <w:rsid w:val="0B310B66"/>
    <w:rsid w:val="0B3115F1"/>
    <w:rsid w:val="0B311B85"/>
    <w:rsid w:val="0B311C96"/>
    <w:rsid w:val="0B3306A7"/>
    <w:rsid w:val="0B3407BF"/>
    <w:rsid w:val="0B352404"/>
    <w:rsid w:val="0B3532C7"/>
    <w:rsid w:val="0B354AFA"/>
    <w:rsid w:val="0B3568A8"/>
    <w:rsid w:val="0B3643CE"/>
    <w:rsid w:val="0B364A3F"/>
    <w:rsid w:val="0B366307"/>
    <w:rsid w:val="0B367450"/>
    <w:rsid w:val="0B372620"/>
    <w:rsid w:val="0B38039A"/>
    <w:rsid w:val="0B387A8B"/>
    <w:rsid w:val="0B390427"/>
    <w:rsid w:val="0B3A2110"/>
    <w:rsid w:val="0B3B07CF"/>
    <w:rsid w:val="0B3B7059"/>
    <w:rsid w:val="0B3C6DA8"/>
    <w:rsid w:val="0B3C7694"/>
    <w:rsid w:val="0B3C7C36"/>
    <w:rsid w:val="0B3D3D08"/>
    <w:rsid w:val="0B3D750A"/>
    <w:rsid w:val="0B3E2F64"/>
    <w:rsid w:val="0B3F14D4"/>
    <w:rsid w:val="0B3F3282"/>
    <w:rsid w:val="0B3F4299"/>
    <w:rsid w:val="0B3F7726"/>
    <w:rsid w:val="0B4002FA"/>
    <w:rsid w:val="0B401DD6"/>
    <w:rsid w:val="0B4110D3"/>
    <w:rsid w:val="0B411175"/>
    <w:rsid w:val="0B4123CD"/>
    <w:rsid w:val="0B415BF8"/>
    <w:rsid w:val="0B424B21"/>
    <w:rsid w:val="0B43617A"/>
    <w:rsid w:val="0B43669B"/>
    <w:rsid w:val="0B444D3D"/>
    <w:rsid w:val="0B446AEB"/>
    <w:rsid w:val="0B451C4C"/>
    <w:rsid w:val="0B472137"/>
    <w:rsid w:val="0B473E81"/>
    <w:rsid w:val="0B480A61"/>
    <w:rsid w:val="0B482A9D"/>
    <w:rsid w:val="0B495EAF"/>
    <w:rsid w:val="0B4B1C27"/>
    <w:rsid w:val="0B4C42AD"/>
    <w:rsid w:val="0B4D1E43"/>
    <w:rsid w:val="0B4D3BF1"/>
    <w:rsid w:val="0B4D6420"/>
    <w:rsid w:val="0B4E1717"/>
    <w:rsid w:val="0B4E34C6"/>
    <w:rsid w:val="0B4E5EDB"/>
    <w:rsid w:val="0B4F2AEE"/>
    <w:rsid w:val="0B5036E2"/>
    <w:rsid w:val="0B5063AC"/>
    <w:rsid w:val="0B511704"/>
    <w:rsid w:val="0B512FB6"/>
    <w:rsid w:val="0B521208"/>
    <w:rsid w:val="0B526459"/>
    <w:rsid w:val="0B53243F"/>
    <w:rsid w:val="0B533B9F"/>
    <w:rsid w:val="0B537568"/>
    <w:rsid w:val="0B542D8A"/>
    <w:rsid w:val="0B54456B"/>
    <w:rsid w:val="0B550CF8"/>
    <w:rsid w:val="0B552AA6"/>
    <w:rsid w:val="0B553A47"/>
    <w:rsid w:val="0B562520"/>
    <w:rsid w:val="0B574A70"/>
    <w:rsid w:val="0B57681E"/>
    <w:rsid w:val="0B586581"/>
    <w:rsid w:val="0B59326E"/>
    <w:rsid w:val="0B593AA4"/>
    <w:rsid w:val="0B5954FE"/>
    <w:rsid w:val="0B59727A"/>
    <w:rsid w:val="0B5A0EA1"/>
    <w:rsid w:val="0B5A379F"/>
    <w:rsid w:val="0B5A4560"/>
    <w:rsid w:val="0B5C2086"/>
    <w:rsid w:val="0B5C3A3F"/>
    <w:rsid w:val="0B5C49E9"/>
    <w:rsid w:val="0B5D0F63"/>
    <w:rsid w:val="0B5D195B"/>
    <w:rsid w:val="0B5D65DA"/>
    <w:rsid w:val="0B5D7BAD"/>
    <w:rsid w:val="0B5E26D9"/>
    <w:rsid w:val="0B5E5DFE"/>
    <w:rsid w:val="0B5F17A9"/>
    <w:rsid w:val="0B5F1B77"/>
    <w:rsid w:val="0B5F3278"/>
    <w:rsid w:val="0B5F56D3"/>
    <w:rsid w:val="0B5F7F25"/>
    <w:rsid w:val="0B603655"/>
    <w:rsid w:val="0B60743A"/>
    <w:rsid w:val="0B6078E4"/>
    <w:rsid w:val="0B6131F9"/>
    <w:rsid w:val="0B6158EF"/>
    <w:rsid w:val="0B615984"/>
    <w:rsid w:val="0B617633"/>
    <w:rsid w:val="0B61769D"/>
    <w:rsid w:val="0B6251C3"/>
    <w:rsid w:val="0B633415"/>
    <w:rsid w:val="0B640E1B"/>
    <w:rsid w:val="0B640F3B"/>
    <w:rsid w:val="0B642CE9"/>
    <w:rsid w:val="0B6445C6"/>
    <w:rsid w:val="0B65670D"/>
    <w:rsid w:val="0B6576F5"/>
    <w:rsid w:val="0B662F05"/>
    <w:rsid w:val="0B666766"/>
    <w:rsid w:val="0B674587"/>
    <w:rsid w:val="0B674BE6"/>
    <w:rsid w:val="0B677BA9"/>
    <w:rsid w:val="0B683D5E"/>
    <w:rsid w:val="0B6A2B3F"/>
    <w:rsid w:val="0B6B0371"/>
    <w:rsid w:val="0B6B051B"/>
    <w:rsid w:val="0B6B22C9"/>
    <w:rsid w:val="0B6B57F3"/>
    <w:rsid w:val="0B6C5E87"/>
    <w:rsid w:val="0B6C6E70"/>
    <w:rsid w:val="0B6C7DF0"/>
    <w:rsid w:val="0B6D4294"/>
    <w:rsid w:val="0B6D461E"/>
    <w:rsid w:val="0B6D6122"/>
    <w:rsid w:val="0B6E1DBA"/>
    <w:rsid w:val="0B6E3B68"/>
    <w:rsid w:val="0B6E5911"/>
    <w:rsid w:val="0B6E65E6"/>
    <w:rsid w:val="0B6F27ED"/>
    <w:rsid w:val="0B6F5F65"/>
    <w:rsid w:val="0B704C00"/>
    <w:rsid w:val="0B705C98"/>
    <w:rsid w:val="0B7218AA"/>
    <w:rsid w:val="0B721CF9"/>
    <w:rsid w:val="0B72414C"/>
    <w:rsid w:val="0B724AD4"/>
    <w:rsid w:val="0B727E67"/>
    <w:rsid w:val="0B731858"/>
    <w:rsid w:val="0B732F2C"/>
    <w:rsid w:val="0B745622"/>
    <w:rsid w:val="0B7471EA"/>
    <w:rsid w:val="0B7522AA"/>
    <w:rsid w:val="0B756E97"/>
    <w:rsid w:val="0B7571FB"/>
    <w:rsid w:val="0B7620AA"/>
    <w:rsid w:val="0B76450E"/>
    <w:rsid w:val="0B772A1C"/>
    <w:rsid w:val="0B774EE9"/>
    <w:rsid w:val="0B777220"/>
    <w:rsid w:val="0B781061"/>
    <w:rsid w:val="0B790C6D"/>
    <w:rsid w:val="0B792C38"/>
    <w:rsid w:val="0B7A075E"/>
    <w:rsid w:val="0B7B036A"/>
    <w:rsid w:val="0B7B67C8"/>
    <w:rsid w:val="0B7C0033"/>
    <w:rsid w:val="0B7C3C08"/>
    <w:rsid w:val="0B7C4957"/>
    <w:rsid w:val="0B7C6285"/>
    <w:rsid w:val="0B7D1FFD"/>
    <w:rsid w:val="0B7E024F"/>
    <w:rsid w:val="0B7E6FD7"/>
    <w:rsid w:val="0B7F3FC7"/>
    <w:rsid w:val="0B7F5D75"/>
    <w:rsid w:val="0B7F7B23"/>
    <w:rsid w:val="0B802BBC"/>
    <w:rsid w:val="0B811AED"/>
    <w:rsid w:val="0B81389B"/>
    <w:rsid w:val="0B8247A8"/>
    <w:rsid w:val="0B8356AD"/>
    <w:rsid w:val="0B835865"/>
    <w:rsid w:val="0B8415DD"/>
    <w:rsid w:val="0B857B36"/>
    <w:rsid w:val="0B860EB1"/>
    <w:rsid w:val="0B865355"/>
    <w:rsid w:val="0B866A22"/>
    <w:rsid w:val="0B867103"/>
    <w:rsid w:val="0B8709D7"/>
    <w:rsid w:val="0B877EBE"/>
    <w:rsid w:val="0B883078"/>
    <w:rsid w:val="0B8922C4"/>
    <w:rsid w:val="0B892750"/>
    <w:rsid w:val="0B896BF3"/>
    <w:rsid w:val="0B8B23AB"/>
    <w:rsid w:val="0B8B296C"/>
    <w:rsid w:val="0B8B471A"/>
    <w:rsid w:val="0B8C6B1D"/>
    <w:rsid w:val="0B8D0492"/>
    <w:rsid w:val="0B8D2240"/>
    <w:rsid w:val="0B8D340F"/>
    <w:rsid w:val="0B8D66E4"/>
    <w:rsid w:val="0B8E420A"/>
    <w:rsid w:val="0B8E7D66"/>
    <w:rsid w:val="0B8F3DF2"/>
    <w:rsid w:val="0B8F5F4C"/>
    <w:rsid w:val="0B900EE7"/>
    <w:rsid w:val="0B903ADE"/>
    <w:rsid w:val="0B9042CA"/>
    <w:rsid w:val="0B907065"/>
    <w:rsid w:val="0B9178BD"/>
    <w:rsid w:val="0B9243C8"/>
    <w:rsid w:val="0B925DD0"/>
    <w:rsid w:val="0B927856"/>
    <w:rsid w:val="0B931BB0"/>
    <w:rsid w:val="0B935EAD"/>
    <w:rsid w:val="0B957346"/>
    <w:rsid w:val="0B963D79"/>
    <w:rsid w:val="0B966523"/>
    <w:rsid w:val="0B971310"/>
    <w:rsid w:val="0B9730BE"/>
    <w:rsid w:val="0B974E6D"/>
    <w:rsid w:val="0B9843B8"/>
    <w:rsid w:val="0B990D5A"/>
    <w:rsid w:val="0B995089"/>
    <w:rsid w:val="0B995414"/>
    <w:rsid w:val="0B9A2BAF"/>
    <w:rsid w:val="0B9A481D"/>
    <w:rsid w:val="0B9A670B"/>
    <w:rsid w:val="0B9C2958"/>
    <w:rsid w:val="0B9C2E79"/>
    <w:rsid w:val="0B9C51B8"/>
    <w:rsid w:val="0B9C6927"/>
    <w:rsid w:val="0B9D1E65"/>
    <w:rsid w:val="0B9D4CB5"/>
    <w:rsid w:val="0B9F01C5"/>
    <w:rsid w:val="0B9F1F73"/>
    <w:rsid w:val="0B9F3D21"/>
    <w:rsid w:val="0BA21904"/>
    <w:rsid w:val="0BA22466"/>
    <w:rsid w:val="0BA23811"/>
    <w:rsid w:val="0BA24760"/>
    <w:rsid w:val="0BA30B90"/>
    <w:rsid w:val="0BA44076"/>
    <w:rsid w:val="0BA4575E"/>
    <w:rsid w:val="0BA457DB"/>
    <w:rsid w:val="0BA47589"/>
    <w:rsid w:val="0BA50361"/>
    <w:rsid w:val="0BA53A2D"/>
    <w:rsid w:val="0BA54B88"/>
    <w:rsid w:val="0BA56A3C"/>
    <w:rsid w:val="0BA734CA"/>
    <w:rsid w:val="0BA80E28"/>
    <w:rsid w:val="0BA852CC"/>
    <w:rsid w:val="0BA8751B"/>
    <w:rsid w:val="0BA9404D"/>
    <w:rsid w:val="0BA96923"/>
    <w:rsid w:val="0BAA580B"/>
    <w:rsid w:val="0BAA5E29"/>
    <w:rsid w:val="0BAB0918"/>
    <w:rsid w:val="0BAB4DBC"/>
    <w:rsid w:val="0BAE21B6"/>
    <w:rsid w:val="0BAE575C"/>
    <w:rsid w:val="0BAF70CA"/>
    <w:rsid w:val="0BB0283D"/>
    <w:rsid w:val="0BB02EA4"/>
    <w:rsid w:val="0BB05F2E"/>
    <w:rsid w:val="0BB2718C"/>
    <w:rsid w:val="0BB2763D"/>
    <w:rsid w:val="0BB27EF8"/>
    <w:rsid w:val="0BB377CC"/>
    <w:rsid w:val="0BB43245"/>
    <w:rsid w:val="0BB43C70"/>
    <w:rsid w:val="0BB5082F"/>
    <w:rsid w:val="0BB52970"/>
    <w:rsid w:val="0BB52F3C"/>
    <w:rsid w:val="0BB53545"/>
    <w:rsid w:val="0BB66F9D"/>
    <w:rsid w:val="0BB71B42"/>
    <w:rsid w:val="0BB772BD"/>
    <w:rsid w:val="0BB84DE3"/>
    <w:rsid w:val="0BB860B1"/>
    <w:rsid w:val="0BB91287"/>
    <w:rsid w:val="0BB93035"/>
    <w:rsid w:val="0BB97AC8"/>
    <w:rsid w:val="0BBA0474"/>
    <w:rsid w:val="0BBA0B5B"/>
    <w:rsid w:val="0BBA4FFF"/>
    <w:rsid w:val="0BBA6DAD"/>
    <w:rsid w:val="0BBB03C4"/>
    <w:rsid w:val="0BBB2199"/>
    <w:rsid w:val="0BBB6DAE"/>
    <w:rsid w:val="0BBC48D3"/>
    <w:rsid w:val="0BBC689F"/>
    <w:rsid w:val="0BBE4AEF"/>
    <w:rsid w:val="0BBF43C3"/>
    <w:rsid w:val="0BC051FE"/>
    <w:rsid w:val="0BC11EE9"/>
    <w:rsid w:val="0BC17678"/>
    <w:rsid w:val="0BC24561"/>
    <w:rsid w:val="0BC27BCC"/>
    <w:rsid w:val="0BC3085D"/>
    <w:rsid w:val="0BC32CD6"/>
    <w:rsid w:val="0BC419DA"/>
    <w:rsid w:val="0BC432CD"/>
    <w:rsid w:val="0BC47C2C"/>
    <w:rsid w:val="0BC5416A"/>
    <w:rsid w:val="0BC55E7E"/>
    <w:rsid w:val="0BC8278A"/>
    <w:rsid w:val="0BC83278"/>
    <w:rsid w:val="0BC8351A"/>
    <w:rsid w:val="0BC856E1"/>
    <w:rsid w:val="0BC95DF7"/>
    <w:rsid w:val="0BCA251B"/>
    <w:rsid w:val="0BCA2ABF"/>
    <w:rsid w:val="0BCA3CD2"/>
    <w:rsid w:val="0BCA4058"/>
    <w:rsid w:val="0BCA5242"/>
    <w:rsid w:val="0BCB4B16"/>
    <w:rsid w:val="0BCC37C1"/>
    <w:rsid w:val="0BCC4C46"/>
    <w:rsid w:val="0BCD088E"/>
    <w:rsid w:val="0BCE26DA"/>
    <w:rsid w:val="0BCE4606"/>
    <w:rsid w:val="0BCF0AAA"/>
    <w:rsid w:val="0BCF2858"/>
    <w:rsid w:val="0BCF58D8"/>
    <w:rsid w:val="0BD0158B"/>
    <w:rsid w:val="0BD02715"/>
    <w:rsid w:val="0BD04822"/>
    <w:rsid w:val="0BD062B3"/>
    <w:rsid w:val="0BD065D0"/>
    <w:rsid w:val="0BD10FD4"/>
    <w:rsid w:val="0BD1259E"/>
    <w:rsid w:val="0BD17F39"/>
    <w:rsid w:val="0BD240F7"/>
    <w:rsid w:val="0BD25EA5"/>
    <w:rsid w:val="0BD27BF6"/>
    <w:rsid w:val="0BD303CA"/>
    <w:rsid w:val="0BD31C1D"/>
    <w:rsid w:val="0BD4395A"/>
    <w:rsid w:val="0BD459E4"/>
    <w:rsid w:val="0BD460C1"/>
    <w:rsid w:val="0BD47E6F"/>
    <w:rsid w:val="0BD50DE5"/>
    <w:rsid w:val="0BD51E39"/>
    <w:rsid w:val="0BD53BE7"/>
    <w:rsid w:val="0BD7170D"/>
    <w:rsid w:val="0BD73A5B"/>
    <w:rsid w:val="0BD75BB1"/>
    <w:rsid w:val="0BD762D6"/>
    <w:rsid w:val="0BD80447"/>
    <w:rsid w:val="0BD87233"/>
    <w:rsid w:val="0BD95198"/>
    <w:rsid w:val="0BDA0559"/>
    <w:rsid w:val="0BDA37C7"/>
    <w:rsid w:val="0BDB654C"/>
    <w:rsid w:val="0BDB7828"/>
    <w:rsid w:val="0BDC31C7"/>
    <w:rsid w:val="0BDC4F75"/>
    <w:rsid w:val="0BDC5AF1"/>
    <w:rsid w:val="0BDE123C"/>
    <w:rsid w:val="0BDE6F3F"/>
    <w:rsid w:val="0BDE7765"/>
    <w:rsid w:val="0BDF05C2"/>
    <w:rsid w:val="0BDF07D7"/>
    <w:rsid w:val="0BDF1202"/>
    <w:rsid w:val="0BDF3DB2"/>
    <w:rsid w:val="0BDF4976"/>
    <w:rsid w:val="0BE00346"/>
    <w:rsid w:val="0BE04A65"/>
    <w:rsid w:val="0BE113B8"/>
    <w:rsid w:val="0BE24514"/>
    <w:rsid w:val="0BE300B2"/>
    <w:rsid w:val="0BE33CF4"/>
    <w:rsid w:val="0BE35DA5"/>
    <w:rsid w:val="0BE41D56"/>
    <w:rsid w:val="0BE423C1"/>
    <w:rsid w:val="0BE429B8"/>
    <w:rsid w:val="0BE43E2A"/>
    <w:rsid w:val="0BE45BD8"/>
    <w:rsid w:val="0BE46B89"/>
    <w:rsid w:val="0BE475CA"/>
    <w:rsid w:val="0BE5201B"/>
    <w:rsid w:val="0BE61950"/>
    <w:rsid w:val="0BE61D6A"/>
    <w:rsid w:val="0BE65DF4"/>
    <w:rsid w:val="0BE73308"/>
    <w:rsid w:val="0BE75801"/>
    <w:rsid w:val="0BE75F66"/>
    <w:rsid w:val="0BE767B7"/>
    <w:rsid w:val="0BE856C8"/>
    <w:rsid w:val="0BE8725B"/>
    <w:rsid w:val="0BE87B47"/>
    <w:rsid w:val="0BE91440"/>
    <w:rsid w:val="0BEA40E5"/>
    <w:rsid w:val="0BEA58E4"/>
    <w:rsid w:val="0BEB139D"/>
    <w:rsid w:val="0BEB46DC"/>
    <w:rsid w:val="0BEB51B8"/>
    <w:rsid w:val="0BEB6B55"/>
    <w:rsid w:val="0BEC5334"/>
    <w:rsid w:val="0BEC6DEA"/>
    <w:rsid w:val="0BEC733F"/>
    <w:rsid w:val="0BED0F30"/>
    <w:rsid w:val="0BED3778"/>
    <w:rsid w:val="0BED7D04"/>
    <w:rsid w:val="0BEE21B3"/>
    <w:rsid w:val="0BEE30CD"/>
    <w:rsid w:val="0BEF2EFA"/>
    <w:rsid w:val="0BEF6A57"/>
    <w:rsid w:val="0BF00A21"/>
    <w:rsid w:val="0BF027CF"/>
    <w:rsid w:val="0BF16C73"/>
    <w:rsid w:val="0BF17708"/>
    <w:rsid w:val="0BF2461F"/>
    <w:rsid w:val="0BF24799"/>
    <w:rsid w:val="0BF33CDB"/>
    <w:rsid w:val="0BF422BF"/>
    <w:rsid w:val="0BF42E07"/>
    <w:rsid w:val="0BF46F3F"/>
    <w:rsid w:val="0BF503CF"/>
    <w:rsid w:val="0BF64308"/>
    <w:rsid w:val="0BF7590B"/>
    <w:rsid w:val="0BF75A87"/>
    <w:rsid w:val="0BF866B4"/>
    <w:rsid w:val="0BF91683"/>
    <w:rsid w:val="0BF978D5"/>
    <w:rsid w:val="0BFA24D0"/>
    <w:rsid w:val="0BFA364D"/>
    <w:rsid w:val="0BFA53FB"/>
    <w:rsid w:val="0BFA591B"/>
    <w:rsid w:val="0BFB5AC8"/>
    <w:rsid w:val="0BFC56D1"/>
    <w:rsid w:val="0BFC73C5"/>
    <w:rsid w:val="0BFE2CF8"/>
    <w:rsid w:val="0BFE313E"/>
    <w:rsid w:val="0BFE4EEC"/>
    <w:rsid w:val="0BFE7494"/>
    <w:rsid w:val="0BFF30A9"/>
    <w:rsid w:val="0C012C2E"/>
    <w:rsid w:val="0C0149DC"/>
    <w:rsid w:val="0C01678A"/>
    <w:rsid w:val="0C033CCB"/>
    <w:rsid w:val="0C0415C2"/>
    <w:rsid w:val="0C053827"/>
    <w:rsid w:val="0C05627A"/>
    <w:rsid w:val="0C057EC4"/>
    <w:rsid w:val="0C060244"/>
    <w:rsid w:val="0C063F25"/>
    <w:rsid w:val="0C07323A"/>
    <w:rsid w:val="0C076962"/>
    <w:rsid w:val="0C083FBC"/>
    <w:rsid w:val="0C093BA7"/>
    <w:rsid w:val="0C0A3890"/>
    <w:rsid w:val="0C0A7D34"/>
    <w:rsid w:val="0C0B51A5"/>
    <w:rsid w:val="0C0B520A"/>
    <w:rsid w:val="0C0B7609"/>
    <w:rsid w:val="0C0C1FF2"/>
    <w:rsid w:val="0C0C48E8"/>
    <w:rsid w:val="0C0C7D3C"/>
    <w:rsid w:val="0C0D15D3"/>
    <w:rsid w:val="0C0D3381"/>
    <w:rsid w:val="0C0D6C26"/>
    <w:rsid w:val="0C0E0F77"/>
    <w:rsid w:val="0C0E438E"/>
    <w:rsid w:val="0C0E7CC4"/>
    <w:rsid w:val="0C0F70F9"/>
    <w:rsid w:val="0C104C1F"/>
    <w:rsid w:val="0C1053A4"/>
    <w:rsid w:val="0C117970"/>
    <w:rsid w:val="0C120A66"/>
    <w:rsid w:val="0C1224C8"/>
    <w:rsid w:val="0C1278F7"/>
    <w:rsid w:val="0C13779A"/>
    <w:rsid w:val="0C14470F"/>
    <w:rsid w:val="0C144DE8"/>
    <w:rsid w:val="0C1464BD"/>
    <w:rsid w:val="0C146529"/>
    <w:rsid w:val="0C151CF6"/>
    <w:rsid w:val="0C152235"/>
    <w:rsid w:val="0C160487"/>
    <w:rsid w:val="0C1708C1"/>
    <w:rsid w:val="0C17662A"/>
    <w:rsid w:val="0C177D5B"/>
    <w:rsid w:val="0C180AA3"/>
    <w:rsid w:val="0C185963"/>
    <w:rsid w:val="0C193AD3"/>
    <w:rsid w:val="0C1A024B"/>
    <w:rsid w:val="0C1A227F"/>
    <w:rsid w:val="0C1B5CA5"/>
    <w:rsid w:val="0C1B657A"/>
    <w:rsid w:val="0C1C2D75"/>
    <w:rsid w:val="0C1D18AA"/>
    <w:rsid w:val="0C1D3C16"/>
    <w:rsid w:val="0C1D75DB"/>
    <w:rsid w:val="0C1E250C"/>
    <w:rsid w:val="0C1E258B"/>
    <w:rsid w:val="0C1E558E"/>
    <w:rsid w:val="0C1E65FC"/>
    <w:rsid w:val="0C1F08F2"/>
    <w:rsid w:val="0C1F782F"/>
    <w:rsid w:val="0C2030B4"/>
    <w:rsid w:val="0C2032F1"/>
    <w:rsid w:val="0C20537E"/>
    <w:rsid w:val="0C21083E"/>
    <w:rsid w:val="0C210BDA"/>
    <w:rsid w:val="0C21178A"/>
    <w:rsid w:val="0C213BB5"/>
    <w:rsid w:val="0C216E2C"/>
    <w:rsid w:val="0C2176F9"/>
    <w:rsid w:val="0C221FBD"/>
    <w:rsid w:val="0C22507E"/>
    <w:rsid w:val="0C225B4E"/>
    <w:rsid w:val="0C233289"/>
    <w:rsid w:val="0C234952"/>
    <w:rsid w:val="0C2351EB"/>
    <w:rsid w:val="0C245331"/>
    <w:rsid w:val="0C255D6D"/>
    <w:rsid w:val="0C264442"/>
    <w:rsid w:val="0C277910"/>
    <w:rsid w:val="0C295B7E"/>
    <w:rsid w:val="0C2966F3"/>
    <w:rsid w:val="0C2A3F33"/>
    <w:rsid w:val="0C2A700E"/>
    <w:rsid w:val="0C2B1A59"/>
    <w:rsid w:val="0C2B3D1C"/>
    <w:rsid w:val="0C2C306F"/>
    <w:rsid w:val="0C2C37FB"/>
    <w:rsid w:val="0C2C7CAB"/>
    <w:rsid w:val="0C2D568A"/>
    <w:rsid w:val="0C2D5B04"/>
    <w:rsid w:val="0C300E1D"/>
    <w:rsid w:val="0C30706F"/>
    <w:rsid w:val="0C314922"/>
    <w:rsid w:val="0C3172C2"/>
    <w:rsid w:val="0C322DE7"/>
    <w:rsid w:val="0C3261D9"/>
    <w:rsid w:val="0C34090D"/>
    <w:rsid w:val="0C360C09"/>
    <w:rsid w:val="0C364685"/>
    <w:rsid w:val="0C370182"/>
    <w:rsid w:val="0C3703FE"/>
    <w:rsid w:val="0C3721AC"/>
    <w:rsid w:val="0C383C36"/>
    <w:rsid w:val="0C3923C8"/>
    <w:rsid w:val="0C395F24"/>
    <w:rsid w:val="0C396DB4"/>
    <w:rsid w:val="0C397133"/>
    <w:rsid w:val="0C3A5E22"/>
    <w:rsid w:val="0C3A5FD8"/>
    <w:rsid w:val="0C3A66AE"/>
    <w:rsid w:val="0C3A6864"/>
    <w:rsid w:val="0C3B3C7D"/>
    <w:rsid w:val="0C3B4B55"/>
    <w:rsid w:val="0C3B7AE8"/>
    <w:rsid w:val="0C3B7F93"/>
    <w:rsid w:val="0C3C2558"/>
    <w:rsid w:val="0C3C2B64"/>
    <w:rsid w:val="0C3C43DB"/>
    <w:rsid w:val="0C3C5A14"/>
    <w:rsid w:val="0C3D1EB8"/>
    <w:rsid w:val="0C3D3FF4"/>
    <w:rsid w:val="0C3D7A8F"/>
    <w:rsid w:val="0C3E2E6F"/>
    <w:rsid w:val="0C3E5484"/>
    <w:rsid w:val="0C3E79DE"/>
    <w:rsid w:val="0C40044D"/>
    <w:rsid w:val="0C400C1E"/>
    <w:rsid w:val="0C405504"/>
    <w:rsid w:val="0C4059CB"/>
    <w:rsid w:val="0C4072B2"/>
    <w:rsid w:val="0C41127C"/>
    <w:rsid w:val="0C411D2E"/>
    <w:rsid w:val="0C41302A"/>
    <w:rsid w:val="0C41320B"/>
    <w:rsid w:val="0C425295"/>
    <w:rsid w:val="0C4274CE"/>
    <w:rsid w:val="0C434FF4"/>
    <w:rsid w:val="0C436DA2"/>
    <w:rsid w:val="0C437F80"/>
    <w:rsid w:val="0C450D6C"/>
    <w:rsid w:val="0C45161E"/>
    <w:rsid w:val="0C4542CA"/>
    <w:rsid w:val="0C4548C9"/>
    <w:rsid w:val="0C4572E3"/>
    <w:rsid w:val="0C460641"/>
    <w:rsid w:val="0C463023"/>
    <w:rsid w:val="0C465A58"/>
    <w:rsid w:val="0C4667E7"/>
    <w:rsid w:val="0C467D6F"/>
    <w:rsid w:val="0C474AE5"/>
    <w:rsid w:val="0C4758F7"/>
    <w:rsid w:val="0C4811F7"/>
    <w:rsid w:val="0C48260B"/>
    <w:rsid w:val="0C482EBF"/>
    <w:rsid w:val="0C48317F"/>
    <w:rsid w:val="0C483CD8"/>
    <w:rsid w:val="0C4859BD"/>
    <w:rsid w:val="0C486B23"/>
    <w:rsid w:val="0C4905AD"/>
    <w:rsid w:val="0C492597"/>
    <w:rsid w:val="0C495168"/>
    <w:rsid w:val="0C497580"/>
    <w:rsid w:val="0C497D73"/>
    <w:rsid w:val="0C4A6E11"/>
    <w:rsid w:val="0C4B5C57"/>
    <w:rsid w:val="0C4D013D"/>
    <w:rsid w:val="0C4D0640"/>
    <w:rsid w:val="0C4D5E73"/>
    <w:rsid w:val="0C4E2B00"/>
    <w:rsid w:val="0C4F3999"/>
    <w:rsid w:val="0C4F3EBF"/>
    <w:rsid w:val="0C4F5747"/>
    <w:rsid w:val="0C5114BF"/>
    <w:rsid w:val="0C5118A4"/>
    <w:rsid w:val="0C5138FA"/>
    <w:rsid w:val="0C513ED4"/>
    <w:rsid w:val="0C523489"/>
    <w:rsid w:val="0C52795B"/>
    <w:rsid w:val="0C537AC8"/>
    <w:rsid w:val="0C542D5E"/>
    <w:rsid w:val="0C544B39"/>
    <w:rsid w:val="0C54548B"/>
    <w:rsid w:val="0C547201"/>
    <w:rsid w:val="0C555C0D"/>
    <w:rsid w:val="0C560A4C"/>
    <w:rsid w:val="0C56327C"/>
    <w:rsid w:val="0C564D28"/>
    <w:rsid w:val="0C590374"/>
    <w:rsid w:val="0C594818"/>
    <w:rsid w:val="0C594C5D"/>
    <w:rsid w:val="0C5A4C57"/>
    <w:rsid w:val="0C5A60ED"/>
    <w:rsid w:val="0C5B0590"/>
    <w:rsid w:val="0C5B2199"/>
    <w:rsid w:val="0C5B233E"/>
    <w:rsid w:val="0C5B40EC"/>
    <w:rsid w:val="0C5C7E64"/>
    <w:rsid w:val="0C5E1E2E"/>
    <w:rsid w:val="0C5E3BDC"/>
    <w:rsid w:val="0C5E598A"/>
    <w:rsid w:val="0C5E5EFE"/>
    <w:rsid w:val="0C5F0ACF"/>
    <w:rsid w:val="0C5F72CC"/>
    <w:rsid w:val="0C5F791A"/>
    <w:rsid w:val="0C600706"/>
    <w:rsid w:val="0C605BA6"/>
    <w:rsid w:val="0C62191E"/>
    <w:rsid w:val="0C622434"/>
    <w:rsid w:val="0C6236CC"/>
    <w:rsid w:val="0C6311F3"/>
    <w:rsid w:val="0C637445"/>
    <w:rsid w:val="0C641FD0"/>
    <w:rsid w:val="0C651FFC"/>
    <w:rsid w:val="0C6531BD"/>
    <w:rsid w:val="0C653F5B"/>
    <w:rsid w:val="0C654F6B"/>
    <w:rsid w:val="0C65535E"/>
    <w:rsid w:val="0C66143F"/>
    <w:rsid w:val="0C662A91"/>
    <w:rsid w:val="0C664D2E"/>
    <w:rsid w:val="0C665F8B"/>
    <w:rsid w:val="0C67353F"/>
    <w:rsid w:val="0C67530F"/>
    <w:rsid w:val="0C676F35"/>
    <w:rsid w:val="0C68150A"/>
    <w:rsid w:val="0C686072"/>
    <w:rsid w:val="0C686809"/>
    <w:rsid w:val="0C6A07D3"/>
    <w:rsid w:val="0C6B7072"/>
    <w:rsid w:val="0C6B7B04"/>
    <w:rsid w:val="0C6C00A7"/>
    <w:rsid w:val="0C6C30D3"/>
    <w:rsid w:val="0C6C62F9"/>
    <w:rsid w:val="0C6D3E1F"/>
    <w:rsid w:val="0C6D4FE5"/>
    <w:rsid w:val="0C6E02C3"/>
    <w:rsid w:val="0C6E62F9"/>
    <w:rsid w:val="0C6E7A55"/>
    <w:rsid w:val="0C6F1945"/>
    <w:rsid w:val="0C6F6E83"/>
    <w:rsid w:val="0C6F7B97"/>
    <w:rsid w:val="0C701A54"/>
    <w:rsid w:val="0C702ABC"/>
    <w:rsid w:val="0C7077BF"/>
    <w:rsid w:val="0C711B61"/>
    <w:rsid w:val="0C7130B3"/>
    <w:rsid w:val="0C7136AA"/>
    <w:rsid w:val="0C71390F"/>
    <w:rsid w:val="0C7156BE"/>
    <w:rsid w:val="0C721436"/>
    <w:rsid w:val="0C722B78"/>
    <w:rsid w:val="0C727688"/>
    <w:rsid w:val="0C7279A6"/>
    <w:rsid w:val="0C733C5E"/>
    <w:rsid w:val="0C735385"/>
    <w:rsid w:val="0C741652"/>
    <w:rsid w:val="0C7451AE"/>
    <w:rsid w:val="0C745B4A"/>
    <w:rsid w:val="0C752CE1"/>
    <w:rsid w:val="0C752CF5"/>
    <w:rsid w:val="0C75623D"/>
    <w:rsid w:val="0C760424"/>
    <w:rsid w:val="0C760F26"/>
    <w:rsid w:val="0C762CD4"/>
    <w:rsid w:val="0C765646"/>
    <w:rsid w:val="0C774C9E"/>
    <w:rsid w:val="0C776A4C"/>
    <w:rsid w:val="0C7837BB"/>
    <w:rsid w:val="0C7927C4"/>
    <w:rsid w:val="0C794EB2"/>
    <w:rsid w:val="0C796D95"/>
    <w:rsid w:val="0C7974FB"/>
    <w:rsid w:val="0C7B29E0"/>
    <w:rsid w:val="0C7B478E"/>
    <w:rsid w:val="0C7C242A"/>
    <w:rsid w:val="0C7C46CB"/>
    <w:rsid w:val="0C7D1D02"/>
    <w:rsid w:val="0C7D22B4"/>
    <w:rsid w:val="0C7E427E"/>
    <w:rsid w:val="0C7E602C"/>
    <w:rsid w:val="0C7E65A6"/>
    <w:rsid w:val="0C7E7DDA"/>
    <w:rsid w:val="0C80105F"/>
    <w:rsid w:val="0C801DA5"/>
    <w:rsid w:val="0C811679"/>
    <w:rsid w:val="0C825B1D"/>
    <w:rsid w:val="0C8312A6"/>
    <w:rsid w:val="0C831895"/>
    <w:rsid w:val="0C8353F1"/>
    <w:rsid w:val="0C844FAD"/>
    <w:rsid w:val="0C847251"/>
    <w:rsid w:val="0C85560D"/>
    <w:rsid w:val="0C8573BB"/>
    <w:rsid w:val="0C8607AA"/>
    <w:rsid w:val="0C8640EB"/>
    <w:rsid w:val="0C871385"/>
    <w:rsid w:val="0C873133"/>
    <w:rsid w:val="0C882441"/>
    <w:rsid w:val="0C882A07"/>
    <w:rsid w:val="0C88659A"/>
    <w:rsid w:val="0C895A5A"/>
    <w:rsid w:val="0C8B665C"/>
    <w:rsid w:val="0C8C4411"/>
    <w:rsid w:val="0C8C699B"/>
    <w:rsid w:val="0C8E0EAE"/>
    <w:rsid w:val="0C8F023A"/>
    <w:rsid w:val="0C8F1FE8"/>
    <w:rsid w:val="0C8F4CB0"/>
    <w:rsid w:val="0C913DEE"/>
    <w:rsid w:val="0C917B0E"/>
    <w:rsid w:val="0C931AD8"/>
    <w:rsid w:val="0C931DEC"/>
    <w:rsid w:val="0C9413AC"/>
    <w:rsid w:val="0C943AA2"/>
    <w:rsid w:val="0C944572"/>
    <w:rsid w:val="0C9615C8"/>
    <w:rsid w:val="0C970E9C"/>
    <w:rsid w:val="0C97165F"/>
    <w:rsid w:val="0C97336E"/>
    <w:rsid w:val="0C982640"/>
    <w:rsid w:val="0C983E07"/>
    <w:rsid w:val="0C984CDB"/>
    <w:rsid w:val="0C994C14"/>
    <w:rsid w:val="0C9A179C"/>
    <w:rsid w:val="0C9B273A"/>
    <w:rsid w:val="0C9C19A0"/>
    <w:rsid w:val="0C9C3A6E"/>
    <w:rsid w:val="0C9C75E1"/>
    <w:rsid w:val="0C9D55F8"/>
    <w:rsid w:val="0C9E3391"/>
    <w:rsid w:val="0C9E5B83"/>
    <w:rsid w:val="0CA02447"/>
    <w:rsid w:val="0CA05FA3"/>
    <w:rsid w:val="0CA06260"/>
    <w:rsid w:val="0CA06416"/>
    <w:rsid w:val="0CA073F2"/>
    <w:rsid w:val="0CA10882"/>
    <w:rsid w:val="0CA14DDD"/>
    <w:rsid w:val="0CA24E1E"/>
    <w:rsid w:val="0CA25D04"/>
    <w:rsid w:val="0CA27362"/>
    <w:rsid w:val="0CA30FD9"/>
    <w:rsid w:val="0CA311A4"/>
    <w:rsid w:val="0CA35A93"/>
    <w:rsid w:val="0CA43CE5"/>
    <w:rsid w:val="0CA5180B"/>
    <w:rsid w:val="0CA55C31"/>
    <w:rsid w:val="0CA57A5D"/>
    <w:rsid w:val="0CA80DAD"/>
    <w:rsid w:val="0CA87014"/>
    <w:rsid w:val="0CA93312"/>
    <w:rsid w:val="0CA94959"/>
    <w:rsid w:val="0CAA5073"/>
    <w:rsid w:val="0CAB2EAE"/>
    <w:rsid w:val="0CAC0DEC"/>
    <w:rsid w:val="0CAC69BB"/>
    <w:rsid w:val="0CAC6D36"/>
    <w:rsid w:val="0CAD246E"/>
    <w:rsid w:val="0CAD5F62"/>
    <w:rsid w:val="0CAE6912"/>
    <w:rsid w:val="0CAE7645"/>
    <w:rsid w:val="0CAF204C"/>
    <w:rsid w:val="0CAF268A"/>
    <w:rsid w:val="0CAF4438"/>
    <w:rsid w:val="0CAF5B80"/>
    <w:rsid w:val="0CB02BEB"/>
    <w:rsid w:val="0CB101B0"/>
    <w:rsid w:val="0CB10376"/>
    <w:rsid w:val="0CB14328"/>
    <w:rsid w:val="0CB16881"/>
    <w:rsid w:val="0CB3217A"/>
    <w:rsid w:val="0CB32C96"/>
    <w:rsid w:val="0CB35CD6"/>
    <w:rsid w:val="0CB454C5"/>
    <w:rsid w:val="0CB56E1A"/>
    <w:rsid w:val="0CB657C6"/>
    <w:rsid w:val="0CB754E2"/>
    <w:rsid w:val="0CB832EC"/>
    <w:rsid w:val="0CB83390"/>
    <w:rsid w:val="0CB90E13"/>
    <w:rsid w:val="0CB95281"/>
    <w:rsid w:val="0CB97065"/>
    <w:rsid w:val="0CBB102F"/>
    <w:rsid w:val="0CBB3FF9"/>
    <w:rsid w:val="0CBB4B8B"/>
    <w:rsid w:val="0CBB78C0"/>
    <w:rsid w:val="0CBC38F1"/>
    <w:rsid w:val="0CBC564F"/>
    <w:rsid w:val="0CBD0903"/>
    <w:rsid w:val="0CBD3065"/>
    <w:rsid w:val="0CBD6919"/>
    <w:rsid w:val="0CBD6B55"/>
    <w:rsid w:val="0CBE28CD"/>
    <w:rsid w:val="0CBE4131"/>
    <w:rsid w:val="0CBE639D"/>
    <w:rsid w:val="0CBE652F"/>
    <w:rsid w:val="0CBE7216"/>
    <w:rsid w:val="0CBF0B1F"/>
    <w:rsid w:val="0CBF467F"/>
    <w:rsid w:val="0CBF5B3A"/>
    <w:rsid w:val="0CBF69F1"/>
    <w:rsid w:val="0CC003F3"/>
    <w:rsid w:val="0CC0529A"/>
    <w:rsid w:val="0CC06645"/>
    <w:rsid w:val="0CC2416B"/>
    <w:rsid w:val="0CC2522B"/>
    <w:rsid w:val="0CC41A60"/>
    <w:rsid w:val="0CC46135"/>
    <w:rsid w:val="0CC51926"/>
    <w:rsid w:val="0CC5418B"/>
    <w:rsid w:val="0CC60757"/>
    <w:rsid w:val="0CC6110C"/>
    <w:rsid w:val="0CC638F0"/>
    <w:rsid w:val="0CC71A6E"/>
    <w:rsid w:val="0CC7352F"/>
    <w:rsid w:val="0CC779D3"/>
    <w:rsid w:val="0CC83A2C"/>
    <w:rsid w:val="0CC92F9D"/>
    <w:rsid w:val="0CC954FA"/>
    <w:rsid w:val="0CCA3020"/>
    <w:rsid w:val="0CCC323C"/>
    <w:rsid w:val="0CCC4300"/>
    <w:rsid w:val="0CCC4FEA"/>
    <w:rsid w:val="0CCC5321"/>
    <w:rsid w:val="0CCC6D98"/>
    <w:rsid w:val="0CCD3E9E"/>
    <w:rsid w:val="0CCD4CCD"/>
    <w:rsid w:val="0CCE0D62"/>
    <w:rsid w:val="0CCE2B10"/>
    <w:rsid w:val="0CCE789E"/>
    <w:rsid w:val="0CCF6888"/>
    <w:rsid w:val="0CD10852"/>
    <w:rsid w:val="0CD1167F"/>
    <w:rsid w:val="0CD12600"/>
    <w:rsid w:val="0CD21ED4"/>
    <w:rsid w:val="0CD22E44"/>
    <w:rsid w:val="0CD23FC9"/>
    <w:rsid w:val="0CD33710"/>
    <w:rsid w:val="0CD36378"/>
    <w:rsid w:val="0CD43058"/>
    <w:rsid w:val="0CD43E9E"/>
    <w:rsid w:val="0CD520F0"/>
    <w:rsid w:val="0CD618EE"/>
    <w:rsid w:val="0CD619C5"/>
    <w:rsid w:val="0CD67C16"/>
    <w:rsid w:val="0CD70419"/>
    <w:rsid w:val="0CD73BD6"/>
    <w:rsid w:val="0CD81A0C"/>
    <w:rsid w:val="0CD83A20"/>
    <w:rsid w:val="0CD83D13"/>
    <w:rsid w:val="0CD87D21"/>
    <w:rsid w:val="0CD91E9E"/>
    <w:rsid w:val="0CD93263"/>
    <w:rsid w:val="0CD94B6C"/>
    <w:rsid w:val="0CD97582"/>
    <w:rsid w:val="0CDA7707"/>
    <w:rsid w:val="0CDB273D"/>
    <w:rsid w:val="0CDB347F"/>
    <w:rsid w:val="0CDB522D"/>
    <w:rsid w:val="0CDC0378"/>
    <w:rsid w:val="0CDC67F7"/>
    <w:rsid w:val="0CDD2D53"/>
    <w:rsid w:val="0CDD4A4F"/>
    <w:rsid w:val="0CDD7393"/>
    <w:rsid w:val="0CDD7838"/>
    <w:rsid w:val="0CDE6ACB"/>
    <w:rsid w:val="0CDE7E9E"/>
    <w:rsid w:val="0CE045F1"/>
    <w:rsid w:val="0CE04884"/>
    <w:rsid w:val="0CE12B2E"/>
    <w:rsid w:val="0CE145D3"/>
    <w:rsid w:val="0CE20369"/>
    <w:rsid w:val="0CE21DF7"/>
    <w:rsid w:val="0CE2480D"/>
    <w:rsid w:val="0CE265BB"/>
    <w:rsid w:val="0CE32940"/>
    <w:rsid w:val="0CE41AC4"/>
    <w:rsid w:val="0CE41F13"/>
    <w:rsid w:val="0CE42333"/>
    <w:rsid w:val="0CE51C08"/>
    <w:rsid w:val="0CE57E5A"/>
    <w:rsid w:val="0CE642FD"/>
    <w:rsid w:val="0CE70445"/>
    <w:rsid w:val="0CE71E24"/>
    <w:rsid w:val="0CE7355D"/>
    <w:rsid w:val="0CE73BD2"/>
    <w:rsid w:val="0CE75980"/>
    <w:rsid w:val="0CE827FC"/>
    <w:rsid w:val="0CE844A6"/>
    <w:rsid w:val="0CE916E4"/>
    <w:rsid w:val="0CE916F8"/>
    <w:rsid w:val="0CEA0E58"/>
    <w:rsid w:val="0CEA17FB"/>
    <w:rsid w:val="0CEA5470"/>
    <w:rsid w:val="0CEA6115"/>
    <w:rsid w:val="0CEA6DC6"/>
    <w:rsid w:val="0CEB4E10"/>
    <w:rsid w:val="0CEC11E8"/>
    <w:rsid w:val="0CEC568C"/>
    <w:rsid w:val="0CEC743A"/>
    <w:rsid w:val="0CEC74C9"/>
    <w:rsid w:val="0CED0068"/>
    <w:rsid w:val="0CED00A1"/>
    <w:rsid w:val="0CEE31B2"/>
    <w:rsid w:val="0CEE4CA1"/>
    <w:rsid w:val="0CEE5747"/>
    <w:rsid w:val="0CEE6D0E"/>
    <w:rsid w:val="0CEF2A86"/>
    <w:rsid w:val="0CEF6BD7"/>
    <w:rsid w:val="0CF04062"/>
    <w:rsid w:val="0CF05EE4"/>
    <w:rsid w:val="0CF12CA2"/>
    <w:rsid w:val="0CF14A50"/>
    <w:rsid w:val="0CF25558"/>
    <w:rsid w:val="0CF307C8"/>
    <w:rsid w:val="0CF319D2"/>
    <w:rsid w:val="0CF445AA"/>
    <w:rsid w:val="0CF53ED9"/>
    <w:rsid w:val="0CF568E1"/>
    <w:rsid w:val="0CF602B9"/>
    <w:rsid w:val="0CF62067"/>
    <w:rsid w:val="0CF74A4E"/>
    <w:rsid w:val="0CF74AB8"/>
    <w:rsid w:val="0CF85DDF"/>
    <w:rsid w:val="0CF953AB"/>
    <w:rsid w:val="0CF956B3"/>
    <w:rsid w:val="0CFA3905"/>
    <w:rsid w:val="0CFA4652"/>
    <w:rsid w:val="0CFB142B"/>
    <w:rsid w:val="0CFB4C78"/>
    <w:rsid w:val="0CFB5460"/>
    <w:rsid w:val="0CFB767D"/>
    <w:rsid w:val="0CFC11DB"/>
    <w:rsid w:val="0CFC39DA"/>
    <w:rsid w:val="0CFD33F5"/>
    <w:rsid w:val="0CFD38B7"/>
    <w:rsid w:val="0CFE6088"/>
    <w:rsid w:val="0CFF0F1B"/>
    <w:rsid w:val="0CFF53BF"/>
    <w:rsid w:val="0D002EE5"/>
    <w:rsid w:val="0D004C93"/>
    <w:rsid w:val="0D01092D"/>
    <w:rsid w:val="0D020A0B"/>
    <w:rsid w:val="0D02678E"/>
    <w:rsid w:val="0D026C5D"/>
    <w:rsid w:val="0D0319A1"/>
    <w:rsid w:val="0D036394"/>
    <w:rsid w:val="0D0428A1"/>
    <w:rsid w:val="0D0429D6"/>
    <w:rsid w:val="0D044784"/>
    <w:rsid w:val="0D044A71"/>
    <w:rsid w:val="0D0522AA"/>
    <w:rsid w:val="0D05510F"/>
    <w:rsid w:val="0D0704B6"/>
    <w:rsid w:val="0D0776BC"/>
    <w:rsid w:val="0D077DD0"/>
    <w:rsid w:val="0D086416"/>
    <w:rsid w:val="0D091A3B"/>
    <w:rsid w:val="0D091D9A"/>
    <w:rsid w:val="0D093B48"/>
    <w:rsid w:val="0D096C3B"/>
    <w:rsid w:val="0D097FEC"/>
    <w:rsid w:val="0D0A56FE"/>
    <w:rsid w:val="0D0A78C0"/>
    <w:rsid w:val="0D0B3D64"/>
    <w:rsid w:val="0D0B5B12"/>
    <w:rsid w:val="0D0B60CC"/>
    <w:rsid w:val="0D0C188A"/>
    <w:rsid w:val="0D0C3638"/>
    <w:rsid w:val="0D0E115E"/>
    <w:rsid w:val="0D0E4CAC"/>
    <w:rsid w:val="0D0E4D31"/>
    <w:rsid w:val="0D0E6C83"/>
    <w:rsid w:val="0D0E73B0"/>
    <w:rsid w:val="0D110C4F"/>
    <w:rsid w:val="0D117DB0"/>
    <w:rsid w:val="0D130BA3"/>
    <w:rsid w:val="0D136775"/>
    <w:rsid w:val="0D1429DC"/>
    <w:rsid w:val="0D15073F"/>
    <w:rsid w:val="0D1557C7"/>
    <w:rsid w:val="0D156991"/>
    <w:rsid w:val="0D162709"/>
    <w:rsid w:val="0D166FB7"/>
    <w:rsid w:val="0D17176D"/>
    <w:rsid w:val="0D172FF8"/>
    <w:rsid w:val="0D175471"/>
    <w:rsid w:val="0D1772F4"/>
    <w:rsid w:val="0D1803E7"/>
    <w:rsid w:val="0D186481"/>
    <w:rsid w:val="0D1906F9"/>
    <w:rsid w:val="0D196BB1"/>
    <w:rsid w:val="0D1B16BD"/>
    <w:rsid w:val="0D1B1ACD"/>
    <w:rsid w:val="0D1B65EA"/>
    <w:rsid w:val="0D1C2D59"/>
    <w:rsid w:val="0D1C7D1F"/>
    <w:rsid w:val="0D1D4826"/>
    <w:rsid w:val="0D1D4A89"/>
    <w:rsid w:val="0D1D6B9E"/>
    <w:rsid w:val="0D1D75F3"/>
    <w:rsid w:val="0D1F0AA2"/>
    <w:rsid w:val="0D1F2940"/>
    <w:rsid w:val="0D1F336B"/>
    <w:rsid w:val="0D1F586E"/>
    <w:rsid w:val="0D204AF1"/>
    <w:rsid w:val="0D205DEA"/>
    <w:rsid w:val="0D2070E4"/>
    <w:rsid w:val="0D2210AE"/>
    <w:rsid w:val="0D224C0A"/>
    <w:rsid w:val="0D241DAA"/>
    <w:rsid w:val="0D244E26"/>
    <w:rsid w:val="0D25077F"/>
    <w:rsid w:val="0D252FE9"/>
    <w:rsid w:val="0D2564A8"/>
    <w:rsid w:val="0D266B4E"/>
    <w:rsid w:val="0D272220"/>
    <w:rsid w:val="0D275505"/>
    <w:rsid w:val="0D2766C4"/>
    <w:rsid w:val="0D2833CD"/>
    <w:rsid w:val="0D29243C"/>
    <w:rsid w:val="0D2939B1"/>
    <w:rsid w:val="0D2941EA"/>
    <w:rsid w:val="0D2A3ABE"/>
    <w:rsid w:val="0D2C09FC"/>
    <w:rsid w:val="0D2C34B3"/>
    <w:rsid w:val="0D2C3980"/>
    <w:rsid w:val="0D2C3CDA"/>
    <w:rsid w:val="0D2C7836"/>
    <w:rsid w:val="0D2D693B"/>
    <w:rsid w:val="0D2E019B"/>
    <w:rsid w:val="0D2E35AF"/>
    <w:rsid w:val="0D2F57DA"/>
    <w:rsid w:val="0D305579"/>
    <w:rsid w:val="0D3112F1"/>
    <w:rsid w:val="0D31155B"/>
    <w:rsid w:val="0D315E36"/>
    <w:rsid w:val="0D324B68"/>
    <w:rsid w:val="0D35493D"/>
    <w:rsid w:val="0D3606B5"/>
    <w:rsid w:val="0D3635FF"/>
    <w:rsid w:val="0D363A05"/>
    <w:rsid w:val="0D363F3D"/>
    <w:rsid w:val="0D370B75"/>
    <w:rsid w:val="0D373A0B"/>
    <w:rsid w:val="0D3753CD"/>
    <w:rsid w:val="0D37631D"/>
    <w:rsid w:val="0D38267F"/>
    <w:rsid w:val="0D395A18"/>
    <w:rsid w:val="0D3A01A5"/>
    <w:rsid w:val="0D3A1F53"/>
    <w:rsid w:val="0D3A63F7"/>
    <w:rsid w:val="0D3B3F1D"/>
    <w:rsid w:val="0D3D1A44"/>
    <w:rsid w:val="0D3D29DA"/>
    <w:rsid w:val="0D3D7AFE"/>
    <w:rsid w:val="0D3D7C96"/>
    <w:rsid w:val="0D3F0B91"/>
    <w:rsid w:val="0D3F3A0E"/>
    <w:rsid w:val="0D3F6730"/>
    <w:rsid w:val="0D40588F"/>
    <w:rsid w:val="0D410113"/>
    <w:rsid w:val="0D41549B"/>
    <w:rsid w:val="0D416FDA"/>
    <w:rsid w:val="0D417786"/>
    <w:rsid w:val="0D421C2C"/>
    <w:rsid w:val="0D4224D6"/>
    <w:rsid w:val="0D423C21"/>
    <w:rsid w:val="0D4252AC"/>
    <w:rsid w:val="0D42622D"/>
    <w:rsid w:val="0D4330C4"/>
    <w:rsid w:val="0D440477"/>
    <w:rsid w:val="0D441024"/>
    <w:rsid w:val="0D444CB5"/>
    <w:rsid w:val="0D445320"/>
    <w:rsid w:val="0D447276"/>
    <w:rsid w:val="0D447CF4"/>
    <w:rsid w:val="0D447EB9"/>
    <w:rsid w:val="0D452829"/>
    <w:rsid w:val="0D460B9B"/>
    <w:rsid w:val="0D463A32"/>
    <w:rsid w:val="0D466B4A"/>
    <w:rsid w:val="0D470B14"/>
    <w:rsid w:val="0D471192"/>
    <w:rsid w:val="0D4728C2"/>
    <w:rsid w:val="0D474EC2"/>
    <w:rsid w:val="0D480F23"/>
    <w:rsid w:val="0D484020"/>
    <w:rsid w:val="0D4947F0"/>
    <w:rsid w:val="0D49663A"/>
    <w:rsid w:val="0D4A24CF"/>
    <w:rsid w:val="0D4A5F0F"/>
    <w:rsid w:val="0D4A7718"/>
    <w:rsid w:val="0D4B2102"/>
    <w:rsid w:val="0D4B23B2"/>
    <w:rsid w:val="0D4B4CD3"/>
    <w:rsid w:val="0D4B5661"/>
    <w:rsid w:val="0D4C3218"/>
    <w:rsid w:val="0D4D4243"/>
    <w:rsid w:val="0D4E57BC"/>
    <w:rsid w:val="0D4E6B45"/>
    <w:rsid w:val="0D4F1435"/>
    <w:rsid w:val="0D501777"/>
    <w:rsid w:val="0D51729D"/>
    <w:rsid w:val="0D521166"/>
    <w:rsid w:val="0D52243E"/>
    <w:rsid w:val="0D523741"/>
    <w:rsid w:val="0D527CB5"/>
    <w:rsid w:val="0D531267"/>
    <w:rsid w:val="0D5326BA"/>
    <w:rsid w:val="0D533015"/>
    <w:rsid w:val="0D5415F9"/>
    <w:rsid w:val="0D544BF4"/>
    <w:rsid w:val="0D5474C6"/>
    <w:rsid w:val="0D550432"/>
    <w:rsid w:val="0D562B05"/>
    <w:rsid w:val="0D564F20"/>
    <w:rsid w:val="0D570D57"/>
    <w:rsid w:val="0D5756F8"/>
    <w:rsid w:val="0D5758FA"/>
    <w:rsid w:val="0D58062B"/>
    <w:rsid w:val="0D584ACF"/>
    <w:rsid w:val="0D58687D"/>
    <w:rsid w:val="0D5A0848"/>
    <w:rsid w:val="0D5A1BF7"/>
    <w:rsid w:val="0D5A3338"/>
    <w:rsid w:val="0D5B011C"/>
    <w:rsid w:val="0D5C5C58"/>
    <w:rsid w:val="0D5C636E"/>
    <w:rsid w:val="0D5D09CB"/>
    <w:rsid w:val="0D5D3E94"/>
    <w:rsid w:val="0D5D466A"/>
    <w:rsid w:val="0D5F45D9"/>
    <w:rsid w:val="0D5F75F8"/>
    <w:rsid w:val="0D5F7C0C"/>
    <w:rsid w:val="0D605732"/>
    <w:rsid w:val="0D607FBA"/>
    <w:rsid w:val="0D613984"/>
    <w:rsid w:val="0D614059"/>
    <w:rsid w:val="0D621C7D"/>
    <w:rsid w:val="0D63594E"/>
    <w:rsid w:val="0D643474"/>
    <w:rsid w:val="0D6443EA"/>
    <w:rsid w:val="0D645222"/>
    <w:rsid w:val="0D646FBB"/>
    <w:rsid w:val="0D646FD0"/>
    <w:rsid w:val="0D65084A"/>
    <w:rsid w:val="0D651D90"/>
    <w:rsid w:val="0D657536"/>
    <w:rsid w:val="0D6613E9"/>
    <w:rsid w:val="0D6652BB"/>
    <w:rsid w:val="0D6671EC"/>
    <w:rsid w:val="0D6764EE"/>
    <w:rsid w:val="0D676AC1"/>
    <w:rsid w:val="0D683F0C"/>
    <w:rsid w:val="0D69025C"/>
    <w:rsid w:val="0D690A8B"/>
    <w:rsid w:val="0D692839"/>
    <w:rsid w:val="0D6A16EC"/>
    <w:rsid w:val="0D6C2329"/>
    <w:rsid w:val="0D6C40D7"/>
    <w:rsid w:val="0D6C5454"/>
    <w:rsid w:val="0D6D057B"/>
    <w:rsid w:val="0D6D54A4"/>
    <w:rsid w:val="0D6E2C3E"/>
    <w:rsid w:val="0D6E759D"/>
    <w:rsid w:val="0D70010A"/>
    <w:rsid w:val="0D7002CE"/>
    <w:rsid w:val="0D700C7C"/>
    <w:rsid w:val="0D704080"/>
    <w:rsid w:val="0D7116ED"/>
    <w:rsid w:val="0D725B91"/>
    <w:rsid w:val="0D731E53"/>
    <w:rsid w:val="0D7336B7"/>
    <w:rsid w:val="0D7341AF"/>
    <w:rsid w:val="0D735465"/>
    <w:rsid w:val="0D740358"/>
    <w:rsid w:val="0D7511DD"/>
    <w:rsid w:val="0D7532D3"/>
    <w:rsid w:val="0D755681"/>
    <w:rsid w:val="0D767219"/>
    <w:rsid w:val="0D767C8F"/>
    <w:rsid w:val="0D771816"/>
    <w:rsid w:val="0D774F56"/>
    <w:rsid w:val="0D7778A3"/>
    <w:rsid w:val="0D784F7F"/>
    <w:rsid w:val="0D7868C1"/>
    <w:rsid w:val="0D786F20"/>
    <w:rsid w:val="0D793A63"/>
    <w:rsid w:val="0D7A2C98"/>
    <w:rsid w:val="0D7A67F4"/>
    <w:rsid w:val="0D7A71EA"/>
    <w:rsid w:val="0D7B0568"/>
    <w:rsid w:val="0D7C07BE"/>
    <w:rsid w:val="0D7C1802"/>
    <w:rsid w:val="0D7C723F"/>
    <w:rsid w:val="0D7C782F"/>
    <w:rsid w:val="0D7E1E3A"/>
    <w:rsid w:val="0D7E2680"/>
    <w:rsid w:val="0D7F0B16"/>
    <w:rsid w:val="0D7F305A"/>
    <w:rsid w:val="0D813761"/>
    <w:rsid w:val="0D817B82"/>
    <w:rsid w:val="0D832544"/>
    <w:rsid w:val="0D836286"/>
    <w:rsid w:val="0D841421"/>
    <w:rsid w:val="0D84563B"/>
    <w:rsid w:val="0D8458C4"/>
    <w:rsid w:val="0D847672"/>
    <w:rsid w:val="0D8527E1"/>
    <w:rsid w:val="0D860802"/>
    <w:rsid w:val="0D8633EB"/>
    <w:rsid w:val="0D870F11"/>
    <w:rsid w:val="0D875BC9"/>
    <w:rsid w:val="0D887163"/>
    <w:rsid w:val="0D892919"/>
    <w:rsid w:val="0D892EDB"/>
    <w:rsid w:val="0D894C89"/>
    <w:rsid w:val="0D896A37"/>
    <w:rsid w:val="0D8B1867"/>
    <w:rsid w:val="0D8C6E04"/>
    <w:rsid w:val="0D8D29CB"/>
    <w:rsid w:val="0D8D4779"/>
    <w:rsid w:val="0D8E04F1"/>
    <w:rsid w:val="0D8E229F"/>
    <w:rsid w:val="0D8E6743"/>
    <w:rsid w:val="0D904269"/>
    <w:rsid w:val="0D906017"/>
    <w:rsid w:val="0D921D8F"/>
    <w:rsid w:val="0D927FE1"/>
    <w:rsid w:val="0D9371FC"/>
    <w:rsid w:val="0D941C45"/>
    <w:rsid w:val="0D961154"/>
    <w:rsid w:val="0D9647DD"/>
    <w:rsid w:val="0D9649FA"/>
    <w:rsid w:val="0D975C8E"/>
    <w:rsid w:val="0D97781A"/>
    <w:rsid w:val="0D981B99"/>
    <w:rsid w:val="0D984ECC"/>
    <w:rsid w:val="0D991370"/>
    <w:rsid w:val="0D996408"/>
    <w:rsid w:val="0D9A07CB"/>
    <w:rsid w:val="0D9A09FB"/>
    <w:rsid w:val="0D9A0C44"/>
    <w:rsid w:val="0D9A50E8"/>
    <w:rsid w:val="0D9A6E96"/>
    <w:rsid w:val="0D9B1C5B"/>
    <w:rsid w:val="0D9C2C0E"/>
    <w:rsid w:val="0D9C47B0"/>
    <w:rsid w:val="0D9C49BC"/>
    <w:rsid w:val="0D9D24E2"/>
    <w:rsid w:val="0D9D457B"/>
    <w:rsid w:val="0D9D4A28"/>
    <w:rsid w:val="0D9E2637"/>
    <w:rsid w:val="0D9E45CC"/>
    <w:rsid w:val="0D9E5A0B"/>
    <w:rsid w:val="0D9E6986"/>
    <w:rsid w:val="0D9F44AC"/>
    <w:rsid w:val="0D9F625A"/>
    <w:rsid w:val="0D9F74A7"/>
    <w:rsid w:val="0DA037A2"/>
    <w:rsid w:val="0DA11FD2"/>
    <w:rsid w:val="0DA16476"/>
    <w:rsid w:val="0DA21027"/>
    <w:rsid w:val="0DA25D4B"/>
    <w:rsid w:val="0DA403AF"/>
    <w:rsid w:val="0DA50530"/>
    <w:rsid w:val="0DA558DE"/>
    <w:rsid w:val="0DA561AA"/>
    <w:rsid w:val="0DA63DC7"/>
    <w:rsid w:val="0DA6583B"/>
    <w:rsid w:val="0DA87805"/>
    <w:rsid w:val="0DA90E87"/>
    <w:rsid w:val="0DA91745"/>
    <w:rsid w:val="0DA96B50"/>
    <w:rsid w:val="0DAA5D43"/>
    <w:rsid w:val="0DAD6BC9"/>
    <w:rsid w:val="0DAE00D1"/>
    <w:rsid w:val="0DAE2941"/>
    <w:rsid w:val="0DAF0B93"/>
    <w:rsid w:val="0DAF6990"/>
    <w:rsid w:val="0DB02216"/>
    <w:rsid w:val="0DB2238F"/>
    <w:rsid w:val="0DB22432"/>
    <w:rsid w:val="0DB241E0"/>
    <w:rsid w:val="0DB25311"/>
    <w:rsid w:val="0DB25F8E"/>
    <w:rsid w:val="0DB37F58"/>
    <w:rsid w:val="0DB41372"/>
    <w:rsid w:val="0DB429A2"/>
    <w:rsid w:val="0DB461AA"/>
    <w:rsid w:val="0DB51369"/>
    <w:rsid w:val="0DB51F6F"/>
    <w:rsid w:val="0DB53CD0"/>
    <w:rsid w:val="0DB5460E"/>
    <w:rsid w:val="0DB61184"/>
    <w:rsid w:val="0DB64E5E"/>
    <w:rsid w:val="0DB66863"/>
    <w:rsid w:val="0DB717F6"/>
    <w:rsid w:val="0DB80CEF"/>
    <w:rsid w:val="0DB84F50"/>
    <w:rsid w:val="0DB852C2"/>
    <w:rsid w:val="0DB92C82"/>
    <w:rsid w:val="0DB93D54"/>
    <w:rsid w:val="0DBA08FC"/>
    <w:rsid w:val="0DBA10BB"/>
    <w:rsid w:val="0DBA12E6"/>
    <w:rsid w:val="0DBA3AA3"/>
    <w:rsid w:val="0DBA7F7C"/>
    <w:rsid w:val="0DBB598B"/>
    <w:rsid w:val="0DBC26D5"/>
    <w:rsid w:val="0DBC4BC8"/>
    <w:rsid w:val="0DBC5CC2"/>
    <w:rsid w:val="0DBC6828"/>
    <w:rsid w:val="0DBD3B65"/>
    <w:rsid w:val="0DBD4932"/>
    <w:rsid w:val="0DBE2B84"/>
    <w:rsid w:val="0DBE5B5B"/>
    <w:rsid w:val="0DBF4B4E"/>
    <w:rsid w:val="0DBF68FD"/>
    <w:rsid w:val="0DC108C7"/>
    <w:rsid w:val="0DC161D1"/>
    <w:rsid w:val="0DC17C97"/>
    <w:rsid w:val="0DC23187"/>
    <w:rsid w:val="0DC2517F"/>
    <w:rsid w:val="0DC36FAB"/>
    <w:rsid w:val="0DC43991"/>
    <w:rsid w:val="0DC43F13"/>
    <w:rsid w:val="0DC44067"/>
    <w:rsid w:val="0DC47199"/>
    <w:rsid w:val="0DC50BB6"/>
    <w:rsid w:val="0DC53787"/>
    <w:rsid w:val="0DC65EDD"/>
    <w:rsid w:val="0DC664D3"/>
    <w:rsid w:val="0DC707B4"/>
    <w:rsid w:val="0DC777E8"/>
    <w:rsid w:val="0DC806F7"/>
    <w:rsid w:val="0DC80CB3"/>
    <w:rsid w:val="0DC81D20"/>
    <w:rsid w:val="0DC84B45"/>
    <w:rsid w:val="0DC92095"/>
    <w:rsid w:val="0DC9260A"/>
    <w:rsid w:val="0DC932D7"/>
    <w:rsid w:val="0DC96871"/>
    <w:rsid w:val="0DCA2A4D"/>
    <w:rsid w:val="0DCB34F3"/>
    <w:rsid w:val="0DCB704F"/>
    <w:rsid w:val="0DCB75F9"/>
    <w:rsid w:val="0DCC56A5"/>
    <w:rsid w:val="0DCD0290"/>
    <w:rsid w:val="0DCD726B"/>
    <w:rsid w:val="0DCE6ECC"/>
    <w:rsid w:val="0DCF1D7B"/>
    <w:rsid w:val="0DCF7BC4"/>
    <w:rsid w:val="0DD000B1"/>
    <w:rsid w:val="0DD00B0A"/>
    <w:rsid w:val="0DD00E30"/>
    <w:rsid w:val="0DD01663"/>
    <w:rsid w:val="0DD1743B"/>
    <w:rsid w:val="0DD17D5D"/>
    <w:rsid w:val="0DD31FF4"/>
    <w:rsid w:val="0DD35D8B"/>
    <w:rsid w:val="0DD423A8"/>
    <w:rsid w:val="0DD445E5"/>
    <w:rsid w:val="0DD4721B"/>
    <w:rsid w:val="0DD506AB"/>
    <w:rsid w:val="0DD56120"/>
    <w:rsid w:val="0DD61B3B"/>
    <w:rsid w:val="0DD665BF"/>
    <w:rsid w:val="0DD666EF"/>
    <w:rsid w:val="0DD73A08"/>
    <w:rsid w:val="0DD8099E"/>
    <w:rsid w:val="0DD81478"/>
    <w:rsid w:val="0DD979BE"/>
    <w:rsid w:val="0DDA0137"/>
    <w:rsid w:val="0DDA308D"/>
    <w:rsid w:val="0DDA3736"/>
    <w:rsid w:val="0DDA3875"/>
    <w:rsid w:val="0DDA3F30"/>
    <w:rsid w:val="0DDA7292"/>
    <w:rsid w:val="0DDC300B"/>
    <w:rsid w:val="0DDC6E3D"/>
    <w:rsid w:val="0DDD1A0E"/>
    <w:rsid w:val="0DDD3D4B"/>
    <w:rsid w:val="0DDD6D83"/>
    <w:rsid w:val="0DDE3227"/>
    <w:rsid w:val="0DDF1A07"/>
    <w:rsid w:val="0DDF5A6F"/>
    <w:rsid w:val="0DDF6E53"/>
    <w:rsid w:val="0DE10795"/>
    <w:rsid w:val="0DE1181F"/>
    <w:rsid w:val="0DE14AC5"/>
    <w:rsid w:val="0DE1663B"/>
    <w:rsid w:val="0DE16873"/>
    <w:rsid w:val="0DE234CC"/>
    <w:rsid w:val="0DE31A28"/>
    <w:rsid w:val="0DE31E64"/>
    <w:rsid w:val="0DE31F16"/>
    <w:rsid w:val="0DE325EB"/>
    <w:rsid w:val="0DE34399"/>
    <w:rsid w:val="0DE35880"/>
    <w:rsid w:val="0DE402AD"/>
    <w:rsid w:val="0DE42C25"/>
    <w:rsid w:val="0DE446C8"/>
    <w:rsid w:val="0DE46363"/>
    <w:rsid w:val="0DE6032D"/>
    <w:rsid w:val="0DE6290A"/>
    <w:rsid w:val="0DE64201"/>
    <w:rsid w:val="0DE64C3D"/>
    <w:rsid w:val="0DE85E53"/>
    <w:rsid w:val="0DE86B21"/>
    <w:rsid w:val="0DE87C01"/>
    <w:rsid w:val="0DE93979"/>
    <w:rsid w:val="0DE95727"/>
    <w:rsid w:val="0DEA1BCB"/>
    <w:rsid w:val="0DEA1DEA"/>
    <w:rsid w:val="0DEB2B73"/>
    <w:rsid w:val="0DEB5944"/>
    <w:rsid w:val="0DEB76F2"/>
    <w:rsid w:val="0DEC55AB"/>
    <w:rsid w:val="0DED346A"/>
    <w:rsid w:val="0DED5218"/>
    <w:rsid w:val="0DEE0F90"/>
    <w:rsid w:val="0DEF3359"/>
    <w:rsid w:val="0DEF3493"/>
    <w:rsid w:val="0DEF6259"/>
    <w:rsid w:val="0DF0019A"/>
    <w:rsid w:val="0DF0289C"/>
    <w:rsid w:val="0DF04D08"/>
    <w:rsid w:val="0DF177D2"/>
    <w:rsid w:val="0DF2282E"/>
    <w:rsid w:val="0DF27149"/>
    <w:rsid w:val="0DF353A1"/>
    <w:rsid w:val="0DF4262E"/>
    <w:rsid w:val="0DF46805"/>
    <w:rsid w:val="0DF470F6"/>
    <w:rsid w:val="0DF540CC"/>
    <w:rsid w:val="0DF5586B"/>
    <w:rsid w:val="0DF56D87"/>
    <w:rsid w:val="0DF5731A"/>
    <w:rsid w:val="0DF63CF6"/>
    <w:rsid w:val="0DF73A45"/>
    <w:rsid w:val="0DF742E8"/>
    <w:rsid w:val="0DF76096"/>
    <w:rsid w:val="0DF90060"/>
    <w:rsid w:val="0DF93BBD"/>
    <w:rsid w:val="0DF94527"/>
    <w:rsid w:val="0DFA0F36"/>
    <w:rsid w:val="0DFA16E3"/>
    <w:rsid w:val="0DFA3B07"/>
    <w:rsid w:val="0DFA503F"/>
    <w:rsid w:val="0DFA5F3F"/>
    <w:rsid w:val="0DFA7935"/>
    <w:rsid w:val="0DFB570C"/>
    <w:rsid w:val="0DFC36AD"/>
    <w:rsid w:val="0DFC4DFE"/>
    <w:rsid w:val="0DFD64FC"/>
    <w:rsid w:val="0DFD78B7"/>
    <w:rsid w:val="0DFE0D47"/>
    <w:rsid w:val="0DFE2488"/>
    <w:rsid w:val="0DFE4D0E"/>
    <w:rsid w:val="0DFE4EC3"/>
    <w:rsid w:val="0DFE5677"/>
    <w:rsid w:val="0DFF319D"/>
    <w:rsid w:val="0DFF4F4B"/>
    <w:rsid w:val="0E0013EF"/>
    <w:rsid w:val="0E00216F"/>
    <w:rsid w:val="0E010CC3"/>
    <w:rsid w:val="0E0218EC"/>
    <w:rsid w:val="0E022299"/>
    <w:rsid w:val="0E022F77"/>
    <w:rsid w:val="0E034A3B"/>
    <w:rsid w:val="0E041620"/>
    <w:rsid w:val="0E042561"/>
    <w:rsid w:val="0E043E9D"/>
    <w:rsid w:val="0E044CA5"/>
    <w:rsid w:val="0E045213"/>
    <w:rsid w:val="0E050C1A"/>
    <w:rsid w:val="0E056A05"/>
    <w:rsid w:val="0E064056"/>
    <w:rsid w:val="0E083E00"/>
    <w:rsid w:val="0E087D05"/>
    <w:rsid w:val="0E091C61"/>
    <w:rsid w:val="0E0A3037"/>
    <w:rsid w:val="0E0A35FC"/>
    <w:rsid w:val="0E0B11FA"/>
    <w:rsid w:val="0E0B1B42"/>
    <w:rsid w:val="0E0B38F0"/>
    <w:rsid w:val="0E0C5E83"/>
    <w:rsid w:val="0E0D4121"/>
    <w:rsid w:val="0E0E0013"/>
    <w:rsid w:val="0E0E518E"/>
    <w:rsid w:val="0E0F09F1"/>
    <w:rsid w:val="0E10093A"/>
    <w:rsid w:val="0E1053AA"/>
    <w:rsid w:val="0E105F62"/>
    <w:rsid w:val="0E124C7E"/>
    <w:rsid w:val="0E131963"/>
    <w:rsid w:val="0E1327A4"/>
    <w:rsid w:val="0E132C02"/>
    <w:rsid w:val="0E1409F6"/>
    <w:rsid w:val="0E146C48"/>
    <w:rsid w:val="0E1516DC"/>
    <w:rsid w:val="0E1529C0"/>
    <w:rsid w:val="0E152F1F"/>
    <w:rsid w:val="0E15651D"/>
    <w:rsid w:val="0E1704E7"/>
    <w:rsid w:val="0E172295"/>
    <w:rsid w:val="0E1801A7"/>
    <w:rsid w:val="0E1844BF"/>
    <w:rsid w:val="0E185C00"/>
    <w:rsid w:val="0E194322"/>
    <w:rsid w:val="0E19600D"/>
    <w:rsid w:val="0E197090"/>
    <w:rsid w:val="0E1A1D85"/>
    <w:rsid w:val="0E1A2554"/>
    <w:rsid w:val="0E1A2A75"/>
    <w:rsid w:val="0E1A2C2A"/>
    <w:rsid w:val="0E1A3B33"/>
    <w:rsid w:val="0E1B1CC8"/>
    <w:rsid w:val="0E1B7FD7"/>
    <w:rsid w:val="0E1C0969"/>
    <w:rsid w:val="0E1C2E40"/>
    <w:rsid w:val="0E1C42D0"/>
    <w:rsid w:val="0E1C78AB"/>
    <w:rsid w:val="0E1D7FA5"/>
    <w:rsid w:val="0E1E0260"/>
    <w:rsid w:val="0E1E1875"/>
    <w:rsid w:val="0E2055ED"/>
    <w:rsid w:val="0E211365"/>
    <w:rsid w:val="0E211E3C"/>
    <w:rsid w:val="0E221883"/>
    <w:rsid w:val="0E23781C"/>
    <w:rsid w:val="0E240823"/>
    <w:rsid w:val="0E2449B2"/>
    <w:rsid w:val="0E250E55"/>
    <w:rsid w:val="0E252C04"/>
    <w:rsid w:val="0E252E83"/>
    <w:rsid w:val="0E26072A"/>
    <w:rsid w:val="0E266744"/>
    <w:rsid w:val="0E26697C"/>
    <w:rsid w:val="0E2714DC"/>
    <w:rsid w:val="0E2826F4"/>
    <w:rsid w:val="0E2944A5"/>
    <w:rsid w:val="0E294810"/>
    <w:rsid w:val="0E294D03"/>
    <w:rsid w:val="0E29509C"/>
    <w:rsid w:val="0E2A0014"/>
    <w:rsid w:val="0E2A021A"/>
    <w:rsid w:val="0E2A15BE"/>
    <w:rsid w:val="0E2B0A41"/>
    <w:rsid w:val="0E2B31D7"/>
    <w:rsid w:val="0E2B3F92"/>
    <w:rsid w:val="0E2B5106"/>
    <w:rsid w:val="0E2C21E4"/>
    <w:rsid w:val="0E2C4F72"/>
    <w:rsid w:val="0E2D0DC0"/>
    <w:rsid w:val="0E2D1AB8"/>
    <w:rsid w:val="0E2F11B5"/>
    <w:rsid w:val="0E2F4C4F"/>
    <w:rsid w:val="0E2F5830"/>
    <w:rsid w:val="0E2F5C8A"/>
    <w:rsid w:val="0E3015A8"/>
    <w:rsid w:val="0E303356"/>
    <w:rsid w:val="0E3167A6"/>
    <w:rsid w:val="0E320E7D"/>
    <w:rsid w:val="0E325320"/>
    <w:rsid w:val="0E332807"/>
    <w:rsid w:val="0E341099"/>
    <w:rsid w:val="0E342E47"/>
    <w:rsid w:val="0E344BF5"/>
    <w:rsid w:val="0E34673F"/>
    <w:rsid w:val="0E3578CE"/>
    <w:rsid w:val="0E36006C"/>
    <w:rsid w:val="0E370B89"/>
    <w:rsid w:val="0E370ED7"/>
    <w:rsid w:val="0E372618"/>
    <w:rsid w:val="0E3746E5"/>
    <w:rsid w:val="0E386917"/>
    <w:rsid w:val="0E39045D"/>
    <w:rsid w:val="0E39220B"/>
    <w:rsid w:val="0E39450E"/>
    <w:rsid w:val="0E3A63C8"/>
    <w:rsid w:val="0E3B1B1E"/>
    <w:rsid w:val="0E3B2427"/>
    <w:rsid w:val="0E3B2429"/>
    <w:rsid w:val="0E3B58C3"/>
    <w:rsid w:val="0E3C4731"/>
    <w:rsid w:val="0E3C619F"/>
    <w:rsid w:val="0E3C7F4D"/>
    <w:rsid w:val="0E3E1868"/>
    <w:rsid w:val="0E3E1A21"/>
    <w:rsid w:val="0E3E1F17"/>
    <w:rsid w:val="0E3E2975"/>
    <w:rsid w:val="0E3E5A73"/>
    <w:rsid w:val="0E3E738C"/>
    <w:rsid w:val="0E3F5838"/>
    <w:rsid w:val="0E4017EB"/>
    <w:rsid w:val="0E40543F"/>
    <w:rsid w:val="0E40562A"/>
    <w:rsid w:val="0E4137B5"/>
    <w:rsid w:val="0E4236F3"/>
    <w:rsid w:val="0E4278B6"/>
    <w:rsid w:val="0E43308A"/>
    <w:rsid w:val="0E43752E"/>
    <w:rsid w:val="0E440BB0"/>
    <w:rsid w:val="0E44204B"/>
    <w:rsid w:val="0E44771D"/>
    <w:rsid w:val="0E451EA1"/>
    <w:rsid w:val="0E456E02"/>
    <w:rsid w:val="0E457ECF"/>
    <w:rsid w:val="0E457FBF"/>
    <w:rsid w:val="0E464928"/>
    <w:rsid w:val="0E466D96"/>
    <w:rsid w:val="0E470A1E"/>
    <w:rsid w:val="0E4806A0"/>
    <w:rsid w:val="0E483C87"/>
    <w:rsid w:val="0E48414B"/>
    <w:rsid w:val="0E484B44"/>
    <w:rsid w:val="0E4868F2"/>
    <w:rsid w:val="0E4A08BC"/>
    <w:rsid w:val="0E4D215A"/>
    <w:rsid w:val="0E4D3F08"/>
    <w:rsid w:val="0E4D7C0C"/>
    <w:rsid w:val="0E4E1931"/>
    <w:rsid w:val="0E4E3AD0"/>
    <w:rsid w:val="0E4E740F"/>
    <w:rsid w:val="0E4F6A57"/>
    <w:rsid w:val="0E4F6E68"/>
    <w:rsid w:val="0E4F7062"/>
    <w:rsid w:val="0E5131BF"/>
    <w:rsid w:val="0E513AD0"/>
    <w:rsid w:val="0E52151F"/>
    <w:rsid w:val="0E5232CD"/>
    <w:rsid w:val="0E526B59"/>
    <w:rsid w:val="0E527771"/>
    <w:rsid w:val="0E532E33"/>
    <w:rsid w:val="0E540321"/>
    <w:rsid w:val="0E544313"/>
    <w:rsid w:val="0E5459D4"/>
    <w:rsid w:val="0E552FD0"/>
    <w:rsid w:val="0E56100F"/>
    <w:rsid w:val="0E5627B9"/>
    <w:rsid w:val="0E562B24"/>
    <w:rsid w:val="0E576B35"/>
    <w:rsid w:val="0E582C0E"/>
    <w:rsid w:val="0E583092"/>
    <w:rsid w:val="0E58315B"/>
    <w:rsid w:val="0E590AFF"/>
    <w:rsid w:val="0E594522"/>
    <w:rsid w:val="0E594F0E"/>
    <w:rsid w:val="0E5A03D3"/>
    <w:rsid w:val="0E5B420D"/>
    <w:rsid w:val="0E5B4877"/>
    <w:rsid w:val="0E5B5064"/>
    <w:rsid w:val="0E5B77C1"/>
    <w:rsid w:val="0E5C05EF"/>
    <w:rsid w:val="0E5C1D7B"/>
    <w:rsid w:val="0E5C239D"/>
    <w:rsid w:val="0E5C2EA3"/>
    <w:rsid w:val="0E5D1F13"/>
    <w:rsid w:val="0E5D785A"/>
    <w:rsid w:val="0E5E4365"/>
    <w:rsid w:val="0E5E6115"/>
    <w:rsid w:val="0E5F6F77"/>
    <w:rsid w:val="0E600034"/>
    <w:rsid w:val="0E601824"/>
    <w:rsid w:val="0E611573"/>
    <w:rsid w:val="0E616A5B"/>
    <w:rsid w:val="0E625C06"/>
    <w:rsid w:val="0E6271C6"/>
    <w:rsid w:val="0E63197E"/>
    <w:rsid w:val="0E6354DA"/>
    <w:rsid w:val="0E63743D"/>
    <w:rsid w:val="0E640306"/>
    <w:rsid w:val="0E642DB1"/>
    <w:rsid w:val="0E647EF4"/>
    <w:rsid w:val="0E651252"/>
    <w:rsid w:val="0E651C69"/>
    <w:rsid w:val="0E6574A4"/>
    <w:rsid w:val="0E665368"/>
    <w:rsid w:val="0E666D78"/>
    <w:rsid w:val="0E6730AE"/>
    <w:rsid w:val="0E67321C"/>
    <w:rsid w:val="0E676422"/>
    <w:rsid w:val="0E680D42"/>
    <w:rsid w:val="0E682AF0"/>
    <w:rsid w:val="0E687BC4"/>
    <w:rsid w:val="0E687FA4"/>
    <w:rsid w:val="0E690100"/>
    <w:rsid w:val="0E697251"/>
    <w:rsid w:val="0E6A2A03"/>
    <w:rsid w:val="0E6A4D02"/>
    <w:rsid w:val="0E6A54A7"/>
    <w:rsid w:val="0E6A6868"/>
    <w:rsid w:val="0E6B21BA"/>
    <w:rsid w:val="0E6C0137"/>
    <w:rsid w:val="0E6C1162"/>
    <w:rsid w:val="0E6C1749"/>
    <w:rsid w:val="0E6D0107"/>
    <w:rsid w:val="0E6D2076"/>
    <w:rsid w:val="0E6D45AA"/>
    <w:rsid w:val="0E6E3645"/>
    <w:rsid w:val="0E6F3E7F"/>
    <w:rsid w:val="0E6F40CC"/>
    <w:rsid w:val="0E70166B"/>
    <w:rsid w:val="0E7019A5"/>
    <w:rsid w:val="0E7027A9"/>
    <w:rsid w:val="0E704992"/>
    <w:rsid w:val="0E711068"/>
    <w:rsid w:val="0E71367E"/>
    <w:rsid w:val="0E715E49"/>
    <w:rsid w:val="0E721BC1"/>
    <w:rsid w:val="0E726137"/>
    <w:rsid w:val="0E726AA3"/>
    <w:rsid w:val="0E73034D"/>
    <w:rsid w:val="0E751F9C"/>
    <w:rsid w:val="0E7606D3"/>
    <w:rsid w:val="0E760C28"/>
    <w:rsid w:val="0E7616B1"/>
    <w:rsid w:val="0E763A4A"/>
    <w:rsid w:val="0E7659DC"/>
    <w:rsid w:val="0E780968"/>
    <w:rsid w:val="0E786D61"/>
    <w:rsid w:val="0E7911B3"/>
    <w:rsid w:val="0E793654"/>
    <w:rsid w:val="0E7A4AE4"/>
    <w:rsid w:val="0E7B0A75"/>
    <w:rsid w:val="0E7C617B"/>
    <w:rsid w:val="0E7D2A40"/>
    <w:rsid w:val="0E7E2314"/>
    <w:rsid w:val="0E7E4DAD"/>
    <w:rsid w:val="0E7E7133"/>
    <w:rsid w:val="0E7E744D"/>
    <w:rsid w:val="0E7F0B64"/>
    <w:rsid w:val="0E7F32FE"/>
    <w:rsid w:val="0E7F3AAA"/>
    <w:rsid w:val="0E7F6C03"/>
    <w:rsid w:val="0E8042DE"/>
    <w:rsid w:val="0E811086"/>
    <w:rsid w:val="0E811E04"/>
    <w:rsid w:val="0E820706"/>
    <w:rsid w:val="0E8223A4"/>
    <w:rsid w:val="0E843362"/>
    <w:rsid w:val="0E847F74"/>
    <w:rsid w:val="0E86030D"/>
    <w:rsid w:val="0E86353F"/>
    <w:rsid w:val="0E8649CF"/>
    <w:rsid w:val="0E883192"/>
    <w:rsid w:val="0E884F40"/>
    <w:rsid w:val="0E89077F"/>
    <w:rsid w:val="0E8A16A4"/>
    <w:rsid w:val="0E8A515C"/>
    <w:rsid w:val="0E8A6F0A"/>
    <w:rsid w:val="0E8A76E7"/>
    <w:rsid w:val="0E8A7F6C"/>
    <w:rsid w:val="0E8B182E"/>
    <w:rsid w:val="0E8B27D9"/>
    <w:rsid w:val="0E8B67DF"/>
    <w:rsid w:val="0E8C07DE"/>
    <w:rsid w:val="0E8C2C83"/>
    <w:rsid w:val="0E8C4A31"/>
    <w:rsid w:val="0E8D0529"/>
    <w:rsid w:val="0E8D21ED"/>
    <w:rsid w:val="0E8D69FB"/>
    <w:rsid w:val="0E8F43C2"/>
    <w:rsid w:val="0E8F6A62"/>
    <w:rsid w:val="0E8F7796"/>
    <w:rsid w:val="0E8F7F6C"/>
    <w:rsid w:val="0E906C03"/>
    <w:rsid w:val="0E906D30"/>
    <w:rsid w:val="0E910299"/>
    <w:rsid w:val="0E922F72"/>
    <w:rsid w:val="0E93340A"/>
    <w:rsid w:val="0E935DFC"/>
    <w:rsid w:val="0E9438E5"/>
    <w:rsid w:val="0E947D89"/>
    <w:rsid w:val="0E950463"/>
    <w:rsid w:val="0E953E33"/>
    <w:rsid w:val="0E963B01"/>
    <w:rsid w:val="0E965253"/>
    <w:rsid w:val="0E96765D"/>
    <w:rsid w:val="0E9733D5"/>
    <w:rsid w:val="0E9925D7"/>
    <w:rsid w:val="0E9953A0"/>
    <w:rsid w:val="0E995D63"/>
    <w:rsid w:val="0E9A1704"/>
    <w:rsid w:val="0E9A5278"/>
    <w:rsid w:val="0E9B1F30"/>
    <w:rsid w:val="0E9C01D8"/>
    <w:rsid w:val="0E9C0336"/>
    <w:rsid w:val="0E9C09EC"/>
    <w:rsid w:val="0E9C5765"/>
    <w:rsid w:val="0E9D4E90"/>
    <w:rsid w:val="0E9D6C3E"/>
    <w:rsid w:val="0E9D742B"/>
    <w:rsid w:val="0E9E687B"/>
    <w:rsid w:val="0E9E69EA"/>
    <w:rsid w:val="0E9E6D55"/>
    <w:rsid w:val="0E9F4849"/>
    <w:rsid w:val="0E9F70EB"/>
    <w:rsid w:val="0EA0672E"/>
    <w:rsid w:val="0EA10147"/>
    <w:rsid w:val="0EA16A06"/>
    <w:rsid w:val="0EA22A67"/>
    <w:rsid w:val="0EA24254"/>
    <w:rsid w:val="0EA31D7A"/>
    <w:rsid w:val="0EA36029"/>
    <w:rsid w:val="0EA36836"/>
    <w:rsid w:val="0EA55AF2"/>
    <w:rsid w:val="0EA578A0"/>
    <w:rsid w:val="0EA631EE"/>
    <w:rsid w:val="0EA63619"/>
    <w:rsid w:val="0EA84A46"/>
    <w:rsid w:val="0EA855E3"/>
    <w:rsid w:val="0EA93835"/>
    <w:rsid w:val="0EA97D98"/>
    <w:rsid w:val="0EAA055A"/>
    <w:rsid w:val="0EAB3DCA"/>
    <w:rsid w:val="0EAC66EA"/>
    <w:rsid w:val="0EAC6E81"/>
    <w:rsid w:val="0EAD12BB"/>
    <w:rsid w:val="0EAD2BF9"/>
    <w:rsid w:val="0EAD49A7"/>
    <w:rsid w:val="0EAF071F"/>
    <w:rsid w:val="0EAF2438"/>
    <w:rsid w:val="0EAF24CD"/>
    <w:rsid w:val="0EAF2BD2"/>
    <w:rsid w:val="0EAF327B"/>
    <w:rsid w:val="0EAF4BC3"/>
    <w:rsid w:val="0EAF6D30"/>
    <w:rsid w:val="0EB06912"/>
    <w:rsid w:val="0EB10BA1"/>
    <w:rsid w:val="0EB10D9A"/>
    <w:rsid w:val="0EB16245"/>
    <w:rsid w:val="0EB21FBD"/>
    <w:rsid w:val="0EB243A6"/>
    <w:rsid w:val="0EB27857"/>
    <w:rsid w:val="0EB354C2"/>
    <w:rsid w:val="0EB43F87"/>
    <w:rsid w:val="0EB45D35"/>
    <w:rsid w:val="0EB52D6A"/>
    <w:rsid w:val="0EB56BEC"/>
    <w:rsid w:val="0EB577E3"/>
    <w:rsid w:val="0EB601BD"/>
    <w:rsid w:val="0EB60AB2"/>
    <w:rsid w:val="0EB62CF5"/>
    <w:rsid w:val="0EB6385C"/>
    <w:rsid w:val="0EB67D00"/>
    <w:rsid w:val="0EB73A64"/>
    <w:rsid w:val="0EBA08F7"/>
    <w:rsid w:val="0EBA2845"/>
    <w:rsid w:val="0EBB17B7"/>
    <w:rsid w:val="0EBB3568"/>
    <w:rsid w:val="0EBB38BF"/>
    <w:rsid w:val="0EBB5316"/>
    <w:rsid w:val="0EBC3BE6"/>
    <w:rsid w:val="0EBD108E"/>
    <w:rsid w:val="0EBE6BB4"/>
    <w:rsid w:val="0EBF1F8F"/>
    <w:rsid w:val="0EC07C41"/>
    <w:rsid w:val="0EC10BC1"/>
    <w:rsid w:val="0EC15FF0"/>
    <w:rsid w:val="0EC20452"/>
    <w:rsid w:val="0EC277C2"/>
    <w:rsid w:val="0EC341CA"/>
    <w:rsid w:val="0EC56195"/>
    <w:rsid w:val="0EC57F43"/>
    <w:rsid w:val="0EC7047D"/>
    <w:rsid w:val="0EC71F0D"/>
    <w:rsid w:val="0EC75AE2"/>
    <w:rsid w:val="0EC85EC3"/>
    <w:rsid w:val="0EC87A33"/>
    <w:rsid w:val="0EC97353"/>
    <w:rsid w:val="0ECA5559"/>
    <w:rsid w:val="0ECA573F"/>
    <w:rsid w:val="0ECA723E"/>
    <w:rsid w:val="0ECB3177"/>
    <w:rsid w:val="0ECB3F41"/>
    <w:rsid w:val="0ECC12D1"/>
    <w:rsid w:val="0ECC2DCD"/>
    <w:rsid w:val="0ECC307F"/>
    <w:rsid w:val="0ECC3772"/>
    <w:rsid w:val="0ECD6DF7"/>
    <w:rsid w:val="0ECE5049"/>
    <w:rsid w:val="0ECE62E7"/>
    <w:rsid w:val="0ECF0DC1"/>
    <w:rsid w:val="0ECF2B6F"/>
    <w:rsid w:val="0ECF417B"/>
    <w:rsid w:val="0ED06EF8"/>
    <w:rsid w:val="0ED120DC"/>
    <w:rsid w:val="0ED14B39"/>
    <w:rsid w:val="0ED168E7"/>
    <w:rsid w:val="0ED207DA"/>
    <w:rsid w:val="0ED2440E"/>
    <w:rsid w:val="0ED25E75"/>
    <w:rsid w:val="0ED32660"/>
    <w:rsid w:val="0ED33031"/>
    <w:rsid w:val="0ED4462A"/>
    <w:rsid w:val="0ED463D8"/>
    <w:rsid w:val="0ED56BFB"/>
    <w:rsid w:val="0ED61957"/>
    <w:rsid w:val="0ED65CAC"/>
    <w:rsid w:val="0ED70339"/>
    <w:rsid w:val="0ED71A24"/>
    <w:rsid w:val="0ED72DE7"/>
    <w:rsid w:val="0ED74FEB"/>
    <w:rsid w:val="0ED77DB0"/>
    <w:rsid w:val="0ED805F3"/>
    <w:rsid w:val="0ED84277"/>
    <w:rsid w:val="0EDA1578"/>
    <w:rsid w:val="0EDB59B8"/>
    <w:rsid w:val="0EDB6153"/>
    <w:rsid w:val="0EDB6BE1"/>
    <w:rsid w:val="0EDD528C"/>
    <w:rsid w:val="0EDE1004"/>
    <w:rsid w:val="0EDE2DB2"/>
    <w:rsid w:val="0EDE5AE1"/>
    <w:rsid w:val="0EDF7256"/>
    <w:rsid w:val="0EE000F6"/>
    <w:rsid w:val="0EE02FCE"/>
    <w:rsid w:val="0EE0405F"/>
    <w:rsid w:val="0EE04D7C"/>
    <w:rsid w:val="0EE06B2A"/>
    <w:rsid w:val="0EE23012"/>
    <w:rsid w:val="0EE25329"/>
    <w:rsid w:val="0EE26D46"/>
    <w:rsid w:val="0EE32DFE"/>
    <w:rsid w:val="0EE3741C"/>
    <w:rsid w:val="0EE43F5B"/>
    <w:rsid w:val="0EE53EE8"/>
    <w:rsid w:val="0EE635E4"/>
    <w:rsid w:val="0EE70928"/>
    <w:rsid w:val="0EE76973"/>
    <w:rsid w:val="0EE77EB9"/>
    <w:rsid w:val="0EE859DF"/>
    <w:rsid w:val="0EE91E83"/>
    <w:rsid w:val="0EEA4877"/>
    <w:rsid w:val="0EEA6571"/>
    <w:rsid w:val="0EEA79A9"/>
    <w:rsid w:val="0EEB6E96"/>
    <w:rsid w:val="0EEC0FAC"/>
    <w:rsid w:val="0EEC1973"/>
    <w:rsid w:val="0EED1247"/>
    <w:rsid w:val="0EED7A56"/>
    <w:rsid w:val="0EEF3211"/>
    <w:rsid w:val="0EEF4FBF"/>
    <w:rsid w:val="0EEF6D6E"/>
    <w:rsid w:val="0EEF792D"/>
    <w:rsid w:val="0EF05751"/>
    <w:rsid w:val="0EF10D38"/>
    <w:rsid w:val="0EF16F8A"/>
    <w:rsid w:val="0EF205A1"/>
    <w:rsid w:val="0EF32600"/>
    <w:rsid w:val="0EF32D02"/>
    <w:rsid w:val="0EF3650F"/>
    <w:rsid w:val="0EF40828"/>
    <w:rsid w:val="0EF4524C"/>
    <w:rsid w:val="0EF47F8F"/>
    <w:rsid w:val="0EF546D1"/>
    <w:rsid w:val="0EF54800"/>
    <w:rsid w:val="0EF56A7A"/>
    <w:rsid w:val="0EF600FC"/>
    <w:rsid w:val="0EF67752"/>
    <w:rsid w:val="0EF80318"/>
    <w:rsid w:val="0EF80C90"/>
    <w:rsid w:val="0EF83E74"/>
    <w:rsid w:val="0EF94CF1"/>
    <w:rsid w:val="0EF97BEC"/>
    <w:rsid w:val="0EFA766A"/>
    <w:rsid w:val="0EFB0578"/>
    <w:rsid w:val="0EFB3964"/>
    <w:rsid w:val="0EFE2F29"/>
    <w:rsid w:val="0EFE4EFA"/>
    <w:rsid w:val="0EFE5203"/>
    <w:rsid w:val="0EFE5656"/>
    <w:rsid w:val="0EFF02D2"/>
    <w:rsid w:val="0EFF07A0"/>
    <w:rsid w:val="0EFF6327"/>
    <w:rsid w:val="0F00541F"/>
    <w:rsid w:val="0F006472"/>
    <w:rsid w:val="0F014DE8"/>
    <w:rsid w:val="0F050FCF"/>
    <w:rsid w:val="0F0547E3"/>
    <w:rsid w:val="0F056591"/>
    <w:rsid w:val="0F0740B7"/>
    <w:rsid w:val="0F074CA4"/>
    <w:rsid w:val="0F0772F5"/>
    <w:rsid w:val="0F081EC3"/>
    <w:rsid w:val="0F095EF3"/>
    <w:rsid w:val="0F0A004B"/>
    <w:rsid w:val="0F0A1DF9"/>
    <w:rsid w:val="0F0A5174"/>
    <w:rsid w:val="0F0B5017"/>
    <w:rsid w:val="0F0C28A4"/>
    <w:rsid w:val="0F0C3DC3"/>
    <w:rsid w:val="0F0C791F"/>
    <w:rsid w:val="0F0D5446"/>
    <w:rsid w:val="0F0E18EA"/>
    <w:rsid w:val="0F1003A7"/>
    <w:rsid w:val="0F101AE8"/>
    <w:rsid w:val="0F104F85"/>
    <w:rsid w:val="0F11755C"/>
    <w:rsid w:val="0F127408"/>
    <w:rsid w:val="0F130BC3"/>
    <w:rsid w:val="0F133C04"/>
    <w:rsid w:val="0F135152"/>
    <w:rsid w:val="0F135B13"/>
    <w:rsid w:val="0F135B94"/>
    <w:rsid w:val="0F136F00"/>
    <w:rsid w:val="0F13775A"/>
    <w:rsid w:val="0F144A26"/>
    <w:rsid w:val="0F16254C"/>
    <w:rsid w:val="0F18170A"/>
    <w:rsid w:val="0F18235C"/>
    <w:rsid w:val="0F186B39"/>
    <w:rsid w:val="0F190256"/>
    <w:rsid w:val="0F192B9A"/>
    <w:rsid w:val="0F193E93"/>
    <w:rsid w:val="0F1A64E0"/>
    <w:rsid w:val="0F1B1B48"/>
    <w:rsid w:val="0F1C4739"/>
    <w:rsid w:val="0F1D38DB"/>
    <w:rsid w:val="0F1E7653"/>
    <w:rsid w:val="0F205179"/>
    <w:rsid w:val="0F20644E"/>
    <w:rsid w:val="0F20786F"/>
    <w:rsid w:val="0F210CF5"/>
    <w:rsid w:val="0F220EF1"/>
    <w:rsid w:val="0F22295F"/>
    <w:rsid w:val="0F222CCA"/>
    <w:rsid w:val="0F225395"/>
    <w:rsid w:val="0F227143"/>
    <w:rsid w:val="0F24110D"/>
    <w:rsid w:val="0F242EBB"/>
    <w:rsid w:val="0F243E37"/>
    <w:rsid w:val="0F256C33"/>
    <w:rsid w:val="0F2644AC"/>
    <w:rsid w:val="0F2665B8"/>
    <w:rsid w:val="0F2777B5"/>
    <w:rsid w:val="0F29227F"/>
    <w:rsid w:val="0F293D6D"/>
    <w:rsid w:val="0F294770"/>
    <w:rsid w:val="0F2A424A"/>
    <w:rsid w:val="0F2A5FF8"/>
    <w:rsid w:val="0F2B2135"/>
    <w:rsid w:val="0F2B249C"/>
    <w:rsid w:val="0F2C1D70"/>
    <w:rsid w:val="0F2C6214"/>
    <w:rsid w:val="0F2C643F"/>
    <w:rsid w:val="0F2C7B80"/>
    <w:rsid w:val="0F2C7FC2"/>
    <w:rsid w:val="0F2D75D7"/>
    <w:rsid w:val="0F2E250B"/>
    <w:rsid w:val="0F2E7489"/>
    <w:rsid w:val="0F2E76D7"/>
    <w:rsid w:val="0F2E7896"/>
    <w:rsid w:val="0F2F06D8"/>
    <w:rsid w:val="0F2F1860"/>
    <w:rsid w:val="0F2F360E"/>
    <w:rsid w:val="0F2F6409"/>
    <w:rsid w:val="0F2F65BF"/>
    <w:rsid w:val="0F307991"/>
    <w:rsid w:val="0F307AB2"/>
    <w:rsid w:val="0F31382A"/>
    <w:rsid w:val="0F3139F2"/>
    <w:rsid w:val="0F3155D8"/>
    <w:rsid w:val="0F334EAC"/>
    <w:rsid w:val="0F3375A2"/>
    <w:rsid w:val="0F344D93"/>
    <w:rsid w:val="0F35369B"/>
    <w:rsid w:val="0F3550C8"/>
    <w:rsid w:val="0F360E40"/>
    <w:rsid w:val="0F362BEE"/>
    <w:rsid w:val="0F363803"/>
    <w:rsid w:val="0F370802"/>
    <w:rsid w:val="0F374949"/>
    <w:rsid w:val="0F380715"/>
    <w:rsid w:val="0F384BB8"/>
    <w:rsid w:val="0F386966"/>
    <w:rsid w:val="0F386F5E"/>
    <w:rsid w:val="0F3876C0"/>
    <w:rsid w:val="0F387885"/>
    <w:rsid w:val="0F392C5B"/>
    <w:rsid w:val="0F3A0440"/>
    <w:rsid w:val="0F3A448D"/>
    <w:rsid w:val="0F3B1FB3"/>
    <w:rsid w:val="0F3D375A"/>
    <w:rsid w:val="0F3E4FBF"/>
    <w:rsid w:val="0F3E7FEF"/>
    <w:rsid w:val="0F3F1AA3"/>
    <w:rsid w:val="0F3F5FF6"/>
    <w:rsid w:val="0F3F7243"/>
    <w:rsid w:val="0F403AD3"/>
    <w:rsid w:val="0F40581B"/>
    <w:rsid w:val="0F4075C9"/>
    <w:rsid w:val="0F4111B5"/>
    <w:rsid w:val="0F423341"/>
    <w:rsid w:val="0F433BD0"/>
    <w:rsid w:val="0F44355D"/>
    <w:rsid w:val="0F4470B9"/>
    <w:rsid w:val="0F447AED"/>
    <w:rsid w:val="0F451083"/>
    <w:rsid w:val="0F451097"/>
    <w:rsid w:val="0F452E31"/>
    <w:rsid w:val="0F454596"/>
    <w:rsid w:val="0F454AB8"/>
    <w:rsid w:val="0F461BB7"/>
    <w:rsid w:val="0F4672D5"/>
    <w:rsid w:val="0F485C18"/>
    <w:rsid w:val="0F4946D0"/>
    <w:rsid w:val="0F4A1E06"/>
    <w:rsid w:val="0F4A1F20"/>
    <w:rsid w:val="0F4A3109"/>
    <w:rsid w:val="0F4B3FBB"/>
    <w:rsid w:val="0F4B4326"/>
    <w:rsid w:val="0F4B47C9"/>
    <w:rsid w:val="0F4C0664"/>
    <w:rsid w:val="0F4C5F6E"/>
    <w:rsid w:val="0F4E276C"/>
    <w:rsid w:val="0F4E5437"/>
    <w:rsid w:val="0F4E7DC1"/>
    <w:rsid w:val="0F4E7F38"/>
    <w:rsid w:val="0F4F6BD2"/>
    <w:rsid w:val="0F52015A"/>
    <w:rsid w:val="0F52189B"/>
    <w:rsid w:val="0F523506"/>
    <w:rsid w:val="0F52720A"/>
    <w:rsid w:val="0F5372FC"/>
    <w:rsid w:val="0F540699"/>
    <w:rsid w:val="0F5441BB"/>
    <w:rsid w:val="0F555725"/>
    <w:rsid w:val="0F557518"/>
    <w:rsid w:val="0F5604B0"/>
    <w:rsid w:val="0F563291"/>
    <w:rsid w:val="0F566DED"/>
    <w:rsid w:val="0F571243"/>
    <w:rsid w:val="0F574044"/>
    <w:rsid w:val="0F587009"/>
    <w:rsid w:val="0F59068B"/>
    <w:rsid w:val="0F5A4B2F"/>
    <w:rsid w:val="0F5A68DD"/>
    <w:rsid w:val="0F5B408E"/>
    <w:rsid w:val="0F5B4403"/>
    <w:rsid w:val="0F5B4C3E"/>
    <w:rsid w:val="0F5B5190"/>
    <w:rsid w:val="0F5B5315"/>
    <w:rsid w:val="0F5C5F84"/>
    <w:rsid w:val="0F5D002E"/>
    <w:rsid w:val="0F5F2F14"/>
    <w:rsid w:val="0F5F45FE"/>
    <w:rsid w:val="0F5F5CA1"/>
    <w:rsid w:val="0F601A19"/>
    <w:rsid w:val="0F6069AF"/>
    <w:rsid w:val="0F607C6B"/>
    <w:rsid w:val="0F611BF8"/>
    <w:rsid w:val="0F61308B"/>
    <w:rsid w:val="0F615323"/>
    <w:rsid w:val="0F622820"/>
    <w:rsid w:val="0F6239E3"/>
    <w:rsid w:val="0F625FAA"/>
    <w:rsid w:val="0F64150A"/>
    <w:rsid w:val="0F6428CD"/>
    <w:rsid w:val="0F6459AD"/>
    <w:rsid w:val="0F646881"/>
    <w:rsid w:val="0F655282"/>
    <w:rsid w:val="0F6565D0"/>
    <w:rsid w:val="0F657030"/>
    <w:rsid w:val="0F657D11"/>
    <w:rsid w:val="0F661726"/>
    <w:rsid w:val="0F670FFA"/>
    <w:rsid w:val="0F672DA8"/>
    <w:rsid w:val="0F676644"/>
    <w:rsid w:val="0F677C48"/>
    <w:rsid w:val="0F690013"/>
    <w:rsid w:val="0F696B20"/>
    <w:rsid w:val="0F697820"/>
    <w:rsid w:val="0F6A1BD4"/>
    <w:rsid w:val="0F6B059E"/>
    <w:rsid w:val="0F6B2618"/>
    <w:rsid w:val="0F6C6610"/>
    <w:rsid w:val="0F704352"/>
    <w:rsid w:val="0F704E24"/>
    <w:rsid w:val="0F70583E"/>
    <w:rsid w:val="0F706100"/>
    <w:rsid w:val="0F713C26"/>
    <w:rsid w:val="0F7200CA"/>
    <w:rsid w:val="0F73086B"/>
    <w:rsid w:val="0F735BF1"/>
    <w:rsid w:val="0F744C35"/>
    <w:rsid w:val="0F750D83"/>
    <w:rsid w:val="0F7554C5"/>
    <w:rsid w:val="0F7579B2"/>
    <w:rsid w:val="0F76123D"/>
    <w:rsid w:val="0F763231"/>
    <w:rsid w:val="0F76748F"/>
    <w:rsid w:val="0F77229B"/>
    <w:rsid w:val="0F77263A"/>
    <w:rsid w:val="0F7756E1"/>
    <w:rsid w:val="0F784FB5"/>
    <w:rsid w:val="0F786C55"/>
    <w:rsid w:val="0F786D63"/>
    <w:rsid w:val="0F79092B"/>
    <w:rsid w:val="0F79249C"/>
    <w:rsid w:val="0F794A46"/>
    <w:rsid w:val="0F7968F5"/>
    <w:rsid w:val="0F7A2ADB"/>
    <w:rsid w:val="0F7A6D8E"/>
    <w:rsid w:val="0F7B1EE2"/>
    <w:rsid w:val="0F7B3163"/>
    <w:rsid w:val="0F7B4AA5"/>
    <w:rsid w:val="0F7C23EC"/>
    <w:rsid w:val="0F7C2CF7"/>
    <w:rsid w:val="0F7D43C1"/>
    <w:rsid w:val="0F7D4857"/>
    <w:rsid w:val="0F7D5980"/>
    <w:rsid w:val="0F7E15BD"/>
    <w:rsid w:val="0F7E4A93"/>
    <w:rsid w:val="0F7E5CE7"/>
    <w:rsid w:val="0F7F3BC8"/>
    <w:rsid w:val="0F7F4595"/>
    <w:rsid w:val="0F7F655B"/>
    <w:rsid w:val="0F7F78CD"/>
    <w:rsid w:val="0F802031"/>
    <w:rsid w:val="0F8067BE"/>
    <w:rsid w:val="0F82490D"/>
    <w:rsid w:val="0F825E34"/>
    <w:rsid w:val="0F826CDC"/>
    <w:rsid w:val="0F827226"/>
    <w:rsid w:val="0F827BE2"/>
    <w:rsid w:val="0F84040B"/>
    <w:rsid w:val="0F84395A"/>
    <w:rsid w:val="0F8442C1"/>
    <w:rsid w:val="0F865924"/>
    <w:rsid w:val="0F8676D2"/>
    <w:rsid w:val="0F86776E"/>
    <w:rsid w:val="0F87169C"/>
    <w:rsid w:val="0F871C1B"/>
    <w:rsid w:val="0F87344A"/>
    <w:rsid w:val="0F8751F8"/>
    <w:rsid w:val="0F881128"/>
    <w:rsid w:val="0F8871F7"/>
    <w:rsid w:val="0F890F70"/>
    <w:rsid w:val="0F891433"/>
    <w:rsid w:val="0F895414"/>
    <w:rsid w:val="0F8971C2"/>
    <w:rsid w:val="0F8A6E5B"/>
    <w:rsid w:val="0F8B118C"/>
    <w:rsid w:val="0F8B2F3A"/>
    <w:rsid w:val="0F8B4CE8"/>
    <w:rsid w:val="0F8C02E3"/>
    <w:rsid w:val="0F8C2EBC"/>
    <w:rsid w:val="0F8C6CB2"/>
    <w:rsid w:val="0F8E0426"/>
    <w:rsid w:val="0F8E107D"/>
    <w:rsid w:val="0F8F00B0"/>
    <w:rsid w:val="0F8F6BC6"/>
    <w:rsid w:val="0F900551"/>
    <w:rsid w:val="0F9022FF"/>
    <w:rsid w:val="0F916077"/>
    <w:rsid w:val="0F917E25"/>
    <w:rsid w:val="0F9222C6"/>
    <w:rsid w:val="0F924F92"/>
    <w:rsid w:val="0F926773"/>
    <w:rsid w:val="0F932C59"/>
    <w:rsid w:val="0F933B9D"/>
    <w:rsid w:val="0F94743F"/>
    <w:rsid w:val="0F953DB9"/>
    <w:rsid w:val="0F9556AF"/>
    <w:rsid w:val="0F955B67"/>
    <w:rsid w:val="0F956559"/>
    <w:rsid w:val="0F96368D"/>
    <w:rsid w:val="0F964296"/>
    <w:rsid w:val="0F964CF7"/>
    <w:rsid w:val="0F9653C4"/>
    <w:rsid w:val="0F9658E5"/>
    <w:rsid w:val="0F970575"/>
    <w:rsid w:val="0F9718DF"/>
    <w:rsid w:val="0F972BA0"/>
    <w:rsid w:val="0F9763F7"/>
    <w:rsid w:val="0F97795E"/>
    <w:rsid w:val="0F977B31"/>
    <w:rsid w:val="0F977FCF"/>
    <w:rsid w:val="0F984030"/>
    <w:rsid w:val="0F985657"/>
    <w:rsid w:val="0F9904F3"/>
    <w:rsid w:val="0F995B1A"/>
    <w:rsid w:val="0F9A112B"/>
    <w:rsid w:val="0F9A13CF"/>
    <w:rsid w:val="0F9A49D3"/>
    <w:rsid w:val="0F9B0CA3"/>
    <w:rsid w:val="0F9B7DE0"/>
    <w:rsid w:val="0F9C26BD"/>
    <w:rsid w:val="0F9C4673"/>
    <w:rsid w:val="0F9C5147"/>
    <w:rsid w:val="0F9C5921"/>
    <w:rsid w:val="0F9C6838"/>
    <w:rsid w:val="0F9C6EF5"/>
    <w:rsid w:val="0F9D021B"/>
    <w:rsid w:val="0F9D0EBF"/>
    <w:rsid w:val="0F9D2C6D"/>
    <w:rsid w:val="0F9F0794"/>
    <w:rsid w:val="0F9F2542"/>
    <w:rsid w:val="0F9F64E0"/>
    <w:rsid w:val="0F9F69E6"/>
    <w:rsid w:val="0FA11A78"/>
    <w:rsid w:val="0FA1275E"/>
    <w:rsid w:val="0FA1450C"/>
    <w:rsid w:val="0FA31390"/>
    <w:rsid w:val="0FA336F3"/>
    <w:rsid w:val="0FA33E6E"/>
    <w:rsid w:val="0FA364D6"/>
    <w:rsid w:val="0FA4224E"/>
    <w:rsid w:val="0FA425D2"/>
    <w:rsid w:val="0FA42868"/>
    <w:rsid w:val="0FA57681"/>
    <w:rsid w:val="0FA61825"/>
    <w:rsid w:val="0FA638D0"/>
    <w:rsid w:val="0FA64D30"/>
    <w:rsid w:val="0FA66E59"/>
    <w:rsid w:val="0FA7589A"/>
    <w:rsid w:val="0FA83B24"/>
    <w:rsid w:val="0FA903A9"/>
    <w:rsid w:val="0FA91612"/>
    <w:rsid w:val="0FA925CB"/>
    <w:rsid w:val="0FA9329A"/>
    <w:rsid w:val="0FA939EF"/>
    <w:rsid w:val="0FA94931"/>
    <w:rsid w:val="0FAA1223"/>
    <w:rsid w:val="0FAA2489"/>
    <w:rsid w:val="0FAA5415"/>
    <w:rsid w:val="0FAA6004"/>
    <w:rsid w:val="0FAB7138"/>
    <w:rsid w:val="0FAC24A5"/>
    <w:rsid w:val="0FAC2EB1"/>
    <w:rsid w:val="0FAD189A"/>
    <w:rsid w:val="0FAD2E15"/>
    <w:rsid w:val="0FAE09D7"/>
    <w:rsid w:val="0FAE6A3F"/>
    <w:rsid w:val="0FAF3BE4"/>
    <w:rsid w:val="0FB00B75"/>
    <w:rsid w:val="0FB00BF3"/>
    <w:rsid w:val="0FB029A1"/>
    <w:rsid w:val="0FB0474F"/>
    <w:rsid w:val="0FB13B6D"/>
    <w:rsid w:val="0FB215E0"/>
    <w:rsid w:val="0FB22F76"/>
    <w:rsid w:val="0FB277A7"/>
    <w:rsid w:val="0FB31CA8"/>
    <w:rsid w:val="0FB32491"/>
    <w:rsid w:val="0FB51D65"/>
    <w:rsid w:val="0FB62146"/>
    <w:rsid w:val="0FB621DF"/>
    <w:rsid w:val="0FB632D1"/>
    <w:rsid w:val="0FB649E7"/>
    <w:rsid w:val="0FB71F81"/>
    <w:rsid w:val="0FB75ADD"/>
    <w:rsid w:val="0FBA3368"/>
    <w:rsid w:val="0FBA6DF7"/>
    <w:rsid w:val="0FBA737B"/>
    <w:rsid w:val="0FBA7927"/>
    <w:rsid w:val="0FBC0859"/>
    <w:rsid w:val="0FBC1346"/>
    <w:rsid w:val="0FBC1AAD"/>
    <w:rsid w:val="0FBC7598"/>
    <w:rsid w:val="0FBD0C1A"/>
    <w:rsid w:val="0FBD1B84"/>
    <w:rsid w:val="0FBF1610"/>
    <w:rsid w:val="0FBF6BD6"/>
    <w:rsid w:val="0FC07426"/>
    <w:rsid w:val="0FC11AFA"/>
    <w:rsid w:val="0FC149A6"/>
    <w:rsid w:val="0FC30926"/>
    <w:rsid w:val="0FC41FA8"/>
    <w:rsid w:val="0FC4644C"/>
    <w:rsid w:val="0FC621C4"/>
    <w:rsid w:val="0FC65D20"/>
    <w:rsid w:val="0FC7596C"/>
    <w:rsid w:val="0FC87CEA"/>
    <w:rsid w:val="0FC9164D"/>
    <w:rsid w:val="0FC91CB4"/>
    <w:rsid w:val="0FC93A62"/>
    <w:rsid w:val="0FC94EEE"/>
    <w:rsid w:val="0FCA5A2E"/>
    <w:rsid w:val="0FCB0561"/>
    <w:rsid w:val="0FCB1589"/>
    <w:rsid w:val="0FCB26F9"/>
    <w:rsid w:val="0FCB3F13"/>
    <w:rsid w:val="0FCB77DB"/>
    <w:rsid w:val="0FCC034E"/>
    <w:rsid w:val="0FCE0606"/>
    <w:rsid w:val="0FCE2E27"/>
    <w:rsid w:val="0FD0094D"/>
    <w:rsid w:val="0FD03043"/>
    <w:rsid w:val="0FD06E18"/>
    <w:rsid w:val="0FD07480"/>
    <w:rsid w:val="0FD10791"/>
    <w:rsid w:val="0FD12ED3"/>
    <w:rsid w:val="0FD207B0"/>
    <w:rsid w:val="0FD20B69"/>
    <w:rsid w:val="0FD3668F"/>
    <w:rsid w:val="0FD43B48"/>
    <w:rsid w:val="0FD50659"/>
    <w:rsid w:val="0FD558D5"/>
    <w:rsid w:val="0FD62F48"/>
    <w:rsid w:val="0FD64FF3"/>
    <w:rsid w:val="0FD65BDA"/>
    <w:rsid w:val="0FD7617F"/>
    <w:rsid w:val="0FD77F2D"/>
    <w:rsid w:val="0FD824D4"/>
    <w:rsid w:val="0FD83D5F"/>
    <w:rsid w:val="0FD857C7"/>
    <w:rsid w:val="0FD85A54"/>
    <w:rsid w:val="0FD869D0"/>
    <w:rsid w:val="0FD86BFD"/>
    <w:rsid w:val="0FD91C69"/>
    <w:rsid w:val="0FD97BB0"/>
    <w:rsid w:val="0FDA17CC"/>
    <w:rsid w:val="0FDB1E2E"/>
    <w:rsid w:val="0FDB5272"/>
    <w:rsid w:val="0FDB69B3"/>
    <w:rsid w:val="0FDC19E8"/>
    <w:rsid w:val="0FDC3796"/>
    <w:rsid w:val="0FDC5544"/>
    <w:rsid w:val="0FDD19F6"/>
    <w:rsid w:val="0FDD2A78"/>
    <w:rsid w:val="0FDD44B3"/>
    <w:rsid w:val="0FDF10D4"/>
    <w:rsid w:val="0FDF3286"/>
    <w:rsid w:val="0FDF5034"/>
    <w:rsid w:val="0FE03949"/>
    <w:rsid w:val="0FE12B5A"/>
    <w:rsid w:val="0FE146AC"/>
    <w:rsid w:val="0FE16FFE"/>
    <w:rsid w:val="0FE2120A"/>
    <w:rsid w:val="0FE32D76"/>
    <w:rsid w:val="0FE33A04"/>
    <w:rsid w:val="0FE465D5"/>
    <w:rsid w:val="0FE47A65"/>
    <w:rsid w:val="0FE63AFD"/>
    <w:rsid w:val="0FE6786D"/>
    <w:rsid w:val="0FE67B78"/>
    <w:rsid w:val="0FE73815"/>
    <w:rsid w:val="0FE8038D"/>
    <w:rsid w:val="0FE871A3"/>
    <w:rsid w:val="0FE91E54"/>
    <w:rsid w:val="0FE92447"/>
    <w:rsid w:val="0FE97143"/>
    <w:rsid w:val="0FE97C61"/>
    <w:rsid w:val="0FEA0118"/>
    <w:rsid w:val="0FEA0A9F"/>
    <w:rsid w:val="0FEB540B"/>
    <w:rsid w:val="0FEC0CD3"/>
    <w:rsid w:val="0FED3066"/>
    <w:rsid w:val="0FED59A3"/>
    <w:rsid w:val="0FED7751"/>
    <w:rsid w:val="0FEE5277"/>
    <w:rsid w:val="0FEE6C5F"/>
    <w:rsid w:val="0FF00FEF"/>
    <w:rsid w:val="0FF02D9D"/>
    <w:rsid w:val="0FF03AF8"/>
    <w:rsid w:val="0FF04275"/>
    <w:rsid w:val="0FF150B4"/>
    <w:rsid w:val="0FF3288D"/>
    <w:rsid w:val="0FF36F9B"/>
    <w:rsid w:val="0FF46D31"/>
    <w:rsid w:val="0FF4755A"/>
    <w:rsid w:val="0FF67D8F"/>
    <w:rsid w:val="0FF7237E"/>
    <w:rsid w:val="0FF75F5C"/>
    <w:rsid w:val="0FF80B78"/>
    <w:rsid w:val="0FF94348"/>
    <w:rsid w:val="0FF94DBA"/>
    <w:rsid w:val="0FF9631D"/>
    <w:rsid w:val="0FF967B8"/>
    <w:rsid w:val="0FFA6E3B"/>
    <w:rsid w:val="0FFB4F60"/>
    <w:rsid w:val="0FFB7A5A"/>
    <w:rsid w:val="0FFC1742"/>
    <w:rsid w:val="0FFC5CEC"/>
    <w:rsid w:val="0FFC7994"/>
    <w:rsid w:val="0FFE0154"/>
    <w:rsid w:val="0FFE195E"/>
    <w:rsid w:val="0FFE1DA9"/>
    <w:rsid w:val="0FFF254C"/>
    <w:rsid w:val="0FFF466D"/>
    <w:rsid w:val="10005D5C"/>
    <w:rsid w:val="100106CE"/>
    <w:rsid w:val="1001144E"/>
    <w:rsid w:val="10014FAA"/>
    <w:rsid w:val="10016F8D"/>
    <w:rsid w:val="10020AB6"/>
    <w:rsid w:val="1004260A"/>
    <w:rsid w:val="10042CED"/>
    <w:rsid w:val="10044A9B"/>
    <w:rsid w:val="10045BDC"/>
    <w:rsid w:val="10046849"/>
    <w:rsid w:val="100565B7"/>
    <w:rsid w:val="10066A65"/>
    <w:rsid w:val="10081CEE"/>
    <w:rsid w:val="1008458B"/>
    <w:rsid w:val="10085F0D"/>
    <w:rsid w:val="10090303"/>
    <w:rsid w:val="100A34F2"/>
    <w:rsid w:val="100B2937"/>
    <w:rsid w:val="100B407B"/>
    <w:rsid w:val="100B5E29"/>
    <w:rsid w:val="100C5184"/>
    <w:rsid w:val="100D48FD"/>
    <w:rsid w:val="100D4AC2"/>
    <w:rsid w:val="100E1475"/>
    <w:rsid w:val="100E55D6"/>
    <w:rsid w:val="100F3B6B"/>
    <w:rsid w:val="100F5919"/>
    <w:rsid w:val="100F76F7"/>
    <w:rsid w:val="10101691"/>
    <w:rsid w:val="10120F66"/>
    <w:rsid w:val="101221E6"/>
    <w:rsid w:val="10125409"/>
    <w:rsid w:val="10131729"/>
    <w:rsid w:val="10131E5D"/>
    <w:rsid w:val="1013416A"/>
    <w:rsid w:val="10134716"/>
    <w:rsid w:val="10136089"/>
    <w:rsid w:val="10141182"/>
    <w:rsid w:val="1014141D"/>
    <w:rsid w:val="101420A5"/>
    <w:rsid w:val="10156CA8"/>
    <w:rsid w:val="10161464"/>
    <w:rsid w:val="1016285F"/>
    <w:rsid w:val="10173F49"/>
    <w:rsid w:val="101747CE"/>
    <w:rsid w:val="101822F4"/>
    <w:rsid w:val="10182972"/>
    <w:rsid w:val="10182CDD"/>
    <w:rsid w:val="101848D7"/>
    <w:rsid w:val="101927BC"/>
    <w:rsid w:val="101A2510"/>
    <w:rsid w:val="101A32B6"/>
    <w:rsid w:val="101A62D4"/>
    <w:rsid w:val="101B71EF"/>
    <w:rsid w:val="101B7FFF"/>
    <w:rsid w:val="101C3B92"/>
    <w:rsid w:val="101E5B5C"/>
    <w:rsid w:val="10202516"/>
    <w:rsid w:val="10203418"/>
    <w:rsid w:val="10205479"/>
    <w:rsid w:val="10206340"/>
    <w:rsid w:val="10207B26"/>
    <w:rsid w:val="1021389E"/>
    <w:rsid w:val="10214519"/>
    <w:rsid w:val="1021564D"/>
    <w:rsid w:val="102173FB"/>
    <w:rsid w:val="10227A07"/>
    <w:rsid w:val="102313C5"/>
    <w:rsid w:val="102325D8"/>
    <w:rsid w:val="10232C95"/>
    <w:rsid w:val="10233173"/>
    <w:rsid w:val="10244BAE"/>
    <w:rsid w:val="10246669"/>
    <w:rsid w:val="10246EEB"/>
    <w:rsid w:val="1025513D"/>
    <w:rsid w:val="1025572E"/>
    <w:rsid w:val="10260EB5"/>
    <w:rsid w:val="1026641D"/>
    <w:rsid w:val="10270CA8"/>
    <w:rsid w:val="10280789"/>
    <w:rsid w:val="10284C2D"/>
    <w:rsid w:val="102869DB"/>
    <w:rsid w:val="10294055"/>
    <w:rsid w:val="102A0D6A"/>
    <w:rsid w:val="102A2753"/>
    <w:rsid w:val="102A4CF7"/>
    <w:rsid w:val="102C305B"/>
    <w:rsid w:val="102D2243"/>
    <w:rsid w:val="102D3EDB"/>
    <w:rsid w:val="102D3FF1"/>
    <w:rsid w:val="102E7127"/>
    <w:rsid w:val="102F4E71"/>
    <w:rsid w:val="10303AE2"/>
    <w:rsid w:val="10304BDC"/>
    <w:rsid w:val="10305890"/>
    <w:rsid w:val="10307BFB"/>
    <w:rsid w:val="1031606C"/>
    <w:rsid w:val="1031756B"/>
    <w:rsid w:val="10317576"/>
    <w:rsid w:val="10320D7D"/>
    <w:rsid w:val="10321608"/>
    <w:rsid w:val="1034712E"/>
    <w:rsid w:val="103539FF"/>
    <w:rsid w:val="10354C54"/>
    <w:rsid w:val="10355E99"/>
    <w:rsid w:val="10357C97"/>
    <w:rsid w:val="1036730D"/>
    <w:rsid w:val="10374E70"/>
    <w:rsid w:val="10392996"/>
    <w:rsid w:val="103A226A"/>
    <w:rsid w:val="103A5C8E"/>
    <w:rsid w:val="103A670E"/>
    <w:rsid w:val="103B4960"/>
    <w:rsid w:val="103C1B8D"/>
    <w:rsid w:val="103C5FE2"/>
    <w:rsid w:val="103C7B02"/>
    <w:rsid w:val="103D25B1"/>
    <w:rsid w:val="103D460F"/>
    <w:rsid w:val="103E3C0B"/>
    <w:rsid w:val="103E61FE"/>
    <w:rsid w:val="103E7FAD"/>
    <w:rsid w:val="103F282C"/>
    <w:rsid w:val="103F5AD3"/>
    <w:rsid w:val="10404773"/>
    <w:rsid w:val="10405BA9"/>
    <w:rsid w:val="10407CD0"/>
    <w:rsid w:val="104135F9"/>
    <w:rsid w:val="104238F8"/>
    <w:rsid w:val="10424B28"/>
    <w:rsid w:val="104258B0"/>
    <w:rsid w:val="10426FF1"/>
    <w:rsid w:val="10441911"/>
    <w:rsid w:val="1045133B"/>
    <w:rsid w:val="10456F6B"/>
    <w:rsid w:val="1045758D"/>
    <w:rsid w:val="10463305"/>
    <w:rsid w:val="104650B3"/>
    <w:rsid w:val="104666EA"/>
    <w:rsid w:val="10470292"/>
    <w:rsid w:val="10470360"/>
    <w:rsid w:val="10482E63"/>
    <w:rsid w:val="104906FF"/>
    <w:rsid w:val="104942F3"/>
    <w:rsid w:val="104A11DC"/>
    <w:rsid w:val="104B27B9"/>
    <w:rsid w:val="104D0E6D"/>
    <w:rsid w:val="104E288E"/>
    <w:rsid w:val="104E5D16"/>
    <w:rsid w:val="104F21BA"/>
    <w:rsid w:val="104F3F68"/>
    <w:rsid w:val="10501811"/>
    <w:rsid w:val="10505F32"/>
    <w:rsid w:val="10507CE0"/>
    <w:rsid w:val="10516B0A"/>
    <w:rsid w:val="10524731"/>
    <w:rsid w:val="10525806"/>
    <w:rsid w:val="10526AE6"/>
    <w:rsid w:val="105270E8"/>
    <w:rsid w:val="1053255D"/>
    <w:rsid w:val="10545A22"/>
    <w:rsid w:val="105477D0"/>
    <w:rsid w:val="105505C2"/>
    <w:rsid w:val="10553B29"/>
    <w:rsid w:val="10563548"/>
    <w:rsid w:val="10563694"/>
    <w:rsid w:val="1056428A"/>
    <w:rsid w:val="10567463"/>
    <w:rsid w:val="10570EE1"/>
    <w:rsid w:val="1057106E"/>
    <w:rsid w:val="10574328"/>
    <w:rsid w:val="10577D87"/>
    <w:rsid w:val="1058197C"/>
    <w:rsid w:val="10593038"/>
    <w:rsid w:val="105A3B37"/>
    <w:rsid w:val="105A46BB"/>
    <w:rsid w:val="105B7B98"/>
    <w:rsid w:val="105C1028"/>
    <w:rsid w:val="105C1A17"/>
    <w:rsid w:val="105C3FC2"/>
    <w:rsid w:val="105C4533"/>
    <w:rsid w:val="105C48D7"/>
    <w:rsid w:val="105D3BF9"/>
    <w:rsid w:val="105D6863"/>
    <w:rsid w:val="105E064F"/>
    <w:rsid w:val="105E533D"/>
    <w:rsid w:val="105F6519"/>
    <w:rsid w:val="106034B7"/>
    <w:rsid w:val="10604F0C"/>
    <w:rsid w:val="10606175"/>
    <w:rsid w:val="10612087"/>
    <w:rsid w:val="10614099"/>
    <w:rsid w:val="10614F02"/>
    <w:rsid w:val="10616BA3"/>
    <w:rsid w:val="10625DF6"/>
    <w:rsid w:val="106317C1"/>
    <w:rsid w:val="10635C65"/>
    <w:rsid w:val="10637A13"/>
    <w:rsid w:val="10637BF9"/>
    <w:rsid w:val="10645539"/>
    <w:rsid w:val="1065238B"/>
    <w:rsid w:val="10660915"/>
    <w:rsid w:val="10660B15"/>
    <w:rsid w:val="10665CC7"/>
    <w:rsid w:val="10675755"/>
    <w:rsid w:val="10685029"/>
    <w:rsid w:val="10692208"/>
    <w:rsid w:val="10694D6D"/>
    <w:rsid w:val="10697016"/>
    <w:rsid w:val="106A0DA2"/>
    <w:rsid w:val="106A2B50"/>
    <w:rsid w:val="106A7C46"/>
    <w:rsid w:val="106B1D32"/>
    <w:rsid w:val="106B4B1A"/>
    <w:rsid w:val="106C2D6C"/>
    <w:rsid w:val="106D2640"/>
    <w:rsid w:val="106D2F64"/>
    <w:rsid w:val="106D43EE"/>
    <w:rsid w:val="106D464B"/>
    <w:rsid w:val="106E132F"/>
    <w:rsid w:val="106E6202"/>
    <w:rsid w:val="106F1015"/>
    <w:rsid w:val="106F11CA"/>
    <w:rsid w:val="106F16EB"/>
    <w:rsid w:val="106F63B8"/>
    <w:rsid w:val="10703EDE"/>
    <w:rsid w:val="10710382"/>
    <w:rsid w:val="10720B42"/>
    <w:rsid w:val="107240FA"/>
    <w:rsid w:val="10741C20"/>
    <w:rsid w:val="1074577C"/>
    <w:rsid w:val="10746F1E"/>
    <w:rsid w:val="107511C3"/>
    <w:rsid w:val="10755FA8"/>
    <w:rsid w:val="10762190"/>
    <w:rsid w:val="107647A0"/>
    <w:rsid w:val="1078138A"/>
    <w:rsid w:val="107A1F72"/>
    <w:rsid w:val="107B09FC"/>
    <w:rsid w:val="107B2FAF"/>
    <w:rsid w:val="107B4D5D"/>
    <w:rsid w:val="107C2883"/>
    <w:rsid w:val="107C6D27"/>
    <w:rsid w:val="107C7A40"/>
    <w:rsid w:val="107F236E"/>
    <w:rsid w:val="107F60A9"/>
    <w:rsid w:val="10802373"/>
    <w:rsid w:val="10813E80"/>
    <w:rsid w:val="108160EB"/>
    <w:rsid w:val="10817E99"/>
    <w:rsid w:val="108204E7"/>
    <w:rsid w:val="10826665"/>
    <w:rsid w:val="10831E63"/>
    <w:rsid w:val="1084109F"/>
    <w:rsid w:val="10843537"/>
    <w:rsid w:val="10846A56"/>
    <w:rsid w:val="10850234"/>
    <w:rsid w:val="10855FBF"/>
    <w:rsid w:val="10860A2F"/>
    <w:rsid w:val="10863702"/>
    <w:rsid w:val="108669CB"/>
    <w:rsid w:val="108856CC"/>
    <w:rsid w:val="10885918"/>
    <w:rsid w:val="10891786"/>
    <w:rsid w:val="1089436C"/>
    <w:rsid w:val="108977C5"/>
    <w:rsid w:val="108A4FA0"/>
    <w:rsid w:val="108B7EA7"/>
    <w:rsid w:val="108C79A1"/>
    <w:rsid w:val="108D1378"/>
    <w:rsid w:val="108D2CE2"/>
    <w:rsid w:val="108D406E"/>
    <w:rsid w:val="108E3A75"/>
    <w:rsid w:val="108F25B6"/>
    <w:rsid w:val="108F30A1"/>
    <w:rsid w:val="108F6A5A"/>
    <w:rsid w:val="109127D2"/>
    <w:rsid w:val="109202F8"/>
    <w:rsid w:val="109220A6"/>
    <w:rsid w:val="10922838"/>
    <w:rsid w:val="10923E54"/>
    <w:rsid w:val="1092436B"/>
    <w:rsid w:val="1092654A"/>
    <w:rsid w:val="109401F4"/>
    <w:rsid w:val="10944070"/>
    <w:rsid w:val="1094449E"/>
    <w:rsid w:val="10945E1E"/>
    <w:rsid w:val="109611B9"/>
    <w:rsid w:val="10961B97"/>
    <w:rsid w:val="109625EF"/>
    <w:rsid w:val="10967DE9"/>
    <w:rsid w:val="10973B61"/>
    <w:rsid w:val="1097521A"/>
    <w:rsid w:val="10975CE6"/>
    <w:rsid w:val="10982D24"/>
    <w:rsid w:val="109A0FCA"/>
    <w:rsid w:val="109A3305"/>
    <w:rsid w:val="109C2AE2"/>
    <w:rsid w:val="109C2F25"/>
    <w:rsid w:val="109C4CD3"/>
    <w:rsid w:val="109D57CF"/>
    <w:rsid w:val="109D7BE0"/>
    <w:rsid w:val="109E0A4B"/>
    <w:rsid w:val="109E251C"/>
    <w:rsid w:val="109E4EEF"/>
    <w:rsid w:val="109E6C9D"/>
    <w:rsid w:val="10A02A15"/>
    <w:rsid w:val="10A03E8D"/>
    <w:rsid w:val="10A047C3"/>
    <w:rsid w:val="10A04E3C"/>
    <w:rsid w:val="10A122E9"/>
    <w:rsid w:val="10A249E9"/>
    <w:rsid w:val="10A24CD6"/>
    <w:rsid w:val="10A2775C"/>
    <w:rsid w:val="10A32F80"/>
    <w:rsid w:val="10A5627E"/>
    <w:rsid w:val="10A6213E"/>
    <w:rsid w:val="10A65B52"/>
    <w:rsid w:val="10A666AA"/>
    <w:rsid w:val="10A6785C"/>
    <w:rsid w:val="10A759AD"/>
    <w:rsid w:val="10A818CA"/>
    <w:rsid w:val="10A83678"/>
    <w:rsid w:val="10A83815"/>
    <w:rsid w:val="10A83EEB"/>
    <w:rsid w:val="10AA0ABF"/>
    <w:rsid w:val="10AA1CBB"/>
    <w:rsid w:val="10AA31BE"/>
    <w:rsid w:val="10AA73F0"/>
    <w:rsid w:val="10AB3168"/>
    <w:rsid w:val="10AB4B20"/>
    <w:rsid w:val="10AC760C"/>
    <w:rsid w:val="10AD0C8E"/>
    <w:rsid w:val="10AD1A09"/>
    <w:rsid w:val="10AD5132"/>
    <w:rsid w:val="10AD6EE0"/>
    <w:rsid w:val="10AD7440"/>
    <w:rsid w:val="10AF2C58"/>
    <w:rsid w:val="10AF48AE"/>
    <w:rsid w:val="10AF4A06"/>
    <w:rsid w:val="10B01299"/>
    <w:rsid w:val="10B03213"/>
    <w:rsid w:val="10B04E5C"/>
    <w:rsid w:val="10B13BB4"/>
    <w:rsid w:val="10B169D0"/>
    <w:rsid w:val="10B21E22"/>
    <w:rsid w:val="10B22749"/>
    <w:rsid w:val="10B244F7"/>
    <w:rsid w:val="10B262A5"/>
    <w:rsid w:val="10B268CD"/>
    <w:rsid w:val="10B2701E"/>
    <w:rsid w:val="10B34976"/>
    <w:rsid w:val="10B3596B"/>
    <w:rsid w:val="10B44D7F"/>
    <w:rsid w:val="10B507A3"/>
    <w:rsid w:val="10B63710"/>
    <w:rsid w:val="10B6461B"/>
    <w:rsid w:val="10B66683"/>
    <w:rsid w:val="10B709F7"/>
    <w:rsid w:val="10B71639"/>
    <w:rsid w:val="10B75245"/>
    <w:rsid w:val="10B76B73"/>
    <w:rsid w:val="10B85F4A"/>
    <w:rsid w:val="10B85FB1"/>
    <w:rsid w:val="10B93AD7"/>
    <w:rsid w:val="10BB15FD"/>
    <w:rsid w:val="10BB4615"/>
    <w:rsid w:val="10BD64F2"/>
    <w:rsid w:val="10BE4A5A"/>
    <w:rsid w:val="10BE4C49"/>
    <w:rsid w:val="10BF1934"/>
    <w:rsid w:val="10BF2F96"/>
    <w:rsid w:val="10BF3E4E"/>
    <w:rsid w:val="10C02CE5"/>
    <w:rsid w:val="10C04E65"/>
    <w:rsid w:val="10C07731"/>
    <w:rsid w:val="10C10FE4"/>
    <w:rsid w:val="10C16AE8"/>
    <w:rsid w:val="10C20BDE"/>
    <w:rsid w:val="10C243A1"/>
    <w:rsid w:val="10C245E2"/>
    <w:rsid w:val="10C25D1C"/>
    <w:rsid w:val="10C26F94"/>
    <w:rsid w:val="10C3255D"/>
    <w:rsid w:val="10C47F36"/>
    <w:rsid w:val="10C5422A"/>
    <w:rsid w:val="10C61D50"/>
    <w:rsid w:val="10C62E11"/>
    <w:rsid w:val="10C72BB8"/>
    <w:rsid w:val="10C761F4"/>
    <w:rsid w:val="10C96C19"/>
    <w:rsid w:val="10CA7A92"/>
    <w:rsid w:val="10CB4558"/>
    <w:rsid w:val="10CB4C8C"/>
    <w:rsid w:val="10CB5119"/>
    <w:rsid w:val="10CC00BD"/>
    <w:rsid w:val="10CC380A"/>
    <w:rsid w:val="10CC425D"/>
    <w:rsid w:val="10CC444B"/>
    <w:rsid w:val="10CC55B8"/>
    <w:rsid w:val="10CD432E"/>
    <w:rsid w:val="10CD6A2A"/>
    <w:rsid w:val="10CD7E3F"/>
    <w:rsid w:val="10CF06FF"/>
    <w:rsid w:val="10CF50A9"/>
    <w:rsid w:val="10CF667D"/>
    <w:rsid w:val="10D056F8"/>
    <w:rsid w:val="10D10E21"/>
    <w:rsid w:val="10D1683B"/>
    <w:rsid w:val="10D206F5"/>
    <w:rsid w:val="10D27F60"/>
    <w:rsid w:val="10D30880"/>
    <w:rsid w:val="10D33652"/>
    <w:rsid w:val="10D34B99"/>
    <w:rsid w:val="10D365A5"/>
    <w:rsid w:val="10D40911"/>
    <w:rsid w:val="10D426BF"/>
    <w:rsid w:val="10D4282D"/>
    <w:rsid w:val="10D4446D"/>
    <w:rsid w:val="10D57F9F"/>
    <w:rsid w:val="10D6033B"/>
    <w:rsid w:val="10D60D02"/>
    <w:rsid w:val="10D6121D"/>
    <w:rsid w:val="10D61FB9"/>
    <w:rsid w:val="10D64689"/>
    <w:rsid w:val="10D6664C"/>
    <w:rsid w:val="10D73D20"/>
    <w:rsid w:val="10D80401"/>
    <w:rsid w:val="10D81043"/>
    <w:rsid w:val="10D83E30"/>
    <w:rsid w:val="10D85FB9"/>
    <w:rsid w:val="10D91912"/>
    <w:rsid w:val="10D9199F"/>
    <w:rsid w:val="10D95F27"/>
    <w:rsid w:val="10DA102E"/>
    <w:rsid w:val="10DA1BD9"/>
    <w:rsid w:val="10DA4383"/>
    <w:rsid w:val="10DB1C9F"/>
    <w:rsid w:val="10DC1574"/>
    <w:rsid w:val="10DC6D8B"/>
    <w:rsid w:val="10DD4DDE"/>
    <w:rsid w:val="10DD5A17"/>
    <w:rsid w:val="10DE709A"/>
    <w:rsid w:val="10DF5A9C"/>
    <w:rsid w:val="10E017B4"/>
    <w:rsid w:val="10E105C1"/>
    <w:rsid w:val="10E160A6"/>
    <w:rsid w:val="10E16B8A"/>
    <w:rsid w:val="10E24DDC"/>
    <w:rsid w:val="10E25268"/>
    <w:rsid w:val="10E2706C"/>
    <w:rsid w:val="10E30C50"/>
    <w:rsid w:val="10E32489"/>
    <w:rsid w:val="10E32514"/>
    <w:rsid w:val="10E32902"/>
    <w:rsid w:val="10E544A3"/>
    <w:rsid w:val="10E548CC"/>
    <w:rsid w:val="10E63ABB"/>
    <w:rsid w:val="10E66141"/>
    <w:rsid w:val="10E70644"/>
    <w:rsid w:val="10E723F2"/>
    <w:rsid w:val="10E741A0"/>
    <w:rsid w:val="10E84781"/>
    <w:rsid w:val="10E85D69"/>
    <w:rsid w:val="10E8616A"/>
    <w:rsid w:val="10E92C6B"/>
    <w:rsid w:val="10EA11D9"/>
    <w:rsid w:val="10EB73E2"/>
    <w:rsid w:val="10EC404E"/>
    <w:rsid w:val="10EC41C1"/>
    <w:rsid w:val="10EC5C5A"/>
    <w:rsid w:val="10EC74AB"/>
    <w:rsid w:val="10ED13FA"/>
    <w:rsid w:val="10ED1603"/>
    <w:rsid w:val="10ED552F"/>
    <w:rsid w:val="10EF574B"/>
    <w:rsid w:val="10EF74F9"/>
    <w:rsid w:val="10F10820"/>
    <w:rsid w:val="10F1501F"/>
    <w:rsid w:val="10F15E25"/>
    <w:rsid w:val="10F16499"/>
    <w:rsid w:val="10F16DCD"/>
    <w:rsid w:val="10F176DA"/>
    <w:rsid w:val="10F200D8"/>
    <w:rsid w:val="10F20D97"/>
    <w:rsid w:val="10F2179F"/>
    <w:rsid w:val="10F25B74"/>
    <w:rsid w:val="10F260A2"/>
    <w:rsid w:val="10F34F8A"/>
    <w:rsid w:val="10F36FE9"/>
    <w:rsid w:val="10F41211"/>
    <w:rsid w:val="10F55C36"/>
    <w:rsid w:val="10F62635"/>
    <w:rsid w:val="10F66AD9"/>
    <w:rsid w:val="10F7015B"/>
    <w:rsid w:val="10F767B1"/>
    <w:rsid w:val="10F863AD"/>
    <w:rsid w:val="10F92125"/>
    <w:rsid w:val="10F92E76"/>
    <w:rsid w:val="10FA5356"/>
    <w:rsid w:val="10FB1AA8"/>
    <w:rsid w:val="10FB5E9E"/>
    <w:rsid w:val="10FB7C4C"/>
    <w:rsid w:val="10FC0367"/>
    <w:rsid w:val="10FD09B5"/>
    <w:rsid w:val="10FD39C4"/>
    <w:rsid w:val="10FD4C87"/>
    <w:rsid w:val="10FD4D24"/>
    <w:rsid w:val="10FE14EA"/>
    <w:rsid w:val="10FE773C"/>
    <w:rsid w:val="10FF7000"/>
    <w:rsid w:val="11000178"/>
    <w:rsid w:val="11001706"/>
    <w:rsid w:val="110034B4"/>
    <w:rsid w:val="11015DBF"/>
    <w:rsid w:val="110162DC"/>
    <w:rsid w:val="11017AD2"/>
    <w:rsid w:val="11017E3D"/>
    <w:rsid w:val="11020FDA"/>
    <w:rsid w:val="1102547E"/>
    <w:rsid w:val="11026D51"/>
    <w:rsid w:val="1103077A"/>
    <w:rsid w:val="11034D52"/>
    <w:rsid w:val="11040DF0"/>
    <w:rsid w:val="110524BC"/>
    <w:rsid w:val="11052878"/>
    <w:rsid w:val="11056D1C"/>
    <w:rsid w:val="11057447"/>
    <w:rsid w:val="11062B05"/>
    <w:rsid w:val="11066BBB"/>
    <w:rsid w:val="11076938"/>
    <w:rsid w:val="11082369"/>
    <w:rsid w:val="11085A0F"/>
    <w:rsid w:val="110A4333"/>
    <w:rsid w:val="110A5A23"/>
    <w:rsid w:val="110B6E0F"/>
    <w:rsid w:val="110C00AB"/>
    <w:rsid w:val="110C3C07"/>
    <w:rsid w:val="110D1E76"/>
    <w:rsid w:val="110D2427"/>
    <w:rsid w:val="110D797F"/>
    <w:rsid w:val="110D79FD"/>
    <w:rsid w:val="110E3711"/>
    <w:rsid w:val="110E660B"/>
    <w:rsid w:val="110E7CAD"/>
    <w:rsid w:val="110F3211"/>
    <w:rsid w:val="110F36F7"/>
    <w:rsid w:val="110F67DD"/>
    <w:rsid w:val="11100A36"/>
    <w:rsid w:val="11103304"/>
    <w:rsid w:val="1111121D"/>
    <w:rsid w:val="111156C1"/>
    <w:rsid w:val="11115EF7"/>
    <w:rsid w:val="11116614"/>
    <w:rsid w:val="111222EB"/>
    <w:rsid w:val="11122683"/>
    <w:rsid w:val="111331E7"/>
    <w:rsid w:val="11140D0D"/>
    <w:rsid w:val="11146150"/>
    <w:rsid w:val="11160C8F"/>
    <w:rsid w:val="11166833"/>
    <w:rsid w:val="111725AC"/>
    <w:rsid w:val="1117586F"/>
    <w:rsid w:val="11180FD0"/>
    <w:rsid w:val="111927C8"/>
    <w:rsid w:val="11195E84"/>
    <w:rsid w:val="11196324"/>
    <w:rsid w:val="111B02EE"/>
    <w:rsid w:val="111B3927"/>
    <w:rsid w:val="111B4847"/>
    <w:rsid w:val="111B6540"/>
    <w:rsid w:val="111B6EE6"/>
    <w:rsid w:val="111B79DD"/>
    <w:rsid w:val="111C2F7A"/>
    <w:rsid w:val="111C3B83"/>
    <w:rsid w:val="111D7BC2"/>
    <w:rsid w:val="111E2102"/>
    <w:rsid w:val="111E4DF7"/>
    <w:rsid w:val="111F4B90"/>
    <w:rsid w:val="111F7DDE"/>
    <w:rsid w:val="112017A8"/>
    <w:rsid w:val="11203B56"/>
    <w:rsid w:val="11205B1A"/>
    <w:rsid w:val="112076B2"/>
    <w:rsid w:val="11225E68"/>
    <w:rsid w:val="112274F0"/>
    <w:rsid w:val="11252F1A"/>
    <w:rsid w:val="11254CC9"/>
    <w:rsid w:val="11255382"/>
    <w:rsid w:val="112635D3"/>
    <w:rsid w:val="112703EE"/>
    <w:rsid w:val="11276C93"/>
    <w:rsid w:val="112805E2"/>
    <w:rsid w:val="1129186B"/>
    <w:rsid w:val="11295CD8"/>
    <w:rsid w:val="112A6783"/>
    <w:rsid w:val="112B21EB"/>
    <w:rsid w:val="112C6057"/>
    <w:rsid w:val="112D098E"/>
    <w:rsid w:val="112D33E4"/>
    <w:rsid w:val="112D6653"/>
    <w:rsid w:val="112D7194"/>
    <w:rsid w:val="112D778D"/>
    <w:rsid w:val="112E5F43"/>
    <w:rsid w:val="112E6273"/>
    <w:rsid w:val="112E76DF"/>
    <w:rsid w:val="112F1D43"/>
    <w:rsid w:val="112F3D99"/>
    <w:rsid w:val="112F5B47"/>
    <w:rsid w:val="112F78F5"/>
    <w:rsid w:val="11301F04"/>
    <w:rsid w:val="113028E2"/>
    <w:rsid w:val="1130437D"/>
    <w:rsid w:val="113106E6"/>
    <w:rsid w:val="11311045"/>
    <w:rsid w:val="1131366D"/>
    <w:rsid w:val="11313685"/>
    <w:rsid w:val="113200EE"/>
    <w:rsid w:val="11326066"/>
    <w:rsid w:val="11330815"/>
    <w:rsid w:val="11331CAD"/>
    <w:rsid w:val="11332B9C"/>
    <w:rsid w:val="11333889"/>
    <w:rsid w:val="11335637"/>
    <w:rsid w:val="11335BD7"/>
    <w:rsid w:val="11340007"/>
    <w:rsid w:val="113427EC"/>
    <w:rsid w:val="1134315E"/>
    <w:rsid w:val="113449C6"/>
    <w:rsid w:val="11347067"/>
    <w:rsid w:val="11353B75"/>
    <w:rsid w:val="113565BA"/>
    <w:rsid w:val="11357581"/>
    <w:rsid w:val="11357601"/>
    <w:rsid w:val="11360C84"/>
    <w:rsid w:val="11365128"/>
    <w:rsid w:val="11366ED6"/>
    <w:rsid w:val="11372E17"/>
    <w:rsid w:val="1138062F"/>
    <w:rsid w:val="113849FC"/>
    <w:rsid w:val="1139307F"/>
    <w:rsid w:val="11397AC9"/>
    <w:rsid w:val="113A1798"/>
    <w:rsid w:val="113A2365"/>
    <w:rsid w:val="113A2ED9"/>
    <w:rsid w:val="113A6168"/>
    <w:rsid w:val="113B44EC"/>
    <w:rsid w:val="113B7EFA"/>
    <w:rsid w:val="113C1FFE"/>
    <w:rsid w:val="113D64B6"/>
    <w:rsid w:val="113D6C89"/>
    <w:rsid w:val="113E3C07"/>
    <w:rsid w:val="11407C56"/>
    <w:rsid w:val="11407D54"/>
    <w:rsid w:val="114101DB"/>
    <w:rsid w:val="11414D1D"/>
    <w:rsid w:val="11421D1E"/>
    <w:rsid w:val="114235DB"/>
    <w:rsid w:val="11423ACC"/>
    <w:rsid w:val="1142587A"/>
    <w:rsid w:val="114333A1"/>
    <w:rsid w:val="11434070"/>
    <w:rsid w:val="1145467C"/>
    <w:rsid w:val="1145626E"/>
    <w:rsid w:val="11457FEC"/>
    <w:rsid w:val="114710E3"/>
    <w:rsid w:val="11474599"/>
    <w:rsid w:val="11477335"/>
    <w:rsid w:val="11477B00"/>
    <w:rsid w:val="114815F7"/>
    <w:rsid w:val="1149406E"/>
    <w:rsid w:val="11496222"/>
    <w:rsid w:val="11496C09"/>
    <w:rsid w:val="11497DFD"/>
    <w:rsid w:val="114A0BD3"/>
    <w:rsid w:val="114A2981"/>
    <w:rsid w:val="114A310B"/>
    <w:rsid w:val="114B3E5E"/>
    <w:rsid w:val="114C494B"/>
    <w:rsid w:val="114C66F9"/>
    <w:rsid w:val="114C73CD"/>
    <w:rsid w:val="114D677E"/>
    <w:rsid w:val="114E2471"/>
    <w:rsid w:val="114E27DF"/>
    <w:rsid w:val="114F1D45"/>
    <w:rsid w:val="115011A9"/>
    <w:rsid w:val="11506D7B"/>
    <w:rsid w:val="11511F61"/>
    <w:rsid w:val="11527A1F"/>
    <w:rsid w:val="11531836"/>
    <w:rsid w:val="11535CDA"/>
    <w:rsid w:val="11537A88"/>
    <w:rsid w:val="115455AE"/>
    <w:rsid w:val="11546271"/>
    <w:rsid w:val="11555F29"/>
    <w:rsid w:val="11560F71"/>
    <w:rsid w:val="11561326"/>
    <w:rsid w:val="11581BF4"/>
    <w:rsid w:val="115832F0"/>
    <w:rsid w:val="11584D21"/>
    <w:rsid w:val="11585E09"/>
    <w:rsid w:val="11586E4C"/>
    <w:rsid w:val="1159557D"/>
    <w:rsid w:val="115A5929"/>
    <w:rsid w:val="115A5B4C"/>
    <w:rsid w:val="115B2DE0"/>
    <w:rsid w:val="115B693C"/>
    <w:rsid w:val="115D0906"/>
    <w:rsid w:val="115D3896"/>
    <w:rsid w:val="115D3FD5"/>
    <w:rsid w:val="115D4462"/>
    <w:rsid w:val="115E2D3A"/>
    <w:rsid w:val="115E2E8B"/>
    <w:rsid w:val="115E4FD3"/>
    <w:rsid w:val="115F59AD"/>
    <w:rsid w:val="116003F7"/>
    <w:rsid w:val="11603F53"/>
    <w:rsid w:val="1160746F"/>
    <w:rsid w:val="1162023A"/>
    <w:rsid w:val="11621A79"/>
    <w:rsid w:val="11630831"/>
    <w:rsid w:val="11632CAB"/>
    <w:rsid w:val="11641104"/>
    <w:rsid w:val="1164332F"/>
    <w:rsid w:val="11645801"/>
    <w:rsid w:val="11646B52"/>
    <w:rsid w:val="11651569"/>
    <w:rsid w:val="116577BB"/>
    <w:rsid w:val="11662604"/>
    <w:rsid w:val="1166486A"/>
    <w:rsid w:val="11664A63"/>
    <w:rsid w:val="11665A0D"/>
    <w:rsid w:val="11665CA1"/>
    <w:rsid w:val="11667FC6"/>
    <w:rsid w:val="11673533"/>
    <w:rsid w:val="1167470B"/>
    <w:rsid w:val="116752E1"/>
    <w:rsid w:val="11684477"/>
    <w:rsid w:val="116A4DD1"/>
    <w:rsid w:val="116C0B49"/>
    <w:rsid w:val="116C28F7"/>
    <w:rsid w:val="116C3197"/>
    <w:rsid w:val="116C5D68"/>
    <w:rsid w:val="116C67E6"/>
    <w:rsid w:val="116D5993"/>
    <w:rsid w:val="116E48C1"/>
    <w:rsid w:val="116E6670"/>
    <w:rsid w:val="116F1B18"/>
    <w:rsid w:val="11713EF6"/>
    <w:rsid w:val="11717335"/>
    <w:rsid w:val="11717807"/>
    <w:rsid w:val="11717F0E"/>
    <w:rsid w:val="1173012A"/>
    <w:rsid w:val="11730499"/>
    <w:rsid w:val="11731ED8"/>
    <w:rsid w:val="117345B2"/>
    <w:rsid w:val="117374BB"/>
    <w:rsid w:val="11742DB9"/>
    <w:rsid w:val="11743EDB"/>
    <w:rsid w:val="1174743D"/>
    <w:rsid w:val="11752F79"/>
    <w:rsid w:val="11755C50"/>
    <w:rsid w:val="11763776"/>
    <w:rsid w:val="117702AA"/>
    <w:rsid w:val="117729BD"/>
    <w:rsid w:val="11781AFC"/>
    <w:rsid w:val="11785740"/>
    <w:rsid w:val="1178632B"/>
    <w:rsid w:val="117A07B9"/>
    <w:rsid w:val="117A1F5D"/>
    <w:rsid w:val="117A3155"/>
    <w:rsid w:val="117A5014"/>
    <w:rsid w:val="117B2B3A"/>
    <w:rsid w:val="117B6FDE"/>
    <w:rsid w:val="117D14E7"/>
    <w:rsid w:val="117D2D56"/>
    <w:rsid w:val="117D4B05"/>
    <w:rsid w:val="117D68B3"/>
    <w:rsid w:val="117E55AC"/>
    <w:rsid w:val="117F087D"/>
    <w:rsid w:val="117F6ACF"/>
    <w:rsid w:val="1181267E"/>
    <w:rsid w:val="11812847"/>
    <w:rsid w:val="11814B43"/>
    <w:rsid w:val="1182036D"/>
    <w:rsid w:val="1182211B"/>
    <w:rsid w:val="11835AC1"/>
    <w:rsid w:val="118428AE"/>
    <w:rsid w:val="11851CC7"/>
    <w:rsid w:val="118548F4"/>
    <w:rsid w:val="118656C5"/>
    <w:rsid w:val="11867E5D"/>
    <w:rsid w:val="11877731"/>
    <w:rsid w:val="11883EE6"/>
    <w:rsid w:val="118922C6"/>
    <w:rsid w:val="118934A9"/>
    <w:rsid w:val="11895290"/>
    <w:rsid w:val="118A4994"/>
    <w:rsid w:val="118A5224"/>
    <w:rsid w:val="118B12F1"/>
    <w:rsid w:val="118B4F97"/>
    <w:rsid w:val="118B5473"/>
    <w:rsid w:val="118B7221"/>
    <w:rsid w:val="118C2F9A"/>
    <w:rsid w:val="118D50A1"/>
    <w:rsid w:val="118E0AC0"/>
    <w:rsid w:val="118F0533"/>
    <w:rsid w:val="118F79C1"/>
    <w:rsid w:val="11901453"/>
    <w:rsid w:val="11902A8A"/>
    <w:rsid w:val="11904838"/>
    <w:rsid w:val="11913ECD"/>
    <w:rsid w:val="1193257A"/>
    <w:rsid w:val="11934328"/>
    <w:rsid w:val="11934D0B"/>
    <w:rsid w:val="11943BFC"/>
    <w:rsid w:val="11977894"/>
    <w:rsid w:val="11980D24"/>
    <w:rsid w:val="1198193E"/>
    <w:rsid w:val="11982B96"/>
    <w:rsid w:val="119838F5"/>
    <w:rsid w:val="11990339"/>
    <w:rsid w:val="11993644"/>
    <w:rsid w:val="119A3908"/>
    <w:rsid w:val="119B673D"/>
    <w:rsid w:val="119C2276"/>
    <w:rsid w:val="119C3C53"/>
    <w:rsid w:val="119C6A33"/>
    <w:rsid w:val="119D0D03"/>
    <w:rsid w:val="119D0FC0"/>
    <w:rsid w:val="119D51A7"/>
    <w:rsid w:val="119E030E"/>
    <w:rsid w:val="119E299D"/>
    <w:rsid w:val="119E7B0A"/>
    <w:rsid w:val="11A007F3"/>
    <w:rsid w:val="11A02087"/>
    <w:rsid w:val="11A02710"/>
    <w:rsid w:val="11A075D6"/>
    <w:rsid w:val="11A105E0"/>
    <w:rsid w:val="11A13517"/>
    <w:rsid w:val="11A2456B"/>
    <w:rsid w:val="11A26319"/>
    <w:rsid w:val="11A40034"/>
    <w:rsid w:val="11A402E3"/>
    <w:rsid w:val="11A4040E"/>
    <w:rsid w:val="11A42091"/>
    <w:rsid w:val="11A45C86"/>
    <w:rsid w:val="11A55E09"/>
    <w:rsid w:val="11A61B4B"/>
    <w:rsid w:val="11A61C40"/>
    <w:rsid w:val="11A63D74"/>
    <w:rsid w:val="11A64463"/>
    <w:rsid w:val="11A64703"/>
    <w:rsid w:val="11A64AAA"/>
    <w:rsid w:val="11A719C6"/>
    <w:rsid w:val="11A83024"/>
    <w:rsid w:val="11A85EA5"/>
    <w:rsid w:val="11A93B4C"/>
    <w:rsid w:val="11A976A8"/>
    <w:rsid w:val="11AA40EE"/>
    <w:rsid w:val="11AA45C9"/>
    <w:rsid w:val="11AA5D0A"/>
    <w:rsid w:val="11AB719A"/>
    <w:rsid w:val="11AC5E46"/>
    <w:rsid w:val="11AC7198"/>
    <w:rsid w:val="11AD1ABA"/>
    <w:rsid w:val="11AE1162"/>
    <w:rsid w:val="11B01B7C"/>
    <w:rsid w:val="11B03A6A"/>
    <w:rsid w:val="11B147AE"/>
    <w:rsid w:val="11B14ED2"/>
    <w:rsid w:val="11B168D7"/>
    <w:rsid w:val="11B20C52"/>
    <w:rsid w:val="11B22F57"/>
    <w:rsid w:val="11B2449C"/>
    <w:rsid w:val="11B24A1E"/>
    <w:rsid w:val="11B2607D"/>
    <w:rsid w:val="11B322D4"/>
    <w:rsid w:val="11B34AC6"/>
    <w:rsid w:val="11B40DFE"/>
    <w:rsid w:val="11B5111E"/>
    <w:rsid w:val="11B524F0"/>
    <w:rsid w:val="11B5429E"/>
    <w:rsid w:val="11B60016"/>
    <w:rsid w:val="11B6563A"/>
    <w:rsid w:val="11B73308"/>
    <w:rsid w:val="11B75315"/>
    <w:rsid w:val="11B76268"/>
    <w:rsid w:val="11B81065"/>
    <w:rsid w:val="11B8179E"/>
    <w:rsid w:val="11B81FE1"/>
    <w:rsid w:val="11B828FA"/>
    <w:rsid w:val="11B85B3D"/>
    <w:rsid w:val="11B8636C"/>
    <w:rsid w:val="11B95EF7"/>
    <w:rsid w:val="11B971EC"/>
    <w:rsid w:val="11BA18B5"/>
    <w:rsid w:val="11BB2435"/>
    <w:rsid w:val="11BB562D"/>
    <w:rsid w:val="11BB73DB"/>
    <w:rsid w:val="11BC0B41"/>
    <w:rsid w:val="11BD6E3E"/>
    <w:rsid w:val="11BD75F7"/>
    <w:rsid w:val="11BE2DE2"/>
    <w:rsid w:val="11BE5D2B"/>
    <w:rsid w:val="11BF6ECB"/>
    <w:rsid w:val="11C049F1"/>
    <w:rsid w:val="11C12C43"/>
    <w:rsid w:val="11C20769"/>
    <w:rsid w:val="11C24C0D"/>
    <w:rsid w:val="11C349C6"/>
    <w:rsid w:val="11C37011"/>
    <w:rsid w:val="11C437CA"/>
    <w:rsid w:val="11C5168E"/>
    <w:rsid w:val="11C664AC"/>
    <w:rsid w:val="11C73FD2"/>
    <w:rsid w:val="11C96820"/>
    <w:rsid w:val="11CA0822"/>
    <w:rsid w:val="11CA448F"/>
    <w:rsid w:val="11CB1D14"/>
    <w:rsid w:val="11CB2733"/>
    <w:rsid w:val="11CB5870"/>
    <w:rsid w:val="11CC161B"/>
    <w:rsid w:val="11CC17D1"/>
    <w:rsid w:val="11CC3396"/>
    <w:rsid w:val="11CE0016"/>
    <w:rsid w:val="11CE35B2"/>
    <w:rsid w:val="11CE391D"/>
    <w:rsid w:val="11CE6804"/>
    <w:rsid w:val="11CF39BC"/>
    <w:rsid w:val="11CF7E49"/>
    <w:rsid w:val="11D0732A"/>
    <w:rsid w:val="11D16BFE"/>
    <w:rsid w:val="11D17DFA"/>
    <w:rsid w:val="11D213EA"/>
    <w:rsid w:val="11D21AE6"/>
    <w:rsid w:val="11D230A2"/>
    <w:rsid w:val="11D30BC8"/>
    <w:rsid w:val="11D32976"/>
    <w:rsid w:val="11D34725"/>
    <w:rsid w:val="11D3560A"/>
    <w:rsid w:val="11D36195"/>
    <w:rsid w:val="11D5049D"/>
    <w:rsid w:val="11D53828"/>
    <w:rsid w:val="11D54941"/>
    <w:rsid w:val="11D566EF"/>
    <w:rsid w:val="11D706B9"/>
    <w:rsid w:val="11D72467"/>
    <w:rsid w:val="11D84431"/>
    <w:rsid w:val="11D86190"/>
    <w:rsid w:val="11D91D74"/>
    <w:rsid w:val="11DA14A4"/>
    <w:rsid w:val="11DA6CF8"/>
    <w:rsid w:val="11DB545F"/>
    <w:rsid w:val="11DC083A"/>
    <w:rsid w:val="11DC4155"/>
    <w:rsid w:val="11DC7709"/>
    <w:rsid w:val="11DD1A47"/>
    <w:rsid w:val="11DD252D"/>
    <w:rsid w:val="11DD37F5"/>
    <w:rsid w:val="11DD4CA6"/>
    <w:rsid w:val="11DD55A3"/>
    <w:rsid w:val="11DD6828"/>
    <w:rsid w:val="11DD7D27"/>
    <w:rsid w:val="11DF131B"/>
    <w:rsid w:val="11DF4949"/>
    <w:rsid w:val="11DF756D"/>
    <w:rsid w:val="11DF773E"/>
    <w:rsid w:val="11E06E41"/>
    <w:rsid w:val="11E111E9"/>
    <w:rsid w:val="11E13435"/>
    <w:rsid w:val="11E211A6"/>
    <w:rsid w:val="11E25A4F"/>
    <w:rsid w:val="11E25ADC"/>
    <w:rsid w:val="11E34CE2"/>
    <w:rsid w:val="11E37F55"/>
    <w:rsid w:val="11E41DDD"/>
    <w:rsid w:val="11E4475A"/>
    <w:rsid w:val="11E46932"/>
    <w:rsid w:val="11E54E3F"/>
    <w:rsid w:val="11E579A3"/>
    <w:rsid w:val="11E60706"/>
    <w:rsid w:val="11E608FC"/>
    <w:rsid w:val="11E61731"/>
    <w:rsid w:val="11E61D28"/>
    <w:rsid w:val="11E67EA6"/>
    <w:rsid w:val="11E701D0"/>
    <w:rsid w:val="11E710C1"/>
    <w:rsid w:val="11E80F4D"/>
    <w:rsid w:val="11E8108B"/>
    <w:rsid w:val="11E84674"/>
    <w:rsid w:val="11E84765"/>
    <w:rsid w:val="11E85E6F"/>
    <w:rsid w:val="11E86420"/>
    <w:rsid w:val="11E8678B"/>
    <w:rsid w:val="11E8713C"/>
    <w:rsid w:val="11E903EC"/>
    <w:rsid w:val="11E95673"/>
    <w:rsid w:val="11EA3384"/>
    <w:rsid w:val="11EB4164"/>
    <w:rsid w:val="11EB5F12"/>
    <w:rsid w:val="11EB6812"/>
    <w:rsid w:val="11EB7CC0"/>
    <w:rsid w:val="11EC068E"/>
    <w:rsid w:val="11EC3A38"/>
    <w:rsid w:val="11ED1B1E"/>
    <w:rsid w:val="11EE155E"/>
    <w:rsid w:val="11EE25E3"/>
    <w:rsid w:val="11EF1059"/>
    <w:rsid w:val="11F0177A"/>
    <w:rsid w:val="11F04916"/>
    <w:rsid w:val="11F052D6"/>
    <w:rsid w:val="11F058CE"/>
    <w:rsid w:val="11F1104F"/>
    <w:rsid w:val="11F1445B"/>
    <w:rsid w:val="11F16A70"/>
    <w:rsid w:val="11F16D5E"/>
    <w:rsid w:val="11F272A1"/>
    <w:rsid w:val="11F34DC7"/>
    <w:rsid w:val="11F40085"/>
    <w:rsid w:val="11F508E9"/>
    <w:rsid w:val="11F50B3F"/>
    <w:rsid w:val="11F56D91"/>
    <w:rsid w:val="11F70371"/>
    <w:rsid w:val="11F70F13"/>
    <w:rsid w:val="11F72B09"/>
    <w:rsid w:val="11F75EF1"/>
    <w:rsid w:val="11F8062F"/>
    <w:rsid w:val="11F823DD"/>
    <w:rsid w:val="11F831EF"/>
    <w:rsid w:val="11F84060"/>
    <w:rsid w:val="11F9417E"/>
    <w:rsid w:val="11F95924"/>
    <w:rsid w:val="11FA08A7"/>
    <w:rsid w:val="11FA7F03"/>
    <w:rsid w:val="11FC011F"/>
    <w:rsid w:val="11FC042E"/>
    <w:rsid w:val="11FC3C7B"/>
    <w:rsid w:val="11FC3E71"/>
    <w:rsid w:val="11FD5C45"/>
    <w:rsid w:val="11FF27F2"/>
    <w:rsid w:val="11FF3F33"/>
    <w:rsid w:val="11FF551A"/>
    <w:rsid w:val="12011292"/>
    <w:rsid w:val="1201448E"/>
    <w:rsid w:val="1202325C"/>
    <w:rsid w:val="12031173"/>
    <w:rsid w:val="120328B4"/>
    <w:rsid w:val="12040D82"/>
    <w:rsid w:val="12042B30"/>
    <w:rsid w:val="12045226"/>
    <w:rsid w:val="12057B1E"/>
    <w:rsid w:val="12060A64"/>
    <w:rsid w:val="12062D4C"/>
    <w:rsid w:val="12064AFA"/>
    <w:rsid w:val="120668A8"/>
    <w:rsid w:val="12075296"/>
    <w:rsid w:val="12075A5A"/>
    <w:rsid w:val="1208127F"/>
    <w:rsid w:val="120927FA"/>
    <w:rsid w:val="1209283C"/>
    <w:rsid w:val="1209605D"/>
    <w:rsid w:val="120A1C7B"/>
    <w:rsid w:val="120B2110"/>
    <w:rsid w:val="120B30CF"/>
    <w:rsid w:val="120B37DD"/>
    <w:rsid w:val="120B4E61"/>
    <w:rsid w:val="120B559C"/>
    <w:rsid w:val="120B5C57"/>
    <w:rsid w:val="120C3966"/>
    <w:rsid w:val="120D5E88"/>
    <w:rsid w:val="120D6537"/>
    <w:rsid w:val="120E2F26"/>
    <w:rsid w:val="120E372E"/>
    <w:rsid w:val="120E7D78"/>
    <w:rsid w:val="120F6A04"/>
    <w:rsid w:val="1210011A"/>
    <w:rsid w:val="12104362"/>
    <w:rsid w:val="12106025"/>
    <w:rsid w:val="12107727"/>
    <w:rsid w:val="12110957"/>
    <w:rsid w:val="12115D23"/>
    <w:rsid w:val="12116348"/>
    <w:rsid w:val="12121CF5"/>
    <w:rsid w:val="1212349F"/>
    <w:rsid w:val="12124E5C"/>
    <w:rsid w:val="121277D8"/>
    <w:rsid w:val="12133252"/>
    <w:rsid w:val="12136C43"/>
    <w:rsid w:val="121414D0"/>
    <w:rsid w:val="12144CC9"/>
    <w:rsid w:val="121511E1"/>
    <w:rsid w:val="12153449"/>
    <w:rsid w:val="12154D3D"/>
    <w:rsid w:val="1216218D"/>
    <w:rsid w:val="12176D07"/>
    <w:rsid w:val="1218482D"/>
    <w:rsid w:val="12190245"/>
    <w:rsid w:val="12194ADA"/>
    <w:rsid w:val="121A2353"/>
    <w:rsid w:val="121A67F7"/>
    <w:rsid w:val="121A73FA"/>
    <w:rsid w:val="121A7C37"/>
    <w:rsid w:val="121D0BF1"/>
    <w:rsid w:val="121D3946"/>
    <w:rsid w:val="121E0096"/>
    <w:rsid w:val="121F1D52"/>
    <w:rsid w:val="121F1DDC"/>
    <w:rsid w:val="121F1E36"/>
    <w:rsid w:val="121F3E0E"/>
    <w:rsid w:val="121F796A"/>
    <w:rsid w:val="122049AD"/>
    <w:rsid w:val="12204FDD"/>
    <w:rsid w:val="12211934"/>
    <w:rsid w:val="12233273"/>
    <w:rsid w:val="1223332E"/>
    <w:rsid w:val="122356AC"/>
    <w:rsid w:val="122370C7"/>
    <w:rsid w:val="12240474"/>
    <w:rsid w:val="12241424"/>
    <w:rsid w:val="12241A94"/>
    <w:rsid w:val="122431D2"/>
    <w:rsid w:val="12250BF7"/>
    <w:rsid w:val="122567E1"/>
    <w:rsid w:val="12256903"/>
    <w:rsid w:val="12260CF8"/>
    <w:rsid w:val="1226519C"/>
    <w:rsid w:val="12274A70"/>
    <w:rsid w:val="12280F14"/>
    <w:rsid w:val="122819FE"/>
    <w:rsid w:val="12282CC2"/>
    <w:rsid w:val="12283506"/>
    <w:rsid w:val="122A2E84"/>
    <w:rsid w:val="122A6EEF"/>
    <w:rsid w:val="122B4561"/>
    <w:rsid w:val="122B630F"/>
    <w:rsid w:val="122C1F8D"/>
    <w:rsid w:val="122C7E90"/>
    <w:rsid w:val="122D6FB1"/>
    <w:rsid w:val="122E0441"/>
    <w:rsid w:val="122E0848"/>
    <w:rsid w:val="122E5DFF"/>
    <w:rsid w:val="122F0E7D"/>
    <w:rsid w:val="122F22A3"/>
    <w:rsid w:val="12301B77"/>
    <w:rsid w:val="12304909"/>
    <w:rsid w:val="123141F1"/>
    <w:rsid w:val="12317569"/>
    <w:rsid w:val="12317D70"/>
    <w:rsid w:val="12325681"/>
    <w:rsid w:val="123258EF"/>
    <w:rsid w:val="1232742E"/>
    <w:rsid w:val="12327CD2"/>
    <w:rsid w:val="1233681D"/>
    <w:rsid w:val="12347F2E"/>
    <w:rsid w:val="123526EB"/>
    <w:rsid w:val="12352A26"/>
    <w:rsid w:val="12353631"/>
    <w:rsid w:val="12370063"/>
    <w:rsid w:val="12382678"/>
    <w:rsid w:val="123857CD"/>
    <w:rsid w:val="12394ECF"/>
    <w:rsid w:val="123956DC"/>
    <w:rsid w:val="123A0C48"/>
    <w:rsid w:val="123A3DC3"/>
    <w:rsid w:val="123B7AF5"/>
    <w:rsid w:val="123C49C0"/>
    <w:rsid w:val="123D3AE7"/>
    <w:rsid w:val="123D7EC1"/>
    <w:rsid w:val="123E24E6"/>
    <w:rsid w:val="123E3B1E"/>
    <w:rsid w:val="123F000C"/>
    <w:rsid w:val="123F3D41"/>
    <w:rsid w:val="123F625E"/>
    <w:rsid w:val="12401E56"/>
    <w:rsid w:val="124043EC"/>
    <w:rsid w:val="12410BB4"/>
    <w:rsid w:val="12411BFD"/>
    <w:rsid w:val="12415B32"/>
    <w:rsid w:val="1242345E"/>
    <w:rsid w:val="12425176"/>
    <w:rsid w:val="124318AA"/>
    <w:rsid w:val="12437AFC"/>
    <w:rsid w:val="12443874"/>
    <w:rsid w:val="12445622"/>
    <w:rsid w:val="12456514"/>
    <w:rsid w:val="12457370"/>
    <w:rsid w:val="1246139A"/>
    <w:rsid w:val="12463148"/>
    <w:rsid w:val="12464F87"/>
    <w:rsid w:val="12466189"/>
    <w:rsid w:val="124666C8"/>
    <w:rsid w:val="12475AAC"/>
    <w:rsid w:val="12477073"/>
    <w:rsid w:val="12477A64"/>
    <w:rsid w:val="124802C3"/>
    <w:rsid w:val="12483364"/>
    <w:rsid w:val="12483446"/>
    <w:rsid w:val="12483BB9"/>
    <w:rsid w:val="12485112"/>
    <w:rsid w:val="12490E8B"/>
    <w:rsid w:val="12492C39"/>
    <w:rsid w:val="124A6E0E"/>
    <w:rsid w:val="124B69B1"/>
    <w:rsid w:val="124C3E81"/>
    <w:rsid w:val="124D097B"/>
    <w:rsid w:val="124E66A8"/>
    <w:rsid w:val="124F0EBB"/>
    <w:rsid w:val="124F46F3"/>
    <w:rsid w:val="124F5C67"/>
    <w:rsid w:val="124F5CA7"/>
    <w:rsid w:val="124F5FD2"/>
    <w:rsid w:val="125009C9"/>
    <w:rsid w:val="12502219"/>
    <w:rsid w:val="12502374"/>
    <w:rsid w:val="1250718C"/>
    <w:rsid w:val="12511B3B"/>
    <w:rsid w:val="12521AED"/>
    <w:rsid w:val="12525F91"/>
    <w:rsid w:val="12535865"/>
    <w:rsid w:val="12555A81"/>
    <w:rsid w:val="1257411B"/>
    <w:rsid w:val="12577104"/>
    <w:rsid w:val="12580ADD"/>
    <w:rsid w:val="12583F3B"/>
    <w:rsid w:val="12593CF9"/>
    <w:rsid w:val="125A3098"/>
    <w:rsid w:val="125A6BF4"/>
    <w:rsid w:val="125B29A0"/>
    <w:rsid w:val="125B6C0C"/>
    <w:rsid w:val="125C296C"/>
    <w:rsid w:val="125C471A"/>
    <w:rsid w:val="125E3C83"/>
    <w:rsid w:val="125E494F"/>
    <w:rsid w:val="125E66E4"/>
    <w:rsid w:val="125E7BB8"/>
    <w:rsid w:val="125F726F"/>
    <w:rsid w:val="126006AE"/>
    <w:rsid w:val="12601E40"/>
    <w:rsid w:val="126161D4"/>
    <w:rsid w:val="12626F58"/>
    <w:rsid w:val="126355F2"/>
    <w:rsid w:val="12635AA8"/>
    <w:rsid w:val="12647A72"/>
    <w:rsid w:val="12653D48"/>
    <w:rsid w:val="12655CC4"/>
    <w:rsid w:val="12665599"/>
    <w:rsid w:val="12675D3E"/>
    <w:rsid w:val="12677142"/>
    <w:rsid w:val="126807AF"/>
    <w:rsid w:val="12680AA1"/>
    <w:rsid w:val="12681311"/>
    <w:rsid w:val="126857B5"/>
    <w:rsid w:val="12687563"/>
    <w:rsid w:val="12695089"/>
    <w:rsid w:val="12696E37"/>
    <w:rsid w:val="126B2BAF"/>
    <w:rsid w:val="126B5812"/>
    <w:rsid w:val="126C03E3"/>
    <w:rsid w:val="126C2395"/>
    <w:rsid w:val="126C687D"/>
    <w:rsid w:val="126D2DCB"/>
    <w:rsid w:val="126E07EE"/>
    <w:rsid w:val="126E269F"/>
    <w:rsid w:val="126E520C"/>
    <w:rsid w:val="126F08F1"/>
    <w:rsid w:val="126F6B43"/>
    <w:rsid w:val="12723F3D"/>
    <w:rsid w:val="1273087D"/>
    <w:rsid w:val="12741746"/>
    <w:rsid w:val="12746B75"/>
    <w:rsid w:val="12752BD6"/>
    <w:rsid w:val="1276500D"/>
    <w:rsid w:val="127676EB"/>
    <w:rsid w:val="12771554"/>
    <w:rsid w:val="12771723"/>
    <w:rsid w:val="127750F1"/>
    <w:rsid w:val="127777A6"/>
    <w:rsid w:val="12790691"/>
    <w:rsid w:val="12791770"/>
    <w:rsid w:val="12791C82"/>
    <w:rsid w:val="127952CC"/>
    <w:rsid w:val="12797E16"/>
    <w:rsid w:val="127A7296"/>
    <w:rsid w:val="127C24B1"/>
    <w:rsid w:val="127C2CBF"/>
    <w:rsid w:val="127C45AC"/>
    <w:rsid w:val="127C4DBC"/>
    <w:rsid w:val="127C6B6A"/>
    <w:rsid w:val="127C7ED8"/>
    <w:rsid w:val="127D7DA0"/>
    <w:rsid w:val="127E5FB0"/>
    <w:rsid w:val="127F0B83"/>
    <w:rsid w:val="127F0CDB"/>
    <w:rsid w:val="127F48AC"/>
    <w:rsid w:val="127F665A"/>
    <w:rsid w:val="127F6859"/>
    <w:rsid w:val="12802419"/>
    <w:rsid w:val="12805118"/>
    <w:rsid w:val="12811BBB"/>
    <w:rsid w:val="12816F47"/>
    <w:rsid w:val="1282136C"/>
    <w:rsid w:val="128351DA"/>
    <w:rsid w:val="1284367C"/>
    <w:rsid w:val="128465B6"/>
    <w:rsid w:val="12851EC3"/>
    <w:rsid w:val="128524A3"/>
    <w:rsid w:val="1286241A"/>
    <w:rsid w:val="128631D9"/>
    <w:rsid w:val="128679E9"/>
    <w:rsid w:val="1288550F"/>
    <w:rsid w:val="128869C3"/>
    <w:rsid w:val="12887C05"/>
    <w:rsid w:val="1289075F"/>
    <w:rsid w:val="12891287"/>
    <w:rsid w:val="128933D7"/>
    <w:rsid w:val="128A1139"/>
    <w:rsid w:val="128A3766"/>
    <w:rsid w:val="128A41F3"/>
    <w:rsid w:val="128A6237"/>
    <w:rsid w:val="128A74D9"/>
    <w:rsid w:val="128A7B95"/>
    <w:rsid w:val="128B680F"/>
    <w:rsid w:val="128C7765"/>
    <w:rsid w:val="128C79CD"/>
    <w:rsid w:val="128D6FC9"/>
    <w:rsid w:val="128E09D9"/>
    <w:rsid w:val="128E689D"/>
    <w:rsid w:val="128E6B56"/>
    <w:rsid w:val="128F0C97"/>
    <w:rsid w:val="128F377D"/>
    <w:rsid w:val="128F6F7F"/>
    <w:rsid w:val="12902616"/>
    <w:rsid w:val="12905C6F"/>
    <w:rsid w:val="12906C5E"/>
    <w:rsid w:val="129260FB"/>
    <w:rsid w:val="1292764F"/>
    <w:rsid w:val="1293001F"/>
    <w:rsid w:val="1294457F"/>
    <w:rsid w:val="129465AA"/>
    <w:rsid w:val="12955E7E"/>
    <w:rsid w:val="1296384D"/>
    <w:rsid w:val="12965764"/>
    <w:rsid w:val="12966FEF"/>
    <w:rsid w:val="129728D9"/>
    <w:rsid w:val="1297339E"/>
    <w:rsid w:val="12977E48"/>
    <w:rsid w:val="129836AF"/>
    <w:rsid w:val="1299596E"/>
    <w:rsid w:val="129C214C"/>
    <w:rsid w:val="129C4987"/>
    <w:rsid w:val="129C720C"/>
    <w:rsid w:val="129D06AD"/>
    <w:rsid w:val="129D13F1"/>
    <w:rsid w:val="129D248C"/>
    <w:rsid w:val="129E02B8"/>
    <w:rsid w:val="129E06A0"/>
    <w:rsid w:val="129E11D6"/>
    <w:rsid w:val="129E4D32"/>
    <w:rsid w:val="129E5C9F"/>
    <w:rsid w:val="129F22BE"/>
    <w:rsid w:val="12A0372E"/>
    <w:rsid w:val="12A04F4F"/>
    <w:rsid w:val="12A05B91"/>
    <w:rsid w:val="12A067E4"/>
    <w:rsid w:val="12A10762"/>
    <w:rsid w:val="12A10CC7"/>
    <w:rsid w:val="12A165D1"/>
    <w:rsid w:val="12A17021"/>
    <w:rsid w:val="12A3059B"/>
    <w:rsid w:val="12A34203"/>
    <w:rsid w:val="12A460C1"/>
    <w:rsid w:val="12A54313"/>
    <w:rsid w:val="12A5482A"/>
    <w:rsid w:val="12A57FD4"/>
    <w:rsid w:val="12A606A8"/>
    <w:rsid w:val="12A66E32"/>
    <w:rsid w:val="12A733A7"/>
    <w:rsid w:val="12A83D45"/>
    <w:rsid w:val="12A8701F"/>
    <w:rsid w:val="12A8795F"/>
    <w:rsid w:val="12A928B8"/>
    <w:rsid w:val="12A928C3"/>
    <w:rsid w:val="12A9669E"/>
    <w:rsid w:val="12AA0384"/>
    <w:rsid w:val="12AA1929"/>
    <w:rsid w:val="12AA36D7"/>
    <w:rsid w:val="12AA65ED"/>
    <w:rsid w:val="12AB1EB7"/>
    <w:rsid w:val="12AB56A1"/>
    <w:rsid w:val="12AB744F"/>
    <w:rsid w:val="12AC00F7"/>
    <w:rsid w:val="12AC21C3"/>
    <w:rsid w:val="12AC4AD1"/>
    <w:rsid w:val="12AC5875"/>
    <w:rsid w:val="12AD1419"/>
    <w:rsid w:val="12AD33CD"/>
    <w:rsid w:val="12AE0195"/>
    <w:rsid w:val="12AF5192"/>
    <w:rsid w:val="12AF6F40"/>
    <w:rsid w:val="12AF75D6"/>
    <w:rsid w:val="12B01DAB"/>
    <w:rsid w:val="12B02CB8"/>
    <w:rsid w:val="12B05488"/>
    <w:rsid w:val="12B207DE"/>
    <w:rsid w:val="12B216E7"/>
    <w:rsid w:val="12B25175"/>
    <w:rsid w:val="12B26A30"/>
    <w:rsid w:val="12B32B77"/>
    <w:rsid w:val="12B35CEE"/>
    <w:rsid w:val="12B409FA"/>
    <w:rsid w:val="12B44556"/>
    <w:rsid w:val="12B46304"/>
    <w:rsid w:val="12B46C9C"/>
    <w:rsid w:val="12B55497"/>
    <w:rsid w:val="12B626D2"/>
    <w:rsid w:val="12B64DD7"/>
    <w:rsid w:val="12B75DF4"/>
    <w:rsid w:val="12B83667"/>
    <w:rsid w:val="12B91B6C"/>
    <w:rsid w:val="12B95257"/>
    <w:rsid w:val="12B95754"/>
    <w:rsid w:val="12B96A15"/>
    <w:rsid w:val="12BA7692"/>
    <w:rsid w:val="12BB1692"/>
    <w:rsid w:val="12BB58E4"/>
    <w:rsid w:val="12BC165D"/>
    <w:rsid w:val="12BC3C3B"/>
    <w:rsid w:val="12BC598E"/>
    <w:rsid w:val="12BC78AF"/>
    <w:rsid w:val="12BD657C"/>
    <w:rsid w:val="12BE1ED0"/>
    <w:rsid w:val="12BE7C8A"/>
    <w:rsid w:val="12C03189"/>
    <w:rsid w:val="12C04F30"/>
    <w:rsid w:val="12C13A3A"/>
    <w:rsid w:val="12C14EC5"/>
    <w:rsid w:val="12C20F3D"/>
    <w:rsid w:val="12C22C80"/>
    <w:rsid w:val="12C30C3D"/>
    <w:rsid w:val="12C34799"/>
    <w:rsid w:val="12C416A8"/>
    <w:rsid w:val="12C42692"/>
    <w:rsid w:val="12C43C25"/>
    <w:rsid w:val="12C47920"/>
    <w:rsid w:val="12C50511"/>
    <w:rsid w:val="12C549B5"/>
    <w:rsid w:val="12C57249"/>
    <w:rsid w:val="12C64289"/>
    <w:rsid w:val="12C6476E"/>
    <w:rsid w:val="12C65A18"/>
    <w:rsid w:val="12C7072D"/>
    <w:rsid w:val="12C72643"/>
    <w:rsid w:val="12C744E4"/>
    <w:rsid w:val="12C778FB"/>
    <w:rsid w:val="12C81DAF"/>
    <w:rsid w:val="12CA06CE"/>
    <w:rsid w:val="12CA0DD9"/>
    <w:rsid w:val="12CA1FCB"/>
    <w:rsid w:val="12CA20BC"/>
    <w:rsid w:val="12CA6C8A"/>
    <w:rsid w:val="12CB18A0"/>
    <w:rsid w:val="12CB2EEC"/>
    <w:rsid w:val="12CB330D"/>
    <w:rsid w:val="12CC5D44"/>
    <w:rsid w:val="12CC70E0"/>
    <w:rsid w:val="12CC7AF2"/>
    <w:rsid w:val="12CD1ABC"/>
    <w:rsid w:val="12CF3615"/>
    <w:rsid w:val="12CF5C4E"/>
    <w:rsid w:val="12CF75E2"/>
    <w:rsid w:val="12D0352F"/>
    <w:rsid w:val="12D06EB6"/>
    <w:rsid w:val="12D13AA1"/>
    <w:rsid w:val="12D15108"/>
    <w:rsid w:val="12D2020E"/>
    <w:rsid w:val="12D32B13"/>
    <w:rsid w:val="12D422C9"/>
    <w:rsid w:val="12D44BF8"/>
    <w:rsid w:val="12D4734C"/>
    <w:rsid w:val="12D544CC"/>
    <w:rsid w:val="12D60970"/>
    <w:rsid w:val="12D6271E"/>
    <w:rsid w:val="12D70244"/>
    <w:rsid w:val="12D73BE0"/>
    <w:rsid w:val="12D950A5"/>
    <w:rsid w:val="12DA1AE3"/>
    <w:rsid w:val="12DA7C34"/>
    <w:rsid w:val="12DB2AC0"/>
    <w:rsid w:val="12DB4D5B"/>
    <w:rsid w:val="12DB5F87"/>
    <w:rsid w:val="12DB7D35"/>
    <w:rsid w:val="12DD1952"/>
    <w:rsid w:val="12DD1CFF"/>
    <w:rsid w:val="12DE15D3"/>
    <w:rsid w:val="12DE4331"/>
    <w:rsid w:val="12DE49FF"/>
    <w:rsid w:val="12DE5A77"/>
    <w:rsid w:val="12DF2A71"/>
    <w:rsid w:val="12E0359D"/>
    <w:rsid w:val="12E070F9"/>
    <w:rsid w:val="12E256D6"/>
    <w:rsid w:val="12E25944"/>
    <w:rsid w:val="12E3308D"/>
    <w:rsid w:val="12E345F0"/>
    <w:rsid w:val="12E34E3B"/>
    <w:rsid w:val="12E36BE9"/>
    <w:rsid w:val="12E52961"/>
    <w:rsid w:val="12E560FF"/>
    <w:rsid w:val="12E56E05"/>
    <w:rsid w:val="12E60B57"/>
    <w:rsid w:val="12E61D4F"/>
    <w:rsid w:val="12E6293A"/>
    <w:rsid w:val="12E70326"/>
    <w:rsid w:val="12E704BE"/>
    <w:rsid w:val="12E7315A"/>
    <w:rsid w:val="12E806A4"/>
    <w:rsid w:val="12E87305"/>
    <w:rsid w:val="12E87CB4"/>
    <w:rsid w:val="12E90F8E"/>
    <w:rsid w:val="12EA25C0"/>
    <w:rsid w:val="12EA4DBC"/>
    <w:rsid w:val="12EA6C3E"/>
    <w:rsid w:val="12EA7CAB"/>
    <w:rsid w:val="12EC1060"/>
    <w:rsid w:val="12EC1224"/>
    <w:rsid w:val="12EC15C7"/>
    <w:rsid w:val="12EC1F42"/>
    <w:rsid w:val="12EC7D53"/>
    <w:rsid w:val="12ED0DC6"/>
    <w:rsid w:val="12ED7A68"/>
    <w:rsid w:val="12EE51CC"/>
    <w:rsid w:val="12EF1A32"/>
    <w:rsid w:val="12EF558E"/>
    <w:rsid w:val="12EF64C0"/>
    <w:rsid w:val="12F07F48"/>
    <w:rsid w:val="12F11306"/>
    <w:rsid w:val="12F157AA"/>
    <w:rsid w:val="12F3000A"/>
    <w:rsid w:val="12F30943"/>
    <w:rsid w:val="12F30B42"/>
    <w:rsid w:val="12F32F71"/>
    <w:rsid w:val="12F379E1"/>
    <w:rsid w:val="12F42BA4"/>
    <w:rsid w:val="12F55394"/>
    <w:rsid w:val="12F62DC0"/>
    <w:rsid w:val="12F65637"/>
    <w:rsid w:val="12F6758B"/>
    <w:rsid w:val="12F714BE"/>
    <w:rsid w:val="12F81758"/>
    <w:rsid w:val="12F901BB"/>
    <w:rsid w:val="12F92A37"/>
    <w:rsid w:val="12F9465F"/>
    <w:rsid w:val="12FB03D7"/>
    <w:rsid w:val="12FB7C2C"/>
    <w:rsid w:val="12FB7CD1"/>
    <w:rsid w:val="12FC2ECD"/>
    <w:rsid w:val="12FC5EFD"/>
    <w:rsid w:val="12FC7CAB"/>
    <w:rsid w:val="12FD3336"/>
    <w:rsid w:val="12FD3C03"/>
    <w:rsid w:val="12FD3C17"/>
    <w:rsid w:val="12FD4DEE"/>
    <w:rsid w:val="12FE287C"/>
    <w:rsid w:val="12FF4CC4"/>
    <w:rsid w:val="13001549"/>
    <w:rsid w:val="130059ED"/>
    <w:rsid w:val="13007A3D"/>
    <w:rsid w:val="130152C1"/>
    <w:rsid w:val="13017709"/>
    <w:rsid w:val="13021765"/>
    <w:rsid w:val="130354DD"/>
    <w:rsid w:val="130420C1"/>
    <w:rsid w:val="130431A6"/>
    <w:rsid w:val="13044C0B"/>
    <w:rsid w:val="13047906"/>
    <w:rsid w:val="130628D8"/>
    <w:rsid w:val="130701A7"/>
    <w:rsid w:val="13074FAD"/>
    <w:rsid w:val="13076D7C"/>
    <w:rsid w:val="13082AF4"/>
    <w:rsid w:val="130848A2"/>
    <w:rsid w:val="13091D18"/>
    <w:rsid w:val="13096BEE"/>
    <w:rsid w:val="130A061A"/>
    <w:rsid w:val="130A36C0"/>
    <w:rsid w:val="130A4823"/>
    <w:rsid w:val="130A53B0"/>
    <w:rsid w:val="130A6291"/>
    <w:rsid w:val="130A686C"/>
    <w:rsid w:val="130C25E4"/>
    <w:rsid w:val="130C3D06"/>
    <w:rsid w:val="130C6140"/>
    <w:rsid w:val="130D010A"/>
    <w:rsid w:val="130D1BB6"/>
    <w:rsid w:val="130D1EB8"/>
    <w:rsid w:val="130D3C66"/>
    <w:rsid w:val="130E1775"/>
    <w:rsid w:val="130E34D1"/>
    <w:rsid w:val="130E704A"/>
    <w:rsid w:val="130F3E82"/>
    <w:rsid w:val="130F4961"/>
    <w:rsid w:val="130F4FE6"/>
    <w:rsid w:val="130F5C30"/>
    <w:rsid w:val="13103A23"/>
    <w:rsid w:val="13105E17"/>
    <w:rsid w:val="131119A8"/>
    <w:rsid w:val="13113756"/>
    <w:rsid w:val="13115CC6"/>
    <w:rsid w:val="1312127D"/>
    <w:rsid w:val="131274CE"/>
    <w:rsid w:val="13143247"/>
    <w:rsid w:val="13144FF5"/>
    <w:rsid w:val="13147343"/>
    <w:rsid w:val="13150E76"/>
    <w:rsid w:val="131528BE"/>
    <w:rsid w:val="13166FBF"/>
    <w:rsid w:val="131735FC"/>
    <w:rsid w:val="13174AE5"/>
    <w:rsid w:val="1317547E"/>
    <w:rsid w:val="13180F89"/>
    <w:rsid w:val="131904E6"/>
    <w:rsid w:val="1319085D"/>
    <w:rsid w:val="13196AAF"/>
    <w:rsid w:val="131977B0"/>
    <w:rsid w:val="131A7445"/>
    <w:rsid w:val="131B16CA"/>
    <w:rsid w:val="131B2827"/>
    <w:rsid w:val="131B45D5"/>
    <w:rsid w:val="131B4645"/>
    <w:rsid w:val="131B5C57"/>
    <w:rsid w:val="131C2D84"/>
    <w:rsid w:val="131C4088"/>
    <w:rsid w:val="131C4B06"/>
    <w:rsid w:val="131E004B"/>
    <w:rsid w:val="131E2FC6"/>
    <w:rsid w:val="131E3D02"/>
    <w:rsid w:val="131E40C5"/>
    <w:rsid w:val="131E4A8C"/>
    <w:rsid w:val="131E5E73"/>
    <w:rsid w:val="131E7C21"/>
    <w:rsid w:val="13201BEB"/>
    <w:rsid w:val="13216C7E"/>
    <w:rsid w:val="13217712"/>
    <w:rsid w:val="132179FB"/>
    <w:rsid w:val="132316DC"/>
    <w:rsid w:val="132502C8"/>
    <w:rsid w:val="13250FB0"/>
    <w:rsid w:val="13255454"/>
    <w:rsid w:val="132711CC"/>
    <w:rsid w:val="13272F7A"/>
    <w:rsid w:val="13274D28"/>
    <w:rsid w:val="13280AA0"/>
    <w:rsid w:val="132816EE"/>
    <w:rsid w:val="132822F9"/>
    <w:rsid w:val="13285210"/>
    <w:rsid w:val="13290955"/>
    <w:rsid w:val="132A00C9"/>
    <w:rsid w:val="132A0CBC"/>
    <w:rsid w:val="132A0CCB"/>
    <w:rsid w:val="132A2A6A"/>
    <w:rsid w:val="132A371B"/>
    <w:rsid w:val="132A789B"/>
    <w:rsid w:val="132B413A"/>
    <w:rsid w:val="132C6498"/>
    <w:rsid w:val="132C67E2"/>
    <w:rsid w:val="132D4308"/>
    <w:rsid w:val="132D60B6"/>
    <w:rsid w:val="132E255A"/>
    <w:rsid w:val="132F0E9E"/>
    <w:rsid w:val="132F1E2E"/>
    <w:rsid w:val="132F6B1C"/>
    <w:rsid w:val="133032AB"/>
    <w:rsid w:val="1331020F"/>
    <w:rsid w:val="133149E8"/>
    <w:rsid w:val="13315BA7"/>
    <w:rsid w:val="133218DE"/>
    <w:rsid w:val="1332191F"/>
    <w:rsid w:val="1332232E"/>
    <w:rsid w:val="133236CD"/>
    <w:rsid w:val="13337B71"/>
    <w:rsid w:val="133438E9"/>
    <w:rsid w:val="13344F55"/>
    <w:rsid w:val="13345697"/>
    <w:rsid w:val="1334692D"/>
    <w:rsid w:val="13347445"/>
    <w:rsid w:val="13367661"/>
    <w:rsid w:val="133752AE"/>
    <w:rsid w:val="133B07D3"/>
    <w:rsid w:val="133B4DC8"/>
    <w:rsid w:val="133C4A8E"/>
    <w:rsid w:val="133C56A8"/>
    <w:rsid w:val="133C6F34"/>
    <w:rsid w:val="133D0F62"/>
    <w:rsid w:val="133D279D"/>
    <w:rsid w:val="133D454B"/>
    <w:rsid w:val="133E2072"/>
    <w:rsid w:val="133E2592"/>
    <w:rsid w:val="133E642D"/>
    <w:rsid w:val="133E6515"/>
    <w:rsid w:val="133F23A5"/>
    <w:rsid w:val="133F3002"/>
    <w:rsid w:val="1340403C"/>
    <w:rsid w:val="13407938"/>
    <w:rsid w:val="134214D1"/>
    <w:rsid w:val="13421B62"/>
    <w:rsid w:val="134224E3"/>
    <w:rsid w:val="13423F35"/>
    <w:rsid w:val="134358DA"/>
    <w:rsid w:val="13451652"/>
    <w:rsid w:val="13452433"/>
    <w:rsid w:val="13454ED7"/>
    <w:rsid w:val="13456351"/>
    <w:rsid w:val="13456871"/>
    <w:rsid w:val="134578B2"/>
    <w:rsid w:val="13460D42"/>
    <w:rsid w:val="134655A4"/>
    <w:rsid w:val="13467A1D"/>
    <w:rsid w:val="1347361C"/>
    <w:rsid w:val="1347448C"/>
    <w:rsid w:val="13477849"/>
    <w:rsid w:val="13482EF0"/>
    <w:rsid w:val="13486233"/>
    <w:rsid w:val="13486AA2"/>
    <w:rsid w:val="134A0B53"/>
    <w:rsid w:val="134A310C"/>
    <w:rsid w:val="134A3724"/>
    <w:rsid w:val="134C007E"/>
    <w:rsid w:val="134C29E0"/>
    <w:rsid w:val="134C3473"/>
    <w:rsid w:val="134C478E"/>
    <w:rsid w:val="134D3340"/>
    <w:rsid w:val="134E6759"/>
    <w:rsid w:val="134F0723"/>
    <w:rsid w:val="134F363D"/>
    <w:rsid w:val="1350413D"/>
    <w:rsid w:val="13510A26"/>
    <w:rsid w:val="1351446D"/>
    <w:rsid w:val="13515E55"/>
    <w:rsid w:val="13517FF7"/>
    <w:rsid w:val="13533346"/>
    <w:rsid w:val="13533D6F"/>
    <w:rsid w:val="1353731D"/>
    <w:rsid w:val="13547AE7"/>
    <w:rsid w:val="13561AB1"/>
    <w:rsid w:val="1356560D"/>
    <w:rsid w:val="13571803"/>
    <w:rsid w:val="13573DD3"/>
    <w:rsid w:val="13581385"/>
    <w:rsid w:val="135950FD"/>
    <w:rsid w:val="13595A77"/>
    <w:rsid w:val="135A2091"/>
    <w:rsid w:val="135A5B9E"/>
    <w:rsid w:val="135A6B89"/>
    <w:rsid w:val="135B0E75"/>
    <w:rsid w:val="135B2F93"/>
    <w:rsid w:val="135B46A9"/>
    <w:rsid w:val="135B70C7"/>
    <w:rsid w:val="135C40A1"/>
    <w:rsid w:val="135C589E"/>
    <w:rsid w:val="135D699C"/>
    <w:rsid w:val="135E0173"/>
    <w:rsid w:val="135E0459"/>
    <w:rsid w:val="135E44C2"/>
    <w:rsid w:val="135F1DD8"/>
    <w:rsid w:val="1360023A"/>
    <w:rsid w:val="1360185C"/>
    <w:rsid w:val="136046DE"/>
    <w:rsid w:val="1360594A"/>
    <w:rsid w:val="13606D51"/>
    <w:rsid w:val="13610D95"/>
    <w:rsid w:val="136130DB"/>
    <w:rsid w:val="13616DDA"/>
    <w:rsid w:val="13622B34"/>
    <w:rsid w:val="1363666B"/>
    <w:rsid w:val="13637D2A"/>
    <w:rsid w:val="1364253C"/>
    <w:rsid w:val="136441CE"/>
    <w:rsid w:val="13644610"/>
    <w:rsid w:val="13645F7C"/>
    <w:rsid w:val="13651CF4"/>
    <w:rsid w:val="136525A5"/>
    <w:rsid w:val="13661B89"/>
    <w:rsid w:val="136715C8"/>
    <w:rsid w:val="13674B86"/>
    <w:rsid w:val="13675A6C"/>
    <w:rsid w:val="13676411"/>
    <w:rsid w:val="13677C31"/>
    <w:rsid w:val="13680A9C"/>
    <w:rsid w:val="136A10B9"/>
    <w:rsid w:val="136A2E67"/>
    <w:rsid w:val="136A730B"/>
    <w:rsid w:val="136C3083"/>
    <w:rsid w:val="136C3F5D"/>
    <w:rsid w:val="136C6BDF"/>
    <w:rsid w:val="136E0BA9"/>
    <w:rsid w:val="136E2957"/>
    <w:rsid w:val="136E6B49"/>
    <w:rsid w:val="136E6DFB"/>
    <w:rsid w:val="136F1CA1"/>
    <w:rsid w:val="136F4921"/>
    <w:rsid w:val="136F501E"/>
    <w:rsid w:val="1370543F"/>
    <w:rsid w:val="13712447"/>
    <w:rsid w:val="13713CFE"/>
    <w:rsid w:val="13714207"/>
    <w:rsid w:val="13715411"/>
    <w:rsid w:val="137168CF"/>
    <w:rsid w:val="137338B8"/>
    <w:rsid w:val="13737F6D"/>
    <w:rsid w:val="13741F37"/>
    <w:rsid w:val="13742D3D"/>
    <w:rsid w:val="13750189"/>
    <w:rsid w:val="13755ED0"/>
    <w:rsid w:val="137633A8"/>
    <w:rsid w:val="137668AA"/>
    <w:rsid w:val="13767A5D"/>
    <w:rsid w:val="13781A27"/>
    <w:rsid w:val="137912FC"/>
    <w:rsid w:val="13791560"/>
    <w:rsid w:val="13791725"/>
    <w:rsid w:val="137A0850"/>
    <w:rsid w:val="137A33A8"/>
    <w:rsid w:val="137A57A0"/>
    <w:rsid w:val="137B0BB5"/>
    <w:rsid w:val="137B1518"/>
    <w:rsid w:val="137D0DEC"/>
    <w:rsid w:val="137D2B9A"/>
    <w:rsid w:val="137D63D1"/>
    <w:rsid w:val="137D65B3"/>
    <w:rsid w:val="137E28CC"/>
    <w:rsid w:val="137F4B64"/>
    <w:rsid w:val="13806921"/>
    <w:rsid w:val="13806B2E"/>
    <w:rsid w:val="13806FF7"/>
    <w:rsid w:val="13812AAF"/>
    <w:rsid w:val="138163C4"/>
    <w:rsid w:val="13816D08"/>
    <w:rsid w:val="13823B9E"/>
    <w:rsid w:val="13824654"/>
    <w:rsid w:val="13833F28"/>
    <w:rsid w:val="13836EE5"/>
    <w:rsid w:val="138403CC"/>
    <w:rsid w:val="1384090D"/>
    <w:rsid w:val="13842174"/>
    <w:rsid w:val="1385255D"/>
    <w:rsid w:val="13852B46"/>
    <w:rsid w:val="13854144"/>
    <w:rsid w:val="13855EF2"/>
    <w:rsid w:val="13863113"/>
    <w:rsid w:val="13881F85"/>
    <w:rsid w:val="13887A72"/>
    <w:rsid w:val="13893C35"/>
    <w:rsid w:val="13897791"/>
    <w:rsid w:val="138A4FB7"/>
    <w:rsid w:val="138B2770"/>
    <w:rsid w:val="138B678C"/>
    <w:rsid w:val="138C2828"/>
    <w:rsid w:val="138C54D3"/>
    <w:rsid w:val="138D73A7"/>
    <w:rsid w:val="138F09C8"/>
    <w:rsid w:val="138F0B1F"/>
    <w:rsid w:val="138F127E"/>
    <w:rsid w:val="138F1469"/>
    <w:rsid w:val="138F28CD"/>
    <w:rsid w:val="13900146"/>
    <w:rsid w:val="139016F7"/>
    <w:rsid w:val="13904FC3"/>
    <w:rsid w:val="139058E7"/>
    <w:rsid w:val="13906D71"/>
    <w:rsid w:val="139129DD"/>
    <w:rsid w:val="13920CCD"/>
    <w:rsid w:val="13921C73"/>
    <w:rsid w:val="139222CC"/>
    <w:rsid w:val="1392538D"/>
    <w:rsid w:val="1393035F"/>
    <w:rsid w:val="1393060F"/>
    <w:rsid w:val="139323BD"/>
    <w:rsid w:val="13936861"/>
    <w:rsid w:val="13946135"/>
    <w:rsid w:val="13951726"/>
    <w:rsid w:val="13951D25"/>
    <w:rsid w:val="13954387"/>
    <w:rsid w:val="139705EA"/>
    <w:rsid w:val="13977163"/>
    <w:rsid w:val="13983E78"/>
    <w:rsid w:val="1398435F"/>
    <w:rsid w:val="13985C26"/>
    <w:rsid w:val="1399374C"/>
    <w:rsid w:val="139A199E"/>
    <w:rsid w:val="139A7BF0"/>
    <w:rsid w:val="139B3968"/>
    <w:rsid w:val="139B4AF3"/>
    <w:rsid w:val="139B5716"/>
    <w:rsid w:val="139C2FCC"/>
    <w:rsid w:val="139C6EE4"/>
    <w:rsid w:val="139D148E"/>
    <w:rsid w:val="139D323C"/>
    <w:rsid w:val="139D4FEA"/>
    <w:rsid w:val="139D5AFD"/>
    <w:rsid w:val="139E328E"/>
    <w:rsid w:val="139E523A"/>
    <w:rsid w:val="139E58EC"/>
    <w:rsid w:val="139F0559"/>
    <w:rsid w:val="139F2DA7"/>
    <w:rsid w:val="13A0020C"/>
    <w:rsid w:val="13A10F7E"/>
    <w:rsid w:val="13A16B4A"/>
    <w:rsid w:val="13A21E3C"/>
    <w:rsid w:val="13A22600"/>
    <w:rsid w:val="13A24CF6"/>
    <w:rsid w:val="13A26AA4"/>
    <w:rsid w:val="13A302CE"/>
    <w:rsid w:val="13A31EE7"/>
    <w:rsid w:val="13A4281C"/>
    <w:rsid w:val="13A46379"/>
    <w:rsid w:val="13A50343"/>
    <w:rsid w:val="13A52DF4"/>
    <w:rsid w:val="13A66595"/>
    <w:rsid w:val="13A714AE"/>
    <w:rsid w:val="13A7550E"/>
    <w:rsid w:val="13A75E69"/>
    <w:rsid w:val="13A91BE1"/>
    <w:rsid w:val="13A929FF"/>
    <w:rsid w:val="13A9398F"/>
    <w:rsid w:val="13A97E33"/>
    <w:rsid w:val="13AA5959"/>
    <w:rsid w:val="13AB678F"/>
    <w:rsid w:val="13AB75EB"/>
    <w:rsid w:val="13AC347F"/>
    <w:rsid w:val="13AC54F6"/>
    <w:rsid w:val="13AC5677"/>
    <w:rsid w:val="13AC7923"/>
    <w:rsid w:val="13AD7CBC"/>
    <w:rsid w:val="13AE369B"/>
    <w:rsid w:val="13AE5275"/>
    <w:rsid w:val="13AE5449"/>
    <w:rsid w:val="13AE71F7"/>
    <w:rsid w:val="13AF2F6F"/>
    <w:rsid w:val="13AF4D1D"/>
    <w:rsid w:val="13B011C1"/>
    <w:rsid w:val="13B103F1"/>
    <w:rsid w:val="13B1228C"/>
    <w:rsid w:val="13B16CE7"/>
    <w:rsid w:val="13B21675"/>
    <w:rsid w:val="13B22621"/>
    <w:rsid w:val="13B30CB1"/>
    <w:rsid w:val="13B3480E"/>
    <w:rsid w:val="13B36682"/>
    <w:rsid w:val="13B46832"/>
    <w:rsid w:val="13B50586"/>
    <w:rsid w:val="13B54A2A"/>
    <w:rsid w:val="13B62550"/>
    <w:rsid w:val="13B751E9"/>
    <w:rsid w:val="13B76BA2"/>
    <w:rsid w:val="13B80076"/>
    <w:rsid w:val="13B862C8"/>
    <w:rsid w:val="13B86493"/>
    <w:rsid w:val="13BA0009"/>
    <w:rsid w:val="13BA3984"/>
    <w:rsid w:val="13BB1914"/>
    <w:rsid w:val="13BB7B66"/>
    <w:rsid w:val="13BC62A4"/>
    <w:rsid w:val="13BD3541"/>
    <w:rsid w:val="13BD38DE"/>
    <w:rsid w:val="13BD4F46"/>
    <w:rsid w:val="13BD568C"/>
    <w:rsid w:val="13BE4ED6"/>
    <w:rsid w:val="13BE610C"/>
    <w:rsid w:val="13BF5CFA"/>
    <w:rsid w:val="13C02CE0"/>
    <w:rsid w:val="13C0517C"/>
    <w:rsid w:val="13C133CE"/>
    <w:rsid w:val="13C13A89"/>
    <w:rsid w:val="13C15241"/>
    <w:rsid w:val="13C16DDC"/>
    <w:rsid w:val="13C17F60"/>
    <w:rsid w:val="13C20503"/>
    <w:rsid w:val="13C21C06"/>
    <w:rsid w:val="13C21E4B"/>
    <w:rsid w:val="13C22CA3"/>
    <w:rsid w:val="13C24CE7"/>
    <w:rsid w:val="13C33BD7"/>
    <w:rsid w:val="13C34677"/>
    <w:rsid w:val="13C55595"/>
    <w:rsid w:val="13C702B9"/>
    <w:rsid w:val="13C73F1E"/>
    <w:rsid w:val="13C7475D"/>
    <w:rsid w:val="13C76639"/>
    <w:rsid w:val="13C76A41"/>
    <w:rsid w:val="13C908A8"/>
    <w:rsid w:val="13C92283"/>
    <w:rsid w:val="13C92631"/>
    <w:rsid w:val="13C95DDF"/>
    <w:rsid w:val="13C97C25"/>
    <w:rsid w:val="13CA177F"/>
    <w:rsid w:val="13CA1B57"/>
    <w:rsid w:val="13CA3DA3"/>
    <w:rsid w:val="13CB5FFB"/>
    <w:rsid w:val="13CC1D73"/>
    <w:rsid w:val="13CC3B21"/>
    <w:rsid w:val="13CC51AD"/>
    <w:rsid w:val="13CC58CF"/>
    <w:rsid w:val="13CD1DFA"/>
    <w:rsid w:val="13CE10B4"/>
    <w:rsid w:val="13CF03AF"/>
    <w:rsid w:val="13CF716E"/>
    <w:rsid w:val="13D053C0"/>
    <w:rsid w:val="13D05A86"/>
    <w:rsid w:val="13D05BAA"/>
    <w:rsid w:val="13D07598"/>
    <w:rsid w:val="13D12EE6"/>
    <w:rsid w:val="13D15990"/>
    <w:rsid w:val="13D2309B"/>
    <w:rsid w:val="13D31682"/>
    <w:rsid w:val="13D34EB0"/>
    <w:rsid w:val="13D35C6C"/>
    <w:rsid w:val="13D50C28"/>
    <w:rsid w:val="13D5487D"/>
    <w:rsid w:val="13D606AE"/>
    <w:rsid w:val="13D60D2B"/>
    <w:rsid w:val="13D65F26"/>
    <w:rsid w:val="13D74E0E"/>
    <w:rsid w:val="13D8125F"/>
    <w:rsid w:val="13D824C6"/>
    <w:rsid w:val="13D84274"/>
    <w:rsid w:val="13DA182D"/>
    <w:rsid w:val="13DA7FEC"/>
    <w:rsid w:val="13DB205C"/>
    <w:rsid w:val="13DC13B3"/>
    <w:rsid w:val="13DC1FB6"/>
    <w:rsid w:val="13DD18EF"/>
    <w:rsid w:val="13DD5D2E"/>
    <w:rsid w:val="13DF5603"/>
    <w:rsid w:val="13E00651"/>
    <w:rsid w:val="13E14A8A"/>
    <w:rsid w:val="13E1581F"/>
    <w:rsid w:val="13E175CD"/>
    <w:rsid w:val="13E23345"/>
    <w:rsid w:val="13E250F3"/>
    <w:rsid w:val="13E344CF"/>
    <w:rsid w:val="13E454B0"/>
    <w:rsid w:val="13E466D7"/>
    <w:rsid w:val="13E470BD"/>
    <w:rsid w:val="13E51B36"/>
    <w:rsid w:val="13E56991"/>
    <w:rsid w:val="13E57CC1"/>
    <w:rsid w:val="13E600BD"/>
    <w:rsid w:val="13E62E35"/>
    <w:rsid w:val="13E6350F"/>
    <w:rsid w:val="13E65A9D"/>
    <w:rsid w:val="13E669F4"/>
    <w:rsid w:val="13E707FD"/>
    <w:rsid w:val="13E72709"/>
    <w:rsid w:val="13E744B7"/>
    <w:rsid w:val="13E75572"/>
    <w:rsid w:val="13E80113"/>
    <w:rsid w:val="13E86DB5"/>
    <w:rsid w:val="13E9022F"/>
    <w:rsid w:val="13E93BC1"/>
    <w:rsid w:val="13EA0258"/>
    <w:rsid w:val="13EA1322"/>
    <w:rsid w:val="13EA56DA"/>
    <w:rsid w:val="13EA7426"/>
    <w:rsid w:val="13EB21F9"/>
    <w:rsid w:val="13EB273A"/>
    <w:rsid w:val="13EB3FA7"/>
    <w:rsid w:val="13EB559B"/>
    <w:rsid w:val="13EB5AB5"/>
    <w:rsid w:val="13EB607D"/>
    <w:rsid w:val="13EC0ACD"/>
    <w:rsid w:val="13EC5F71"/>
    <w:rsid w:val="13EC6DB7"/>
    <w:rsid w:val="13EC7343"/>
    <w:rsid w:val="13ED0BA8"/>
    <w:rsid w:val="13ED13E4"/>
    <w:rsid w:val="13ED1C6D"/>
    <w:rsid w:val="13ED3157"/>
    <w:rsid w:val="13ED41C3"/>
    <w:rsid w:val="13EE1CEA"/>
    <w:rsid w:val="13EE414B"/>
    <w:rsid w:val="13F034AE"/>
    <w:rsid w:val="13F05A62"/>
    <w:rsid w:val="13F1085A"/>
    <w:rsid w:val="13F25F1E"/>
    <w:rsid w:val="13F304A8"/>
    <w:rsid w:val="13F310AE"/>
    <w:rsid w:val="13F332BC"/>
    <w:rsid w:val="13F33B15"/>
    <w:rsid w:val="13F35B4F"/>
    <w:rsid w:val="13F45281"/>
    <w:rsid w:val="13F5101B"/>
    <w:rsid w:val="13F511D1"/>
    <w:rsid w:val="13F54E26"/>
    <w:rsid w:val="13F56BD4"/>
    <w:rsid w:val="13F82B68"/>
    <w:rsid w:val="13F866C4"/>
    <w:rsid w:val="13F96A1B"/>
    <w:rsid w:val="13FA243C"/>
    <w:rsid w:val="13FA68E0"/>
    <w:rsid w:val="13FC3737"/>
    <w:rsid w:val="13FC504F"/>
    <w:rsid w:val="13FC61B5"/>
    <w:rsid w:val="13FC7C68"/>
    <w:rsid w:val="13FD017F"/>
    <w:rsid w:val="13FD06A6"/>
    <w:rsid w:val="13FD3CDB"/>
    <w:rsid w:val="13FE4729"/>
    <w:rsid w:val="13FF5CA5"/>
    <w:rsid w:val="13FF7A53"/>
    <w:rsid w:val="14010CEA"/>
    <w:rsid w:val="140179A6"/>
    <w:rsid w:val="14020815"/>
    <w:rsid w:val="14025795"/>
    <w:rsid w:val="140426D1"/>
    <w:rsid w:val="14044A9A"/>
    <w:rsid w:val="14047004"/>
    <w:rsid w:val="14060DE1"/>
    <w:rsid w:val="14061855"/>
    <w:rsid w:val="14065285"/>
    <w:rsid w:val="140673BA"/>
    <w:rsid w:val="14071F8B"/>
    <w:rsid w:val="1407341B"/>
    <w:rsid w:val="140908D1"/>
    <w:rsid w:val="14095D3A"/>
    <w:rsid w:val="14096B23"/>
    <w:rsid w:val="140A090B"/>
    <w:rsid w:val="140B289C"/>
    <w:rsid w:val="140B496C"/>
    <w:rsid w:val="140C28BF"/>
    <w:rsid w:val="140E413A"/>
    <w:rsid w:val="140E7C96"/>
    <w:rsid w:val="140F34AF"/>
    <w:rsid w:val="140F49C1"/>
    <w:rsid w:val="14102F32"/>
    <w:rsid w:val="14103A0E"/>
    <w:rsid w:val="1410477D"/>
    <w:rsid w:val="14107A3F"/>
    <w:rsid w:val="1412618B"/>
    <w:rsid w:val="14134EBE"/>
    <w:rsid w:val="14144054"/>
    <w:rsid w:val="14150C68"/>
    <w:rsid w:val="141605EF"/>
    <w:rsid w:val="14162E6E"/>
    <w:rsid w:val="14164D9C"/>
    <w:rsid w:val="14172FEE"/>
    <w:rsid w:val="1417538B"/>
    <w:rsid w:val="14177C67"/>
    <w:rsid w:val="14186D67"/>
    <w:rsid w:val="141902AB"/>
    <w:rsid w:val="141A2ADF"/>
    <w:rsid w:val="141A4285"/>
    <w:rsid w:val="141A5124"/>
    <w:rsid w:val="141A6099"/>
    <w:rsid w:val="141A7C6C"/>
    <w:rsid w:val="141B23B3"/>
    <w:rsid w:val="141C0A1B"/>
    <w:rsid w:val="141C58F1"/>
    <w:rsid w:val="141D1717"/>
    <w:rsid w:val="141D5732"/>
    <w:rsid w:val="141D612B"/>
    <w:rsid w:val="141E3320"/>
    <w:rsid w:val="141E5D27"/>
    <w:rsid w:val="141F00F5"/>
    <w:rsid w:val="141F6347"/>
    <w:rsid w:val="141F65E1"/>
    <w:rsid w:val="14202B31"/>
    <w:rsid w:val="14215C1B"/>
    <w:rsid w:val="1421769B"/>
    <w:rsid w:val="142179C9"/>
    <w:rsid w:val="14217D71"/>
    <w:rsid w:val="14220022"/>
    <w:rsid w:val="14221993"/>
    <w:rsid w:val="14223741"/>
    <w:rsid w:val="1422469E"/>
    <w:rsid w:val="14226941"/>
    <w:rsid w:val="1422736C"/>
    <w:rsid w:val="142314B2"/>
    <w:rsid w:val="14255513"/>
    <w:rsid w:val="14263231"/>
    <w:rsid w:val="14270D58"/>
    <w:rsid w:val="14277822"/>
    <w:rsid w:val="142825B6"/>
    <w:rsid w:val="142851FC"/>
    <w:rsid w:val="142918A0"/>
    <w:rsid w:val="14292F91"/>
    <w:rsid w:val="14294AD0"/>
    <w:rsid w:val="142A67B4"/>
    <w:rsid w:val="142B0848"/>
    <w:rsid w:val="142B1385"/>
    <w:rsid w:val="142C45C0"/>
    <w:rsid w:val="142D1AD8"/>
    <w:rsid w:val="142D3CA5"/>
    <w:rsid w:val="142E1823"/>
    <w:rsid w:val="142E20E6"/>
    <w:rsid w:val="142E7531"/>
    <w:rsid w:val="14301281"/>
    <w:rsid w:val="14302302"/>
    <w:rsid w:val="14302626"/>
    <w:rsid w:val="143060D4"/>
    <w:rsid w:val="143106B5"/>
    <w:rsid w:val="143129D6"/>
    <w:rsid w:val="14321BD6"/>
    <w:rsid w:val="14324702"/>
    <w:rsid w:val="14327E28"/>
    <w:rsid w:val="14330FA7"/>
    <w:rsid w:val="14342850"/>
    <w:rsid w:val="1434666C"/>
    <w:rsid w:val="143516C6"/>
    <w:rsid w:val="14353475"/>
    <w:rsid w:val="14355008"/>
    <w:rsid w:val="14357918"/>
    <w:rsid w:val="14370812"/>
    <w:rsid w:val="14373691"/>
    <w:rsid w:val="1437543F"/>
    <w:rsid w:val="14380DB8"/>
    <w:rsid w:val="143860A5"/>
    <w:rsid w:val="14396509"/>
    <w:rsid w:val="143A0A8B"/>
    <w:rsid w:val="143A292C"/>
    <w:rsid w:val="143A745A"/>
    <w:rsid w:val="143C0CA7"/>
    <w:rsid w:val="143C2C5E"/>
    <w:rsid w:val="143C5E43"/>
    <w:rsid w:val="143D2EED"/>
    <w:rsid w:val="143D67CD"/>
    <w:rsid w:val="143F3C48"/>
    <w:rsid w:val="143F60A1"/>
    <w:rsid w:val="143F754A"/>
    <w:rsid w:val="143F76DC"/>
    <w:rsid w:val="14401FFF"/>
    <w:rsid w:val="144025BE"/>
    <w:rsid w:val="14411E19"/>
    <w:rsid w:val="144135AB"/>
    <w:rsid w:val="144162BD"/>
    <w:rsid w:val="14431C2C"/>
    <w:rsid w:val="14432035"/>
    <w:rsid w:val="1443337E"/>
    <w:rsid w:val="14434E6A"/>
    <w:rsid w:val="144357A0"/>
    <w:rsid w:val="14441132"/>
    <w:rsid w:val="1444250F"/>
    <w:rsid w:val="14444988"/>
    <w:rsid w:val="144813FA"/>
    <w:rsid w:val="1448764C"/>
    <w:rsid w:val="14493645"/>
    <w:rsid w:val="144A5F99"/>
    <w:rsid w:val="144B2C98"/>
    <w:rsid w:val="144B7C59"/>
    <w:rsid w:val="144C03EE"/>
    <w:rsid w:val="144C279D"/>
    <w:rsid w:val="144D6A10"/>
    <w:rsid w:val="144E09DA"/>
    <w:rsid w:val="144F69F5"/>
    <w:rsid w:val="14506E6E"/>
    <w:rsid w:val="14512758"/>
    <w:rsid w:val="145171F5"/>
    <w:rsid w:val="145204CA"/>
    <w:rsid w:val="145206F0"/>
    <w:rsid w:val="14522278"/>
    <w:rsid w:val="14524026"/>
    <w:rsid w:val="145317DD"/>
    <w:rsid w:val="14531B4D"/>
    <w:rsid w:val="145350E6"/>
    <w:rsid w:val="14546A34"/>
    <w:rsid w:val="14546E50"/>
    <w:rsid w:val="14553B17"/>
    <w:rsid w:val="1455586C"/>
    <w:rsid w:val="14563F45"/>
    <w:rsid w:val="14564341"/>
    <w:rsid w:val="1457163D"/>
    <w:rsid w:val="145737AD"/>
    <w:rsid w:val="14575AE1"/>
    <w:rsid w:val="145776C4"/>
    <w:rsid w:val="14590F46"/>
    <w:rsid w:val="14591C8B"/>
    <w:rsid w:val="145928DC"/>
    <w:rsid w:val="14592C48"/>
    <w:rsid w:val="14592CC2"/>
    <w:rsid w:val="14593607"/>
    <w:rsid w:val="1459688F"/>
    <w:rsid w:val="145A1B30"/>
    <w:rsid w:val="145B0C8C"/>
    <w:rsid w:val="145C017F"/>
    <w:rsid w:val="145C14DB"/>
    <w:rsid w:val="145C4EA5"/>
    <w:rsid w:val="145D4214"/>
    <w:rsid w:val="145E6E6F"/>
    <w:rsid w:val="14603640"/>
    <w:rsid w:val="1461426A"/>
    <w:rsid w:val="146225AA"/>
    <w:rsid w:val="146228E4"/>
    <w:rsid w:val="14627356"/>
    <w:rsid w:val="14636905"/>
    <w:rsid w:val="14636979"/>
    <w:rsid w:val="146401FE"/>
    <w:rsid w:val="14641FAC"/>
    <w:rsid w:val="14643D5A"/>
    <w:rsid w:val="1464466E"/>
    <w:rsid w:val="146529A6"/>
    <w:rsid w:val="14661880"/>
    <w:rsid w:val="1468384A"/>
    <w:rsid w:val="14684678"/>
    <w:rsid w:val="14686756"/>
    <w:rsid w:val="14691370"/>
    <w:rsid w:val="14693716"/>
    <w:rsid w:val="14693A81"/>
    <w:rsid w:val="14697365"/>
    <w:rsid w:val="146A5814"/>
    <w:rsid w:val="146B2F00"/>
    <w:rsid w:val="146D1138"/>
    <w:rsid w:val="146D70B2"/>
    <w:rsid w:val="146E5BB6"/>
    <w:rsid w:val="14703657"/>
    <w:rsid w:val="14706BA3"/>
    <w:rsid w:val="14716ECD"/>
    <w:rsid w:val="14720225"/>
    <w:rsid w:val="147217C2"/>
    <w:rsid w:val="147246C9"/>
    <w:rsid w:val="14724FAA"/>
    <w:rsid w:val="14725EBA"/>
    <w:rsid w:val="14727ABB"/>
    <w:rsid w:val="147321EF"/>
    <w:rsid w:val="147433E0"/>
    <w:rsid w:val="14755F67"/>
    <w:rsid w:val="147575B5"/>
    <w:rsid w:val="14757D15"/>
    <w:rsid w:val="14765B89"/>
    <w:rsid w:val="1476752B"/>
    <w:rsid w:val="14767897"/>
    <w:rsid w:val="14772A73"/>
    <w:rsid w:val="14773A63"/>
    <w:rsid w:val="14773A8D"/>
    <w:rsid w:val="147748F5"/>
    <w:rsid w:val="14776934"/>
    <w:rsid w:val="14776AEA"/>
    <w:rsid w:val="14776E55"/>
    <w:rsid w:val="14787805"/>
    <w:rsid w:val="14791424"/>
    <w:rsid w:val="147952C7"/>
    <w:rsid w:val="147A1327"/>
    <w:rsid w:val="147A17CF"/>
    <w:rsid w:val="147A532B"/>
    <w:rsid w:val="147A6014"/>
    <w:rsid w:val="147A6487"/>
    <w:rsid w:val="147B2180"/>
    <w:rsid w:val="147C012B"/>
    <w:rsid w:val="147C10A3"/>
    <w:rsid w:val="147D0B06"/>
    <w:rsid w:val="147D2B4E"/>
    <w:rsid w:val="147E0C42"/>
    <w:rsid w:val="147E12BF"/>
    <w:rsid w:val="147F0B94"/>
    <w:rsid w:val="147F25DE"/>
    <w:rsid w:val="148065AF"/>
    <w:rsid w:val="14812B5E"/>
    <w:rsid w:val="1481490C"/>
    <w:rsid w:val="14832432"/>
    <w:rsid w:val="1483335E"/>
    <w:rsid w:val="148368D6"/>
    <w:rsid w:val="14841561"/>
    <w:rsid w:val="14843443"/>
    <w:rsid w:val="148443FC"/>
    <w:rsid w:val="14844539"/>
    <w:rsid w:val="14847F58"/>
    <w:rsid w:val="14850007"/>
    <w:rsid w:val="148500AE"/>
    <w:rsid w:val="148530C5"/>
    <w:rsid w:val="14860174"/>
    <w:rsid w:val="14861F22"/>
    <w:rsid w:val="148718D3"/>
    <w:rsid w:val="14883EEC"/>
    <w:rsid w:val="14884DEB"/>
    <w:rsid w:val="14891A12"/>
    <w:rsid w:val="14891DA1"/>
    <w:rsid w:val="148937C0"/>
    <w:rsid w:val="14896A94"/>
    <w:rsid w:val="148B4031"/>
    <w:rsid w:val="148B7538"/>
    <w:rsid w:val="148D1503"/>
    <w:rsid w:val="148E0DD7"/>
    <w:rsid w:val="148E4EB9"/>
    <w:rsid w:val="148E7407"/>
    <w:rsid w:val="148F527B"/>
    <w:rsid w:val="14900FF3"/>
    <w:rsid w:val="14904B4F"/>
    <w:rsid w:val="14905962"/>
    <w:rsid w:val="149219C3"/>
    <w:rsid w:val="14926B19"/>
    <w:rsid w:val="14934330"/>
    <w:rsid w:val="14935A24"/>
    <w:rsid w:val="14942891"/>
    <w:rsid w:val="149438EE"/>
    <w:rsid w:val="1494463F"/>
    <w:rsid w:val="14946EB4"/>
    <w:rsid w:val="149503B7"/>
    <w:rsid w:val="14954D41"/>
    <w:rsid w:val="149634DA"/>
    <w:rsid w:val="14973315"/>
    <w:rsid w:val="14981502"/>
    <w:rsid w:val="14983A03"/>
    <w:rsid w:val="149840F4"/>
    <w:rsid w:val="14985835"/>
    <w:rsid w:val="14991C55"/>
    <w:rsid w:val="14997EA7"/>
    <w:rsid w:val="149A20A3"/>
    <w:rsid w:val="149A777C"/>
    <w:rsid w:val="149B7E76"/>
    <w:rsid w:val="149C1746"/>
    <w:rsid w:val="149C34F4"/>
    <w:rsid w:val="149C7709"/>
    <w:rsid w:val="149C7998"/>
    <w:rsid w:val="149D2C9D"/>
    <w:rsid w:val="149E5B5B"/>
    <w:rsid w:val="149F13F6"/>
    <w:rsid w:val="149F3FC7"/>
    <w:rsid w:val="14A05457"/>
    <w:rsid w:val="14A24DCF"/>
    <w:rsid w:val="14A40D29"/>
    <w:rsid w:val="14A432EA"/>
    <w:rsid w:val="14A469A9"/>
    <w:rsid w:val="14A62348"/>
    <w:rsid w:val="14A625C4"/>
    <w:rsid w:val="14A66FC8"/>
    <w:rsid w:val="14A72759"/>
    <w:rsid w:val="14A8633C"/>
    <w:rsid w:val="14A979BF"/>
    <w:rsid w:val="14AA20B4"/>
    <w:rsid w:val="14AA270C"/>
    <w:rsid w:val="14AA29E8"/>
    <w:rsid w:val="14AA3BFE"/>
    <w:rsid w:val="14AB1989"/>
    <w:rsid w:val="14AB7E78"/>
    <w:rsid w:val="14AC0026"/>
    <w:rsid w:val="14AC6A2C"/>
    <w:rsid w:val="14AD3953"/>
    <w:rsid w:val="14AD7F5C"/>
    <w:rsid w:val="14AE262C"/>
    <w:rsid w:val="14AE7A5B"/>
    <w:rsid w:val="14AF1479"/>
    <w:rsid w:val="14AF3ABC"/>
    <w:rsid w:val="14B03F6D"/>
    <w:rsid w:val="14B051F1"/>
    <w:rsid w:val="14B06F9F"/>
    <w:rsid w:val="14B1053D"/>
    <w:rsid w:val="14B163DC"/>
    <w:rsid w:val="14B20436"/>
    <w:rsid w:val="14B2637D"/>
    <w:rsid w:val="14B30CFC"/>
    <w:rsid w:val="14B3630E"/>
    <w:rsid w:val="14B410F8"/>
    <w:rsid w:val="14B455A6"/>
    <w:rsid w:val="14B45D80"/>
    <w:rsid w:val="14B52807"/>
    <w:rsid w:val="14B57452"/>
    <w:rsid w:val="14B63856"/>
    <w:rsid w:val="14B6388D"/>
    <w:rsid w:val="14B66DE7"/>
    <w:rsid w:val="14B7062B"/>
    <w:rsid w:val="14B75AD2"/>
    <w:rsid w:val="14B80C0A"/>
    <w:rsid w:val="14B80E3B"/>
    <w:rsid w:val="14B815BF"/>
    <w:rsid w:val="14B836E0"/>
    <w:rsid w:val="14B922F8"/>
    <w:rsid w:val="14B9293C"/>
    <w:rsid w:val="14B940BB"/>
    <w:rsid w:val="14B95FD2"/>
    <w:rsid w:val="14BA1BCC"/>
    <w:rsid w:val="14BA5FFE"/>
    <w:rsid w:val="14BA7E1E"/>
    <w:rsid w:val="14BB3567"/>
    <w:rsid w:val="14BC0258"/>
    <w:rsid w:val="14BE16BC"/>
    <w:rsid w:val="14BE790E"/>
    <w:rsid w:val="14BF1E70"/>
    <w:rsid w:val="14C011F1"/>
    <w:rsid w:val="14C021B2"/>
    <w:rsid w:val="14C0539B"/>
    <w:rsid w:val="14C10AEB"/>
    <w:rsid w:val="14C10E56"/>
    <w:rsid w:val="14C13969"/>
    <w:rsid w:val="14C15ED1"/>
    <w:rsid w:val="14C2077F"/>
    <w:rsid w:val="14C34F24"/>
    <w:rsid w:val="14C36CD2"/>
    <w:rsid w:val="14C41C81"/>
    <w:rsid w:val="14C4203D"/>
    <w:rsid w:val="14C4364E"/>
    <w:rsid w:val="14C447F8"/>
    <w:rsid w:val="14C44852"/>
    <w:rsid w:val="14C479D3"/>
    <w:rsid w:val="14C53455"/>
    <w:rsid w:val="14C60571"/>
    <w:rsid w:val="14C663E1"/>
    <w:rsid w:val="14C703B4"/>
    <w:rsid w:val="14C70602"/>
    <w:rsid w:val="14C8078D"/>
    <w:rsid w:val="14C842E9"/>
    <w:rsid w:val="14C87B1E"/>
    <w:rsid w:val="14C91E0F"/>
    <w:rsid w:val="14CA0061"/>
    <w:rsid w:val="14CB0413"/>
    <w:rsid w:val="14CB202B"/>
    <w:rsid w:val="14CB3DD9"/>
    <w:rsid w:val="14CB5B87"/>
    <w:rsid w:val="14CC5DB2"/>
    <w:rsid w:val="14CD2CB9"/>
    <w:rsid w:val="14CD2FEA"/>
    <w:rsid w:val="14CE710D"/>
    <w:rsid w:val="14CF38C9"/>
    <w:rsid w:val="14CF422A"/>
    <w:rsid w:val="14CF52C6"/>
    <w:rsid w:val="14D05235"/>
    <w:rsid w:val="14D07641"/>
    <w:rsid w:val="14D159C6"/>
    <w:rsid w:val="14D25167"/>
    <w:rsid w:val="14D26F15"/>
    <w:rsid w:val="14D302E6"/>
    <w:rsid w:val="14D30DD7"/>
    <w:rsid w:val="14D31470"/>
    <w:rsid w:val="14D41776"/>
    <w:rsid w:val="14D42C8D"/>
    <w:rsid w:val="14D47131"/>
    <w:rsid w:val="14D51331"/>
    <w:rsid w:val="14D54096"/>
    <w:rsid w:val="14D56A06"/>
    <w:rsid w:val="14D61ED0"/>
    <w:rsid w:val="14D64FD3"/>
    <w:rsid w:val="14D70FC9"/>
    <w:rsid w:val="14D743C5"/>
    <w:rsid w:val="14D74F33"/>
    <w:rsid w:val="14D80DA1"/>
    <w:rsid w:val="14D82CFE"/>
    <w:rsid w:val="14D94748"/>
    <w:rsid w:val="14D964F6"/>
    <w:rsid w:val="14DA13B8"/>
    <w:rsid w:val="14DA229F"/>
    <w:rsid w:val="14DA401C"/>
    <w:rsid w:val="14DA4316"/>
    <w:rsid w:val="14DB04C0"/>
    <w:rsid w:val="14DB1649"/>
    <w:rsid w:val="14DB226E"/>
    <w:rsid w:val="14DB39D6"/>
    <w:rsid w:val="14DC7D94"/>
    <w:rsid w:val="14DD2C3C"/>
    <w:rsid w:val="14DD7678"/>
    <w:rsid w:val="14DE1D5E"/>
    <w:rsid w:val="14DE3974"/>
    <w:rsid w:val="14DE49C2"/>
    <w:rsid w:val="14DE58BA"/>
    <w:rsid w:val="14DF1632"/>
    <w:rsid w:val="14E028EA"/>
    <w:rsid w:val="14E05164"/>
    <w:rsid w:val="14E05AD6"/>
    <w:rsid w:val="14E07D19"/>
    <w:rsid w:val="14E1184E"/>
    <w:rsid w:val="14E13BB0"/>
    <w:rsid w:val="14E153AA"/>
    <w:rsid w:val="14E16560"/>
    <w:rsid w:val="14E50530"/>
    <w:rsid w:val="14E51F20"/>
    <w:rsid w:val="14E61C09"/>
    <w:rsid w:val="14E629C1"/>
    <w:rsid w:val="14E62B3A"/>
    <w:rsid w:val="14E6501B"/>
    <w:rsid w:val="14E72BA0"/>
    <w:rsid w:val="14E82BDD"/>
    <w:rsid w:val="14E82D67"/>
    <w:rsid w:val="14E86739"/>
    <w:rsid w:val="14EA425F"/>
    <w:rsid w:val="14EB6229"/>
    <w:rsid w:val="14EB7FD7"/>
    <w:rsid w:val="14EC0437"/>
    <w:rsid w:val="14EC447B"/>
    <w:rsid w:val="14EC7B27"/>
    <w:rsid w:val="14ED01F3"/>
    <w:rsid w:val="14ED1FA1"/>
    <w:rsid w:val="14ED2FA2"/>
    <w:rsid w:val="14ED3166"/>
    <w:rsid w:val="14ED3D4F"/>
    <w:rsid w:val="14EE172C"/>
    <w:rsid w:val="14F023DF"/>
    <w:rsid w:val="14F12C00"/>
    <w:rsid w:val="14F21366"/>
    <w:rsid w:val="14F238F6"/>
    <w:rsid w:val="14F24D66"/>
    <w:rsid w:val="14F267F7"/>
    <w:rsid w:val="14F421F0"/>
    <w:rsid w:val="14F450DE"/>
    <w:rsid w:val="14F46542"/>
    <w:rsid w:val="14F477FF"/>
    <w:rsid w:val="14F52C04"/>
    <w:rsid w:val="14F53680"/>
    <w:rsid w:val="14F54CB6"/>
    <w:rsid w:val="14F560DF"/>
    <w:rsid w:val="14F640B5"/>
    <w:rsid w:val="14F726ED"/>
    <w:rsid w:val="14F90946"/>
    <w:rsid w:val="14F96B98"/>
    <w:rsid w:val="14FA3EE2"/>
    <w:rsid w:val="14FA7C6E"/>
    <w:rsid w:val="14FB28A9"/>
    <w:rsid w:val="14FB2910"/>
    <w:rsid w:val="14FB2F80"/>
    <w:rsid w:val="14FB46BE"/>
    <w:rsid w:val="14FB74F2"/>
    <w:rsid w:val="14FC2FF6"/>
    <w:rsid w:val="14FE32A2"/>
    <w:rsid w:val="14FE49E3"/>
    <w:rsid w:val="14FE4E57"/>
    <w:rsid w:val="15001ED4"/>
    <w:rsid w:val="15007F26"/>
    <w:rsid w:val="150115A9"/>
    <w:rsid w:val="15015A4D"/>
    <w:rsid w:val="150177FB"/>
    <w:rsid w:val="150317C5"/>
    <w:rsid w:val="15035321"/>
    <w:rsid w:val="15040CA5"/>
    <w:rsid w:val="15051099"/>
    <w:rsid w:val="150552F9"/>
    <w:rsid w:val="1505553D"/>
    <w:rsid w:val="15055EB3"/>
    <w:rsid w:val="150572EB"/>
    <w:rsid w:val="15064E11"/>
    <w:rsid w:val="150652C8"/>
    <w:rsid w:val="15065F9E"/>
    <w:rsid w:val="15077E8D"/>
    <w:rsid w:val="15080B89"/>
    <w:rsid w:val="15085FE9"/>
    <w:rsid w:val="15086BE0"/>
    <w:rsid w:val="15086F25"/>
    <w:rsid w:val="150A4124"/>
    <w:rsid w:val="150A4416"/>
    <w:rsid w:val="150A66AF"/>
    <w:rsid w:val="150C0679"/>
    <w:rsid w:val="150D2643"/>
    <w:rsid w:val="150D28A7"/>
    <w:rsid w:val="150D43F1"/>
    <w:rsid w:val="150E436F"/>
    <w:rsid w:val="150E5396"/>
    <w:rsid w:val="150F3CC6"/>
    <w:rsid w:val="150F6DF8"/>
    <w:rsid w:val="150F7CD2"/>
    <w:rsid w:val="15100288"/>
    <w:rsid w:val="15100497"/>
    <w:rsid w:val="15101D54"/>
    <w:rsid w:val="15107A3E"/>
    <w:rsid w:val="151125A3"/>
    <w:rsid w:val="15112E59"/>
    <w:rsid w:val="15113EE2"/>
    <w:rsid w:val="151237B6"/>
    <w:rsid w:val="15127C5A"/>
    <w:rsid w:val="151314C0"/>
    <w:rsid w:val="151439D2"/>
    <w:rsid w:val="15145780"/>
    <w:rsid w:val="15146C09"/>
    <w:rsid w:val="1514752E"/>
    <w:rsid w:val="15151410"/>
    <w:rsid w:val="15155054"/>
    <w:rsid w:val="15155F49"/>
    <w:rsid w:val="15175270"/>
    <w:rsid w:val="151825AD"/>
    <w:rsid w:val="15187A19"/>
    <w:rsid w:val="15192A7B"/>
    <w:rsid w:val="151A016E"/>
    <w:rsid w:val="151A266A"/>
    <w:rsid w:val="151B08BC"/>
    <w:rsid w:val="151B539B"/>
    <w:rsid w:val="151D6661"/>
    <w:rsid w:val="151E03AD"/>
    <w:rsid w:val="151E4C05"/>
    <w:rsid w:val="151E65FF"/>
    <w:rsid w:val="151E6635"/>
    <w:rsid w:val="15204125"/>
    <w:rsid w:val="152051AC"/>
    <w:rsid w:val="15206707"/>
    <w:rsid w:val="152139F9"/>
    <w:rsid w:val="15233C15"/>
    <w:rsid w:val="1523526E"/>
    <w:rsid w:val="1523677A"/>
    <w:rsid w:val="1524589C"/>
    <w:rsid w:val="1525173B"/>
    <w:rsid w:val="15252DED"/>
    <w:rsid w:val="152534E9"/>
    <w:rsid w:val="1525798D"/>
    <w:rsid w:val="15263BEF"/>
    <w:rsid w:val="15264D8E"/>
    <w:rsid w:val="1527064A"/>
    <w:rsid w:val="1527105F"/>
    <w:rsid w:val="15275065"/>
    <w:rsid w:val="1527575C"/>
    <w:rsid w:val="15282FD9"/>
    <w:rsid w:val="15284D87"/>
    <w:rsid w:val="152A0AFF"/>
    <w:rsid w:val="152A1FD8"/>
    <w:rsid w:val="152B4E90"/>
    <w:rsid w:val="152C2AC9"/>
    <w:rsid w:val="152C6320"/>
    <w:rsid w:val="152D1520"/>
    <w:rsid w:val="152D239E"/>
    <w:rsid w:val="152D63A2"/>
    <w:rsid w:val="152D77B0"/>
    <w:rsid w:val="152E1967"/>
    <w:rsid w:val="152E2381"/>
    <w:rsid w:val="152E4A94"/>
    <w:rsid w:val="152E6862"/>
    <w:rsid w:val="152F02CB"/>
    <w:rsid w:val="152F182D"/>
    <w:rsid w:val="152F25BA"/>
    <w:rsid w:val="152F4368"/>
    <w:rsid w:val="152F6116"/>
    <w:rsid w:val="152F7438"/>
    <w:rsid w:val="15304D70"/>
    <w:rsid w:val="15307872"/>
    <w:rsid w:val="153100E0"/>
    <w:rsid w:val="15311E8E"/>
    <w:rsid w:val="15325C06"/>
    <w:rsid w:val="153320AA"/>
    <w:rsid w:val="15345415"/>
    <w:rsid w:val="153460D1"/>
    <w:rsid w:val="15347683"/>
    <w:rsid w:val="15347BD0"/>
    <w:rsid w:val="15357CDE"/>
    <w:rsid w:val="15363948"/>
    <w:rsid w:val="15363A42"/>
    <w:rsid w:val="153656F6"/>
    <w:rsid w:val="153674A4"/>
    <w:rsid w:val="15385336"/>
    <w:rsid w:val="15397494"/>
    <w:rsid w:val="153A5417"/>
    <w:rsid w:val="153A7295"/>
    <w:rsid w:val="153B0F5F"/>
    <w:rsid w:val="153B2D0D"/>
    <w:rsid w:val="153B3244"/>
    <w:rsid w:val="153C6A85"/>
    <w:rsid w:val="153D4CD7"/>
    <w:rsid w:val="153E0A4F"/>
    <w:rsid w:val="153E27FD"/>
    <w:rsid w:val="153E2BDE"/>
    <w:rsid w:val="154047C7"/>
    <w:rsid w:val="15405AFA"/>
    <w:rsid w:val="15410CDB"/>
    <w:rsid w:val="154170B6"/>
    <w:rsid w:val="154210F0"/>
    <w:rsid w:val="154222ED"/>
    <w:rsid w:val="154267C2"/>
    <w:rsid w:val="15436065"/>
    <w:rsid w:val="15442DF3"/>
    <w:rsid w:val="15445B78"/>
    <w:rsid w:val="154611F2"/>
    <w:rsid w:val="1546345F"/>
    <w:rsid w:val="154673FA"/>
    <w:rsid w:val="15485429"/>
    <w:rsid w:val="15491DF4"/>
    <w:rsid w:val="154A11A2"/>
    <w:rsid w:val="154A18A9"/>
    <w:rsid w:val="154A236E"/>
    <w:rsid w:val="154A79FC"/>
    <w:rsid w:val="154B2D39"/>
    <w:rsid w:val="154B300A"/>
    <w:rsid w:val="154C1139"/>
    <w:rsid w:val="154C316C"/>
    <w:rsid w:val="154D6D9A"/>
    <w:rsid w:val="154D776C"/>
    <w:rsid w:val="154E022A"/>
    <w:rsid w:val="154E5444"/>
    <w:rsid w:val="154F0566"/>
    <w:rsid w:val="154F16BA"/>
    <w:rsid w:val="154F1A0D"/>
    <w:rsid w:val="154F4A0A"/>
    <w:rsid w:val="1550600E"/>
    <w:rsid w:val="15507EB4"/>
    <w:rsid w:val="15511EAE"/>
    <w:rsid w:val="15512064"/>
    <w:rsid w:val="15512530"/>
    <w:rsid w:val="15521099"/>
    <w:rsid w:val="15525A21"/>
    <w:rsid w:val="15525ABC"/>
    <w:rsid w:val="15535828"/>
    <w:rsid w:val="15542020"/>
    <w:rsid w:val="155468E1"/>
    <w:rsid w:val="155500FD"/>
    <w:rsid w:val="15565D98"/>
    <w:rsid w:val="1557566D"/>
    <w:rsid w:val="15581B10"/>
    <w:rsid w:val="155838BF"/>
    <w:rsid w:val="155913E5"/>
    <w:rsid w:val="15595889"/>
    <w:rsid w:val="15597F0E"/>
    <w:rsid w:val="155A17D9"/>
    <w:rsid w:val="155B6F0B"/>
    <w:rsid w:val="155D0ED5"/>
    <w:rsid w:val="155D2E33"/>
    <w:rsid w:val="155D7127"/>
    <w:rsid w:val="155E61A1"/>
    <w:rsid w:val="155E69FB"/>
    <w:rsid w:val="155F468B"/>
    <w:rsid w:val="156003E7"/>
    <w:rsid w:val="15602773"/>
    <w:rsid w:val="15604521"/>
    <w:rsid w:val="15605210"/>
    <w:rsid w:val="15606711"/>
    <w:rsid w:val="15610299"/>
    <w:rsid w:val="15613053"/>
    <w:rsid w:val="15613ACF"/>
    <w:rsid w:val="15637FF7"/>
    <w:rsid w:val="1565422D"/>
    <w:rsid w:val="15655FDB"/>
    <w:rsid w:val="15657D89"/>
    <w:rsid w:val="15664323"/>
    <w:rsid w:val="15671684"/>
    <w:rsid w:val="15674B8D"/>
    <w:rsid w:val="156758B0"/>
    <w:rsid w:val="15685A60"/>
    <w:rsid w:val="1568787A"/>
    <w:rsid w:val="15690793"/>
    <w:rsid w:val="15692C5B"/>
    <w:rsid w:val="15694E32"/>
    <w:rsid w:val="15697A03"/>
    <w:rsid w:val="15697E2B"/>
    <w:rsid w:val="156A0E93"/>
    <w:rsid w:val="156A35F2"/>
    <w:rsid w:val="156A53A0"/>
    <w:rsid w:val="156A6E8D"/>
    <w:rsid w:val="156C0112"/>
    <w:rsid w:val="156C1118"/>
    <w:rsid w:val="156D1C72"/>
    <w:rsid w:val="156D31B7"/>
    <w:rsid w:val="156E2CF6"/>
    <w:rsid w:val="156E30E2"/>
    <w:rsid w:val="156E6027"/>
    <w:rsid w:val="156F29B6"/>
    <w:rsid w:val="156F440C"/>
    <w:rsid w:val="156F5B9B"/>
    <w:rsid w:val="157035C4"/>
    <w:rsid w:val="157065FF"/>
    <w:rsid w:val="1571672E"/>
    <w:rsid w:val="1573694A"/>
    <w:rsid w:val="157374BC"/>
    <w:rsid w:val="15743686"/>
    <w:rsid w:val="15743D6E"/>
    <w:rsid w:val="15753735"/>
    <w:rsid w:val="157543DA"/>
    <w:rsid w:val="157601E9"/>
    <w:rsid w:val="157616AB"/>
    <w:rsid w:val="15761F97"/>
    <w:rsid w:val="15763D45"/>
    <w:rsid w:val="1577695C"/>
    <w:rsid w:val="157769F5"/>
    <w:rsid w:val="1578047B"/>
    <w:rsid w:val="15785D0F"/>
    <w:rsid w:val="15787ABD"/>
    <w:rsid w:val="15793835"/>
    <w:rsid w:val="15794922"/>
    <w:rsid w:val="157955E3"/>
    <w:rsid w:val="157A2903"/>
    <w:rsid w:val="157B3C84"/>
    <w:rsid w:val="157B7392"/>
    <w:rsid w:val="157C1645"/>
    <w:rsid w:val="157C23F9"/>
    <w:rsid w:val="157C32A8"/>
    <w:rsid w:val="157C427B"/>
    <w:rsid w:val="157D0C04"/>
    <w:rsid w:val="157E351B"/>
    <w:rsid w:val="157E709D"/>
    <w:rsid w:val="157F2E14"/>
    <w:rsid w:val="157F52EF"/>
    <w:rsid w:val="15802E15"/>
    <w:rsid w:val="158030B9"/>
    <w:rsid w:val="15804BC3"/>
    <w:rsid w:val="15806971"/>
    <w:rsid w:val="158076D1"/>
    <w:rsid w:val="15810F11"/>
    <w:rsid w:val="1582030D"/>
    <w:rsid w:val="15823EB3"/>
    <w:rsid w:val="15826B8D"/>
    <w:rsid w:val="15836462"/>
    <w:rsid w:val="15842905"/>
    <w:rsid w:val="1585158E"/>
    <w:rsid w:val="158521DA"/>
    <w:rsid w:val="15852EC9"/>
    <w:rsid w:val="1585667E"/>
    <w:rsid w:val="15863173"/>
    <w:rsid w:val="15864359"/>
    <w:rsid w:val="158742DA"/>
    <w:rsid w:val="15875F52"/>
    <w:rsid w:val="15877D00"/>
    <w:rsid w:val="15885EA7"/>
    <w:rsid w:val="158945CE"/>
    <w:rsid w:val="15897F1C"/>
    <w:rsid w:val="158A0089"/>
    <w:rsid w:val="158A167C"/>
    <w:rsid w:val="158A5A42"/>
    <w:rsid w:val="158A62DE"/>
    <w:rsid w:val="158A63F2"/>
    <w:rsid w:val="158B2B55"/>
    <w:rsid w:val="158B3076"/>
    <w:rsid w:val="158C1F5E"/>
    <w:rsid w:val="158C2113"/>
    <w:rsid w:val="158C299F"/>
    <w:rsid w:val="158C3568"/>
    <w:rsid w:val="158C5316"/>
    <w:rsid w:val="158D108E"/>
    <w:rsid w:val="158E3A13"/>
    <w:rsid w:val="158E5532"/>
    <w:rsid w:val="158E72E0"/>
    <w:rsid w:val="158F12AA"/>
    <w:rsid w:val="158F3058"/>
    <w:rsid w:val="158F4E06"/>
    <w:rsid w:val="158F6B4C"/>
    <w:rsid w:val="159217A5"/>
    <w:rsid w:val="159263F9"/>
    <w:rsid w:val="159266A5"/>
    <w:rsid w:val="15927CF7"/>
    <w:rsid w:val="159321CF"/>
    <w:rsid w:val="15935609"/>
    <w:rsid w:val="1594066F"/>
    <w:rsid w:val="1594241D"/>
    <w:rsid w:val="15945E76"/>
    <w:rsid w:val="15962639"/>
    <w:rsid w:val="15962D53"/>
    <w:rsid w:val="15964413"/>
    <w:rsid w:val="15966195"/>
    <w:rsid w:val="15973CBB"/>
    <w:rsid w:val="159773F1"/>
    <w:rsid w:val="15977EAF"/>
    <w:rsid w:val="1598015F"/>
    <w:rsid w:val="15981F0D"/>
    <w:rsid w:val="159863B1"/>
    <w:rsid w:val="15987B29"/>
    <w:rsid w:val="15995C85"/>
    <w:rsid w:val="15997A33"/>
    <w:rsid w:val="159A27C5"/>
    <w:rsid w:val="159A3C5F"/>
    <w:rsid w:val="159A4854"/>
    <w:rsid w:val="159A53A0"/>
    <w:rsid w:val="159B19FD"/>
    <w:rsid w:val="159B37AB"/>
    <w:rsid w:val="159B4585"/>
    <w:rsid w:val="159B4FA5"/>
    <w:rsid w:val="159B7C4F"/>
    <w:rsid w:val="159C465D"/>
    <w:rsid w:val="159D408F"/>
    <w:rsid w:val="159D51EE"/>
    <w:rsid w:val="159D5775"/>
    <w:rsid w:val="159E329B"/>
    <w:rsid w:val="159E51B1"/>
    <w:rsid w:val="159F1212"/>
    <w:rsid w:val="159F785C"/>
    <w:rsid w:val="15A0686E"/>
    <w:rsid w:val="15A06969"/>
    <w:rsid w:val="15A07014"/>
    <w:rsid w:val="15A07AD1"/>
    <w:rsid w:val="15A1206F"/>
    <w:rsid w:val="15A229B1"/>
    <w:rsid w:val="15A308B2"/>
    <w:rsid w:val="15A30E3E"/>
    <w:rsid w:val="15A32CAD"/>
    <w:rsid w:val="15A35BDB"/>
    <w:rsid w:val="15A442F4"/>
    <w:rsid w:val="15A524B3"/>
    <w:rsid w:val="15A5462A"/>
    <w:rsid w:val="15A558D2"/>
    <w:rsid w:val="15A563D8"/>
    <w:rsid w:val="15A64E30"/>
    <w:rsid w:val="15A709CC"/>
    <w:rsid w:val="15A85EC8"/>
    <w:rsid w:val="15A9478B"/>
    <w:rsid w:val="15AA58DF"/>
    <w:rsid w:val="15AA63A9"/>
    <w:rsid w:val="15AB4BE4"/>
    <w:rsid w:val="15AC6802"/>
    <w:rsid w:val="15AC7326"/>
    <w:rsid w:val="15AD24B9"/>
    <w:rsid w:val="15AD5BA8"/>
    <w:rsid w:val="15AD616A"/>
    <w:rsid w:val="15AE07F3"/>
    <w:rsid w:val="15AE34DE"/>
    <w:rsid w:val="15AF4AB2"/>
    <w:rsid w:val="15AF7257"/>
    <w:rsid w:val="15B14A99"/>
    <w:rsid w:val="15B14D7D"/>
    <w:rsid w:val="15B17473"/>
    <w:rsid w:val="15B2180E"/>
    <w:rsid w:val="15B226B8"/>
    <w:rsid w:val="15B324FD"/>
    <w:rsid w:val="15B346F0"/>
    <w:rsid w:val="15B36D47"/>
    <w:rsid w:val="15B41381"/>
    <w:rsid w:val="15B41FA8"/>
    <w:rsid w:val="15B4260C"/>
    <w:rsid w:val="15B4486D"/>
    <w:rsid w:val="15B605E5"/>
    <w:rsid w:val="15B6218A"/>
    <w:rsid w:val="15B722F4"/>
    <w:rsid w:val="15B7737C"/>
    <w:rsid w:val="15B825AF"/>
    <w:rsid w:val="15B8435D"/>
    <w:rsid w:val="15B85A4D"/>
    <w:rsid w:val="15B8610B"/>
    <w:rsid w:val="15B90678"/>
    <w:rsid w:val="15B91DB9"/>
    <w:rsid w:val="15B91E83"/>
    <w:rsid w:val="15B97F07"/>
    <w:rsid w:val="15BA11D3"/>
    <w:rsid w:val="15BA3249"/>
    <w:rsid w:val="15BA33F1"/>
    <w:rsid w:val="15BB209F"/>
    <w:rsid w:val="15BB3E4D"/>
    <w:rsid w:val="15BB4099"/>
    <w:rsid w:val="15BB5BFB"/>
    <w:rsid w:val="15BB72AA"/>
    <w:rsid w:val="15BD086B"/>
    <w:rsid w:val="15BD1974"/>
    <w:rsid w:val="15BD5E17"/>
    <w:rsid w:val="15BD6DFE"/>
    <w:rsid w:val="15BD7BC5"/>
    <w:rsid w:val="15BF56EC"/>
    <w:rsid w:val="15BF5B9F"/>
    <w:rsid w:val="15C076B6"/>
    <w:rsid w:val="15C07940"/>
    <w:rsid w:val="15C245AC"/>
    <w:rsid w:val="15C24FDC"/>
    <w:rsid w:val="15C40F54"/>
    <w:rsid w:val="15C42D02"/>
    <w:rsid w:val="15C45358"/>
    <w:rsid w:val="15C50719"/>
    <w:rsid w:val="15C54CCC"/>
    <w:rsid w:val="15C56A7A"/>
    <w:rsid w:val="15C57A5D"/>
    <w:rsid w:val="15C60048"/>
    <w:rsid w:val="15C70A44"/>
    <w:rsid w:val="15C7136A"/>
    <w:rsid w:val="15C72DFF"/>
    <w:rsid w:val="15C745A0"/>
    <w:rsid w:val="15C7796A"/>
    <w:rsid w:val="15C835B1"/>
    <w:rsid w:val="15C839D3"/>
    <w:rsid w:val="15C94FAC"/>
    <w:rsid w:val="15CA1EBE"/>
    <w:rsid w:val="15CC3B64"/>
    <w:rsid w:val="15CC6AEE"/>
    <w:rsid w:val="15CC7E09"/>
    <w:rsid w:val="15CD7C63"/>
    <w:rsid w:val="15CE1DD3"/>
    <w:rsid w:val="15CE3B81"/>
    <w:rsid w:val="15CE592F"/>
    <w:rsid w:val="15CF6BF2"/>
    <w:rsid w:val="15D01BB6"/>
    <w:rsid w:val="15D05B4B"/>
    <w:rsid w:val="15D078F9"/>
    <w:rsid w:val="15D13671"/>
    <w:rsid w:val="15D1541F"/>
    <w:rsid w:val="15D171CD"/>
    <w:rsid w:val="15D23CCD"/>
    <w:rsid w:val="15D2444C"/>
    <w:rsid w:val="15D32F45"/>
    <w:rsid w:val="15D46CBD"/>
    <w:rsid w:val="15D54F0F"/>
    <w:rsid w:val="15D553EB"/>
    <w:rsid w:val="15D55DE5"/>
    <w:rsid w:val="15D60C87"/>
    <w:rsid w:val="15D62B87"/>
    <w:rsid w:val="15D664C1"/>
    <w:rsid w:val="15D70E63"/>
    <w:rsid w:val="15D76E23"/>
    <w:rsid w:val="15D8055B"/>
    <w:rsid w:val="15D82616"/>
    <w:rsid w:val="15D849FF"/>
    <w:rsid w:val="15D90A9B"/>
    <w:rsid w:val="15D93A3C"/>
    <w:rsid w:val="15D942D4"/>
    <w:rsid w:val="15D95078"/>
    <w:rsid w:val="15DA2525"/>
    <w:rsid w:val="15DB44F0"/>
    <w:rsid w:val="15DB5E44"/>
    <w:rsid w:val="15DB629E"/>
    <w:rsid w:val="15DC2BB3"/>
    <w:rsid w:val="15DC61FE"/>
    <w:rsid w:val="15DD0268"/>
    <w:rsid w:val="15DD074A"/>
    <w:rsid w:val="15DD5B72"/>
    <w:rsid w:val="15DF3AD4"/>
    <w:rsid w:val="15DF7B3C"/>
    <w:rsid w:val="15E007F9"/>
    <w:rsid w:val="15E038B4"/>
    <w:rsid w:val="15E11B06"/>
    <w:rsid w:val="15E16DE2"/>
    <w:rsid w:val="15E200FD"/>
    <w:rsid w:val="15E210E6"/>
    <w:rsid w:val="15E213AD"/>
    <w:rsid w:val="15E213DA"/>
    <w:rsid w:val="15E2587E"/>
    <w:rsid w:val="15E2762C"/>
    <w:rsid w:val="15E30196"/>
    <w:rsid w:val="15E40B81"/>
    <w:rsid w:val="15E46F00"/>
    <w:rsid w:val="15E4717D"/>
    <w:rsid w:val="15E47333"/>
    <w:rsid w:val="15E518D3"/>
    <w:rsid w:val="15E57F65"/>
    <w:rsid w:val="15E620B3"/>
    <w:rsid w:val="15E6521B"/>
    <w:rsid w:val="15E6711C"/>
    <w:rsid w:val="15E736F6"/>
    <w:rsid w:val="15E73C2D"/>
    <w:rsid w:val="15E82D45"/>
    <w:rsid w:val="15E92769"/>
    <w:rsid w:val="15E97757"/>
    <w:rsid w:val="15EA37B8"/>
    <w:rsid w:val="15EA512F"/>
    <w:rsid w:val="15EC2259"/>
    <w:rsid w:val="15EC3507"/>
    <w:rsid w:val="15ED39CC"/>
    <w:rsid w:val="15EE0320"/>
    <w:rsid w:val="15EE1AF0"/>
    <w:rsid w:val="15EE2139"/>
    <w:rsid w:val="15EE4223"/>
    <w:rsid w:val="15EF0C0B"/>
    <w:rsid w:val="15EF58A5"/>
    <w:rsid w:val="15F01D49"/>
    <w:rsid w:val="15F07F9B"/>
    <w:rsid w:val="15F12DDD"/>
    <w:rsid w:val="15F13B8A"/>
    <w:rsid w:val="15F17FAD"/>
    <w:rsid w:val="15F22A72"/>
    <w:rsid w:val="15F23853"/>
    <w:rsid w:val="15F31284"/>
    <w:rsid w:val="15F31839"/>
    <w:rsid w:val="15F335E7"/>
    <w:rsid w:val="15F630D7"/>
    <w:rsid w:val="15F731EB"/>
    <w:rsid w:val="15F80BFE"/>
    <w:rsid w:val="15F829AC"/>
    <w:rsid w:val="15F85DBC"/>
    <w:rsid w:val="15F93B55"/>
    <w:rsid w:val="15FA0341"/>
    <w:rsid w:val="15FA5701"/>
    <w:rsid w:val="15FA6724"/>
    <w:rsid w:val="15FB1B6C"/>
    <w:rsid w:val="15FD2F00"/>
    <w:rsid w:val="15FD448C"/>
    <w:rsid w:val="15FD6214"/>
    <w:rsid w:val="15FE0889"/>
    <w:rsid w:val="15FE1B72"/>
    <w:rsid w:val="15FE7C3F"/>
    <w:rsid w:val="15FF01DE"/>
    <w:rsid w:val="16005770"/>
    <w:rsid w:val="16006F1E"/>
    <w:rsid w:val="16007AB2"/>
    <w:rsid w:val="16013DCC"/>
    <w:rsid w:val="16014658"/>
    <w:rsid w:val="16024DD0"/>
    <w:rsid w:val="1602697A"/>
    <w:rsid w:val="16027CCE"/>
    <w:rsid w:val="160325D2"/>
    <w:rsid w:val="160330E8"/>
    <w:rsid w:val="160550C9"/>
    <w:rsid w:val="1606156C"/>
    <w:rsid w:val="16063E7B"/>
    <w:rsid w:val="16070E41"/>
    <w:rsid w:val="160710A8"/>
    <w:rsid w:val="16077093"/>
    <w:rsid w:val="16084742"/>
    <w:rsid w:val="160875F8"/>
    <w:rsid w:val="16087E1D"/>
    <w:rsid w:val="16096967"/>
    <w:rsid w:val="160B6B83"/>
    <w:rsid w:val="160C2AF1"/>
    <w:rsid w:val="160C3F81"/>
    <w:rsid w:val="160C46A9"/>
    <w:rsid w:val="160C6659"/>
    <w:rsid w:val="160D048F"/>
    <w:rsid w:val="160E000A"/>
    <w:rsid w:val="160E0103"/>
    <w:rsid w:val="160E0421"/>
    <w:rsid w:val="160E6673"/>
    <w:rsid w:val="160E7877"/>
    <w:rsid w:val="16104199"/>
    <w:rsid w:val="16111B25"/>
    <w:rsid w:val="16111CE9"/>
    <w:rsid w:val="16116F83"/>
    <w:rsid w:val="16117F11"/>
    <w:rsid w:val="1612585E"/>
    <w:rsid w:val="16131283"/>
    <w:rsid w:val="16135A37"/>
    <w:rsid w:val="16152E1F"/>
    <w:rsid w:val="16161084"/>
    <w:rsid w:val="16161345"/>
    <w:rsid w:val="16165F18"/>
    <w:rsid w:val="16170EB4"/>
    <w:rsid w:val="16175528"/>
    <w:rsid w:val="16184DFC"/>
    <w:rsid w:val="16186C75"/>
    <w:rsid w:val="161A6DC6"/>
    <w:rsid w:val="161A71A5"/>
    <w:rsid w:val="161B627A"/>
    <w:rsid w:val="161C0D90"/>
    <w:rsid w:val="161C272A"/>
    <w:rsid w:val="161C2B3E"/>
    <w:rsid w:val="161D01D5"/>
    <w:rsid w:val="161D0664"/>
    <w:rsid w:val="161D6DBF"/>
    <w:rsid w:val="161F0345"/>
    <w:rsid w:val="161F262E"/>
    <w:rsid w:val="161F43DC"/>
    <w:rsid w:val="16201F02"/>
    <w:rsid w:val="16212F61"/>
    <w:rsid w:val="162158B5"/>
    <w:rsid w:val="16216458"/>
    <w:rsid w:val="16224D17"/>
    <w:rsid w:val="16225C7A"/>
    <w:rsid w:val="16227A29"/>
    <w:rsid w:val="16232C1B"/>
    <w:rsid w:val="16242208"/>
    <w:rsid w:val="16247228"/>
    <w:rsid w:val="1625599C"/>
    <w:rsid w:val="16257470"/>
    <w:rsid w:val="16261692"/>
    <w:rsid w:val="162639BD"/>
    <w:rsid w:val="16266269"/>
    <w:rsid w:val="16270C62"/>
    <w:rsid w:val="16273291"/>
    <w:rsid w:val="1627732A"/>
    <w:rsid w:val="16287735"/>
    <w:rsid w:val="16290DB7"/>
    <w:rsid w:val="1629525B"/>
    <w:rsid w:val="162B0FD3"/>
    <w:rsid w:val="162B334F"/>
    <w:rsid w:val="162B4B2F"/>
    <w:rsid w:val="162C0264"/>
    <w:rsid w:val="162C38CF"/>
    <w:rsid w:val="162C5A71"/>
    <w:rsid w:val="162C6AF9"/>
    <w:rsid w:val="162C76C0"/>
    <w:rsid w:val="162D33AE"/>
    <w:rsid w:val="162E0AC3"/>
    <w:rsid w:val="162E6411"/>
    <w:rsid w:val="16300397"/>
    <w:rsid w:val="16301EEC"/>
    <w:rsid w:val="1630508D"/>
    <w:rsid w:val="16314110"/>
    <w:rsid w:val="16322361"/>
    <w:rsid w:val="1632635C"/>
    <w:rsid w:val="163273DD"/>
    <w:rsid w:val="1633086D"/>
    <w:rsid w:val="16331C36"/>
    <w:rsid w:val="16332853"/>
    <w:rsid w:val="163360DA"/>
    <w:rsid w:val="16337C28"/>
    <w:rsid w:val="16337E88"/>
    <w:rsid w:val="1635294A"/>
    <w:rsid w:val="1635775C"/>
    <w:rsid w:val="16361726"/>
    <w:rsid w:val="16362E84"/>
    <w:rsid w:val="1637067E"/>
    <w:rsid w:val="163712AF"/>
    <w:rsid w:val="1637279F"/>
    <w:rsid w:val="16372851"/>
    <w:rsid w:val="163752BC"/>
    <w:rsid w:val="16375A99"/>
    <w:rsid w:val="16377978"/>
    <w:rsid w:val="1638324F"/>
    <w:rsid w:val="16386A6E"/>
    <w:rsid w:val="1638724C"/>
    <w:rsid w:val="163A1216"/>
    <w:rsid w:val="163A2FC4"/>
    <w:rsid w:val="163A700E"/>
    <w:rsid w:val="163B5B8B"/>
    <w:rsid w:val="163C4F8E"/>
    <w:rsid w:val="163C6D3C"/>
    <w:rsid w:val="163D0D06"/>
    <w:rsid w:val="163D2AB4"/>
    <w:rsid w:val="163E1C90"/>
    <w:rsid w:val="163E2DAF"/>
    <w:rsid w:val="163E73B6"/>
    <w:rsid w:val="163F4A7E"/>
    <w:rsid w:val="164107F7"/>
    <w:rsid w:val="16414353"/>
    <w:rsid w:val="16421E79"/>
    <w:rsid w:val="1642631D"/>
    <w:rsid w:val="16436839"/>
    <w:rsid w:val="16443E43"/>
    <w:rsid w:val="164476E2"/>
    <w:rsid w:val="16455853"/>
    <w:rsid w:val="164565F7"/>
    <w:rsid w:val="16465E0D"/>
    <w:rsid w:val="16472A6B"/>
    <w:rsid w:val="16472E5A"/>
    <w:rsid w:val="164755A2"/>
    <w:rsid w:val="1647748F"/>
    <w:rsid w:val="164869BC"/>
    <w:rsid w:val="16490DAA"/>
    <w:rsid w:val="16490F5F"/>
    <w:rsid w:val="16491459"/>
    <w:rsid w:val="16492A3A"/>
    <w:rsid w:val="16493207"/>
    <w:rsid w:val="164A2C8B"/>
    <w:rsid w:val="164A7C92"/>
    <w:rsid w:val="164B3423"/>
    <w:rsid w:val="164B51D1"/>
    <w:rsid w:val="164B6F7F"/>
    <w:rsid w:val="164C0693"/>
    <w:rsid w:val="164D4381"/>
    <w:rsid w:val="164D719B"/>
    <w:rsid w:val="164D7C2A"/>
    <w:rsid w:val="164E6C45"/>
    <w:rsid w:val="164F1596"/>
    <w:rsid w:val="164F2A01"/>
    <w:rsid w:val="164F404C"/>
    <w:rsid w:val="164F6905"/>
    <w:rsid w:val="16500A3A"/>
    <w:rsid w:val="165027E8"/>
    <w:rsid w:val="16504596"/>
    <w:rsid w:val="16505C99"/>
    <w:rsid w:val="1651030E"/>
    <w:rsid w:val="16511D63"/>
    <w:rsid w:val="165247B2"/>
    <w:rsid w:val="1653052A"/>
    <w:rsid w:val="165322D8"/>
    <w:rsid w:val="16534086"/>
    <w:rsid w:val="16534DCB"/>
    <w:rsid w:val="1654353F"/>
    <w:rsid w:val="1655552C"/>
    <w:rsid w:val="16556050"/>
    <w:rsid w:val="16560A20"/>
    <w:rsid w:val="16563C07"/>
    <w:rsid w:val="16565924"/>
    <w:rsid w:val="16567A48"/>
    <w:rsid w:val="16571DC8"/>
    <w:rsid w:val="16573066"/>
    <w:rsid w:val="16573C5D"/>
    <w:rsid w:val="16574D1B"/>
    <w:rsid w:val="16576AD5"/>
    <w:rsid w:val="1658169C"/>
    <w:rsid w:val="165878EE"/>
    <w:rsid w:val="16591A2D"/>
    <w:rsid w:val="165A0E8F"/>
    <w:rsid w:val="165A3D85"/>
    <w:rsid w:val="165A5414"/>
    <w:rsid w:val="165A7824"/>
    <w:rsid w:val="165B51B0"/>
    <w:rsid w:val="165C0371"/>
    <w:rsid w:val="165C4F14"/>
    <w:rsid w:val="165C6338"/>
    <w:rsid w:val="165D2399"/>
    <w:rsid w:val="165E4F6A"/>
    <w:rsid w:val="165E5974"/>
    <w:rsid w:val="165E6BC7"/>
    <w:rsid w:val="165F04AA"/>
    <w:rsid w:val="166041CE"/>
    <w:rsid w:val="16604FEB"/>
    <w:rsid w:val="16611B80"/>
    <w:rsid w:val="16612C47"/>
    <w:rsid w:val="1662251B"/>
    <w:rsid w:val="166242C9"/>
    <w:rsid w:val="1662463C"/>
    <w:rsid w:val="1663363A"/>
    <w:rsid w:val="16640041"/>
    <w:rsid w:val="166567A5"/>
    <w:rsid w:val="1666025D"/>
    <w:rsid w:val="16670DD7"/>
    <w:rsid w:val="16674055"/>
    <w:rsid w:val="166743C0"/>
    <w:rsid w:val="16674B2C"/>
    <w:rsid w:val="16684B63"/>
    <w:rsid w:val="1669207D"/>
    <w:rsid w:val="16695657"/>
    <w:rsid w:val="166A7E38"/>
    <w:rsid w:val="166B3FE4"/>
    <w:rsid w:val="166B5873"/>
    <w:rsid w:val="166B7089"/>
    <w:rsid w:val="166C09FE"/>
    <w:rsid w:val="166C5148"/>
    <w:rsid w:val="166D5BA5"/>
    <w:rsid w:val="166E52F1"/>
    <w:rsid w:val="166E7112"/>
    <w:rsid w:val="16702E8A"/>
    <w:rsid w:val="16704C38"/>
    <w:rsid w:val="16705C3E"/>
    <w:rsid w:val="1672275E"/>
    <w:rsid w:val="1672429E"/>
    <w:rsid w:val="167246FA"/>
    <w:rsid w:val="16726C02"/>
    <w:rsid w:val="16731DFC"/>
    <w:rsid w:val="16734728"/>
    <w:rsid w:val="16753FFC"/>
    <w:rsid w:val="16754DC7"/>
    <w:rsid w:val="16772049"/>
    <w:rsid w:val="16775FC6"/>
    <w:rsid w:val="16783AEC"/>
    <w:rsid w:val="16786FA1"/>
    <w:rsid w:val="167A1613"/>
    <w:rsid w:val="167D1103"/>
    <w:rsid w:val="167E55A7"/>
    <w:rsid w:val="167F131F"/>
    <w:rsid w:val="167F523A"/>
    <w:rsid w:val="16804E96"/>
    <w:rsid w:val="16810AEA"/>
    <w:rsid w:val="168117C8"/>
    <w:rsid w:val="168129A1"/>
    <w:rsid w:val="16816BC3"/>
    <w:rsid w:val="16816E45"/>
    <w:rsid w:val="168215EA"/>
    <w:rsid w:val="16823430"/>
    <w:rsid w:val="16824D24"/>
    <w:rsid w:val="16830AEB"/>
    <w:rsid w:val="1683496B"/>
    <w:rsid w:val="168357F5"/>
    <w:rsid w:val="16836F5C"/>
    <w:rsid w:val="16840CA4"/>
    <w:rsid w:val="1684240D"/>
    <w:rsid w:val="16842491"/>
    <w:rsid w:val="16846935"/>
    <w:rsid w:val="16847FCE"/>
    <w:rsid w:val="16850EE6"/>
    <w:rsid w:val="168626AD"/>
    <w:rsid w:val="168637CB"/>
    <w:rsid w:val="1686702D"/>
    <w:rsid w:val="16867450"/>
    <w:rsid w:val="16867747"/>
    <w:rsid w:val="16873D30"/>
    <w:rsid w:val="16875174"/>
    <w:rsid w:val="16881768"/>
    <w:rsid w:val="16881F81"/>
    <w:rsid w:val="16882CAB"/>
    <w:rsid w:val="16883EC5"/>
    <w:rsid w:val="16892307"/>
    <w:rsid w:val="16893F4C"/>
    <w:rsid w:val="168B3820"/>
    <w:rsid w:val="168B7CC4"/>
    <w:rsid w:val="168D57EA"/>
    <w:rsid w:val="168D7598"/>
    <w:rsid w:val="168E11C7"/>
    <w:rsid w:val="168E1562"/>
    <w:rsid w:val="168E3310"/>
    <w:rsid w:val="168E4DCB"/>
    <w:rsid w:val="168F11FA"/>
    <w:rsid w:val="168F749C"/>
    <w:rsid w:val="16907088"/>
    <w:rsid w:val="16914FDA"/>
    <w:rsid w:val="16921E95"/>
    <w:rsid w:val="16924BAE"/>
    <w:rsid w:val="16926B1C"/>
    <w:rsid w:val="16927B48"/>
    <w:rsid w:val="16930926"/>
    <w:rsid w:val="16932752"/>
    <w:rsid w:val="16963CDE"/>
    <w:rsid w:val="169721C5"/>
    <w:rsid w:val="16983049"/>
    <w:rsid w:val="169923E1"/>
    <w:rsid w:val="1699418F"/>
    <w:rsid w:val="16994F23"/>
    <w:rsid w:val="16997A1B"/>
    <w:rsid w:val="169A3A63"/>
    <w:rsid w:val="169B669B"/>
    <w:rsid w:val="169D2AFA"/>
    <w:rsid w:val="169D392E"/>
    <w:rsid w:val="169D4EA3"/>
    <w:rsid w:val="169E1BB4"/>
    <w:rsid w:val="169E4A70"/>
    <w:rsid w:val="169E79F7"/>
    <w:rsid w:val="169F1079"/>
    <w:rsid w:val="169F1ED9"/>
    <w:rsid w:val="169F72CB"/>
    <w:rsid w:val="169F7EC3"/>
    <w:rsid w:val="16A04D1D"/>
    <w:rsid w:val="16A10D7E"/>
    <w:rsid w:val="16A11295"/>
    <w:rsid w:val="16A1359E"/>
    <w:rsid w:val="16A30ACD"/>
    <w:rsid w:val="16A36DBB"/>
    <w:rsid w:val="16A40F8B"/>
    <w:rsid w:val="16A42C3C"/>
    <w:rsid w:val="16A42C47"/>
    <w:rsid w:val="16A44EF9"/>
    <w:rsid w:val="16A521DC"/>
    <w:rsid w:val="16A523AF"/>
    <w:rsid w:val="16A576FF"/>
    <w:rsid w:val="16A6065A"/>
    <w:rsid w:val="16A62408"/>
    <w:rsid w:val="16A63759"/>
    <w:rsid w:val="16A63835"/>
    <w:rsid w:val="16A63E2C"/>
    <w:rsid w:val="16A70127"/>
    <w:rsid w:val="16A701A7"/>
    <w:rsid w:val="16A7201F"/>
    <w:rsid w:val="16A82624"/>
    <w:rsid w:val="16A8493F"/>
    <w:rsid w:val="16A86080"/>
    <w:rsid w:val="16A91EF8"/>
    <w:rsid w:val="16A95608"/>
    <w:rsid w:val="16AA2D1D"/>
    <w:rsid w:val="16AA639C"/>
    <w:rsid w:val="16AB2E5D"/>
    <w:rsid w:val="16AB5C70"/>
    <w:rsid w:val="16AB67ED"/>
    <w:rsid w:val="16AC39FC"/>
    <w:rsid w:val="16AD19E8"/>
    <w:rsid w:val="16AD578F"/>
    <w:rsid w:val="16AD7C3A"/>
    <w:rsid w:val="16AE1A74"/>
    <w:rsid w:val="16AE1DDF"/>
    <w:rsid w:val="16AE2309"/>
    <w:rsid w:val="16AE5496"/>
    <w:rsid w:val="16AE5760"/>
    <w:rsid w:val="16AF1032"/>
    <w:rsid w:val="16AF2A39"/>
    <w:rsid w:val="16AF39B2"/>
    <w:rsid w:val="16AF51B9"/>
    <w:rsid w:val="16AF5D02"/>
    <w:rsid w:val="16B03286"/>
    <w:rsid w:val="16B11459"/>
    <w:rsid w:val="16B14D30"/>
    <w:rsid w:val="16B20605"/>
    <w:rsid w:val="16B20DAC"/>
    <w:rsid w:val="16B234A2"/>
    <w:rsid w:val="16B23F8B"/>
    <w:rsid w:val="16B246F9"/>
    <w:rsid w:val="16B25250"/>
    <w:rsid w:val="16B33193"/>
    <w:rsid w:val="16B34B25"/>
    <w:rsid w:val="16B40FC8"/>
    <w:rsid w:val="16B54D41"/>
    <w:rsid w:val="16B67A21"/>
    <w:rsid w:val="16B703D3"/>
    <w:rsid w:val="16B72867"/>
    <w:rsid w:val="16B73FE2"/>
    <w:rsid w:val="16B7723D"/>
    <w:rsid w:val="16B828B6"/>
    <w:rsid w:val="16B94831"/>
    <w:rsid w:val="16B965DF"/>
    <w:rsid w:val="16BA0495"/>
    <w:rsid w:val="16BA16B5"/>
    <w:rsid w:val="16BA2357"/>
    <w:rsid w:val="16BB063D"/>
    <w:rsid w:val="16BB3DE2"/>
    <w:rsid w:val="16BB71DB"/>
    <w:rsid w:val="16BC1C2B"/>
    <w:rsid w:val="16BC24E7"/>
    <w:rsid w:val="16BC7431"/>
    <w:rsid w:val="16BC7E7D"/>
    <w:rsid w:val="16BD32EE"/>
    <w:rsid w:val="16BD3659"/>
    <w:rsid w:val="16BD39C5"/>
    <w:rsid w:val="16BD3B7A"/>
    <w:rsid w:val="16BE56D5"/>
    <w:rsid w:val="16BF171B"/>
    <w:rsid w:val="16BF1736"/>
    <w:rsid w:val="16BF17C9"/>
    <w:rsid w:val="16BF1CB6"/>
    <w:rsid w:val="16BF366B"/>
    <w:rsid w:val="16BF796D"/>
    <w:rsid w:val="16C011D9"/>
    <w:rsid w:val="16C0190D"/>
    <w:rsid w:val="16C04307"/>
    <w:rsid w:val="16C136E5"/>
    <w:rsid w:val="16C15493"/>
    <w:rsid w:val="16C17241"/>
    <w:rsid w:val="16C33CD0"/>
    <w:rsid w:val="16C377D7"/>
    <w:rsid w:val="16C44358"/>
    <w:rsid w:val="16C44F84"/>
    <w:rsid w:val="16C532EF"/>
    <w:rsid w:val="16C60CFC"/>
    <w:rsid w:val="16C64858"/>
    <w:rsid w:val="16C741F8"/>
    <w:rsid w:val="16C84A74"/>
    <w:rsid w:val="16CA07EC"/>
    <w:rsid w:val="16CA259A"/>
    <w:rsid w:val="16CA6504"/>
    <w:rsid w:val="16CA7F8A"/>
    <w:rsid w:val="16CB00C0"/>
    <w:rsid w:val="16CB1E6E"/>
    <w:rsid w:val="16CB2FD9"/>
    <w:rsid w:val="16CB6878"/>
    <w:rsid w:val="16CC071A"/>
    <w:rsid w:val="16CC39B3"/>
    <w:rsid w:val="16CD47FE"/>
    <w:rsid w:val="16CE6CE0"/>
    <w:rsid w:val="16CF0435"/>
    <w:rsid w:val="16D01B7A"/>
    <w:rsid w:val="16D03928"/>
    <w:rsid w:val="16D11459"/>
    <w:rsid w:val="16D11652"/>
    <w:rsid w:val="16D13165"/>
    <w:rsid w:val="16D231FD"/>
    <w:rsid w:val="16D36F75"/>
    <w:rsid w:val="16D42E68"/>
    <w:rsid w:val="16D43419"/>
    <w:rsid w:val="16D44AE5"/>
    <w:rsid w:val="16D50DC0"/>
    <w:rsid w:val="16D5395C"/>
    <w:rsid w:val="16D5509D"/>
    <w:rsid w:val="16D57191"/>
    <w:rsid w:val="16D62899"/>
    <w:rsid w:val="16D6652D"/>
    <w:rsid w:val="16D72F09"/>
    <w:rsid w:val="16D7333F"/>
    <w:rsid w:val="16D73A03"/>
    <w:rsid w:val="16D74CB7"/>
    <w:rsid w:val="16D74F2E"/>
    <w:rsid w:val="16D779BD"/>
    <w:rsid w:val="16D8458B"/>
    <w:rsid w:val="16D90A2F"/>
    <w:rsid w:val="16D90CD0"/>
    <w:rsid w:val="16D927DD"/>
    <w:rsid w:val="16D97ECD"/>
    <w:rsid w:val="16DA1898"/>
    <w:rsid w:val="16DA6212"/>
    <w:rsid w:val="16DB1127"/>
    <w:rsid w:val="16DB47A7"/>
    <w:rsid w:val="16DB6C70"/>
    <w:rsid w:val="16DB74FC"/>
    <w:rsid w:val="16DB77CE"/>
    <w:rsid w:val="16DC22CD"/>
    <w:rsid w:val="16DC4D02"/>
    <w:rsid w:val="16DC4F7E"/>
    <w:rsid w:val="16DD390F"/>
    <w:rsid w:val="16DD4CBF"/>
    <w:rsid w:val="16DE4297"/>
    <w:rsid w:val="16DE7DF3"/>
    <w:rsid w:val="16DF591A"/>
    <w:rsid w:val="16DF75DF"/>
    <w:rsid w:val="16E03C65"/>
    <w:rsid w:val="16E15B36"/>
    <w:rsid w:val="16E252A9"/>
    <w:rsid w:val="16E318AE"/>
    <w:rsid w:val="16E40597"/>
    <w:rsid w:val="16E41182"/>
    <w:rsid w:val="16E55626"/>
    <w:rsid w:val="16E55FD0"/>
    <w:rsid w:val="16E6314C"/>
    <w:rsid w:val="16E6324E"/>
    <w:rsid w:val="16E80B41"/>
    <w:rsid w:val="16E80C03"/>
    <w:rsid w:val="16E82A20"/>
    <w:rsid w:val="16E92988"/>
    <w:rsid w:val="16E93D73"/>
    <w:rsid w:val="16E96798"/>
    <w:rsid w:val="16EA1A18"/>
    <w:rsid w:val="16EA2C3C"/>
    <w:rsid w:val="16EA49EA"/>
    <w:rsid w:val="16EB0762"/>
    <w:rsid w:val="16EB2376"/>
    <w:rsid w:val="16EB28DB"/>
    <w:rsid w:val="16EB42BE"/>
    <w:rsid w:val="16EC26FE"/>
    <w:rsid w:val="16ED5D09"/>
    <w:rsid w:val="16ED6288"/>
    <w:rsid w:val="16EE37C3"/>
    <w:rsid w:val="16EE3F55"/>
    <w:rsid w:val="16EE489A"/>
    <w:rsid w:val="16EF0253"/>
    <w:rsid w:val="16EF2001"/>
    <w:rsid w:val="16EF3DAF"/>
    <w:rsid w:val="16F13FCB"/>
    <w:rsid w:val="16F21AF1"/>
    <w:rsid w:val="16F2389F"/>
    <w:rsid w:val="16F27484"/>
    <w:rsid w:val="16F30626"/>
    <w:rsid w:val="16F31F3C"/>
    <w:rsid w:val="16F35793"/>
    <w:rsid w:val="16F43784"/>
    <w:rsid w:val="16F47617"/>
    <w:rsid w:val="16F5338F"/>
    <w:rsid w:val="16F5513D"/>
    <w:rsid w:val="16F643D6"/>
    <w:rsid w:val="16F77107"/>
    <w:rsid w:val="16F80727"/>
    <w:rsid w:val="16F818C7"/>
    <w:rsid w:val="16F8269F"/>
    <w:rsid w:val="16F87274"/>
    <w:rsid w:val="16F94C2D"/>
    <w:rsid w:val="16F969DB"/>
    <w:rsid w:val="16FA09A5"/>
    <w:rsid w:val="16FA2753"/>
    <w:rsid w:val="16FA41E7"/>
    <w:rsid w:val="16FC0247"/>
    <w:rsid w:val="16FC47EE"/>
    <w:rsid w:val="16FC64CC"/>
    <w:rsid w:val="16FC7C0A"/>
    <w:rsid w:val="16FD42A8"/>
    <w:rsid w:val="16FD761E"/>
    <w:rsid w:val="16FE01CF"/>
    <w:rsid w:val="16FE1712"/>
    <w:rsid w:val="16FE2244"/>
    <w:rsid w:val="16FE4C22"/>
    <w:rsid w:val="16FF1D75"/>
    <w:rsid w:val="17000058"/>
    <w:rsid w:val="17000696"/>
    <w:rsid w:val="17000B16"/>
    <w:rsid w:val="17011D34"/>
    <w:rsid w:val="17013AE2"/>
    <w:rsid w:val="17014E65"/>
    <w:rsid w:val="17017F86"/>
    <w:rsid w:val="17023F14"/>
    <w:rsid w:val="1703785A"/>
    <w:rsid w:val="17046984"/>
    <w:rsid w:val="170535D2"/>
    <w:rsid w:val="17057BF5"/>
    <w:rsid w:val="1706734A"/>
    <w:rsid w:val="17071C6F"/>
    <w:rsid w:val="17076FE9"/>
    <w:rsid w:val="17081EC4"/>
    <w:rsid w:val="17082118"/>
    <w:rsid w:val="170A0BE8"/>
    <w:rsid w:val="170B1091"/>
    <w:rsid w:val="170B2BB3"/>
    <w:rsid w:val="170B4961"/>
    <w:rsid w:val="170B5754"/>
    <w:rsid w:val="170B670F"/>
    <w:rsid w:val="170C7D3C"/>
    <w:rsid w:val="170D06D9"/>
    <w:rsid w:val="170D692B"/>
    <w:rsid w:val="170E30CB"/>
    <w:rsid w:val="170E3AE7"/>
    <w:rsid w:val="170E522D"/>
    <w:rsid w:val="170E7A6E"/>
    <w:rsid w:val="171001C9"/>
    <w:rsid w:val="17101F77"/>
    <w:rsid w:val="17103D25"/>
    <w:rsid w:val="17116A02"/>
    <w:rsid w:val="17125CEF"/>
    <w:rsid w:val="17127A9D"/>
    <w:rsid w:val="1713011D"/>
    <w:rsid w:val="1713221D"/>
    <w:rsid w:val="171338FD"/>
    <w:rsid w:val="17135FBD"/>
    <w:rsid w:val="171364CE"/>
    <w:rsid w:val="17145226"/>
    <w:rsid w:val="17154889"/>
    <w:rsid w:val="17161C69"/>
    <w:rsid w:val="1716227E"/>
    <w:rsid w:val="17163A31"/>
    <w:rsid w:val="171657DF"/>
    <w:rsid w:val="17171557"/>
    <w:rsid w:val="17173305"/>
    <w:rsid w:val="1718283C"/>
    <w:rsid w:val="17184319"/>
    <w:rsid w:val="17187D89"/>
    <w:rsid w:val="17190E2C"/>
    <w:rsid w:val="17192340"/>
    <w:rsid w:val="171952CF"/>
    <w:rsid w:val="17196B18"/>
    <w:rsid w:val="17196E3C"/>
    <w:rsid w:val="171A32B4"/>
    <w:rsid w:val="171A79A5"/>
    <w:rsid w:val="171B0735"/>
    <w:rsid w:val="171B1048"/>
    <w:rsid w:val="171C091C"/>
    <w:rsid w:val="171C2EF9"/>
    <w:rsid w:val="171C7831"/>
    <w:rsid w:val="171D2EE0"/>
    <w:rsid w:val="171D5453"/>
    <w:rsid w:val="171D75D5"/>
    <w:rsid w:val="171E2686"/>
    <w:rsid w:val="171E3F55"/>
    <w:rsid w:val="171E4694"/>
    <w:rsid w:val="171E4BE1"/>
    <w:rsid w:val="171E6442"/>
    <w:rsid w:val="171F15B2"/>
    <w:rsid w:val="17210AD2"/>
    <w:rsid w:val="172120C7"/>
    <w:rsid w:val="17215F32"/>
    <w:rsid w:val="17231CAA"/>
    <w:rsid w:val="1723614E"/>
    <w:rsid w:val="172422A9"/>
    <w:rsid w:val="172427CA"/>
    <w:rsid w:val="17252CFD"/>
    <w:rsid w:val="1725580F"/>
    <w:rsid w:val="172577D0"/>
    <w:rsid w:val="17261D73"/>
    <w:rsid w:val="17263548"/>
    <w:rsid w:val="172779EC"/>
    <w:rsid w:val="17286CD0"/>
    <w:rsid w:val="172A0249"/>
    <w:rsid w:val="172A128B"/>
    <w:rsid w:val="172A3039"/>
    <w:rsid w:val="172B0B5F"/>
    <w:rsid w:val="172B1D9B"/>
    <w:rsid w:val="172C1BA1"/>
    <w:rsid w:val="172C4685"/>
    <w:rsid w:val="172C494F"/>
    <w:rsid w:val="172C6628"/>
    <w:rsid w:val="172D0D7B"/>
    <w:rsid w:val="172D19A8"/>
    <w:rsid w:val="172D2B29"/>
    <w:rsid w:val="172F064F"/>
    <w:rsid w:val="172F3D6B"/>
    <w:rsid w:val="172F4AF3"/>
    <w:rsid w:val="172F5388"/>
    <w:rsid w:val="172F68A1"/>
    <w:rsid w:val="173043C7"/>
    <w:rsid w:val="17306A4F"/>
    <w:rsid w:val="1732013F"/>
    <w:rsid w:val="173227E2"/>
    <w:rsid w:val="17322B0D"/>
    <w:rsid w:val="17326391"/>
    <w:rsid w:val="17335023"/>
    <w:rsid w:val="17343EB7"/>
    <w:rsid w:val="17345C65"/>
    <w:rsid w:val="173506A7"/>
    <w:rsid w:val="173514EC"/>
    <w:rsid w:val="1735378C"/>
    <w:rsid w:val="17365554"/>
    <w:rsid w:val="17365E81"/>
    <w:rsid w:val="17372CF8"/>
    <w:rsid w:val="173739A8"/>
    <w:rsid w:val="17375194"/>
    <w:rsid w:val="17383333"/>
    <w:rsid w:val="173914CE"/>
    <w:rsid w:val="1739208A"/>
    <w:rsid w:val="17397720"/>
    <w:rsid w:val="173A2DBA"/>
    <w:rsid w:val="173A5D66"/>
    <w:rsid w:val="173B3498"/>
    <w:rsid w:val="173C0FBE"/>
    <w:rsid w:val="173C4B1A"/>
    <w:rsid w:val="173D4D65"/>
    <w:rsid w:val="173D6B6A"/>
    <w:rsid w:val="173D7210"/>
    <w:rsid w:val="173E4D36"/>
    <w:rsid w:val="173E6AE4"/>
    <w:rsid w:val="173E7309"/>
    <w:rsid w:val="173F148A"/>
    <w:rsid w:val="174001C6"/>
    <w:rsid w:val="17400531"/>
    <w:rsid w:val="17400AAE"/>
    <w:rsid w:val="1740285C"/>
    <w:rsid w:val="17403114"/>
    <w:rsid w:val="17413557"/>
    <w:rsid w:val="1741697B"/>
    <w:rsid w:val="174170AE"/>
    <w:rsid w:val="17423139"/>
    <w:rsid w:val="174340FA"/>
    <w:rsid w:val="1743638B"/>
    <w:rsid w:val="174452FC"/>
    <w:rsid w:val="1744548E"/>
    <w:rsid w:val="17446BE6"/>
    <w:rsid w:val="17451C21"/>
    <w:rsid w:val="17454D36"/>
    <w:rsid w:val="1745678C"/>
    <w:rsid w:val="17456FEC"/>
    <w:rsid w:val="174703AD"/>
    <w:rsid w:val="174A1251"/>
    <w:rsid w:val="174A36DB"/>
    <w:rsid w:val="174B2FAF"/>
    <w:rsid w:val="174B3D3F"/>
    <w:rsid w:val="174C1201"/>
    <w:rsid w:val="174C51CF"/>
    <w:rsid w:val="174C7CB3"/>
    <w:rsid w:val="174D30A9"/>
    <w:rsid w:val="174D31CB"/>
    <w:rsid w:val="174D3EDA"/>
    <w:rsid w:val="174E086A"/>
    <w:rsid w:val="174E29A3"/>
    <w:rsid w:val="174E3D5D"/>
    <w:rsid w:val="174F0CF1"/>
    <w:rsid w:val="174F2A9F"/>
    <w:rsid w:val="174F6F43"/>
    <w:rsid w:val="1750389F"/>
    <w:rsid w:val="17516817"/>
    <w:rsid w:val="17517713"/>
    <w:rsid w:val="17521041"/>
    <w:rsid w:val="1752258F"/>
    <w:rsid w:val="17527E61"/>
    <w:rsid w:val="175400B6"/>
    <w:rsid w:val="17544559"/>
    <w:rsid w:val="17546308"/>
    <w:rsid w:val="17547F0E"/>
    <w:rsid w:val="17563E2E"/>
    <w:rsid w:val="17567711"/>
    <w:rsid w:val="17570BA1"/>
    <w:rsid w:val="17571954"/>
    <w:rsid w:val="17571CE1"/>
    <w:rsid w:val="17573E23"/>
    <w:rsid w:val="17575DF8"/>
    <w:rsid w:val="17577BA6"/>
    <w:rsid w:val="175822D8"/>
    <w:rsid w:val="17583772"/>
    <w:rsid w:val="17591B70"/>
    <w:rsid w:val="1759391E"/>
    <w:rsid w:val="175956CC"/>
    <w:rsid w:val="175B1444"/>
    <w:rsid w:val="175B58E8"/>
    <w:rsid w:val="175C1287"/>
    <w:rsid w:val="175C281F"/>
    <w:rsid w:val="175C3583"/>
    <w:rsid w:val="175C5A0C"/>
    <w:rsid w:val="175D340E"/>
    <w:rsid w:val="175D68BA"/>
    <w:rsid w:val="175E0A74"/>
    <w:rsid w:val="175E3CFF"/>
    <w:rsid w:val="175E61DB"/>
    <w:rsid w:val="175E7186"/>
    <w:rsid w:val="175F2179"/>
    <w:rsid w:val="175F7283"/>
    <w:rsid w:val="17602EFE"/>
    <w:rsid w:val="17604CAC"/>
    <w:rsid w:val="17606A5A"/>
    <w:rsid w:val="176127D3"/>
    <w:rsid w:val="17615F65"/>
    <w:rsid w:val="17624EE1"/>
    <w:rsid w:val="17626C76"/>
    <w:rsid w:val="176302F9"/>
    <w:rsid w:val="1763654B"/>
    <w:rsid w:val="176448E6"/>
    <w:rsid w:val="17644A13"/>
    <w:rsid w:val="17654071"/>
    <w:rsid w:val="17666666"/>
    <w:rsid w:val="1767428D"/>
    <w:rsid w:val="1767603B"/>
    <w:rsid w:val="17680005"/>
    <w:rsid w:val="17681DB3"/>
    <w:rsid w:val="17683B61"/>
    <w:rsid w:val="1768590F"/>
    <w:rsid w:val="17696AD6"/>
    <w:rsid w:val="176A0554"/>
    <w:rsid w:val="176A5B2B"/>
    <w:rsid w:val="176B04A7"/>
    <w:rsid w:val="176C0D57"/>
    <w:rsid w:val="176C18A3"/>
    <w:rsid w:val="176C3651"/>
    <w:rsid w:val="176C53FF"/>
    <w:rsid w:val="176C6845"/>
    <w:rsid w:val="176C6BB0"/>
    <w:rsid w:val="176D70D9"/>
    <w:rsid w:val="176F3141"/>
    <w:rsid w:val="176F4EEF"/>
    <w:rsid w:val="17701D14"/>
    <w:rsid w:val="17702E89"/>
    <w:rsid w:val="1771247E"/>
    <w:rsid w:val="17712A16"/>
    <w:rsid w:val="1772317E"/>
    <w:rsid w:val="177249E0"/>
    <w:rsid w:val="1773037A"/>
    <w:rsid w:val="17732C32"/>
    <w:rsid w:val="17735226"/>
    <w:rsid w:val="177469AA"/>
    <w:rsid w:val="17746E27"/>
    <w:rsid w:val="1774709D"/>
    <w:rsid w:val="17753365"/>
    <w:rsid w:val="17757E00"/>
    <w:rsid w:val="1776627E"/>
    <w:rsid w:val="17771ADF"/>
    <w:rsid w:val="17782D5C"/>
    <w:rsid w:val="17784F4C"/>
    <w:rsid w:val="17787AC4"/>
    <w:rsid w:val="17797B1C"/>
    <w:rsid w:val="17797D3B"/>
    <w:rsid w:val="177B042B"/>
    <w:rsid w:val="177B0E6C"/>
    <w:rsid w:val="177B3894"/>
    <w:rsid w:val="177B4A14"/>
    <w:rsid w:val="177B4BB5"/>
    <w:rsid w:val="177B5642"/>
    <w:rsid w:val="177B7F9C"/>
    <w:rsid w:val="177C760C"/>
    <w:rsid w:val="177D3FFD"/>
    <w:rsid w:val="177D585E"/>
    <w:rsid w:val="177E15D6"/>
    <w:rsid w:val="177E3384"/>
    <w:rsid w:val="177F3873"/>
    <w:rsid w:val="17802452"/>
    <w:rsid w:val="1780297E"/>
    <w:rsid w:val="17807ED6"/>
    <w:rsid w:val="178169D1"/>
    <w:rsid w:val="178201E0"/>
    <w:rsid w:val="17822E75"/>
    <w:rsid w:val="1783099B"/>
    <w:rsid w:val="17831395"/>
    <w:rsid w:val="1783672E"/>
    <w:rsid w:val="1784278F"/>
    <w:rsid w:val="17847988"/>
    <w:rsid w:val="17850B18"/>
    <w:rsid w:val="17852965"/>
    <w:rsid w:val="17854713"/>
    <w:rsid w:val="178564C1"/>
    <w:rsid w:val="1786540A"/>
    <w:rsid w:val="17872239"/>
    <w:rsid w:val="17884203"/>
    <w:rsid w:val="17895A61"/>
    <w:rsid w:val="178971DD"/>
    <w:rsid w:val="178A190A"/>
    <w:rsid w:val="178A203F"/>
    <w:rsid w:val="178A42BA"/>
    <w:rsid w:val="178C168F"/>
    <w:rsid w:val="178C3EC7"/>
    <w:rsid w:val="178C7B60"/>
    <w:rsid w:val="178D1819"/>
    <w:rsid w:val="178D23B1"/>
    <w:rsid w:val="178D35C8"/>
    <w:rsid w:val="178D5376"/>
    <w:rsid w:val="178E09BC"/>
    <w:rsid w:val="178E244B"/>
    <w:rsid w:val="178E4F82"/>
    <w:rsid w:val="178E592D"/>
    <w:rsid w:val="178F0998"/>
    <w:rsid w:val="178F0FE3"/>
    <w:rsid w:val="178F10EE"/>
    <w:rsid w:val="178F1DC5"/>
    <w:rsid w:val="178F5592"/>
    <w:rsid w:val="17905A3A"/>
    <w:rsid w:val="17905E0A"/>
    <w:rsid w:val="179078A2"/>
    <w:rsid w:val="17914727"/>
    <w:rsid w:val="17930DF4"/>
    <w:rsid w:val="17942BA8"/>
    <w:rsid w:val="17950BE9"/>
    <w:rsid w:val="17962CEB"/>
    <w:rsid w:val="1796545F"/>
    <w:rsid w:val="179705F3"/>
    <w:rsid w:val="17970F86"/>
    <w:rsid w:val="17973CBE"/>
    <w:rsid w:val="179761F4"/>
    <w:rsid w:val="1798116C"/>
    <w:rsid w:val="179844B0"/>
    <w:rsid w:val="1798567C"/>
    <w:rsid w:val="17985ABB"/>
    <w:rsid w:val="17987B7F"/>
    <w:rsid w:val="17991A81"/>
    <w:rsid w:val="17991F6C"/>
    <w:rsid w:val="179928AA"/>
    <w:rsid w:val="179937EA"/>
    <w:rsid w:val="17994E83"/>
    <w:rsid w:val="17996410"/>
    <w:rsid w:val="179B5CE4"/>
    <w:rsid w:val="179B7A92"/>
    <w:rsid w:val="179C39FB"/>
    <w:rsid w:val="179D1C04"/>
    <w:rsid w:val="179D7CAF"/>
    <w:rsid w:val="179E4A77"/>
    <w:rsid w:val="17A01767"/>
    <w:rsid w:val="17A032FB"/>
    <w:rsid w:val="17A10E21"/>
    <w:rsid w:val="17A14E39"/>
    <w:rsid w:val="17A252C5"/>
    <w:rsid w:val="17A27073"/>
    <w:rsid w:val="17A30022"/>
    <w:rsid w:val="17A313D4"/>
    <w:rsid w:val="17A31F6B"/>
    <w:rsid w:val="17A32DEB"/>
    <w:rsid w:val="17A35D18"/>
    <w:rsid w:val="17A375B9"/>
    <w:rsid w:val="17A41E33"/>
    <w:rsid w:val="17A43A3F"/>
    <w:rsid w:val="17A503FD"/>
    <w:rsid w:val="17A50CDA"/>
    <w:rsid w:val="17A5468C"/>
    <w:rsid w:val="17A54E09"/>
    <w:rsid w:val="17A56B63"/>
    <w:rsid w:val="17A57918"/>
    <w:rsid w:val="17A70B2D"/>
    <w:rsid w:val="17A74689"/>
    <w:rsid w:val="17A7726A"/>
    <w:rsid w:val="17A77336"/>
    <w:rsid w:val="17A80401"/>
    <w:rsid w:val="17A80A7A"/>
    <w:rsid w:val="17A85E76"/>
    <w:rsid w:val="17A8770E"/>
    <w:rsid w:val="17A91B8A"/>
    <w:rsid w:val="17A96653"/>
    <w:rsid w:val="17AA1724"/>
    <w:rsid w:val="17AA4179"/>
    <w:rsid w:val="17AA5F28"/>
    <w:rsid w:val="17AB31BB"/>
    <w:rsid w:val="17AC6144"/>
    <w:rsid w:val="17AD274E"/>
    <w:rsid w:val="17AD456C"/>
    <w:rsid w:val="17AD4C35"/>
    <w:rsid w:val="17AE3C6A"/>
    <w:rsid w:val="17AF1790"/>
    <w:rsid w:val="17AF30C6"/>
    <w:rsid w:val="17AF353E"/>
    <w:rsid w:val="17AF5CEB"/>
    <w:rsid w:val="17B0246F"/>
    <w:rsid w:val="17B03052"/>
    <w:rsid w:val="17B03EC3"/>
    <w:rsid w:val="17B04F4B"/>
    <w:rsid w:val="17B1375A"/>
    <w:rsid w:val="17B165F6"/>
    <w:rsid w:val="17B172B6"/>
    <w:rsid w:val="17B311ED"/>
    <w:rsid w:val="17B33C4A"/>
    <w:rsid w:val="17B371BF"/>
    <w:rsid w:val="17B4186E"/>
    <w:rsid w:val="17B423BF"/>
    <w:rsid w:val="17B434B7"/>
    <w:rsid w:val="17B437F8"/>
    <w:rsid w:val="17B44FF8"/>
    <w:rsid w:val="17B46DA6"/>
    <w:rsid w:val="17B56870"/>
    <w:rsid w:val="17B56FEF"/>
    <w:rsid w:val="17B607DA"/>
    <w:rsid w:val="17B60D70"/>
    <w:rsid w:val="17B635A4"/>
    <w:rsid w:val="17B63B9B"/>
    <w:rsid w:val="17B648CC"/>
    <w:rsid w:val="17B76014"/>
    <w:rsid w:val="17B84AE8"/>
    <w:rsid w:val="17B86896"/>
    <w:rsid w:val="17B9260F"/>
    <w:rsid w:val="17B96D5D"/>
    <w:rsid w:val="17BA0860"/>
    <w:rsid w:val="17BA3F9F"/>
    <w:rsid w:val="17BB1EE3"/>
    <w:rsid w:val="17BB542F"/>
    <w:rsid w:val="17BC177E"/>
    <w:rsid w:val="17BD20FF"/>
    <w:rsid w:val="17BD3EAD"/>
    <w:rsid w:val="17BD5C5B"/>
    <w:rsid w:val="17BE2920"/>
    <w:rsid w:val="17BE72B6"/>
    <w:rsid w:val="17BE7C25"/>
    <w:rsid w:val="17BF0432"/>
    <w:rsid w:val="17BF5E77"/>
    <w:rsid w:val="17BF5EF1"/>
    <w:rsid w:val="17BF60B6"/>
    <w:rsid w:val="17C07E11"/>
    <w:rsid w:val="17C20BA8"/>
    <w:rsid w:val="17C214C3"/>
    <w:rsid w:val="17C23271"/>
    <w:rsid w:val="17C31869"/>
    <w:rsid w:val="17C329DA"/>
    <w:rsid w:val="17C32AE8"/>
    <w:rsid w:val="17C33705"/>
    <w:rsid w:val="17C33BC1"/>
    <w:rsid w:val="17C3523B"/>
    <w:rsid w:val="17C36FE9"/>
    <w:rsid w:val="17C52D61"/>
    <w:rsid w:val="17C57205"/>
    <w:rsid w:val="17C57C22"/>
    <w:rsid w:val="17C70888"/>
    <w:rsid w:val="17C77472"/>
    <w:rsid w:val="17C81AF1"/>
    <w:rsid w:val="17C92852"/>
    <w:rsid w:val="17C97A33"/>
    <w:rsid w:val="17CA481C"/>
    <w:rsid w:val="17CC0594"/>
    <w:rsid w:val="17CC1C92"/>
    <w:rsid w:val="17CC2342"/>
    <w:rsid w:val="17CC6F03"/>
    <w:rsid w:val="17CC719A"/>
    <w:rsid w:val="17CD7844"/>
    <w:rsid w:val="17CE0CD4"/>
    <w:rsid w:val="17CE3831"/>
    <w:rsid w:val="17CE60BA"/>
    <w:rsid w:val="17CE7E24"/>
    <w:rsid w:val="17CF1E32"/>
    <w:rsid w:val="17CF3BE0"/>
    <w:rsid w:val="17CF3EED"/>
    <w:rsid w:val="17CF598E"/>
    <w:rsid w:val="17D15BAA"/>
    <w:rsid w:val="17D17958"/>
    <w:rsid w:val="17D20787"/>
    <w:rsid w:val="17D2722C"/>
    <w:rsid w:val="17D336B6"/>
    <w:rsid w:val="17D3547E"/>
    <w:rsid w:val="17D363F7"/>
    <w:rsid w:val="17D42FA4"/>
    <w:rsid w:val="17D47717"/>
    <w:rsid w:val="17D538EA"/>
    <w:rsid w:val="17D5451B"/>
    <w:rsid w:val="17D631C0"/>
    <w:rsid w:val="17D64F6F"/>
    <w:rsid w:val="17D66D1D"/>
    <w:rsid w:val="17D6727A"/>
    <w:rsid w:val="17D6734C"/>
    <w:rsid w:val="17D74C08"/>
    <w:rsid w:val="17D80CE7"/>
    <w:rsid w:val="17D86E86"/>
    <w:rsid w:val="17D86F39"/>
    <w:rsid w:val="17D905BB"/>
    <w:rsid w:val="17DA0521"/>
    <w:rsid w:val="17DA372F"/>
    <w:rsid w:val="17DA4A5F"/>
    <w:rsid w:val="17DA6EDC"/>
    <w:rsid w:val="17DB7A56"/>
    <w:rsid w:val="17DD1219"/>
    <w:rsid w:val="17DD454F"/>
    <w:rsid w:val="17DE1F0A"/>
    <w:rsid w:val="17DE7281"/>
    <w:rsid w:val="17DF0D87"/>
    <w:rsid w:val="17E13E70"/>
    <w:rsid w:val="17E16623"/>
    <w:rsid w:val="17E21B65"/>
    <w:rsid w:val="17E23913"/>
    <w:rsid w:val="17E23DFE"/>
    <w:rsid w:val="17E256C1"/>
    <w:rsid w:val="17E25AE9"/>
    <w:rsid w:val="17E26D53"/>
    <w:rsid w:val="17E30AC5"/>
    <w:rsid w:val="17E51656"/>
    <w:rsid w:val="17E520D8"/>
    <w:rsid w:val="17E53404"/>
    <w:rsid w:val="17E56F60"/>
    <w:rsid w:val="17E70F2A"/>
    <w:rsid w:val="17E72CD8"/>
    <w:rsid w:val="17E738DF"/>
    <w:rsid w:val="17E7717C"/>
    <w:rsid w:val="17E86A50"/>
    <w:rsid w:val="17E94CA2"/>
    <w:rsid w:val="17EA0A1A"/>
    <w:rsid w:val="17EA515F"/>
    <w:rsid w:val="17EC4792"/>
    <w:rsid w:val="17EC4ACC"/>
    <w:rsid w:val="17EC6540"/>
    <w:rsid w:val="17EC7A44"/>
    <w:rsid w:val="17ED31AE"/>
    <w:rsid w:val="17EE050A"/>
    <w:rsid w:val="17EE22B8"/>
    <w:rsid w:val="17EE4F0B"/>
    <w:rsid w:val="17EE5EF3"/>
    <w:rsid w:val="17F15892"/>
    <w:rsid w:val="17F17FFA"/>
    <w:rsid w:val="17F20A35"/>
    <w:rsid w:val="17F222F2"/>
    <w:rsid w:val="17F23AAF"/>
    <w:rsid w:val="17F3167D"/>
    <w:rsid w:val="17F358C6"/>
    <w:rsid w:val="17F43647"/>
    <w:rsid w:val="17F453F5"/>
    <w:rsid w:val="17F501A4"/>
    <w:rsid w:val="17F51899"/>
    <w:rsid w:val="17F65611"/>
    <w:rsid w:val="17F6624C"/>
    <w:rsid w:val="17F71AC5"/>
    <w:rsid w:val="17F74355"/>
    <w:rsid w:val="17F81389"/>
    <w:rsid w:val="17F87CDE"/>
    <w:rsid w:val="17F93F61"/>
    <w:rsid w:val="17F953D1"/>
    <w:rsid w:val="17F97CD2"/>
    <w:rsid w:val="17FA1F6C"/>
    <w:rsid w:val="17FA6861"/>
    <w:rsid w:val="17FA6EAF"/>
    <w:rsid w:val="17FC1BC3"/>
    <w:rsid w:val="17FD24FB"/>
    <w:rsid w:val="17FD699F"/>
    <w:rsid w:val="17FD7156"/>
    <w:rsid w:val="17FE0021"/>
    <w:rsid w:val="17FE514D"/>
    <w:rsid w:val="17FE566D"/>
    <w:rsid w:val="17FE5B8E"/>
    <w:rsid w:val="17FE7265"/>
    <w:rsid w:val="17FE7DB3"/>
    <w:rsid w:val="17FF2717"/>
    <w:rsid w:val="17FF5944"/>
    <w:rsid w:val="17FF6273"/>
    <w:rsid w:val="1800023D"/>
    <w:rsid w:val="18001FEB"/>
    <w:rsid w:val="18023FB5"/>
    <w:rsid w:val="18024B15"/>
    <w:rsid w:val="1802520F"/>
    <w:rsid w:val="18025D64"/>
    <w:rsid w:val="18026A60"/>
    <w:rsid w:val="18027B12"/>
    <w:rsid w:val="18030493"/>
    <w:rsid w:val="18032795"/>
    <w:rsid w:val="18037057"/>
    <w:rsid w:val="180401A9"/>
    <w:rsid w:val="1804388A"/>
    <w:rsid w:val="180513B0"/>
    <w:rsid w:val="1805662D"/>
    <w:rsid w:val="18057602"/>
    <w:rsid w:val="18061116"/>
    <w:rsid w:val="18065125"/>
    <w:rsid w:val="1807337A"/>
    <w:rsid w:val="18095344"/>
    <w:rsid w:val="180970F2"/>
    <w:rsid w:val="180A2E6A"/>
    <w:rsid w:val="180A4C18"/>
    <w:rsid w:val="180B10BC"/>
    <w:rsid w:val="180B1118"/>
    <w:rsid w:val="180B5C64"/>
    <w:rsid w:val="180C10FD"/>
    <w:rsid w:val="180C273E"/>
    <w:rsid w:val="180C3847"/>
    <w:rsid w:val="180C6BE2"/>
    <w:rsid w:val="180D4793"/>
    <w:rsid w:val="180D7938"/>
    <w:rsid w:val="180E0083"/>
    <w:rsid w:val="180E12C2"/>
    <w:rsid w:val="18100480"/>
    <w:rsid w:val="181066D2"/>
    <w:rsid w:val="18110B45"/>
    <w:rsid w:val="18126A2D"/>
    <w:rsid w:val="18131D1F"/>
    <w:rsid w:val="18147845"/>
    <w:rsid w:val="181520F3"/>
    <w:rsid w:val="18153CE9"/>
    <w:rsid w:val="18155A97"/>
    <w:rsid w:val="1815603A"/>
    <w:rsid w:val="18166331"/>
    <w:rsid w:val="1817095A"/>
    <w:rsid w:val="18171A03"/>
    <w:rsid w:val="181810E3"/>
    <w:rsid w:val="18187335"/>
    <w:rsid w:val="1819395C"/>
    <w:rsid w:val="18194181"/>
    <w:rsid w:val="18194337"/>
    <w:rsid w:val="18196493"/>
    <w:rsid w:val="181A0E43"/>
    <w:rsid w:val="181B1859"/>
    <w:rsid w:val="181B1EAC"/>
    <w:rsid w:val="181B1F51"/>
    <w:rsid w:val="181B6E25"/>
    <w:rsid w:val="181C076B"/>
    <w:rsid w:val="181D2B9D"/>
    <w:rsid w:val="181D494B"/>
    <w:rsid w:val="181D7D59"/>
    <w:rsid w:val="181E2472"/>
    <w:rsid w:val="181E3EC5"/>
    <w:rsid w:val="181E40B0"/>
    <w:rsid w:val="181F06C4"/>
    <w:rsid w:val="181F489F"/>
    <w:rsid w:val="181F6915"/>
    <w:rsid w:val="181F70EC"/>
    <w:rsid w:val="1820443C"/>
    <w:rsid w:val="1821306A"/>
    <w:rsid w:val="18221DD4"/>
    <w:rsid w:val="18225EB9"/>
    <w:rsid w:val="18226EF0"/>
    <w:rsid w:val="182277E1"/>
    <w:rsid w:val="1823589D"/>
    <w:rsid w:val="18235E31"/>
    <w:rsid w:val="1824217E"/>
    <w:rsid w:val="18243D99"/>
    <w:rsid w:val="18243F2C"/>
    <w:rsid w:val="182540C6"/>
    <w:rsid w:val="18254755"/>
    <w:rsid w:val="182560F1"/>
    <w:rsid w:val="18265805"/>
    <w:rsid w:val="18273A1C"/>
    <w:rsid w:val="18273B81"/>
    <w:rsid w:val="18277578"/>
    <w:rsid w:val="18280697"/>
    <w:rsid w:val="182911B5"/>
    <w:rsid w:val="182932F0"/>
    <w:rsid w:val="18294E05"/>
    <w:rsid w:val="18295169"/>
    <w:rsid w:val="18297794"/>
    <w:rsid w:val="182A0E16"/>
    <w:rsid w:val="182A1EBC"/>
    <w:rsid w:val="182A30E7"/>
    <w:rsid w:val="182B52BA"/>
    <w:rsid w:val="182B5CBE"/>
    <w:rsid w:val="182C1032"/>
    <w:rsid w:val="182E0907"/>
    <w:rsid w:val="182E4DAB"/>
    <w:rsid w:val="182E6B59"/>
    <w:rsid w:val="182F467F"/>
    <w:rsid w:val="183028D1"/>
    <w:rsid w:val="183121FC"/>
    <w:rsid w:val="18316649"/>
    <w:rsid w:val="18330133"/>
    <w:rsid w:val="18347C61"/>
    <w:rsid w:val="18351C95"/>
    <w:rsid w:val="18361798"/>
    <w:rsid w:val="18365A0D"/>
    <w:rsid w:val="18365CFA"/>
    <w:rsid w:val="18366D7C"/>
    <w:rsid w:val="183671C9"/>
    <w:rsid w:val="18371EB1"/>
    <w:rsid w:val="18377BB1"/>
    <w:rsid w:val="18381785"/>
    <w:rsid w:val="18383533"/>
    <w:rsid w:val="18383EF2"/>
    <w:rsid w:val="18391DF0"/>
    <w:rsid w:val="1839517B"/>
    <w:rsid w:val="1839691D"/>
    <w:rsid w:val="183A3151"/>
    <w:rsid w:val="183A68C5"/>
    <w:rsid w:val="183B5D1C"/>
    <w:rsid w:val="183C2926"/>
    <w:rsid w:val="183C74C7"/>
    <w:rsid w:val="183D3240"/>
    <w:rsid w:val="183D4FEE"/>
    <w:rsid w:val="183D53BC"/>
    <w:rsid w:val="183D6D9C"/>
    <w:rsid w:val="183F0D66"/>
    <w:rsid w:val="183F10DB"/>
    <w:rsid w:val="183F2B14"/>
    <w:rsid w:val="183F48C2"/>
    <w:rsid w:val="1840063A"/>
    <w:rsid w:val="184049D5"/>
    <w:rsid w:val="18406711"/>
    <w:rsid w:val="18414ADE"/>
    <w:rsid w:val="18417A17"/>
    <w:rsid w:val="18423DAF"/>
    <w:rsid w:val="184243B2"/>
    <w:rsid w:val="1843476B"/>
    <w:rsid w:val="18435D13"/>
    <w:rsid w:val="1843750D"/>
    <w:rsid w:val="18437C28"/>
    <w:rsid w:val="1844012A"/>
    <w:rsid w:val="184410B8"/>
    <w:rsid w:val="18441ED8"/>
    <w:rsid w:val="18441F71"/>
    <w:rsid w:val="184436CB"/>
    <w:rsid w:val="1844637C"/>
    <w:rsid w:val="18461F74"/>
    <w:rsid w:val="184639D8"/>
    <w:rsid w:val="18463EA2"/>
    <w:rsid w:val="18491BE4"/>
    <w:rsid w:val="18493992"/>
    <w:rsid w:val="18495740"/>
    <w:rsid w:val="184A5DA2"/>
    <w:rsid w:val="184A7633"/>
    <w:rsid w:val="184B770B"/>
    <w:rsid w:val="184C3483"/>
    <w:rsid w:val="184C5231"/>
    <w:rsid w:val="184D216A"/>
    <w:rsid w:val="184D6DCC"/>
    <w:rsid w:val="184D6F90"/>
    <w:rsid w:val="184E1691"/>
    <w:rsid w:val="184E2D57"/>
    <w:rsid w:val="184E4D3B"/>
    <w:rsid w:val="18502F73"/>
    <w:rsid w:val="18505149"/>
    <w:rsid w:val="18512847"/>
    <w:rsid w:val="185145F5"/>
    <w:rsid w:val="18516AC3"/>
    <w:rsid w:val="18523CE3"/>
    <w:rsid w:val="18525DDE"/>
    <w:rsid w:val="1853036D"/>
    <w:rsid w:val="18532A8C"/>
    <w:rsid w:val="18534811"/>
    <w:rsid w:val="18543583"/>
    <w:rsid w:val="18552337"/>
    <w:rsid w:val="18553C27"/>
    <w:rsid w:val="185540E5"/>
    <w:rsid w:val="18561C0B"/>
    <w:rsid w:val="18566599"/>
    <w:rsid w:val="18573EA3"/>
    <w:rsid w:val="18574301"/>
    <w:rsid w:val="1857763B"/>
    <w:rsid w:val="18583BD5"/>
    <w:rsid w:val="18585984"/>
    <w:rsid w:val="18593A99"/>
    <w:rsid w:val="185A794E"/>
    <w:rsid w:val="185B0FBE"/>
    <w:rsid w:val="185B2D51"/>
    <w:rsid w:val="185B5474"/>
    <w:rsid w:val="185B733F"/>
    <w:rsid w:val="185C34E9"/>
    <w:rsid w:val="185C36C6"/>
    <w:rsid w:val="185D708E"/>
    <w:rsid w:val="185E09CA"/>
    <w:rsid w:val="185E6596"/>
    <w:rsid w:val="185F3E34"/>
    <w:rsid w:val="185F457F"/>
    <w:rsid w:val="186005E0"/>
    <w:rsid w:val="18604028"/>
    <w:rsid w:val="18605338"/>
    <w:rsid w:val="18615571"/>
    <w:rsid w:val="18616F2E"/>
    <w:rsid w:val="18624A54"/>
    <w:rsid w:val="18626802"/>
    <w:rsid w:val="18631AFF"/>
    <w:rsid w:val="18635AD1"/>
    <w:rsid w:val="18637686"/>
    <w:rsid w:val="1864558B"/>
    <w:rsid w:val="18645740"/>
    <w:rsid w:val="18645FCC"/>
    <w:rsid w:val="186500A0"/>
    <w:rsid w:val="18650AC0"/>
    <w:rsid w:val="186528B5"/>
    <w:rsid w:val="18652FC2"/>
    <w:rsid w:val="18654B66"/>
    <w:rsid w:val="18664544"/>
    <w:rsid w:val="18672636"/>
    <w:rsid w:val="186758E2"/>
    <w:rsid w:val="186802BC"/>
    <w:rsid w:val="18680A3A"/>
    <w:rsid w:val="18687698"/>
    <w:rsid w:val="18694035"/>
    <w:rsid w:val="18697B91"/>
    <w:rsid w:val="186A156C"/>
    <w:rsid w:val="186B1B5B"/>
    <w:rsid w:val="186B56B7"/>
    <w:rsid w:val="186B73ED"/>
    <w:rsid w:val="186C3D12"/>
    <w:rsid w:val="186C58D3"/>
    <w:rsid w:val="186C6B83"/>
    <w:rsid w:val="186D58D3"/>
    <w:rsid w:val="186E164B"/>
    <w:rsid w:val="186E51A7"/>
    <w:rsid w:val="186E533D"/>
    <w:rsid w:val="186F4FFF"/>
    <w:rsid w:val="18702B18"/>
    <w:rsid w:val="18702CCD"/>
    <w:rsid w:val="18705504"/>
    <w:rsid w:val="187111EB"/>
    <w:rsid w:val="18715150"/>
    <w:rsid w:val="18717D46"/>
    <w:rsid w:val="187247DD"/>
    <w:rsid w:val="187327BD"/>
    <w:rsid w:val="18737BB2"/>
    <w:rsid w:val="18740863"/>
    <w:rsid w:val="18746A55"/>
    <w:rsid w:val="187529D9"/>
    <w:rsid w:val="18754512"/>
    <w:rsid w:val="187622AE"/>
    <w:rsid w:val="18770500"/>
    <w:rsid w:val="1877100B"/>
    <w:rsid w:val="18784278"/>
    <w:rsid w:val="18786026"/>
    <w:rsid w:val="18787DD4"/>
    <w:rsid w:val="18790929"/>
    <w:rsid w:val="18790FA7"/>
    <w:rsid w:val="18797CF6"/>
    <w:rsid w:val="187A1D9E"/>
    <w:rsid w:val="187C3A14"/>
    <w:rsid w:val="187C6059"/>
    <w:rsid w:val="187D363C"/>
    <w:rsid w:val="187D753B"/>
    <w:rsid w:val="187E0A4D"/>
    <w:rsid w:val="187E26D8"/>
    <w:rsid w:val="187F3449"/>
    <w:rsid w:val="187F5606"/>
    <w:rsid w:val="187F73B4"/>
    <w:rsid w:val="1880365D"/>
    <w:rsid w:val="188039C8"/>
    <w:rsid w:val="18805377"/>
    <w:rsid w:val="1881137E"/>
    <w:rsid w:val="1881177E"/>
    <w:rsid w:val="18812024"/>
    <w:rsid w:val="1881238F"/>
    <w:rsid w:val="18814758"/>
    <w:rsid w:val="1881763C"/>
    <w:rsid w:val="18820C52"/>
    <w:rsid w:val="1883469D"/>
    <w:rsid w:val="1884640E"/>
    <w:rsid w:val="18856299"/>
    <w:rsid w:val="18856921"/>
    <w:rsid w:val="18860743"/>
    <w:rsid w:val="18860D7D"/>
    <w:rsid w:val="18871757"/>
    <w:rsid w:val="1887378A"/>
    <w:rsid w:val="188744BB"/>
    <w:rsid w:val="18885467"/>
    <w:rsid w:val="18891FE1"/>
    <w:rsid w:val="18895F13"/>
    <w:rsid w:val="188A2917"/>
    <w:rsid w:val="188B57F6"/>
    <w:rsid w:val="188B5F0F"/>
    <w:rsid w:val="188B7B07"/>
    <w:rsid w:val="188C0C68"/>
    <w:rsid w:val="188C307E"/>
    <w:rsid w:val="188C597E"/>
    <w:rsid w:val="188D1AD1"/>
    <w:rsid w:val="188D655A"/>
    <w:rsid w:val="188D7D23"/>
    <w:rsid w:val="188E3A9B"/>
    <w:rsid w:val="188E5ACF"/>
    <w:rsid w:val="188E75F7"/>
    <w:rsid w:val="188F3456"/>
    <w:rsid w:val="188F6EFF"/>
    <w:rsid w:val="189015C1"/>
    <w:rsid w:val="18904044"/>
    <w:rsid w:val="18904AED"/>
    <w:rsid w:val="1890511D"/>
    <w:rsid w:val="18906299"/>
    <w:rsid w:val="1891106E"/>
    <w:rsid w:val="18913337"/>
    <w:rsid w:val="18921BB6"/>
    <w:rsid w:val="18923204"/>
    <w:rsid w:val="18925339"/>
    <w:rsid w:val="189270E7"/>
    <w:rsid w:val="189310B2"/>
    <w:rsid w:val="18932E60"/>
    <w:rsid w:val="18934C0E"/>
    <w:rsid w:val="18942F6A"/>
    <w:rsid w:val="18963ABD"/>
    <w:rsid w:val="189664AC"/>
    <w:rsid w:val="18967631"/>
    <w:rsid w:val="189746FE"/>
    <w:rsid w:val="189820CF"/>
    <w:rsid w:val="18982224"/>
    <w:rsid w:val="18982B04"/>
    <w:rsid w:val="189834D1"/>
    <w:rsid w:val="189866C8"/>
    <w:rsid w:val="18986A69"/>
    <w:rsid w:val="18992664"/>
    <w:rsid w:val="189972E0"/>
    <w:rsid w:val="189A41EE"/>
    <w:rsid w:val="189A5F9C"/>
    <w:rsid w:val="189C16B8"/>
    <w:rsid w:val="189C3090"/>
    <w:rsid w:val="189D5A8C"/>
    <w:rsid w:val="189D708C"/>
    <w:rsid w:val="189D783A"/>
    <w:rsid w:val="189E0581"/>
    <w:rsid w:val="189E6E29"/>
    <w:rsid w:val="189F071C"/>
    <w:rsid w:val="189F624C"/>
    <w:rsid w:val="189F6908"/>
    <w:rsid w:val="18A00F7B"/>
    <w:rsid w:val="18A1231B"/>
    <w:rsid w:val="18A12F6E"/>
    <w:rsid w:val="18A137CE"/>
    <w:rsid w:val="18A1557C"/>
    <w:rsid w:val="18A1732B"/>
    <w:rsid w:val="18A21AD3"/>
    <w:rsid w:val="18A22227"/>
    <w:rsid w:val="18A230A3"/>
    <w:rsid w:val="18A24E51"/>
    <w:rsid w:val="18A312F5"/>
    <w:rsid w:val="18A32514"/>
    <w:rsid w:val="18A40BC9"/>
    <w:rsid w:val="18A46E1B"/>
    <w:rsid w:val="18A55A6B"/>
    <w:rsid w:val="18A57694"/>
    <w:rsid w:val="18A62B93"/>
    <w:rsid w:val="18A70A60"/>
    <w:rsid w:val="18A72D74"/>
    <w:rsid w:val="18A76139"/>
    <w:rsid w:val="18A76385"/>
    <w:rsid w:val="18A8170F"/>
    <w:rsid w:val="18A8690B"/>
    <w:rsid w:val="18AB01A9"/>
    <w:rsid w:val="18AB0C0F"/>
    <w:rsid w:val="18AB2207"/>
    <w:rsid w:val="18AB3315"/>
    <w:rsid w:val="18AB60A4"/>
    <w:rsid w:val="18AB63FB"/>
    <w:rsid w:val="18AC0856"/>
    <w:rsid w:val="18AC21FD"/>
    <w:rsid w:val="18AC2B85"/>
    <w:rsid w:val="18AC4015"/>
    <w:rsid w:val="18AD6BE6"/>
    <w:rsid w:val="18AE0076"/>
    <w:rsid w:val="18AE1A47"/>
    <w:rsid w:val="18AE6318"/>
    <w:rsid w:val="18AE7C99"/>
    <w:rsid w:val="18AF534A"/>
    <w:rsid w:val="18B003A0"/>
    <w:rsid w:val="18B057C0"/>
    <w:rsid w:val="18B21538"/>
    <w:rsid w:val="18B25D13"/>
    <w:rsid w:val="18B2778A"/>
    <w:rsid w:val="18B31B6D"/>
    <w:rsid w:val="18B402D7"/>
    <w:rsid w:val="18B40995"/>
    <w:rsid w:val="18B465DC"/>
    <w:rsid w:val="18B51028"/>
    <w:rsid w:val="18B52DD6"/>
    <w:rsid w:val="18B54B84"/>
    <w:rsid w:val="18B57ABA"/>
    <w:rsid w:val="18B64561"/>
    <w:rsid w:val="18B66808"/>
    <w:rsid w:val="18B708FC"/>
    <w:rsid w:val="18B71747"/>
    <w:rsid w:val="18B74DA0"/>
    <w:rsid w:val="18B770C7"/>
    <w:rsid w:val="18B828C6"/>
    <w:rsid w:val="18B83CF9"/>
    <w:rsid w:val="18B84F64"/>
    <w:rsid w:val="18B8536C"/>
    <w:rsid w:val="18B90B18"/>
    <w:rsid w:val="18BA03EC"/>
    <w:rsid w:val="18BA2FC6"/>
    <w:rsid w:val="18BA4DAD"/>
    <w:rsid w:val="18BA71B9"/>
    <w:rsid w:val="18BA7315"/>
    <w:rsid w:val="18BB38C2"/>
    <w:rsid w:val="18BC48A9"/>
    <w:rsid w:val="18BD1C8B"/>
    <w:rsid w:val="18BD2382"/>
    <w:rsid w:val="18BE2A51"/>
    <w:rsid w:val="18BE612E"/>
    <w:rsid w:val="18BF0FFB"/>
    <w:rsid w:val="18BF1EA7"/>
    <w:rsid w:val="18BF29A5"/>
    <w:rsid w:val="18C0410C"/>
    <w:rsid w:val="18C0505C"/>
    <w:rsid w:val="18C13529"/>
    <w:rsid w:val="18C164EC"/>
    <w:rsid w:val="18C16F43"/>
    <w:rsid w:val="18C272A1"/>
    <w:rsid w:val="18C30A38"/>
    <w:rsid w:val="18C320EC"/>
    <w:rsid w:val="18C34872"/>
    <w:rsid w:val="18C4126B"/>
    <w:rsid w:val="18C43019"/>
    <w:rsid w:val="18C474BD"/>
    <w:rsid w:val="18C5372C"/>
    <w:rsid w:val="18C65E2F"/>
    <w:rsid w:val="18C70C1D"/>
    <w:rsid w:val="18C70CEC"/>
    <w:rsid w:val="18C723DA"/>
    <w:rsid w:val="18C748B7"/>
    <w:rsid w:val="18C816C6"/>
    <w:rsid w:val="18C82B09"/>
    <w:rsid w:val="18C837EE"/>
    <w:rsid w:val="18C87DAE"/>
    <w:rsid w:val="18C9062F"/>
    <w:rsid w:val="18CA54A8"/>
    <w:rsid w:val="18CB084B"/>
    <w:rsid w:val="18CB43A7"/>
    <w:rsid w:val="18CC35FF"/>
    <w:rsid w:val="18CD0838"/>
    <w:rsid w:val="18CD45C3"/>
    <w:rsid w:val="18CD4D57"/>
    <w:rsid w:val="18CE3E98"/>
    <w:rsid w:val="18CE3F9E"/>
    <w:rsid w:val="18CE53A9"/>
    <w:rsid w:val="18CE5C46"/>
    <w:rsid w:val="18CF0AF0"/>
    <w:rsid w:val="18D02D9A"/>
    <w:rsid w:val="18D05E62"/>
    <w:rsid w:val="18D104B7"/>
    <w:rsid w:val="18D15FE1"/>
    <w:rsid w:val="18D21BDA"/>
    <w:rsid w:val="18D23988"/>
    <w:rsid w:val="18D248A0"/>
    <w:rsid w:val="18D2728F"/>
    <w:rsid w:val="18D314AE"/>
    <w:rsid w:val="18D32F8E"/>
    <w:rsid w:val="18D34B22"/>
    <w:rsid w:val="18D47182"/>
    <w:rsid w:val="18D47700"/>
    <w:rsid w:val="18D52465"/>
    <w:rsid w:val="18D646B1"/>
    <w:rsid w:val="18D65DF2"/>
    <w:rsid w:val="18D67282"/>
    <w:rsid w:val="18D70E70"/>
    <w:rsid w:val="18D70F9E"/>
    <w:rsid w:val="18D71473"/>
    <w:rsid w:val="18D72D4C"/>
    <w:rsid w:val="18D771F0"/>
    <w:rsid w:val="18D81640"/>
    <w:rsid w:val="18D9086E"/>
    <w:rsid w:val="18D92F68"/>
    <w:rsid w:val="18D94773"/>
    <w:rsid w:val="18DA0165"/>
    <w:rsid w:val="18DA3276"/>
    <w:rsid w:val="18DA3C9B"/>
    <w:rsid w:val="18DA45EA"/>
    <w:rsid w:val="18DC0363"/>
    <w:rsid w:val="18DC4807"/>
    <w:rsid w:val="18DC65B5"/>
    <w:rsid w:val="18DD7F31"/>
    <w:rsid w:val="18DE13E4"/>
    <w:rsid w:val="18DE5A14"/>
    <w:rsid w:val="18DF42F7"/>
    <w:rsid w:val="18E02B21"/>
    <w:rsid w:val="18E216F1"/>
    <w:rsid w:val="18E26076"/>
    <w:rsid w:val="18E35B95"/>
    <w:rsid w:val="18E37943"/>
    <w:rsid w:val="18E47998"/>
    <w:rsid w:val="18E54327"/>
    <w:rsid w:val="18E559FB"/>
    <w:rsid w:val="18E611E1"/>
    <w:rsid w:val="18E63059"/>
    <w:rsid w:val="18E65685"/>
    <w:rsid w:val="18E67433"/>
    <w:rsid w:val="18E73009"/>
    <w:rsid w:val="18E75636"/>
    <w:rsid w:val="18E76074"/>
    <w:rsid w:val="18E82551"/>
    <w:rsid w:val="18E831AB"/>
    <w:rsid w:val="18E84F59"/>
    <w:rsid w:val="18E86D07"/>
    <w:rsid w:val="18E92B27"/>
    <w:rsid w:val="18EB4A4A"/>
    <w:rsid w:val="18EB6B88"/>
    <w:rsid w:val="18EC395A"/>
    <w:rsid w:val="18ED431E"/>
    <w:rsid w:val="18ED44F8"/>
    <w:rsid w:val="18ED4F39"/>
    <w:rsid w:val="18EE5509"/>
    <w:rsid w:val="18EE62E8"/>
    <w:rsid w:val="18EF1C85"/>
    <w:rsid w:val="18EF453A"/>
    <w:rsid w:val="18EF7C2B"/>
    <w:rsid w:val="18F002B2"/>
    <w:rsid w:val="18F2402A"/>
    <w:rsid w:val="18F24ABB"/>
    <w:rsid w:val="18F25DD8"/>
    <w:rsid w:val="18F338FE"/>
    <w:rsid w:val="18F41B50"/>
    <w:rsid w:val="18F51424"/>
    <w:rsid w:val="18F554CB"/>
    <w:rsid w:val="18F63C9B"/>
    <w:rsid w:val="18F7039F"/>
    <w:rsid w:val="18F71640"/>
    <w:rsid w:val="18F733EE"/>
    <w:rsid w:val="18F748F0"/>
    <w:rsid w:val="18F7519C"/>
    <w:rsid w:val="18F7775E"/>
    <w:rsid w:val="18F77CFC"/>
    <w:rsid w:val="18F84792"/>
    <w:rsid w:val="18F865BB"/>
    <w:rsid w:val="18F97167"/>
    <w:rsid w:val="18F97A4B"/>
    <w:rsid w:val="18FA2EDF"/>
    <w:rsid w:val="18FB667D"/>
    <w:rsid w:val="18FC27B3"/>
    <w:rsid w:val="18FC6C57"/>
    <w:rsid w:val="18FC7B0D"/>
    <w:rsid w:val="18FD09C1"/>
    <w:rsid w:val="18FD340F"/>
    <w:rsid w:val="18FE07FD"/>
    <w:rsid w:val="18FE29CF"/>
    <w:rsid w:val="18FE4FFE"/>
    <w:rsid w:val="18FF0466"/>
    <w:rsid w:val="18FF1F3A"/>
    <w:rsid w:val="18FF6A81"/>
    <w:rsid w:val="18FF7881"/>
    <w:rsid w:val="190025FE"/>
    <w:rsid w:val="19012AD1"/>
    <w:rsid w:val="1901426D"/>
    <w:rsid w:val="1901601B"/>
    <w:rsid w:val="19017DC9"/>
    <w:rsid w:val="190212E1"/>
    <w:rsid w:val="19021497"/>
    <w:rsid w:val="19030534"/>
    <w:rsid w:val="190336CE"/>
    <w:rsid w:val="1903395F"/>
    <w:rsid w:val="190371A5"/>
    <w:rsid w:val="19037E5E"/>
    <w:rsid w:val="19045B0B"/>
    <w:rsid w:val="190470B1"/>
    <w:rsid w:val="190478B9"/>
    <w:rsid w:val="19053D5D"/>
    <w:rsid w:val="19055A71"/>
    <w:rsid w:val="19063631"/>
    <w:rsid w:val="190653E0"/>
    <w:rsid w:val="1906773C"/>
    <w:rsid w:val="1906797B"/>
    <w:rsid w:val="19067AD5"/>
    <w:rsid w:val="1907587D"/>
    <w:rsid w:val="19081158"/>
    <w:rsid w:val="19090BB4"/>
    <w:rsid w:val="190A1374"/>
    <w:rsid w:val="190A1826"/>
    <w:rsid w:val="190A1CC1"/>
    <w:rsid w:val="190A7041"/>
    <w:rsid w:val="190B0C48"/>
    <w:rsid w:val="190C15AF"/>
    <w:rsid w:val="190D1F22"/>
    <w:rsid w:val="190D208D"/>
    <w:rsid w:val="190D36A9"/>
    <w:rsid w:val="190D49C0"/>
    <w:rsid w:val="190D51E7"/>
    <w:rsid w:val="190D7351"/>
    <w:rsid w:val="190E58A7"/>
    <w:rsid w:val="190E6F1E"/>
    <w:rsid w:val="190F4332"/>
    <w:rsid w:val="190F5014"/>
    <w:rsid w:val="190F698A"/>
    <w:rsid w:val="191044B0"/>
    <w:rsid w:val="19106EC7"/>
    <w:rsid w:val="1911342D"/>
    <w:rsid w:val="19120228"/>
    <w:rsid w:val="19121FD6"/>
    <w:rsid w:val="19132312"/>
    <w:rsid w:val="191326B8"/>
    <w:rsid w:val="191373BD"/>
    <w:rsid w:val="19145D4E"/>
    <w:rsid w:val="19147224"/>
    <w:rsid w:val="191509CA"/>
    <w:rsid w:val="19151AC7"/>
    <w:rsid w:val="19152D49"/>
    <w:rsid w:val="19163BAF"/>
    <w:rsid w:val="191659F1"/>
    <w:rsid w:val="19173A91"/>
    <w:rsid w:val="19182570"/>
    <w:rsid w:val="191915B7"/>
    <w:rsid w:val="19197D71"/>
    <w:rsid w:val="191A029D"/>
    <w:rsid w:val="191A64D9"/>
    <w:rsid w:val="191A70DD"/>
    <w:rsid w:val="191C10A7"/>
    <w:rsid w:val="191C2E55"/>
    <w:rsid w:val="191C4C03"/>
    <w:rsid w:val="191D0382"/>
    <w:rsid w:val="191F111E"/>
    <w:rsid w:val="191F46F3"/>
    <w:rsid w:val="191F66D5"/>
    <w:rsid w:val="191F70D8"/>
    <w:rsid w:val="19202183"/>
    <w:rsid w:val="19202945"/>
    <w:rsid w:val="1920458C"/>
    <w:rsid w:val="19205225"/>
    <w:rsid w:val="1921046B"/>
    <w:rsid w:val="192137DF"/>
    <w:rsid w:val="19213AA8"/>
    <w:rsid w:val="192166BD"/>
    <w:rsid w:val="19222CB8"/>
    <w:rsid w:val="192341E3"/>
    <w:rsid w:val="19246F5F"/>
    <w:rsid w:val="192501A9"/>
    <w:rsid w:val="19253B09"/>
    <w:rsid w:val="192561AE"/>
    <w:rsid w:val="19264AB8"/>
    <w:rsid w:val="19265A82"/>
    <w:rsid w:val="19266CBF"/>
    <w:rsid w:val="19267830"/>
    <w:rsid w:val="192817FA"/>
    <w:rsid w:val="192874AA"/>
    <w:rsid w:val="19287A4C"/>
    <w:rsid w:val="19287EDE"/>
    <w:rsid w:val="19297070"/>
    <w:rsid w:val="19297320"/>
    <w:rsid w:val="19297FBA"/>
    <w:rsid w:val="192A37C4"/>
    <w:rsid w:val="192B12EA"/>
    <w:rsid w:val="192B4E46"/>
    <w:rsid w:val="192C0039"/>
    <w:rsid w:val="192C3C0C"/>
    <w:rsid w:val="192D0BBE"/>
    <w:rsid w:val="192D2480"/>
    <w:rsid w:val="192D5062"/>
    <w:rsid w:val="192D6E10"/>
    <w:rsid w:val="192E125B"/>
    <w:rsid w:val="192F00CE"/>
    <w:rsid w:val="192F3C2A"/>
    <w:rsid w:val="192F4936"/>
    <w:rsid w:val="19302D47"/>
    <w:rsid w:val="193052BC"/>
    <w:rsid w:val="19306900"/>
    <w:rsid w:val="19317E8D"/>
    <w:rsid w:val="193208CA"/>
    <w:rsid w:val="19322678"/>
    <w:rsid w:val="19323292"/>
    <w:rsid w:val="19324427"/>
    <w:rsid w:val="19327BDC"/>
    <w:rsid w:val="19336378"/>
    <w:rsid w:val="19336D39"/>
    <w:rsid w:val="193404D2"/>
    <w:rsid w:val="19356053"/>
    <w:rsid w:val="19362169"/>
    <w:rsid w:val="19366EFC"/>
    <w:rsid w:val="19367334"/>
    <w:rsid w:val="19377C8F"/>
    <w:rsid w:val="19383A4E"/>
    <w:rsid w:val="193957B5"/>
    <w:rsid w:val="19397BDE"/>
    <w:rsid w:val="193A187F"/>
    <w:rsid w:val="193A32DB"/>
    <w:rsid w:val="193B07CC"/>
    <w:rsid w:val="193C265E"/>
    <w:rsid w:val="193C323C"/>
    <w:rsid w:val="193C52A5"/>
    <w:rsid w:val="193C6F41"/>
    <w:rsid w:val="193C7538"/>
    <w:rsid w:val="193E1789"/>
    <w:rsid w:val="193E2491"/>
    <w:rsid w:val="193F08F1"/>
    <w:rsid w:val="19401195"/>
    <w:rsid w:val="19404D95"/>
    <w:rsid w:val="194276D1"/>
    <w:rsid w:val="19434886"/>
    <w:rsid w:val="19436634"/>
    <w:rsid w:val="19441AEA"/>
    <w:rsid w:val="19441FDC"/>
    <w:rsid w:val="194505FE"/>
    <w:rsid w:val="1945415A"/>
    <w:rsid w:val="19456E4F"/>
    <w:rsid w:val="19466124"/>
    <w:rsid w:val="19483C4A"/>
    <w:rsid w:val="19487303"/>
    <w:rsid w:val="1949397D"/>
    <w:rsid w:val="19495E63"/>
    <w:rsid w:val="194A1770"/>
    <w:rsid w:val="194A276A"/>
    <w:rsid w:val="194A6D83"/>
    <w:rsid w:val="194B373A"/>
    <w:rsid w:val="194B7296"/>
    <w:rsid w:val="194C6D02"/>
    <w:rsid w:val="194D1260"/>
    <w:rsid w:val="194D2C0B"/>
    <w:rsid w:val="19502AFF"/>
    <w:rsid w:val="19510D51"/>
    <w:rsid w:val="195125DD"/>
    <w:rsid w:val="19516536"/>
    <w:rsid w:val="19516FA3"/>
    <w:rsid w:val="19521D97"/>
    <w:rsid w:val="19524AC9"/>
    <w:rsid w:val="195270D5"/>
    <w:rsid w:val="19540841"/>
    <w:rsid w:val="1954439D"/>
    <w:rsid w:val="195478BA"/>
    <w:rsid w:val="1955538A"/>
    <w:rsid w:val="195645B9"/>
    <w:rsid w:val="19566367"/>
    <w:rsid w:val="19570331"/>
    <w:rsid w:val="19572DB1"/>
    <w:rsid w:val="19575C3B"/>
    <w:rsid w:val="195919B3"/>
    <w:rsid w:val="19595192"/>
    <w:rsid w:val="19595E57"/>
    <w:rsid w:val="19597C05"/>
    <w:rsid w:val="195A46B8"/>
    <w:rsid w:val="195B397D"/>
    <w:rsid w:val="195C3F40"/>
    <w:rsid w:val="195C5A1A"/>
    <w:rsid w:val="195C6760"/>
    <w:rsid w:val="195C76F5"/>
    <w:rsid w:val="195E0679"/>
    <w:rsid w:val="195E346D"/>
    <w:rsid w:val="195F0C2E"/>
    <w:rsid w:val="195F1BCA"/>
    <w:rsid w:val="19600F94"/>
    <w:rsid w:val="19602C5A"/>
    <w:rsid w:val="1960439B"/>
    <w:rsid w:val="1960561D"/>
    <w:rsid w:val="196072E3"/>
    <w:rsid w:val="19614D0C"/>
    <w:rsid w:val="19616ABA"/>
    <w:rsid w:val="196321D2"/>
    <w:rsid w:val="19632832"/>
    <w:rsid w:val="1964189D"/>
    <w:rsid w:val="19641DAF"/>
    <w:rsid w:val="196548DC"/>
    <w:rsid w:val="19654B16"/>
    <w:rsid w:val="196565AA"/>
    <w:rsid w:val="19660402"/>
    <w:rsid w:val="19662123"/>
    <w:rsid w:val="19662322"/>
    <w:rsid w:val="19666ACC"/>
    <w:rsid w:val="19670574"/>
    <w:rsid w:val="19672C0E"/>
    <w:rsid w:val="19674179"/>
    <w:rsid w:val="1967605C"/>
    <w:rsid w:val="19676A15"/>
    <w:rsid w:val="196835B7"/>
    <w:rsid w:val="19687E48"/>
    <w:rsid w:val="196900E6"/>
    <w:rsid w:val="19697D7B"/>
    <w:rsid w:val="196A1E12"/>
    <w:rsid w:val="196A733A"/>
    <w:rsid w:val="196B7938"/>
    <w:rsid w:val="196C2EA5"/>
    <w:rsid w:val="196C5B8A"/>
    <w:rsid w:val="196D1903"/>
    <w:rsid w:val="196D5131"/>
    <w:rsid w:val="196D545F"/>
    <w:rsid w:val="196D77E9"/>
    <w:rsid w:val="196F57F2"/>
    <w:rsid w:val="19706CFD"/>
    <w:rsid w:val="19707F5D"/>
    <w:rsid w:val="19726F19"/>
    <w:rsid w:val="19730243"/>
    <w:rsid w:val="19743CA1"/>
    <w:rsid w:val="19743D03"/>
    <w:rsid w:val="197467ED"/>
    <w:rsid w:val="197539F0"/>
    <w:rsid w:val="19762565"/>
    <w:rsid w:val="197668C8"/>
    <w:rsid w:val="19766A09"/>
    <w:rsid w:val="19772A79"/>
    <w:rsid w:val="19772E68"/>
    <w:rsid w:val="19773305"/>
    <w:rsid w:val="19773670"/>
    <w:rsid w:val="197762DD"/>
    <w:rsid w:val="19783FF3"/>
    <w:rsid w:val="197902A7"/>
    <w:rsid w:val="19792371"/>
    <w:rsid w:val="19796C92"/>
    <w:rsid w:val="197B401F"/>
    <w:rsid w:val="197B7B7C"/>
    <w:rsid w:val="197C2433"/>
    <w:rsid w:val="197D2182"/>
    <w:rsid w:val="197D395D"/>
    <w:rsid w:val="197D7D98"/>
    <w:rsid w:val="197E141A"/>
    <w:rsid w:val="197E766C"/>
    <w:rsid w:val="197F1426"/>
    <w:rsid w:val="197F77BB"/>
    <w:rsid w:val="19800A63"/>
    <w:rsid w:val="19800B61"/>
    <w:rsid w:val="198033E4"/>
    <w:rsid w:val="19805192"/>
    <w:rsid w:val="1980519F"/>
    <w:rsid w:val="19810F0A"/>
    <w:rsid w:val="1981715C"/>
    <w:rsid w:val="19830BC5"/>
    <w:rsid w:val="19832ED4"/>
    <w:rsid w:val="19836A30"/>
    <w:rsid w:val="198509FA"/>
    <w:rsid w:val="198527A8"/>
    <w:rsid w:val="19864C92"/>
    <w:rsid w:val="19866810"/>
    <w:rsid w:val="19874772"/>
    <w:rsid w:val="19877546"/>
    <w:rsid w:val="198809D6"/>
    <w:rsid w:val="19884D2F"/>
    <w:rsid w:val="198A3BE7"/>
    <w:rsid w:val="198A3FD4"/>
    <w:rsid w:val="198A4263"/>
    <w:rsid w:val="198A6011"/>
    <w:rsid w:val="198B3B37"/>
    <w:rsid w:val="198B7357"/>
    <w:rsid w:val="198D4848"/>
    <w:rsid w:val="198E3107"/>
    <w:rsid w:val="198E5676"/>
    <w:rsid w:val="198E59AB"/>
    <w:rsid w:val="198F1879"/>
    <w:rsid w:val="198F229E"/>
    <w:rsid w:val="198F3627"/>
    <w:rsid w:val="198F37C2"/>
    <w:rsid w:val="198F7168"/>
    <w:rsid w:val="19902D75"/>
    <w:rsid w:val="19905E07"/>
    <w:rsid w:val="199155F1"/>
    <w:rsid w:val="19924148"/>
    <w:rsid w:val="199327E5"/>
    <w:rsid w:val="199345C8"/>
    <w:rsid w:val="19940C3D"/>
    <w:rsid w:val="199440B1"/>
    <w:rsid w:val="199450E1"/>
    <w:rsid w:val="19952695"/>
    <w:rsid w:val="199539CA"/>
    <w:rsid w:val="19953F61"/>
    <w:rsid w:val="1995404C"/>
    <w:rsid w:val="199649B5"/>
    <w:rsid w:val="1997072D"/>
    <w:rsid w:val="1997703B"/>
    <w:rsid w:val="1998697F"/>
    <w:rsid w:val="19991CD1"/>
    <w:rsid w:val="1999384E"/>
    <w:rsid w:val="199944A6"/>
    <w:rsid w:val="19996254"/>
    <w:rsid w:val="199A0E69"/>
    <w:rsid w:val="199A1A2B"/>
    <w:rsid w:val="199A4594"/>
    <w:rsid w:val="199B6470"/>
    <w:rsid w:val="199C5D44"/>
    <w:rsid w:val="199C7819"/>
    <w:rsid w:val="199D21E8"/>
    <w:rsid w:val="199D433D"/>
    <w:rsid w:val="199E2607"/>
    <w:rsid w:val="199E386A"/>
    <w:rsid w:val="199E54A2"/>
    <w:rsid w:val="19A03A86"/>
    <w:rsid w:val="19A075E2"/>
    <w:rsid w:val="19A22A0D"/>
    <w:rsid w:val="19A31CEF"/>
    <w:rsid w:val="19A3656C"/>
    <w:rsid w:val="19A4034B"/>
    <w:rsid w:val="19A5109C"/>
    <w:rsid w:val="19A571CF"/>
    <w:rsid w:val="19A60971"/>
    <w:rsid w:val="19A75624"/>
    <w:rsid w:val="19A76BC3"/>
    <w:rsid w:val="19A8293B"/>
    <w:rsid w:val="19A845BB"/>
    <w:rsid w:val="19A846E9"/>
    <w:rsid w:val="19A85FFE"/>
    <w:rsid w:val="19A90B8D"/>
    <w:rsid w:val="19AA0461"/>
    <w:rsid w:val="19AA220F"/>
    <w:rsid w:val="19AB0128"/>
    <w:rsid w:val="19AC06FF"/>
    <w:rsid w:val="19AC07F4"/>
    <w:rsid w:val="19AC142A"/>
    <w:rsid w:val="19AC22AE"/>
    <w:rsid w:val="19AC6690"/>
    <w:rsid w:val="19AD1261"/>
    <w:rsid w:val="19AD7F51"/>
    <w:rsid w:val="19AE52C2"/>
    <w:rsid w:val="19AF5A77"/>
    <w:rsid w:val="19AF5F0D"/>
    <w:rsid w:val="19AF7825"/>
    <w:rsid w:val="19B001B7"/>
    <w:rsid w:val="19B11D17"/>
    <w:rsid w:val="19B1359D"/>
    <w:rsid w:val="19B17A41"/>
    <w:rsid w:val="19B337B9"/>
    <w:rsid w:val="19B412DF"/>
    <w:rsid w:val="19B46FFB"/>
    <w:rsid w:val="19B47531"/>
    <w:rsid w:val="19B60BB4"/>
    <w:rsid w:val="19B65058"/>
    <w:rsid w:val="19B72B7E"/>
    <w:rsid w:val="19B7492C"/>
    <w:rsid w:val="19B759F9"/>
    <w:rsid w:val="19B76184"/>
    <w:rsid w:val="19B80F45"/>
    <w:rsid w:val="19B906A4"/>
    <w:rsid w:val="19B92850"/>
    <w:rsid w:val="19B94B48"/>
    <w:rsid w:val="19BA78F9"/>
    <w:rsid w:val="19BB04E7"/>
    <w:rsid w:val="19BB08C0"/>
    <w:rsid w:val="19BB102C"/>
    <w:rsid w:val="19BB266E"/>
    <w:rsid w:val="19BB41EB"/>
    <w:rsid w:val="19BC1F42"/>
    <w:rsid w:val="19BC2960"/>
    <w:rsid w:val="19BD0194"/>
    <w:rsid w:val="19BD37B7"/>
    <w:rsid w:val="19BD675E"/>
    <w:rsid w:val="19BE3F0C"/>
    <w:rsid w:val="19BE5CBA"/>
    <w:rsid w:val="19BF6247"/>
    <w:rsid w:val="19BF65B5"/>
    <w:rsid w:val="19C05ED6"/>
    <w:rsid w:val="19C05F96"/>
    <w:rsid w:val="19C060B2"/>
    <w:rsid w:val="19C07C84"/>
    <w:rsid w:val="19C21C4E"/>
    <w:rsid w:val="19C239FC"/>
    <w:rsid w:val="19C2408D"/>
    <w:rsid w:val="19C37774"/>
    <w:rsid w:val="19C40FD3"/>
    <w:rsid w:val="19C534ED"/>
    <w:rsid w:val="19C536E3"/>
    <w:rsid w:val="19C552E7"/>
    <w:rsid w:val="19C57049"/>
    <w:rsid w:val="19C64063"/>
    <w:rsid w:val="19C71013"/>
    <w:rsid w:val="19C72DC1"/>
    <w:rsid w:val="19C73298"/>
    <w:rsid w:val="19C749D9"/>
    <w:rsid w:val="19C808E7"/>
    <w:rsid w:val="19C81DB5"/>
    <w:rsid w:val="19C92FDD"/>
    <w:rsid w:val="19C972F9"/>
    <w:rsid w:val="19CA2E96"/>
    <w:rsid w:val="19CA66D5"/>
    <w:rsid w:val="19CB19D6"/>
    <w:rsid w:val="19CC03D7"/>
    <w:rsid w:val="19CC6629"/>
    <w:rsid w:val="19CE05F3"/>
    <w:rsid w:val="19CE163C"/>
    <w:rsid w:val="19CF0004"/>
    <w:rsid w:val="19CF1C75"/>
    <w:rsid w:val="19D03CA3"/>
    <w:rsid w:val="19D07257"/>
    <w:rsid w:val="19D1065C"/>
    <w:rsid w:val="19D13C3F"/>
    <w:rsid w:val="19D21766"/>
    <w:rsid w:val="19D2289F"/>
    <w:rsid w:val="19D2408E"/>
    <w:rsid w:val="19D269ED"/>
    <w:rsid w:val="19D35C0A"/>
    <w:rsid w:val="19D379B8"/>
    <w:rsid w:val="19D41982"/>
    <w:rsid w:val="19D44745"/>
    <w:rsid w:val="19D47357"/>
    <w:rsid w:val="19D5046D"/>
    <w:rsid w:val="19D56259"/>
    <w:rsid w:val="19D63004"/>
    <w:rsid w:val="19D674A8"/>
    <w:rsid w:val="19D70692"/>
    <w:rsid w:val="19D75568"/>
    <w:rsid w:val="19D7730E"/>
    <w:rsid w:val="19D83220"/>
    <w:rsid w:val="19D86F1B"/>
    <w:rsid w:val="19D9027E"/>
    <w:rsid w:val="19DA53FD"/>
    <w:rsid w:val="19DA5D39"/>
    <w:rsid w:val="19DA7343"/>
    <w:rsid w:val="19DB10E2"/>
    <w:rsid w:val="19DB2B9E"/>
    <w:rsid w:val="19DB4ABE"/>
    <w:rsid w:val="19DC03B9"/>
    <w:rsid w:val="19DC38F9"/>
    <w:rsid w:val="19DD25E4"/>
    <w:rsid w:val="19DD6F4D"/>
    <w:rsid w:val="19DE635C"/>
    <w:rsid w:val="19DE71F5"/>
    <w:rsid w:val="19DF187E"/>
    <w:rsid w:val="19DF45AE"/>
    <w:rsid w:val="19E00326"/>
    <w:rsid w:val="19E015A7"/>
    <w:rsid w:val="19E030B4"/>
    <w:rsid w:val="19E03E83"/>
    <w:rsid w:val="19E15CCF"/>
    <w:rsid w:val="19E16A10"/>
    <w:rsid w:val="19E25E4D"/>
    <w:rsid w:val="19E2722D"/>
    <w:rsid w:val="19E37299"/>
    <w:rsid w:val="19E41BC5"/>
    <w:rsid w:val="19E43F01"/>
    <w:rsid w:val="19E448B0"/>
    <w:rsid w:val="19E51499"/>
    <w:rsid w:val="19E530D2"/>
    <w:rsid w:val="19E576EB"/>
    <w:rsid w:val="19E636C9"/>
    <w:rsid w:val="19E72C2B"/>
    <w:rsid w:val="19E73463"/>
    <w:rsid w:val="19E75211"/>
    <w:rsid w:val="19E80F89"/>
    <w:rsid w:val="19E868E3"/>
    <w:rsid w:val="19E92216"/>
    <w:rsid w:val="19E971DB"/>
    <w:rsid w:val="19EA6AAF"/>
    <w:rsid w:val="19EB60D6"/>
    <w:rsid w:val="19EB67E6"/>
    <w:rsid w:val="19EB786F"/>
    <w:rsid w:val="19EC0018"/>
    <w:rsid w:val="19EC0A79"/>
    <w:rsid w:val="19EC1024"/>
    <w:rsid w:val="19EC4730"/>
    <w:rsid w:val="19EC4F68"/>
    <w:rsid w:val="19ED4211"/>
    <w:rsid w:val="19ED53EC"/>
    <w:rsid w:val="19EE5FDA"/>
    <w:rsid w:val="19EE7B83"/>
    <w:rsid w:val="19EF056A"/>
    <w:rsid w:val="19EF1013"/>
    <w:rsid w:val="19EF2318"/>
    <w:rsid w:val="19F05074"/>
    <w:rsid w:val="19F13A9E"/>
    <w:rsid w:val="19F16090"/>
    <w:rsid w:val="19F17E3E"/>
    <w:rsid w:val="19F2280D"/>
    <w:rsid w:val="19F31E08"/>
    <w:rsid w:val="19F33BB6"/>
    <w:rsid w:val="19F65454"/>
    <w:rsid w:val="19F73B24"/>
    <w:rsid w:val="19F811CC"/>
    <w:rsid w:val="19F81A90"/>
    <w:rsid w:val="19F84C10"/>
    <w:rsid w:val="19F85670"/>
    <w:rsid w:val="19F8741E"/>
    <w:rsid w:val="19F92B0B"/>
    <w:rsid w:val="19F93196"/>
    <w:rsid w:val="19FA0CF7"/>
    <w:rsid w:val="19FA13E8"/>
    <w:rsid w:val="19FA6126"/>
    <w:rsid w:val="19FB2A6A"/>
    <w:rsid w:val="19FB3A0A"/>
    <w:rsid w:val="19FB6F0E"/>
    <w:rsid w:val="19FB70C4"/>
    <w:rsid w:val="19FC4B97"/>
    <w:rsid w:val="19FD0ED5"/>
    <w:rsid w:val="19FD41D4"/>
    <w:rsid w:val="19FD4A34"/>
    <w:rsid w:val="19FD4A35"/>
    <w:rsid w:val="19FD67E3"/>
    <w:rsid w:val="19FE07AD"/>
    <w:rsid w:val="19FF2BEF"/>
    <w:rsid w:val="19FF64B5"/>
    <w:rsid w:val="1A000B36"/>
    <w:rsid w:val="1A002461"/>
    <w:rsid w:val="1A002777"/>
    <w:rsid w:val="1A0062D3"/>
    <w:rsid w:val="1A015FF9"/>
    <w:rsid w:val="1A02029D"/>
    <w:rsid w:val="1A02204B"/>
    <w:rsid w:val="1A023DF9"/>
    <w:rsid w:val="1A027F67"/>
    <w:rsid w:val="1A0314E0"/>
    <w:rsid w:val="1A0354C5"/>
    <w:rsid w:val="1A040DF0"/>
    <w:rsid w:val="1A045DC3"/>
    <w:rsid w:val="1A051B3B"/>
    <w:rsid w:val="1A053239"/>
    <w:rsid w:val="1A05440A"/>
    <w:rsid w:val="1A057D8D"/>
    <w:rsid w:val="1A073B05"/>
    <w:rsid w:val="1A074AF8"/>
    <w:rsid w:val="1A081BBA"/>
    <w:rsid w:val="1A083090"/>
    <w:rsid w:val="1A09162B"/>
    <w:rsid w:val="1A0A1015"/>
    <w:rsid w:val="1A0A1A87"/>
    <w:rsid w:val="1A0A53A3"/>
    <w:rsid w:val="1A0C2EC9"/>
    <w:rsid w:val="1A0D279E"/>
    <w:rsid w:val="1A0E09F0"/>
    <w:rsid w:val="1A0E5B5C"/>
    <w:rsid w:val="1A0E6AFD"/>
    <w:rsid w:val="1A0F1A8D"/>
    <w:rsid w:val="1A0F29BA"/>
    <w:rsid w:val="1A0F6516"/>
    <w:rsid w:val="1A102F1D"/>
    <w:rsid w:val="1A104FFB"/>
    <w:rsid w:val="1A112AFC"/>
    <w:rsid w:val="1A113680"/>
    <w:rsid w:val="1A113A55"/>
    <w:rsid w:val="1A115020"/>
    <w:rsid w:val="1A126AA2"/>
    <w:rsid w:val="1A134E88"/>
    <w:rsid w:val="1A135C0D"/>
    <w:rsid w:val="1A136006"/>
    <w:rsid w:val="1A147FD0"/>
    <w:rsid w:val="1A1523C0"/>
    <w:rsid w:val="1A1612A0"/>
    <w:rsid w:val="1A166D8F"/>
    <w:rsid w:val="1A1678A4"/>
    <w:rsid w:val="1A171E5A"/>
    <w:rsid w:val="1A172451"/>
    <w:rsid w:val="1A176155"/>
    <w:rsid w:val="1A176571"/>
    <w:rsid w:val="1A1829A5"/>
    <w:rsid w:val="1A1837F3"/>
    <w:rsid w:val="1A19270F"/>
    <w:rsid w:val="1A1A1BD8"/>
    <w:rsid w:val="1A1A2410"/>
    <w:rsid w:val="1A1A7CEF"/>
    <w:rsid w:val="1A1B1771"/>
    <w:rsid w:val="1A1B1981"/>
    <w:rsid w:val="1A1B310D"/>
    <w:rsid w:val="1A1B4A67"/>
    <w:rsid w:val="1A1B4EBB"/>
    <w:rsid w:val="1A1C66C0"/>
    <w:rsid w:val="1A1D25EE"/>
    <w:rsid w:val="1A1D6E85"/>
    <w:rsid w:val="1A1F2BFD"/>
    <w:rsid w:val="1A200723"/>
    <w:rsid w:val="1A204BC7"/>
    <w:rsid w:val="1A2056A9"/>
    <w:rsid w:val="1A213EA2"/>
    <w:rsid w:val="1A215C48"/>
    <w:rsid w:val="1A231FC1"/>
    <w:rsid w:val="1A23296B"/>
    <w:rsid w:val="1A2339CC"/>
    <w:rsid w:val="1A255D39"/>
    <w:rsid w:val="1A262BD4"/>
    <w:rsid w:val="1A265A1A"/>
    <w:rsid w:val="1A266D7C"/>
    <w:rsid w:val="1A271AB1"/>
    <w:rsid w:val="1A273144"/>
    <w:rsid w:val="1A27429E"/>
    <w:rsid w:val="1A2753D8"/>
    <w:rsid w:val="1A2810A7"/>
    <w:rsid w:val="1A293992"/>
    <w:rsid w:val="1A293A7B"/>
    <w:rsid w:val="1A2A15A2"/>
    <w:rsid w:val="1A2A1979"/>
    <w:rsid w:val="1A2B6265"/>
    <w:rsid w:val="1A2C26F6"/>
    <w:rsid w:val="1A2C317E"/>
    <w:rsid w:val="1A2C531A"/>
    <w:rsid w:val="1A2E0715"/>
    <w:rsid w:val="1A2E1092"/>
    <w:rsid w:val="1A2E2E40"/>
    <w:rsid w:val="1A2E4BEE"/>
    <w:rsid w:val="1A2E7913"/>
    <w:rsid w:val="1A2F64A6"/>
    <w:rsid w:val="1A2F6BB8"/>
    <w:rsid w:val="1A3035FD"/>
    <w:rsid w:val="1A304E0A"/>
    <w:rsid w:val="1A312930"/>
    <w:rsid w:val="1A31311C"/>
    <w:rsid w:val="1A327A57"/>
    <w:rsid w:val="1A330075"/>
    <w:rsid w:val="1A332204"/>
    <w:rsid w:val="1A33241C"/>
    <w:rsid w:val="1A3348FA"/>
    <w:rsid w:val="1A3366A8"/>
    <w:rsid w:val="1A340E83"/>
    <w:rsid w:val="1A342318"/>
    <w:rsid w:val="1A3427A0"/>
    <w:rsid w:val="1A3441CE"/>
    <w:rsid w:val="1A3545A4"/>
    <w:rsid w:val="1A364D67"/>
    <w:rsid w:val="1A367F46"/>
    <w:rsid w:val="1A3760C8"/>
    <w:rsid w:val="1A383CBF"/>
    <w:rsid w:val="1A392129"/>
    <w:rsid w:val="1A3A4BA3"/>
    <w:rsid w:val="1A3A7A37"/>
    <w:rsid w:val="1A3B37AF"/>
    <w:rsid w:val="1A3B425D"/>
    <w:rsid w:val="1A3C5639"/>
    <w:rsid w:val="1A3C5D88"/>
    <w:rsid w:val="1A3C614F"/>
    <w:rsid w:val="1A3D3083"/>
    <w:rsid w:val="1A3D7527"/>
    <w:rsid w:val="1A3E2FB3"/>
    <w:rsid w:val="1A3F329F"/>
    <w:rsid w:val="1A3F504D"/>
    <w:rsid w:val="1A401FFC"/>
    <w:rsid w:val="1A405DBE"/>
    <w:rsid w:val="1A4135B6"/>
    <w:rsid w:val="1A413910"/>
    <w:rsid w:val="1A4237B8"/>
    <w:rsid w:val="1A42393B"/>
    <w:rsid w:val="1A42440D"/>
    <w:rsid w:val="1A424B3D"/>
    <w:rsid w:val="1A4268EB"/>
    <w:rsid w:val="1A43097D"/>
    <w:rsid w:val="1A431F25"/>
    <w:rsid w:val="1A432838"/>
    <w:rsid w:val="1A43313F"/>
    <w:rsid w:val="1A435DAC"/>
    <w:rsid w:val="1A442663"/>
    <w:rsid w:val="1A442B13"/>
    <w:rsid w:val="1A444411"/>
    <w:rsid w:val="1A446AFE"/>
    <w:rsid w:val="1A46102F"/>
    <w:rsid w:val="1A465545"/>
    <w:rsid w:val="1A466DBD"/>
    <w:rsid w:val="1A467D5B"/>
    <w:rsid w:val="1A481E9D"/>
    <w:rsid w:val="1A483031"/>
    <w:rsid w:val="1A483566"/>
    <w:rsid w:val="1A487176"/>
    <w:rsid w:val="1A4A57A0"/>
    <w:rsid w:val="1A4A6821"/>
    <w:rsid w:val="1A4B14FB"/>
    <w:rsid w:val="1A4B59CE"/>
    <w:rsid w:val="1A4B5AB9"/>
    <w:rsid w:val="1A4C1518"/>
    <w:rsid w:val="1A4C32C6"/>
    <w:rsid w:val="1A4C59BC"/>
    <w:rsid w:val="1A4D7136"/>
    <w:rsid w:val="1A4E703E"/>
    <w:rsid w:val="1A4F2DB6"/>
    <w:rsid w:val="1A4F6F20"/>
    <w:rsid w:val="1A501008"/>
    <w:rsid w:val="1A5328A6"/>
    <w:rsid w:val="1A534654"/>
    <w:rsid w:val="1A5403CD"/>
    <w:rsid w:val="1A541957"/>
    <w:rsid w:val="1A554870"/>
    <w:rsid w:val="1A55661F"/>
    <w:rsid w:val="1A562397"/>
    <w:rsid w:val="1A590792"/>
    <w:rsid w:val="1A592BA3"/>
    <w:rsid w:val="1A5A3C35"/>
    <w:rsid w:val="1A5B3DE7"/>
    <w:rsid w:val="1A5B5BFF"/>
    <w:rsid w:val="1A5B79AD"/>
    <w:rsid w:val="1A5C26E5"/>
    <w:rsid w:val="1A5D1977"/>
    <w:rsid w:val="1A5D54D3"/>
    <w:rsid w:val="1A5E7B2C"/>
    <w:rsid w:val="1A5F16BC"/>
    <w:rsid w:val="1A5F56EF"/>
    <w:rsid w:val="1A606D71"/>
    <w:rsid w:val="1A610D9B"/>
    <w:rsid w:val="1A613215"/>
    <w:rsid w:val="1A615D75"/>
    <w:rsid w:val="1A616756"/>
    <w:rsid w:val="1A617586"/>
    <w:rsid w:val="1A6259DD"/>
    <w:rsid w:val="1A627035"/>
    <w:rsid w:val="1A633ACA"/>
    <w:rsid w:val="1A64229A"/>
    <w:rsid w:val="1A642D06"/>
    <w:rsid w:val="1A643794"/>
    <w:rsid w:val="1A651146"/>
    <w:rsid w:val="1A656328"/>
    <w:rsid w:val="1A663D17"/>
    <w:rsid w:val="1A6745A4"/>
    <w:rsid w:val="1A676352"/>
    <w:rsid w:val="1A683A30"/>
    <w:rsid w:val="1A6A3B28"/>
    <w:rsid w:val="1A6A7BF0"/>
    <w:rsid w:val="1A6C1BBA"/>
    <w:rsid w:val="1A6C3968"/>
    <w:rsid w:val="1A6C39F9"/>
    <w:rsid w:val="1A6C5716"/>
    <w:rsid w:val="1A6C6448"/>
    <w:rsid w:val="1A6C7B89"/>
    <w:rsid w:val="1A6D0122"/>
    <w:rsid w:val="1A6D1019"/>
    <w:rsid w:val="1A6D3318"/>
    <w:rsid w:val="1A6D4ABE"/>
    <w:rsid w:val="1A6E148E"/>
    <w:rsid w:val="1A6E7580"/>
    <w:rsid w:val="1A6E76E0"/>
    <w:rsid w:val="1A6E774D"/>
    <w:rsid w:val="1A6F0D2F"/>
    <w:rsid w:val="1A701454"/>
    <w:rsid w:val="1A703458"/>
    <w:rsid w:val="1A705206"/>
    <w:rsid w:val="1A70799A"/>
    <w:rsid w:val="1A710F7F"/>
    <w:rsid w:val="1A7131D6"/>
    <w:rsid w:val="1A716259"/>
    <w:rsid w:val="1A7171D0"/>
    <w:rsid w:val="1A7176E9"/>
    <w:rsid w:val="1A723FF1"/>
    <w:rsid w:val="1A725422"/>
    <w:rsid w:val="1A733B40"/>
    <w:rsid w:val="1A734CF7"/>
    <w:rsid w:val="1A73725E"/>
    <w:rsid w:val="1A752B62"/>
    <w:rsid w:val="1A754EF4"/>
    <w:rsid w:val="1A7550B9"/>
    <w:rsid w:val="1A757407"/>
    <w:rsid w:val="1A7647E7"/>
    <w:rsid w:val="1A764951"/>
    <w:rsid w:val="1A766595"/>
    <w:rsid w:val="1A7769A4"/>
    <w:rsid w:val="1A78055F"/>
    <w:rsid w:val="1A78230D"/>
    <w:rsid w:val="1A7840BB"/>
    <w:rsid w:val="1A7867B1"/>
    <w:rsid w:val="1A796FCF"/>
    <w:rsid w:val="1A7A42D7"/>
    <w:rsid w:val="1A7A7172"/>
    <w:rsid w:val="1A7B1DFD"/>
    <w:rsid w:val="1A7B28C2"/>
    <w:rsid w:val="1A7B3BAB"/>
    <w:rsid w:val="1A7C159F"/>
    <w:rsid w:val="1A7C5269"/>
    <w:rsid w:val="1A7D0B0E"/>
    <w:rsid w:val="1A7D5B75"/>
    <w:rsid w:val="1A7D7923"/>
    <w:rsid w:val="1A7F6492"/>
    <w:rsid w:val="1A8011C2"/>
    <w:rsid w:val="1A807414"/>
    <w:rsid w:val="1A81091F"/>
    <w:rsid w:val="1A815666"/>
    <w:rsid w:val="1A815D2D"/>
    <w:rsid w:val="1A8171DE"/>
    <w:rsid w:val="1A820066"/>
    <w:rsid w:val="1A8213DE"/>
    <w:rsid w:val="1A82318C"/>
    <w:rsid w:val="1A825F4D"/>
    <w:rsid w:val="1A82719A"/>
    <w:rsid w:val="1A8446CF"/>
    <w:rsid w:val="1A845156"/>
    <w:rsid w:val="1A850BA8"/>
    <w:rsid w:val="1A8567D8"/>
    <w:rsid w:val="1A86125A"/>
    <w:rsid w:val="1A861BC0"/>
    <w:rsid w:val="1A862C7C"/>
    <w:rsid w:val="1A862F60"/>
    <w:rsid w:val="1A8707A2"/>
    <w:rsid w:val="1A872550"/>
    <w:rsid w:val="1A8769F4"/>
    <w:rsid w:val="1A89276C"/>
    <w:rsid w:val="1A8970B1"/>
    <w:rsid w:val="1A8B0292"/>
    <w:rsid w:val="1A8B12F1"/>
    <w:rsid w:val="1A8B2E61"/>
    <w:rsid w:val="1A8B60FD"/>
    <w:rsid w:val="1A8B64E4"/>
    <w:rsid w:val="1A8C5DB8"/>
    <w:rsid w:val="1A8C5E53"/>
    <w:rsid w:val="1A8C65C3"/>
    <w:rsid w:val="1A8D29EC"/>
    <w:rsid w:val="1A8D6EC2"/>
    <w:rsid w:val="1A8E38DF"/>
    <w:rsid w:val="1A8E7D82"/>
    <w:rsid w:val="1A8F21C4"/>
    <w:rsid w:val="1A90216F"/>
    <w:rsid w:val="1A903AFB"/>
    <w:rsid w:val="1A907657"/>
    <w:rsid w:val="1A91692D"/>
    <w:rsid w:val="1A916D88"/>
    <w:rsid w:val="1A920163"/>
    <w:rsid w:val="1A9218A4"/>
    <w:rsid w:val="1A9228C1"/>
    <w:rsid w:val="1A924D3A"/>
    <w:rsid w:val="1A926507"/>
    <w:rsid w:val="1A9266DA"/>
    <w:rsid w:val="1A9315F3"/>
    <w:rsid w:val="1A951111"/>
    <w:rsid w:val="1A952188"/>
    <w:rsid w:val="1A954C6D"/>
    <w:rsid w:val="1A96061E"/>
    <w:rsid w:val="1A9609E5"/>
    <w:rsid w:val="1A96319F"/>
    <w:rsid w:val="1A98391C"/>
    <w:rsid w:val="1A98650F"/>
    <w:rsid w:val="1A9908E0"/>
    <w:rsid w:val="1A997188"/>
    <w:rsid w:val="1A9A2283"/>
    <w:rsid w:val="1A9A4065"/>
    <w:rsid w:val="1A9A6727"/>
    <w:rsid w:val="1A9A68F5"/>
    <w:rsid w:val="1A9B16C3"/>
    <w:rsid w:val="1A9B5FFB"/>
    <w:rsid w:val="1A9C424D"/>
    <w:rsid w:val="1A9C53F5"/>
    <w:rsid w:val="1A9D02A6"/>
    <w:rsid w:val="1A9D1D74"/>
    <w:rsid w:val="1A9D2CAA"/>
    <w:rsid w:val="1A9D7FC6"/>
    <w:rsid w:val="1AA0476B"/>
    <w:rsid w:val="1AA11864"/>
    <w:rsid w:val="1AA11A4F"/>
    <w:rsid w:val="1AA141BF"/>
    <w:rsid w:val="1AA255DC"/>
    <w:rsid w:val="1AA475A6"/>
    <w:rsid w:val="1AA650CC"/>
    <w:rsid w:val="1AA66E7A"/>
    <w:rsid w:val="1AA67E65"/>
    <w:rsid w:val="1AA716BD"/>
    <w:rsid w:val="1AA768ED"/>
    <w:rsid w:val="1AA83ACA"/>
    <w:rsid w:val="1AA9696A"/>
    <w:rsid w:val="1AAA22B0"/>
    <w:rsid w:val="1AAB26E2"/>
    <w:rsid w:val="1AAB4490"/>
    <w:rsid w:val="1AAC1FB7"/>
    <w:rsid w:val="1AAC2F94"/>
    <w:rsid w:val="1AAD45DE"/>
    <w:rsid w:val="1AAD58A8"/>
    <w:rsid w:val="1AAD645B"/>
    <w:rsid w:val="1AAD64AC"/>
    <w:rsid w:val="1AAE2566"/>
    <w:rsid w:val="1AAE61FB"/>
    <w:rsid w:val="1AAF0DCC"/>
    <w:rsid w:val="1AAF77C3"/>
    <w:rsid w:val="1AB0225C"/>
    <w:rsid w:val="1AB05F4B"/>
    <w:rsid w:val="1AB1581F"/>
    <w:rsid w:val="1AB162BD"/>
    <w:rsid w:val="1AB203E1"/>
    <w:rsid w:val="1AB23A71"/>
    <w:rsid w:val="1AB31610"/>
    <w:rsid w:val="1AB53AAF"/>
    <w:rsid w:val="1AB62AC6"/>
    <w:rsid w:val="1AB64BE3"/>
    <w:rsid w:val="1AB71087"/>
    <w:rsid w:val="1AB7212F"/>
    <w:rsid w:val="1AB772D9"/>
    <w:rsid w:val="1AB8095B"/>
    <w:rsid w:val="1AB835BF"/>
    <w:rsid w:val="1AB84DF8"/>
    <w:rsid w:val="1AB90F7E"/>
    <w:rsid w:val="1AB92D59"/>
    <w:rsid w:val="1AB9456C"/>
    <w:rsid w:val="1ABA0B77"/>
    <w:rsid w:val="1ABA1158"/>
    <w:rsid w:val="1ABA2925"/>
    <w:rsid w:val="1ABA46D4"/>
    <w:rsid w:val="1ABC044C"/>
    <w:rsid w:val="1ABC07FF"/>
    <w:rsid w:val="1ABC3DA7"/>
    <w:rsid w:val="1ABC43EA"/>
    <w:rsid w:val="1ABC48F0"/>
    <w:rsid w:val="1ABD2B85"/>
    <w:rsid w:val="1ABD34BE"/>
    <w:rsid w:val="1ABD4724"/>
    <w:rsid w:val="1ABE1CF2"/>
    <w:rsid w:val="1ABF08C1"/>
    <w:rsid w:val="1AC0024A"/>
    <w:rsid w:val="1AC07876"/>
    <w:rsid w:val="1AC11F06"/>
    <w:rsid w:val="1AC217DA"/>
    <w:rsid w:val="1AC27242"/>
    <w:rsid w:val="1AC437A4"/>
    <w:rsid w:val="1AC45552"/>
    <w:rsid w:val="1AC457C1"/>
    <w:rsid w:val="1AC50F79"/>
    <w:rsid w:val="1AC5388E"/>
    <w:rsid w:val="1AC5710B"/>
    <w:rsid w:val="1AC57F21"/>
    <w:rsid w:val="1AC60017"/>
    <w:rsid w:val="1AC612CA"/>
    <w:rsid w:val="1AC63078"/>
    <w:rsid w:val="1AC673A5"/>
    <w:rsid w:val="1AC6751C"/>
    <w:rsid w:val="1AC67CAC"/>
    <w:rsid w:val="1AC71042"/>
    <w:rsid w:val="1AC75042"/>
    <w:rsid w:val="1AC75D2B"/>
    <w:rsid w:val="1AC76DF0"/>
    <w:rsid w:val="1AC81973"/>
    <w:rsid w:val="1AC8624A"/>
    <w:rsid w:val="1AC92D76"/>
    <w:rsid w:val="1AC94917"/>
    <w:rsid w:val="1ACA37CD"/>
    <w:rsid w:val="1ACB68E1"/>
    <w:rsid w:val="1ACC4407"/>
    <w:rsid w:val="1ACD2659"/>
    <w:rsid w:val="1ACD2D27"/>
    <w:rsid w:val="1ACD57BB"/>
    <w:rsid w:val="1ACD7227"/>
    <w:rsid w:val="1ACE2356"/>
    <w:rsid w:val="1ACE57E5"/>
    <w:rsid w:val="1ACE63D1"/>
    <w:rsid w:val="1ACF00C3"/>
    <w:rsid w:val="1AD0039B"/>
    <w:rsid w:val="1AD05CA5"/>
    <w:rsid w:val="1AD15D41"/>
    <w:rsid w:val="1AD2170B"/>
    <w:rsid w:val="1AD2177C"/>
    <w:rsid w:val="1AD27C6F"/>
    <w:rsid w:val="1AD339E7"/>
    <w:rsid w:val="1AD36A86"/>
    <w:rsid w:val="1AD5150D"/>
    <w:rsid w:val="1AD52830"/>
    <w:rsid w:val="1AD5775F"/>
    <w:rsid w:val="1AD73359"/>
    <w:rsid w:val="1AD74A4D"/>
    <w:rsid w:val="1AD76457"/>
    <w:rsid w:val="1AD81468"/>
    <w:rsid w:val="1AD87250"/>
    <w:rsid w:val="1ADA6B24"/>
    <w:rsid w:val="1ADA70F7"/>
    <w:rsid w:val="1ADB00F7"/>
    <w:rsid w:val="1ADB7DE9"/>
    <w:rsid w:val="1ADC0AEE"/>
    <w:rsid w:val="1ADC289C"/>
    <w:rsid w:val="1ADC4807"/>
    <w:rsid w:val="1ADC512F"/>
    <w:rsid w:val="1ADD6614"/>
    <w:rsid w:val="1ADD7DD8"/>
    <w:rsid w:val="1ADE5342"/>
    <w:rsid w:val="1ADF5DAB"/>
    <w:rsid w:val="1AE027CB"/>
    <w:rsid w:val="1AE0649F"/>
    <w:rsid w:val="1AE1108A"/>
    <w:rsid w:val="1AE12BEF"/>
    <w:rsid w:val="1AE16104"/>
    <w:rsid w:val="1AE175EF"/>
    <w:rsid w:val="1AE17EB2"/>
    <w:rsid w:val="1AE2585D"/>
    <w:rsid w:val="1AE31E7C"/>
    <w:rsid w:val="1AE321EE"/>
    <w:rsid w:val="1AE34FEC"/>
    <w:rsid w:val="1AE4114C"/>
    <w:rsid w:val="1AE45BF4"/>
    <w:rsid w:val="1AE469B6"/>
    <w:rsid w:val="1AE479A2"/>
    <w:rsid w:val="1AE54CD3"/>
    <w:rsid w:val="1AE61C6D"/>
    <w:rsid w:val="1AE6371B"/>
    <w:rsid w:val="1AE654C9"/>
    <w:rsid w:val="1AE70ACE"/>
    <w:rsid w:val="1AE71241"/>
    <w:rsid w:val="1AE72A30"/>
    <w:rsid w:val="1AE7638C"/>
    <w:rsid w:val="1AE82FCF"/>
    <w:rsid w:val="1AE86D95"/>
    <w:rsid w:val="1AE87493"/>
    <w:rsid w:val="1AE9320B"/>
    <w:rsid w:val="1AE96D67"/>
    <w:rsid w:val="1AE973B2"/>
    <w:rsid w:val="1AEA387D"/>
    <w:rsid w:val="1AEA54AC"/>
    <w:rsid w:val="1AEA644E"/>
    <w:rsid w:val="1AEB4AD1"/>
    <w:rsid w:val="1AEB6D54"/>
    <w:rsid w:val="1AEB739A"/>
    <w:rsid w:val="1AEC7941"/>
    <w:rsid w:val="1AED2CFB"/>
    <w:rsid w:val="1AED4AA9"/>
    <w:rsid w:val="1AED4EF6"/>
    <w:rsid w:val="1AEE0821"/>
    <w:rsid w:val="1AF000F5"/>
    <w:rsid w:val="1AF06347"/>
    <w:rsid w:val="1AF30C6E"/>
    <w:rsid w:val="1AF34604"/>
    <w:rsid w:val="1AF37BE5"/>
    <w:rsid w:val="1AF424A5"/>
    <w:rsid w:val="1AF53561"/>
    <w:rsid w:val="1AF5395E"/>
    <w:rsid w:val="1AF5570C"/>
    <w:rsid w:val="1AF55817"/>
    <w:rsid w:val="1AF57E02"/>
    <w:rsid w:val="1AF60780"/>
    <w:rsid w:val="1AF84F97"/>
    <w:rsid w:val="1AFA6195"/>
    <w:rsid w:val="1AFC07EC"/>
    <w:rsid w:val="1AFD0A64"/>
    <w:rsid w:val="1AFD2812"/>
    <w:rsid w:val="1AFD7122"/>
    <w:rsid w:val="1AFE1108"/>
    <w:rsid w:val="1AFE3183"/>
    <w:rsid w:val="1AFE6CB6"/>
    <w:rsid w:val="1AFE7397"/>
    <w:rsid w:val="1AFF0CA6"/>
    <w:rsid w:val="1AFF2A2E"/>
    <w:rsid w:val="1AFF658A"/>
    <w:rsid w:val="1B0012E8"/>
    <w:rsid w:val="1B0043CE"/>
    <w:rsid w:val="1B0047C7"/>
    <w:rsid w:val="1B010554"/>
    <w:rsid w:val="1B0105E7"/>
    <w:rsid w:val="1B01079D"/>
    <w:rsid w:val="1B010952"/>
    <w:rsid w:val="1B011D21"/>
    <w:rsid w:val="1B012302"/>
    <w:rsid w:val="1B013CB7"/>
    <w:rsid w:val="1B022F94"/>
    <w:rsid w:val="1B031FF8"/>
    <w:rsid w:val="1B0342CC"/>
    <w:rsid w:val="1B035E72"/>
    <w:rsid w:val="1B041254"/>
    <w:rsid w:val="1B041BC6"/>
    <w:rsid w:val="1B042617"/>
    <w:rsid w:val="1B04355C"/>
    <w:rsid w:val="1B046F80"/>
    <w:rsid w:val="1B0555B5"/>
    <w:rsid w:val="1B0616F1"/>
    <w:rsid w:val="1B067919"/>
    <w:rsid w:val="1B081624"/>
    <w:rsid w:val="1B087B35"/>
    <w:rsid w:val="1B0911B7"/>
    <w:rsid w:val="1B09565B"/>
    <w:rsid w:val="1B0A2B5B"/>
    <w:rsid w:val="1B0A2B9D"/>
    <w:rsid w:val="1B0A7C6C"/>
    <w:rsid w:val="1B0B13D3"/>
    <w:rsid w:val="1B0B4F2F"/>
    <w:rsid w:val="1B0C03BC"/>
    <w:rsid w:val="1B0C4116"/>
    <w:rsid w:val="1B0C42DA"/>
    <w:rsid w:val="1B0C5787"/>
    <w:rsid w:val="1B0D0CA7"/>
    <w:rsid w:val="1B0D514B"/>
    <w:rsid w:val="1B0D6EF9"/>
    <w:rsid w:val="1B0E28A2"/>
    <w:rsid w:val="1B0E488D"/>
    <w:rsid w:val="1B0F3650"/>
    <w:rsid w:val="1B106DC8"/>
    <w:rsid w:val="1B122762"/>
    <w:rsid w:val="1B124510"/>
    <w:rsid w:val="1B1262BE"/>
    <w:rsid w:val="1B132036"/>
    <w:rsid w:val="1B135602"/>
    <w:rsid w:val="1B141348"/>
    <w:rsid w:val="1B1464DA"/>
    <w:rsid w:val="1B150A3A"/>
    <w:rsid w:val="1B150DFB"/>
    <w:rsid w:val="1B15353F"/>
    <w:rsid w:val="1B154000"/>
    <w:rsid w:val="1B155DAE"/>
    <w:rsid w:val="1B1611C8"/>
    <w:rsid w:val="1B16140A"/>
    <w:rsid w:val="1B162B24"/>
    <w:rsid w:val="1B171B26"/>
    <w:rsid w:val="1B1738D4"/>
    <w:rsid w:val="1B184313"/>
    <w:rsid w:val="1B185BD6"/>
    <w:rsid w:val="1B19589E"/>
    <w:rsid w:val="1B1A4355"/>
    <w:rsid w:val="1B1B527C"/>
    <w:rsid w:val="1B1B722A"/>
    <w:rsid w:val="1B1C60D2"/>
    <w:rsid w:val="1B1C713C"/>
    <w:rsid w:val="1B1D29C5"/>
    <w:rsid w:val="1B1D4C62"/>
    <w:rsid w:val="1B1D5396"/>
    <w:rsid w:val="1B1D6504"/>
    <w:rsid w:val="1B1D686F"/>
    <w:rsid w:val="1B1D78E7"/>
    <w:rsid w:val="1B1E5081"/>
    <w:rsid w:val="1B1F4E7E"/>
    <w:rsid w:val="1B1F7F62"/>
    <w:rsid w:val="1B204EAB"/>
    <w:rsid w:val="1B210BF7"/>
    <w:rsid w:val="1B221B56"/>
    <w:rsid w:val="1B221CCB"/>
    <w:rsid w:val="1B222279"/>
    <w:rsid w:val="1B22257E"/>
    <w:rsid w:val="1B23402C"/>
    <w:rsid w:val="1B243646"/>
    <w:rsid w:val="1B244243"/>
    <w:rsid w:val="1B24589D"/>
    <w:rsid w:val="1B245FF1"/>
    <w:rsid w:val="1B253E00"/>
    <w:rsid w:val="1B2566C4"/>
    <w:rsid w:val="1B261841"/>
    <w:rsid w:val="1B261D69"/>
    <w:rsid w:val="1B26620D"/>
    <w:rsid w:val="1B267688"/>
    <w:rsid w:val="1B267FBB"/>
    <w:rsid w:val="1B270B09"/>
    <w:rsid w:val="1B272F96"/>
    <w:rsid w:val="1B27381F"/>
    <w:rsid w:val="1B281F85"/>
    <w:rsid w:val="1B283D33"/>
    <w:rsid w:val="1B284CAF"/>
    <w:rsid w:val="1B2863F0"/>
    <w:rsid w:val="1B2A7AAB"/>
    <w:rsid w:val="1B2B55D1"/>
    <w:rsid w:val="1B2B737F"/>
    <w:rsid w:val="1B2B7683"/>
    <w:rsid w:val="1B2C22E1"/>
    <w:rsid w:val="1B2C36F3"/>
    <w:rsid w:val="1B2D22DD"/>
    <w:rsid w:val="1B2D5EB4"/>
    <w:rsid w:val="1B2D7593"/>
    <w:rsid w:val="1B2D76A8"/>
    <w:rsid w:val="1B2E00E9"/>
    <w:rsid w:val="1B2E0C1E"/>
    <w:rsid w:val="1B2E4481"/>
    <w:rsid w:val="1B2E60A1"/>
    <w:rsid w:val="1B2E6E70"/>
    <w:rsid w:val="1B2E7F2D"/>
    <w:rsid w:val="1B2F39F0"/>
    <w:rsid w:val="1B2F7453"/>
    <w:rsid w:val="1B302BE8"/>
    <w:rsid w:val="1B304B82"/>
    <w:rsid w:val="1B312A82"/>
    <w:rsid w:val="1B31517D"/>
    <w:rsid w:val="1B32070E"/>
    <w:rsid w:val="1B32432D"/>
    <w:rsid w:val="1B3267B5"/>
    <w:rsid w:val="1B3274A2"/>
    <w:rsid w:val="1B334486"/>
    <w:rsid w:val="1B34092A"/>
    <w:rsid w:val="1B3426D8"/>
    <w:rsid w:val="1B3501FE"/>
    <w:rsid w:val="1B355C6B"/>
    <w:rsid w:val="1B356450"/>
    <w:rsid w:val="1B3721C8"/>
    <w:rsid w:val="1B375D24"/>
    <w:rsid w:val="1B380E88"/>
    <w:rsid w:val="1B381BFF"/>
    <w:rsid w:val="1B391A9C"/>
    <w:rsid w:val="1B397CEE"/>
    <w:rsid w:val="1B3A27F0"/>
    <w:rsid w:val="1B3A3308"/>
    <w:rsid w:val="1B3A4574"/>
    <w:rsid w:val="1B3A5814"/>
    <w:rsid w:val="1B3B1CB8"/>
    <w:rsid w:val="1B3C158C"/>
    <w:rsid w:val="1B3C77DE"/>
    <w:rsid w:val="1B3E0616"/>
    <w:rsid w:val="1B3E0E77"/>
    <w:rsid w:val="1B3E5305"/>
    <w:rsid w:val="1B3E70B3"/>
    <w:rsid w:val="1B3F631C"/>
    <w:rsid w:val="1B40161D"/>
    <w:rsid w:val="1B402F36"/>
    <w:rsid w:val="1B414DF5"/>
    <w:rsid w:val="1B416BA3"/>
    <w:rsid w:val="1B42298E"/>
    <w:rsid w:val="1B427258"/>
    <w:rsid w:val="1B4346C9"/>
    <w:rsid w:val="1B440189"/>
    <w:rsid w:val="1B440441"/>
    <w:rsid w:val="1B441859"/>
    <w:rsid w:val="1B46240B"/>
    <w:rsid w:val="1B4641B9"/>
    <w:rsid w:val="1B466844"/>
    <w:rsid w:val="1B470331"/>
    <w:rsid w:val="1B472E09"/>
    <w:rsid w:val="1B474FB9"/>
    <w:rsid w:val="1B495259"/>
    <w:rsid w:val="1B495528"/>
    <w:rsid w:val="1B496E6A"/>
    <w:rsid w:val="1B4A3DD6"/>
    <w:rsid w:val="1B4B178A"/>
    <w:rsid w:val="1B4B1F01"/>
    <w:rsid w:val="1B4B5C73"/>
    <w:rsid w:val="1B4B6AC7"/>
    <w:rsid w:val="1B4B7A22"/>
    <w:rsid w:val="1B4B7D8E"/>
    <w:rsid w:val="1B4B7DC4"/>
    <w:rsid w:val="1B4C2C1A"/>
    <w:rsid w:val="1B4D19EC"/>
    <w:rsid w:val="1B4D379A"/>
    <w:rsid w:val="1B4D553A"/>
    <w:rsid w:val="1B4F12C0"/>
    <w:rsid w:val="1B4F7512"/>
    <w:rsid w:val="1B502309"/>
    <w:rsid w:val="1B505038"/>
    <w:rsid w:val="1B506DE6"/>
    <w:rsid w:val="1B515EA2"/>
    <w:rsid w:val="1B515F10"/>
    <w:rsid w:val="1B520DB0"/>
    <w:rsid w:val="1B522B5E"/>
    <w:rsid w:val="1B524430"/>
    <w:rsid w:val="1B5302B4"/>
    <w:rsid w:val="1B530684"/>
    <w:rsid w:val="1B5508A0"/>
    <w:rsid w:val="1B55264E"/>
    <w:rsid w:val="1B56062E"/>
    <w:rsid w:val="1B56146E"/>
    <w:rsid w:val="1B56354E"/>
    <w:rsid w:val="1B56689D"/>
    <w:rsid w:val="1B586FF5"/>
    <w:rsid w:val="1B590390"/>
    <w:rsid w:val="1B593EEC"/>
    <w:rsid w:val="1B596093"/>
    <w:rsid w:val="1B5A1A13"/>
    <w:rsid w:val="1B5A5081"/>
    <w:rsid w:val="1B5B5A5C"/>
    <w:rsid w:val="1B5B5EB7"/>
    <w:rsid w:val="1B5C0E4D"/>
    <w:rsid w:val="1B5C578B"/>
    <w:rsid w:val="1B5E7755"/>
    <w:rsid w:val="1B5F527B"/>
    <w:rsid w:val="1B5F6E6F"/>
    <w:rsid w:val="1B602520"/>
    <w:rsid w:val="1B6034CD"/>
    <w:rsid w:val="1B604B3A"/>
    <w:rsid w:val="1B606286"/>
    <w:rsid w:val="1B610FF3"/>
    <w:rsid w:val="1B62174C"/>
    <w:rsid w:val="1B622F88"/>
    <w:rsid w:val="1B632044"/>
    <w:rsid w:val="1B634D6B"/>
    <w:rsid w:val="1B636B19"/>
    <w:rsid w:val="1B650AE3"/>
    <w:rsid w:val="1B6606B1"/>
    <w:rsid w:val="1B662AAD"/>
    <w:rsid w:val="1B66485B"/>
    <w:rsid w:val="1B66607E"/>
    <w:rsid w:val="1B666609"/>
    <w:rsid w:val="1B667EB9"/>
    <w:rsid w:val="1B670CB1"/>
    <w:rsid w:val="1B684130"/>
    <w:rsid w:val="1B685BD5"/>
    <w:rsid w:val="1B68602F"/>
    <w:rsid w:val="1B687433"/>
    <w:rsid w:val="1B697EA8"/>
    <w:rsid w:val="1B6A434C"/>
    <w:rsid w:val="1B6A4663"/>
    <w:rsid w:val="1B6A60FA"/>
    <w:rsid w:val="1B6B0221"/>
    <w:rsid w:val="1B6B22AD"/>
    <w:rsid w:val="1B6B3C20"/>
    <w:rsid w:val="1B6B406E"/>
    <w:rsid w:val="1B6C00C4"/>
    <w:rsid w:val="1B6C164F"/>
    <w:rsid w:val="1B6C1ABF"/>
    <w:rsid w:val="1B6C2B64"/>
    <w:rsid w:val="1B6C2D6A"/>
    <w:rsid w:val="1B6D1746"/>
    <w:rsid w:val="1B6D5BEA"/>
    <w:rsid w:val="1B6D7998"/>
    <w:rsid w:val="1B6E1A5C"/>
    <w:rsid w:val="1B6E3A5A"/>
    <w:rsid w:val="1B6F0E38"/>
    <w:rsid w:val="1B6F1962"/>
    <w:rsid w:val="1B6F3710"/>
    <w:rsid w:val="1B701236"/>
    <w:rsid w:val="1B7012EA"/>
    <w:rsid w:val="1B70142F"/>
    <w:rsid w:val="1B7156DA"/>
    <w:rsid w:val="1B7177FB"/>
    <w:rsid w:val="1B721B77"/>
    <w:rsid w:val="1B730104"/>
    <w:rsid w:val="1B7368A1"/>
    <w:rsid w:val="1B737A55"/>
    <w:rsid w:val="1B75684C"/>
    <w:rsid w:val="1B762CF0"/>
    <w:rsid w:val="1B765E86"/>
    <w:rsid w:val="1B775D42"/>
    <w:rsid w:val="1B776F9B"/>
    <w:rsid w:val="1B7802A0"/>
    <w:rsid w:val="1B783301"/>
    <w:rsid w:val="1B7900EB"/>
    <w:rsid w:val="1B7A5C97"/>
    <w:rsid w:val="1B7B0307"/>
    <w:rsid w:val="1B7B6DB5"/>
    <w:rsid w:val="1B7C407F"/>
    <w:rsid w:val="1B7F6F38"/>
    <w:rsid w:val="1B7F7470"/>
    <w:rsid w:val="1B803B6F"/>
    <w:rsid w:val="1B811C17"/>
    <w:rsid w:val="1B8151F1"/>
    <w:rsid w:val="1B830F69"/>
    <w:rsid w:val="1B835D4B"/>
    <w:rsid w:val="1B8362B7"/>
    <w:rsid w:val="1B844ABD"/>
    <w:rsid w:val="1B851185"/>
    <w:rsid w:val="1B86423A"/>
    <w:rsid w:val="1B8756CA"/>
    <w:rsid w:val="1B8777C4"/>
    <w:rsid w:val="1B8847D2"/>
    <w:rsid w:val="1B892BBB"/>
    <w:rsid w:val="1B8A22F8"/>
    <w:rsid w:val="1B8A404B"/>
    <w:rsid w:val="1B8B6070"/>
    <w:rsid w:val="1B8C15F6"/>
    <w:rsid w:val="1B8D0D5F"/>
    <w:rsid w:val="1B8D1E9B"/>
    <w:rsid w:val="1B8D3B96"/>
    <w:rsid w:val="1B8E7F63"/>
    <w:rsid w:val="1B8F252F"/>
    <w:rsid w:val="1B8F2C3F"/>
    <w:rsid w:val="1B903686"/>
    <w:rsid w:val="1B910BFE"/>
    <w:rsid w:val="1B910DB4"/>
    <w:rsid w:val="1B9117F5"/>
    <w:rsid w:val="1B917B2A"/>
    <w:rsid w:val="1B9227DD"/>
    <w:rsid w:val="1B9238A2"/>
    <w:rsid w:val="1B925650"/>
    <w:rsid w:val="1B9273FE"/>
    <w:rsid w:val="1B937410"/>
    <w:rsid w:val="1B9413C8"/>
    <w:rsid w:val="1B94230A"/>
    <w:rsid w:val="1B943177"/>
    <w:rsid w:val="1B944F25"/>
    <w:rsid w:val="1B9456FC"/>
    <w:rsid w:val="1B965141"/>
    <w:rsid w:val="1B966EEF"/>
    <w:rsid w:val="1B9719A1"/>
    <w:rsid w:val="1B9723D0"/>
    <w:rsid w:val="1B9804B4"/>
    <w:rsid w:val="1B99078D"/>
    <w:rsid w:val="1B9969DF"/>
    <w:rsid w:val="1B9A22D2"/>
    <w:rsid w:val="1B9A6D54"/>
    <w:rsid w:val="1B9B4505"/>
    <w:rsid w:val="1B9B4FD0"/>
    <w:rsid w:val="1B9C202B"/>
    <w:rsid w:val="1B9D24C1"/>
    <w:rsid w:val="1B9D4223"/>
    <w:rsid w:val="1B9E2247"/>
    <w:rsid w:val="1B9E3FF5"/>
    <w:rsid w:val="1B9E5DA3"/>
    <w:rsid w:val="1B9F38FC"/>
    <w:rsid w:val="1BA01B1B"/>
    <w:rsid w:val="1BA04F53"/>
    <w:rsid w:val="1BA07D6D"/>
    <w:rsid w:val="1BA17BC3"/>
    <w:rsid w:val="1BA24730"/>
    <w:rsid w:val="1BA33115"/>
    <w:rsid w:val="1BA37C3C"/>
    <w:rsid w:val="1BA404FC"/>
    <w:rsid w:val="1BA4729C"/>
    <w:rsid w:val="1BA55384"/>
    <w:rsid w:val="1BA57132"/>
    <w:rsid w:val="1BA62EAA"/>
    <w:rsid w:val="1BA64C58"/>
    <w:rsid w:val="1BA6544E"/>
    <w:rsid w:val="1BA67F37"/>
    <w:rsid w:val="1BA710FC"/>
    <w:rsid w:val="1BA72E6B"/>
    <w:rsid w:val="1BA77612"/>
    <w:rsid w:val="1BA81FEC"/>
    <w:rsid w:val="1BA86B8C"/>
    <w:rsid w:val="1BA90A64"/>
    <w:rsid w:val="1BA97566"/>
    <w:rsid w:val="1BAA3635"/>
    <w:rsid w:val="1BAA70FC"/>
    <w:rsid w:val="1BAB04C0"/>
    <w:rsid w:val="1BAB226E"/>
    <w:rsid w:val="1BAB3F2A"/>
    <w:rsid w:val="1BAC4C87"/>
    <w:rsid w:val="1BAD248A"/>
    <w:rsid w:val="1BAD73E5"/>
    <w:rsid w:val="1BAE49FE"/>
    <w:rsid w:val="1BAE5411"/>
    <w:rsid w:val="1BAE5697"/>
    <w:rsid w:val="1BAF1D5E"/>
    <w:rsid w:val="1BAF47C7"/>
    <w:rsid w:val="1BAF54B6"/>
    <w:rsid w:val="1BAF6202"/>
    <w:rsid w:val="1BAF7001"/>
    <w:rsid w:val="1BAF7D6C"/>
    <w:rsid w:val="1BB04D0E"/>
    <w:rsid w:val="1BB05AD7"/>
    <w:rsid w:val="1BB074A7"/>
    <w:rsid w:val="1BB33257"/>
    <w:rsid w:val="1BB35E3C"/>
    <w:rsid w:val="1BB41732"/>
    <w:rsid w:val="1BB455C7"/>
    <w:rsid w:val="1BB6133F"/>
    <w:rsid w:val="1BB67591"/>
    <w:rsid w:val="1BB704FD"/>
    <w:rsid w:val="1BB71ADC"/>
    <w:rsid w:val="1BB72E13"/>
    <w:rsid w:val="1BB750B7"/>
    <w:rsid w:val="1BB75F4C"/>
    <w:rsid w:val="1BB76E65"/>
    <w:rsid w:val="1BB9498B"/>
    <w:rsid w:val="1BBB0703"/>
    <w:rsid w:val="1BBB516C"/>
    <w:rsid w:val="1BBB612C"/>
    <w:rsid w:val="1BBC5D0B"/>
    <w:rsid w:val="1BBD091F"/>
    <w:rsid w:val="1BBD1204"/>
    <w:rsid w:val="1BBE01F3"/>
    <w:rsid w:val="1BBE1FA1"/>
    <w:rsid w:val="1BBE2F3B"/>
    <w:rsid w:val="1BBE70BF"/>
    <w:rsid w:val="1BBE724C"/>
    <w:rsid w:val="1BBF0C17"/>
    <w:rsid w:val="1BBF5D5B"/>
    <w:rsid w:val="1BBF6165"/>
    <w:rsid w:val="1BBF631B"/>
    <w:rsid w:val="1BC01FA0"/>
    <w:rsid w:val="1BC03F6C"/>
    <w:rsid w:val="1BC11A92"/>
    <w:rsid w:val="1BC122EF"/>
    <w:rsid w:val="1BC20F73"/>
    <w:rsid w:val="1BC21D3A"/>
    <w:rsid w:val="1BC21F3A"/>
    <w:rsid w:val="1BC22AE4"/>
    <w:rsid w:val="1BC31CAE"/>
    <w:rsid w:val="1BC33A5C"/>
    <w:rsid w:val="1BC409C5"/>
    <w:rsid w:val="1BC47EF0"/>
    <w:rsid w:val="1BC51582"/>
    <w:rsid w:val="1BC616CD"/>
    <w:rsid w:val="1BC64867"/>
    <w:rsid w:val="1BC7354C"/>
    <w:rsid w:val="1BC81072"/>
    <w:rsid w:val="1BC83FED"/>
    <w:rsid w:val="1BC947C4"/>
    <w:rsid w:val="1BC953AA"/>
    <w:rsid w:val="1BC97D2D"/>
    <w:rsid w:val="1BCA2C1F"/>
    <w:rsid w:val="1BCA303C"/>
    <w:rsid w:val="1BCA6B98"/>
    <w:rsid w:val="1BCB01F5"/>
    <w:rsid w:val="1BCC0B62"/>
    <w:rsid w:val="1BCC1C10"/>
    <w:rsid w:val="1BCD0437"/>
    <w:rsid w:val="1BCD0942"/>
    <w:rsid w:val="1BCD0D54"/>
    <w:rsid w:val="1BCD15A0"/>
    <w:rsid w:val="1BCE2B53"/>
    <w:rsid w:val="1BCF11B6"/>
    <w:rsid w:val="1BCF29E2"/>
    <w:rsid w:val="1BCF30CE"/>
    <w:rsid w:val="1BCF41AF"/>
    <w:rsid w:val="1BCF667C"/>
    <w:rsid w:val="1BD01CD5"/>
    <w:rsid w:val="1BD023F3"/>
    <w:rsid w:val="1BD113B1"/>
    <w:rsid w:val="1BD143CB"/>
    <w:rsid w:val="1BD21EF1"/>
    <w:rsid w:val="1BD22712"/>
    <w:rsid w:val="1BD25A4D"/>
    <w:rsid w:val="1BD26CC8"/>
    <w:rsid w:val="1BD417C5"/>
    <w:rsid w:val="1BD60356"/>
    <w:rsid w:val="1BD73063"/>
    <w:rsid w:val="1BD735E9"/>
    <w:rsid w:val="1BD82632"/>
    <w:rsid w:val="1BD866B3"/>
    <w:rsid w:val="1BD9327F"/>
    <w:rsid w:val="1BD94212"/>
    <w:rsid w:val="1BD94F72"/>
    <w:rsid w:val="1BD97B43"/>
    <w:rsid w:val="1BD97C05"/>
    <w:rsid w:val="1BDA0393"/>
    <w:rsid w:val="1BDA39E6"/>
    <w:rsid w:val="1BDA4AC3"/>
    <w:rsid w:val="1BDB39AC"/>
    <w:rsid w:val="1BDC2DB4"/>
    <w:rsid w:val="1BDC5123"/>
    <w:rsid w:val="1BDD0FE1"/>
    <w:rsid w:val="1BDD2D6F"/>
    <w:rsid w:val="1BDD4B1E"/>
    <w:rsid w:val="1BDD6130"/>
    <w:rsid w:val="1BDE0DE4"/>
    <w:rsid w:val="1BDE2644"/>
    <w:rsid w:val="1BDE6861"/>
    <w:rsid w:val="1BE04E45"/>
    <w:rsid w:val="1BE14F6D"/>
    <w:rsid w:val="1BE1666F"/>
    <w:rsid w:val="1BE17CD8"/>
    <w:rsid w:val="1BE20386"/>
    <w:rsid w:val="1BE22336"/>
    <w:rsid w:val="1BE317BB"/>
    <w:rsid w:val="1BE37C5A"/>
    <w:rsid w:val="1BE40D3E"/>
    <w:rsid w:val="1BE539D2"/>
    <w:rsid w:val="1BE55780"/>
    <w:rsid w:val="1BE60CB7"/>
    <w:rsid w:val="1BE614F8"/>
    <w:rsid w:val="1BE676EC"/>
    <w:rsid w:val="1BE702C9"/>
    <w:rsid w:val="1BE86120"/>
    <w:rsid w:val="1BE861A8"/>
    <w:rsid w:val="1BE87456"/>
    <w:rsid w:val="1BE91714"/>
    <w:rsid w:val="1BE972DA"/>
    <w:rsid w:val="1BEA0FE8"/>
    <w:rsid w:val="1BEA5032"/>
    <w:rsid w:val="1BEA548C"/>
    <w:rsid w:val="1BEC2FB3"/>
    <w:rsid w:val="1BED07CB"/>
    <w:rsid w:val="1BED0AD9"/>
    <w:rsid w:val="1BED2887"/>
    <w:rsid w:val="1BED7449"/>
    <w:rsid w:val="1BEE499C"/>
    <w:rsid w:val="1BEE5AEC"/>
    <w:rsid w:val="1BEE6D2B"/>
    <w:rsid w:val="1BEF192A"/>
    <w:rsid w:val="1BEF4261"/>
    <w:rsid w:val="1BEF4851"/>
    <w:rsid w:val="1BEF65FF"/>
    <w:rsid w:val="1BF03704"/>
    <w:rsid w:val="1BF07DD0"/>
    <w:rsid w:val="1BF12377"/>
    <w:rsid w:val="1BF1271A"/>
    <w:rsid w:val="1BF152E7"/>
    <w:rsid w:val="1BF332BB"/>
    <w:rsid w:val="1BF347A8"/>
    <w:rsid w:val="1BF355C7"/>
    <w:rsid w:val="1BF43C15"/>
    <w:rsid w:val="1BF52034"/>
    <w:rsid w:val="1BF53514"/>
    <w:rsid w:val="1BF579E3"/>
    <w:rsid w:val="1BF60B6E"/>
    <w:rsid w:val="1BF7103C"/>
    <w:rsid w:val="1BF77F14"/>
    <w:rsid w:val="1BF8028F"/>
    <w:rsid w:val="1BF805FB"/>
    <w:rsid w:val="1BF833EF"/>
    <w:rsid w:val="1BF8436B"/>
    <w:rsid w:val="1BF9122C"/>
    <w:rsid w:val="1BF9208D"/>
    <w:rsid w:val="1BF9747E"/>
    <w:rsid w:val="1BFB2E1E"/>
    <w:rsid w:val="1BFB31F6"/>
    <w:rsid w:val="1BFB4FA4"/>
    <w:rsid w:val="1BFC2ACA"/>
    <w:rsid w:val="1BFC55D5"/>
    <w:rsid w:val="1BFD0BB4"/>
    <w:rsid w:val="1BFD0D1C"/>
    <w:rsid w:val="1BFD436D"/>
    <w:rsid w:val="1BFD4B3E"/>
    <w:rsid w:val="1BFD51C0"/>
    <w:rsid w:val="1BFD6F6E"/>
    <w:rsid w:val="1BFE3FAE"/>
    <w:rsid w:val="1BFE4A94"/>
    <w:rsid w:val="1BFF4EA8"/>
    <w:rsid w:val="1C0025BA"/>
    <w:rsid w:val="1C006A5E"/>
    <w:rsid w:val="1C01417E"/>
    <w:rsid w:val="1C017DB6"/>
    <w:rsid w:val="1C03166F"/>
    <w:rsid w:val="1C0320AA"/>
    <w:rsid w:val="1C0468C3"/>
    <w:rsid w:val="1C0500C2"/>
    <w:rsid w:val="1C054074"/>
    <w:rsid w:val="1C057BD0"/>
    <w:rsid w:val="1C07072D"/>
    <w:rsid w:val="1C071C07"/>
    <w:rsid w:val="1C07202B"/>
    <w:rsid w:val="1C072396"/>
    <w:rsid w:val="1C073948"/>
    <w:rsid w:val="1C074B5F"/>
    <w:rsid w:val="1C081480"/>
    <w:rsid w:val="1C081A0E"/>
    <w:rsid w:val="1C082BEE"/>
    <w:rsid w:val="1C0876C1"/>
    <w:rsid w:val="1C092910"/>
    <w:rsid w:val="1C0941C4"/>
    <w:rsid w:val="1C0A168B"/>
    <w:rsid w:val="1C0A58D4"/>
    <w:rsid w:val="1C0A6AB2"/>
    <w:rsid w:val="1C0B09D0"/>
    <w:rsid w:val="1C0C5403"/>
    <w:rsid w:val="1C0C5E85"/>
    <w:rsid w:val="1C0C71B1"/>
    <w:rsid w:val="1C0D0309"/>
    <w:rsid w:val="1C0E0C0A"/>
    <w:rsid w:val="1C0E2F29"/>
    <w:rsid w:val="1C0E5BC0"/>
    <w:rsid w:val="1C0E5DE6"/>
    <w:rsid w:val="1C0F0A4F"/>
    <w:rsid w:val="1C1153B4"/>
    <w:rsid w:val="1C125103"/>
    <w:rsid w:val="1C13053F"/>
    <w:rsid w:val="1C131164"/>
    <w:rsid w:val="1C135E33"/>
    <w:rsid w:val="1C142509"/>
    <w:rsid w:val="1C15241C"/>
    <w:rsid w:val="1C153A84"/>
    <w:rsid w:val="1C1549BE"/>
    <w:rsid w:val="1C161529"/>
    <w:rsid w:val="1C166281"/>
    <w:rsid w:val="1C167AAF"/>
    <w:rsid w:val="1C177DC5"/>
    <w:rsid w:val="1C183DA8"/>
    <w:rsid w:val="1C186E96"/>
    <w:rsid w:val="1C191A02"/>
    <w:rsid w:val="1C194FD6"/>
    <w:rsid w:val="1C1B1EB3"/>
    <w:rsid w:val="1C1B78F6"/>
    <w:rsid w:val="1C1C5CB3"/>
    <w:rsid w:val="1C1D316C"/>
    <w:rsid w:val="1C1D3957"/>
    <w:rsid w:val="1C1D5257"/>
    <w:rsid w:val="1C1E0C92"/>
    <w:rsid w:val="1C1E1E03"/>
    <w:rsid w:val="1C1E3C86"/>
    <w:rsid w:val="1C1F3136"/>
    <w:rsid w:val="1C1F5136"/>
    <w:rsid w:val="1C200EAE"/>
    <w:rsid w:val="1C204A0A"/>
    <w:rsid w:val="1C2079BB"/>
    <w:rsid w:val="1C212759"/>
    <w:rsid w:val="1C212950"/>
    <w:rsid w:val="1C220782"/>
    <w:rsid w:val="1C2308D3"/>
    <w:rsid w:val="1C233876"/>
    <w:rsid w:val="1C2362A8"/>
    <w:rsid w:val="1C241E60"/>
    <w:rsid w:val="1C24274C"/>
    <w:rsid w:val="1C243530"/>
    <w:rsid w:val="1C246886"/>
    <w:rsid w:val="1C250273"/>
    <w:rsid w:val="1C252021"/>
    <w:rsid w:val="1C262BEA"/>
    <w:rsid w:val="1C264715"/>
    <w:rsid w:val="1C272114"/>
    <w:rsid w:val="1C272965"/>
    <w:rsid w:val="1C276B8E"/>
    <w:rsid w:val="1C28386D"/>
    <w:rsid w:val="1C2856B5"/>
    <w:rsid w:val="1C287B02"/>
    <w:rsid w:val="1C29084E"/>
    <w:rsid w:val="1C2909CE"/>
    <w:rsid w:val="1C294ACB"/>
    <w:rsid w:val="1C2A3A88"/>
    <w:rsid w:val="1C2A481A"/>
    <w:rsid w:val="1C2C087B"/>
    <w:rsid w:val="1C2D7127"/>
    <w:rsid w:val="1C2E1720"/>
    <w:rsid w:val="1C2F2E9F"/>
    <w:rsid w:val="1C2F4C4D"/>
    <w:rsid w:val="1C2F6A1B"/>
    <w:rsid w:val="1C326E0B"/>
    <w:rsid w:val="1C330BE1"/>
    <w:rsid w:val="1C33473D"/>
    <w:rsid w:val="1C334DB0"/>
    <w:rsid w:val="1C3404B6"/>
    <w:rsid w:val="1C346708"/>
    <w:rsid w:val="1C362480"/>
    <w:rsid w:val="1C365FDC"/>
    <w:rsid w:val="1C366EC8"/>
    <w:rsid w:val="1C3721EA"/>
    <w:rsid w:val="1C3773D9"/>
    <w:rsid w:val="1C381D54"/>
    <w:rsid w:val="1C385058"/>
    <w:rsid w:val="1C3861F8"/>
    <w:rsid w:val="1C393E7F"/>
    <w:rsid w:val="1C395ACC"/>
    <w:rsid w:val="1C3A0CAD"/>
    <w:rsid w:val="1C3A1F70"/>
    <w:rsid w:val="1C3A34E8"/>
    <w:rsid w:val="1C3A3E26"/>
    <w:rsid w:val="1C3B1844"/>
    <w:rsid w:val="1C3B579F"/>
    <w:rsid w:val="1C3B5CE8"/>
    <w:rsid w:val="1C3C3C95"/>
    <w:rsid w:val="1C3C3EE3"/>
    <w:rsid w:val="1C3D3142"/>
    <w:rsid w:val="1C3D4434"/>
    <w:rsid w:val="1C3D55BC"/>
    <w:rsid w:val="1C3D736A"/>
    <w:rsid w:val="1C3E30E2"/>
    <w:rsid w:val="1C3E5A5B"/>
    <w:rsid w:val="1C3F2151"/>
    <w:rsid w:val="1C4032FE"/>
    <w:rsid w:val="1C404155"/>
    <w:rsid w:val="1C406E5A"/>
    <w:rsid w:val="1C4115A3"/>
    <w:rsid w:val="1C411EE7"/>
    <w:rsid w:val="1C41313F"/>
    <w:rsid w:val="1C420357"/>
    <w:rsid w:val="1C427076"/>
    <w:rsid w:val="1C4306F9"/>
    <w:rsid w:val="1C433D02"/>
    <w:rsid w:val="1C434466"/>
    <w:rsid w:val="1C444B9D"/>
    <w:rsid w:val="1C44694B"/>
    <w:rsid w:val="1C450915"/>
    <w:rsid w:val="1C4526C3"/>
    <w:rsid w:val="1C4529B6"/>
    <w:rsid w:val="1C463555"/>
    <w:rsid w:val="1C470054"/>
    <w:rsid w:val="1C475483"/>
    <w:rsid w:val="1C47643B"/>
    <w:rsid w:val="1C4767EB"/>
    <w:rsid w:val="1C480CEA"/>
    <w:rsid w:val="1C484543"/>
    <w:rsid w:val="1C491214"/>
    <w:rsid w:val="1C4970E5"/>
    <w:rsid w:val="1C497378"/>
    <w:rsid w:val="1C49777C"/>
    <w:rsid w:val="1C4A0680"/>
    <w:rsid w:val="1C4A110E"/>
    <w:rsid w:val="1C4A7CD9"/>
    <w:rsid w:val="1C4B2E0B"/>
    <w:rsid w:val="1C4B61CA"/>
    <w:rsid w:val="1C4C1CA3"/>
    <w:rsid w:val="1C4D1DF2"/>
    <w:rsid w:val="1C4E1E20"/>
    <w:rsid w:val="1C4E5A1B"/>
    <w:rsid w:val="1C4E77C9"/>
    <w:rsid w:val="1C4E7BFF"/>
    <w:rsid w:val="1C4F189B"/>
    <w:rsid w:val="1C4F52EF"/>
    <w:rsid w:val="1C4F65C7"/>
    <w:rsid w:val="1C5027A4"/>
    <w:rsid w:val="1C5055A7"/>
    <w:rsid w:val="1C512E14"/>
    <w:rsid w:val="1C512E16"/>
    <w:rsid w:val="1C52438D"/>
    <w:rsid w:val="1C533032"/>
    <w:rsid w:val="1C534DE0"/>
    <w:rsid w:val="1C550800"/>
    <w:rsid w:val="1C552658"/>
    <w:rsid w:val="1C556DAA"/>
    <w:rsid w:val="1C56042C"/>
    <w:rsid w:val="1C563AE8"/>
    <w:rsid w:val="1C5648D0"/>
    <w:rsid w:val="1C5823F6"/>
    <w:rsid w:val="1C583D34"/>
    <w:rsid w:val="1C5841A4"/>
    <w:rsid w:val="1C5A38F9"/>
    <w:rsid w:val="1C5A43C0"/>
    <w:rsid w:val="1C5A4E96"/>
    <w:rsid w:val="1C5B1EE6"/>
    <w:rsid w:val="1C5B48AA"/>
    <w:rsid w:val="1C5B5A42"/>
    <w:rsid w:val="1C5C30AE"/>
    <w:rsid w:val="1C5C795A"/>
    <w:rsid w:val="1C5D07C7"/>
    <w:rsid w:val="1C5D0DEA"/>
    <w:rsid w:val="1C5D36A4"/>
    <w:rsid w:val="1C5D63F5"/>
    <w:rsid w:val="1C5D7A0C"/>
    <w:rsid w:val="1C5E0883"/>
    <w:rsid w:val="1C5E0A39"/>
    <w:rsid w:val="1C5E7925"/>
    <w:rsid w:val="1C5F0DE0"/>
    <w:rsid w:val="1C5F19D6"/>
    <w:rsid w:val="1C5F1F25"/>
    <w:rsid w:val="1C5F3784"/>
    <w:rsid w:val="1C60293D"/>
    <w:rsid w:val="1C6074FD"/>
    <w:rsid w:val="1C607C18"/>
    <w:rsid w:val="1C61021D"/>
    <w:rsid w:val="1C610BFB"/>
    <w:rsid w:val="1C613BDE"/>
    <w:rsid w:val="1C6276D5"/>
    <w:rsid w:val="1C6309D7"/>
    <w:rsid w:val="1C64503C"/>
    <w:rsid w:val="1C676ADD"/>
    <w:rsid w:val="1C68546D"/>
    <w:rsid w:val="1C69015F"/>
    <w:rsid w:val="1C6938F1"/>
    <w:rsid w:val="1C694603"/>
    <w:rsid w:val="1C6A0C70"/>
    <w:rsid w:val="1C6A1CAD"/>
    <w:rsid w:val="1C6A2129"/>
    <w:rsid w:val="1C6C5D0E"/>
    <w:rsid w:val="1C6C5EA1"/>
    <w:rsid w:val="1C6C7F6D"/>
    <w:rsid w:val="1C6D20FE"/>
    <w:rsid w:val="1C6E54EF"/>
    <w:rsid w:val="1C6E5776"/>
    <w:rsid w:val="1C6E7E6B"/>
    <w:rsid w:val="1C6F64EA"/>
    <w:rsid w:val="1C6F6673"/>
    <w:rsid w:val="1C6F691E"/>
    <w:rsid w:val="1C71170A"/>
    <w:rsid w:val="1C730C20"/>
    <w:rsid w:val="1C730FDE"/>
    <w:rsid w:val="1C731A53"/>
    <w:rsid w:val="1C734F36"/>
    <w:rsid w:val="1C735482"/>
    <w:rsid w:val="1C744D56"/>
    <w:rsid w:val="1C746C75"/>
    <w:rsid w:val="1C7517BC"/>
    <w:rsid w:val="1C751AA9"/>
    <w:rsid w:val="1C752C38"/>
    <w:rsid w:val="1C761828"/>
    <w:rsid w:val="1C7627BD"/>
    <w:rsid w:val="1C766D20"/>
    <w:rsid w:val="1C782A98"/>
    <w:rsid w:val="1C7840FD"/>
    <w:rsid w:val="1C7A0069"/>
    <w:rsid w:val="1C7A05BE"/>
    <w:rsid w:val="1C7A5D5E"/>
    <w:rsid w:val="1C7B2C32"/>
    <w:rsid w:val="1C7B4336"/>
    <w:rsid w:val="1C7B5687"/>
    <w:rsid w:val="1C7B60E4"/>
    <w:rsid w:val="1C7C3066"/>
    <w:rsid w:val="1C7D00AF"/>
    <w:rsid w:val="1C7D1E5D"/>
    <w:rsid w:val="1C7E0123"/>
    <w:rsid w:val="1C7E2CF4"/>
    <w:rsid w:val="1C7E47A3"/>
    <w:rsid w:val="1C7E51B1"/>
    <w:rsid w:val="1C7E60FF"/>
    <w:rsid w:val="1C80194D"/>
    <w:rsid w:val="1C8054A9"/>
    <w:rsid w:val="1C8168BA"/>
    <w:rsid w:val="1C817B9F"/>
    <w:rsid w:val="1C856F63"/>
    <w:rsid w:val="1C857C07"/>
    <w:rsid w:val="1C857FF6"/>
    <w:rsid w:val="1C861DC7"/>
    <w:rsid w:val="1C870E60"/>
    <w:rsid w:val="1C87149D"/>
    <w:rsid w:val="1C876D00"/>
    <w:rsid w:val="1C886A3E"/>
    <w:rsid w:val="1C8901D0"/>
    <w:rsid w:val="1C890387"/>
    <w:rsid w:val="1C890801"/>
    <w:rsid w:val="1C8A1297"/>
    <w:rsid w:val="1C8A3FE5"/>
    <w:rsid w:val="1C8A519E"/>
    <w:rsid w:val="1C8B27CB"/>
    <w:rsid w:val="1C8B457A"/>
    <w:rsid w:val="1C8C3700"/>
    <w:rsid w:val="1C8C42BD"/>
    <w:rsid w:val="1C8C6B54"/>
    <w:rsid w:val="1C8D4A45"/>
    <w:rsid w:val="1C8D6788"/>
    <w:rsid w:val="1C8E406A"/>
    <w:rsid w:val="1C8E5B71"/>
    <w:rsid w:val="1C8E5E18"/>
    <w:rsid w:val="1C900286"/>
    <w:rsid w:val="1C90762E"/>
    <w:rsid w:val="1C907DE2"/>
    <w:rsid w:val="1C915908"/>
    <w:rsid w:val="1C9176B6"/>
    <w:rsid w:val="1C933922"/>
    <w:rsid w:val="1C940F54"/>
    <w:rsid w:val="1C942349"/>
    <w:rsid w:val="1C943126"/>
    <w:rsid w:val="1C9571A6"/>
    <w:rsid w:val="1C960F7B"/>
    <w:rsid w:val="1C962F1E"/>
    <w:rsid w:val="1C9674C2"/>
    <w:rsid w:val="1C9676CE"/>
    <w:rsid w:val="1C970B3C"/>
    <w:rsid w:val="1C975FE5"/>
    <w:rsid w:val="1C98152A"/>
    <w:rsid w:val="1C981A4A"/>
    <w:rsid w:val="1C986C96"/>
    <w:rsid w:val="1C991131"/>
    <w:rsid w:val="1C99656B"/>
    <w:rsid w:val="1C9A0C60"/>
    <w:rsid w:val="1C9A5DF9"/>
    <w:rsid w:val="1C9B0535"/>
    <w:rsid w:val="1C9B22E3"/>
    <w:rsid w:val="1C9C198A"/>
    <w:rsid w:val="1C9C60C8"/>
    <w:rsid w:val="1C9D24FF"/>
    <w:rsid w:val="1C9D301D"/>
    <w:rsid w:val="1C9D605B"/>
    <w:rsid w:val="1C9F7C9C"/>
    <w:rsid w:val="1CA06A08"/>
    <w:rsid w:val="1CA078F9"/>
    <w:rsid w:val="1CA12D03"/>
    <w:rsid w:val="1CA1517C"/>
    <w:rsid w:val="1CA218C3"/>
    <w:rsid w:val="1CA21F4A"/>
    <w:rsid w:val="1CA23671"/>
    <w:rsid w:val="1CA27B15"/>
    <w:rsid w:val="1CA30FE2"/>
    <w:rsid w:val="1CA347AF"/>
    <w:rsid w:val="1CA353EC"/>
    <w:rsid w:val="1CA40C0C"/>
    <w:rsid w:val="1CA65CBB"/>
    <w:rsid w:val="1CA67605"/>
    <w:rsid w:val="1CA70C88"/>
    <w:rsid w:val="1CA710ED"/>
    <w:rsid w:val="1CA72E59"/>
    <w:rsid w:val="1CA82ABC"/>
    <w:rsid w:val="1CA8347B"/>
    <w:rsid w:val="1CA910AA"/>
    <w:rsid w:val="1CA94A00"/>
    <w:rsid w:val="1CAA0778"/>
    <w:rsid w:val="1CAA1EAE"/>
    <w:rsid w:val="1CAA358D"/>
    <w:rsid w:val="1CAA49F4"/>
    <w:rsid w:val="1CAA5C0C"/>
    <w:rsid w:val="1CAC629E"/>
    <w:rsid w:val="1CAE0268"/>
    <w:rsid w:val="1CAE5AC1"/>
    <w:rsid w:val="1CAE7202"/>
    <w:rsid w:val="1CB00C23"/>
    <w:rsid w:val="1CB02068"/>
    <w:rsid w:val="1CB02FB2"/>
    <w:rsid w:val="1CB03FE0"/>
    <w:rsid w:val="1CB05D8E"/>
    <w:rsid w:val="1CB10E71"/>
    <w:rsid w:val="1CB11B06"/>
    <w:rsid w:val="1CB14442"/>
    <w:rsid w:val="1CB154BE"/>
    <w:rsid w:val="1CB17D58"/>
    <w:rsid w:val="1CB239FA"/>
    <w:rsid w:val="1CB275BA"/>
    <w:rsid w:val="1CB33AD0"/>
    <w:rsid w:val="1CB3587E"/>
    <w:rsid w:val="1CB3762C"/>
    <w:rsid w:val="1CB42218"/>
    <w:rsid w:val="1CB47446"/>
    <w:rsid w:val="1CB47967"/>
    <w:rsid w:val="1CB57848"/>
    <w:rsid w:val="1CB57E73"/>
    <w:rsid w:val="1CB6711D"/>
    <w:rsid w:val="1CB77D0D"/>
    <w:rsid w:val="1CB81FF4"/>
    <w:rsid w:val="1CB87339"/>
    <w:rsid w:val="1CB9002E"/>
    <w:rsid w:val="1CB957A5"/>
    <w:rsid w:val="1CBA09BB"/>
    <w:rsid w:val="1CBB00C5"/>
    <w:rsid w:val="1CBB2985"/>
    <w:rsid w:val="1CBC0BD7"/>
    <w:rsid w:val="1CBC636F"/>
    <w:rsid w:val="1CBD04AB"/>
    <w:rsid w:val="1CBD4FFD"/>
    <w:rsid w:val="1CBD66FD"/>
    <w:rsid w:val="1CBE40CB"/>
    <w:rsid w:val="1CBF06C7"/>
    <w:rsid w:val="1CBF2475"/>
    <w:rsid w:val="1CBF3B73"/>
    <w:rsid w:val="1CBF4223"/>
    <w:rsid w:val="1CBF5FD1"/>
    <w:rsid w:val="1CBF6E39"/>
    <w:rsid w:val="1CC00F94"/>
    <w:rsid w:val="1CC01D49"/>
    <w:rsid w:val="1CC052B0"/>
    <w:rsid w:val="1CC07ED6"/>
    <w:rsid w:val="1CC161ED"/>
    <w:rsid w:val="1CC21F65"/>
    <w:rsid w:val="1CC21F8E"/>
    <w:rsid w:val="1CC253C7"/>
    <w:rsid w:val="1CC31A6E"/>
    <w:rsid w:val="1CC40B0B"/>
    <w:rsid w:val="1CC41839"/>
    <w:rsid w:val="1CC50DB0"/>
    <w:rsid w:val="1CC531C4"/>
    <w:rsid w:val="1CC55489"/>
    <w:rsid w:val="1CC5639D"/>
    <w:rsid w:val="1CC5683F"/>
    <w:rsid w:val="1CC57D5F"/>
    <w:rsid w:val="1CC61A56"/>
    <w:rsid w:val="1CC63804"/>
    <w:rsid w:val="1CC730D8"/>
    <w:rsid w:val="1CC77DA9"/>
    <w:rsid w:val="1CC82D75"/>
    <w:rsid w:val="1CC903C1"/>
    <w:rsid w:val="1CCA1E4E"/>
    <w:rsid w:val="1CCB2BC8"/>
    <w:rsid w:val="1CCB5EE5"/>
    <w:rsid w:val="1CCE26B8"/>
    <w:rsid w:val="1CCE2E5E"/>
    <w:rsid w:val="1CCE50AB"/>
    <w:rsid w:val="1CCF1AA0"/>
    <w:rsid w:val="1CCF21F1"/>
    <w:rsid w:val="1CD001DE"/>
    <w:rsid w:val="1CD00D9F"/>
    <w:rsid w:val="1CD00E5B"/>
    <w:rsid w:val="1CD0259C"/>
    <w:rsid w:val="1CD04E42"/>
    <w:rsid w:val="1CD11DFE"/>
    <w:rsid w:val="1CD17324"/>
    <w:rsid w:val="1CD175FA"/>
    <w:rsid w:val="1CD23809"/>
    <w:rsid w:val="1CD24DB9"/>
    <w:rsid w:val="1CD2622D"/>
    <w:rsid w:val="1CD269A9"/>
    <w:rsid w:val="1CD363FE"/>
    <w:rsid w:val="1CD365BF"/>
    <w:rsid w:val="1CD443E4"/>
    <w:rsid w:val="1CD53A47"/>
    <w:rsid w:val="1CD557F5"/>
    <w:rsid w:val="1CD619DC"/>
    <w:rsid w:val="1CD81789"/>
    <w:rsid w:val="1CD83537"/>
    <w:rsid w:val="1CD852E5"/>
    <w:rsid w:val="1CD85375"/>
    <w:rsid w:val="1CD921BE"/>
    <w:rsid w:val="1CD97A36"/>
    <w:rsid w:val="1CDA105D"/>
    <w:rsid w:val="1CDA364E"/>
    <w:rsid w:val="1CDA72AF"/>
    <w:rsid w:val="1CDB6B83"/>
    <w:rsid w:val="1CDC3027"/>
    <w:rsid w:val="1CDC4DD5"/>
    <w:rsid w:val="1CDD28FB"/>
    <w:rsid w:val="1CDD6D9F"/>
    <w:rsid w:val="1CDF11F6"/>
    <w:rsid w:val="1CDF48C5"/>
    <w:rsid w:val="1CDF6673"/>
    <w:rsid w:val="1CE0094F"/>
    <w:rsid w:val="1CE01F37"/>
    <w:rsid w:val="1CE05FE6"/>
    <w:rsid w:val="1CE066BD"/>
    <w:rsid w:val="1CE123EB"/>
    <w:rsid w:val="1CE26164"/>
    <w:rsid w:val="1CE37734"/>
    <w:rsid w:val="1CE4012E"/>
    <w:rsid w:val="1CE407F6"/>
    <w:rsid w:val="1CE41A7F"/>
    <w:rsid w:val="1CE41EDC"/>
    <w:rsid w:val="1CE43C8A"/>
    <w:rsid w:val="1CE65C54"/>
    <w:rsid w:val="1CE80F17"/>
    <w:rsid w:val="1CE8143F"/>
    <w:rsid w:val="1CE912A0"/>
    <w:rsid w:val="1CEA4549"/>
    <w:rsid w:val="1CEA4AE2"/>
    <w:rsid w:val="1CEB5018"/>
    <w:rsid w:val="1CEC0633"/>
    <w:rsid w:val="1CEC0D90"/>
    <w:rsid w:val="1CED3BD5"/>
    <w:rsid w:val="1CEE5B24"/>
    <w:rsid w:val="1CEF6FB4"/>
    <w:rsid w:val="1CF047A8"/>
    <w:rsid w:val="1CF06AD2"/>
    <w:rsid w:val="1CF07340"/>
    <w:rsid w:val="1CF10D17"/>
    <w:rsid w:val="1CF127AB"/>
    <w:rsid w:val="1CF2284B"/>
    <w:rsid w:val="1CF245F9"/>
    <w:rsid w:val="1CF30371"/>
    <w:rsid w:val="1CF41996"/>
    <w:rsid w:val="1CF46DC5"/>
    <w:rsid w:val="1CF53C94"/>
    <w:rsid w:val="1CF564F9"/>
    <w:rsid w:val="1CF57C45"/>
    <w:rsid w:val="1CF61B59"/>
    <w:rsid w:val="1CF73B37"/>
    <w:rsid w:val="1CF85987"/>
    <w:rsid w:val="1CF977DB"/>
    <w:rsid w:val="1CFA16FF"/>
    <w:rsid w:val="1CFA525B"/>
    <w:rsid w:val="1CFA6814"/>
    <w:rsid w:val="1CFC037B"/>
    <w:rsid w:val="1CFC21FD"/>
    <w:rsid w:val="1CFC3B98"/>
    <w:rsid w:val="1CFC5477"/>
    <w:rsid w:val="1CFD070F"/>
    <w:rsid w:val="1CFD2721"/>
    <w:rsid w:val="1CFD2F9D"/>
    <w:rsid w:val="1CFD4D4B"/>
    <w:rsid w:val="1CFE39D9"/>
    <w:rsid w:val="1CFF1447"/>
    <w:rsid w:val="1CFF2872"/>
    <w:rsid w:val="1CFF6D16"/>
    <w:rsid w:val="1D000F70"/>
    <w:rsid w:val="1D022362"/>
    <w:rsid w:val="1D023A9D"/>
    <w:rsid w:val="1D026A41"/>
    <w:rsid w:val="1D033E7C"/>
    <w:rsid w:val="1D036806"/>
    <w:rsid w:val="1D0371C7"/>
    <w:rsid w:val="1D041E18"/>
    <w:rsid w:val="1D04432C"/>
    <w:rsid w:val="1D0460DA"/>
    <w:rsid w:val="1D047E88"/>
    <w:rsid w:val="1D0511DA"/>
    <w:rsid w:val="1D057D4A"/>
    <w:rsid w:val="1D0600A4"/>
    <w:rsid w:val="1D061E52"/>
    <w:rsid w:val="1D063C00"/>
    <w:rsid w:val="1D067D75"/>
    <w:rsid w:val="1D077978"/>
    <w:rsid w:val="1D083E1C"/>
    <w:rsid w:val="1D0842A2"/>
    <w:rsid w:val="1D085BCA"/>
    <w:rsid w:val="1D090110"/>
    <w:rsid w:val="1D091942"/>
    <w:rsid w:val="1D0936F0"/>
    <w:rsid w:val="1D095C2F"/>
    <w:rsid w:val="1D097B94"/>
    <w:rsid w:val="1D0A3BBC"/>
    <w:rsid w:val="1D0B56BA"/>
    <w:rsid w:val="1D0B7468"/>
    <w:rsid w:val="1D0C49D1"/>
    <w:rsid w:val="1D0C4F8F"/>
    <w:rsid w:val="1D0D7BBD"/>
    <w:rsid w:val="1D0E0D07"/>
    <w:rsid w:val="1D0E51AB"/>
    <w:rsid w:val="1D0E6133"/>
    <w:rsid w:val="1D0F39CD"/>
    <w:rsid w:val="1D0F76A0"/>
    <w:rsid w:val="1D106896"/>
    <w:rsid w:val="1D1125A5"/>
    <w:rsid w:val="1D1174A6"/>
    <w:rsid w:val="1D120556"/>
    <w:rsid w:val="1D1207F7"/>
    <w:rsid w:val="1D126A49"/>
    <w:rsid w:val="1D1301C6"/>
    <w:rsid w:val="1D13456F"/>
    <w:rsid w:val="1D1463AF"/>
    <w:rsid w:val="1D153394"/>
    <w:rsid w:val="1D156539"/>
    <w:rsid w:val="1D16215F"/>
    <w:rsid w:val="1D167BBB"/>
    <w:rsid w:val="1D170B89"/>
    <w:rsid w:val="1D1722B1"/>
    <w:rsid w:val="1D17405F"/>
    <w:rsid w:val="1D1769E1"/>
    <w:rsid w:val="1D187DD7"/>
    <w:rsid w:val="1D1A76CF"/>
    <w:rsid w:val="1D1B03C5"/>
    <w:rsid w:val="1D1B6401"/>
    <w:rsid w:val="1D1B6C8D"/>
    <w:rsid w:val="1D1C2A3A"/>
    <w:rsid w:val="1D1D0F4A"/>
    <w:rsid w:val="1D1D719C"/>
    <w:rsid w:val="1D1E1B46"/>
    <w:rsid w:val="1D1E2032"/>
    <w:rsid w:val="1D1E77A0"/>
    <w:rsid w:val="1D1F3AD3"/>
    <w:rsid w:val="1D1F4CC2"/>
    <w:rsid w:val="1D210A3A"/>
    <w:rsid w:val="1D216C8C"/>
    <w:rsid w:val="1D220D77"/>
    <w:rsid w:val="1D2247B2"/>
    <w:rsid w:val="1D230C56"/>
    <w:rsid w:val="1D237FD2"/>
    <w:rsid w:val="1D2422D8"/>
    <w:rsid w:val="1D2438E5"/>
    <w:rsid w:val="1D24607C"/>
    <w:rsid w:val="1D24796F"/>
    <w:rsid w:val="1D251260"/>
    <w:rsid w:val="1D2624F4"/>
    <w:rsid w:val="1D262B3A"/>
    <w:rsid w:val="1D2642A2"/>
    <w:rsid w:val="1D266050"/>
    <w:rsid w:val="1D28001A"/>
    <w:rsid w:val="1D290F49"/>
    <w:rsid w:val="1D295A04"/>
    <w:rsid w:val="1D295B40"/>
    <w:rsid w:val="1D2A0D94"/>
    <w:rsid w:val="1D2A3AA4"/>
    <w:rsid w:val="1D2B1DFC"/>
    <w:rsid w:val="1D2C0BEB"/>
    <w:rsid w:val="1D2C4385"/>
    <w:rsid w:val="1D2C4C89"/>
    <w:rsid w:val="1D2D1496"/>
    <w:rsid w:val="1D2D3883"/>
    <w:rsid w:val="1D2D5631"/>
    <w:rsid w:val="1D2D6D16"/>
    <w:rsid w:val="1D2D73DF"/>
    <w:rsid w:val="1D2E13A9"/>
    <w:rsid w:val="1D2F4447"/>
    <w:rsid w:val="1D2F7782"/>
    <w:rsid w:val="1D300C7D"/>
    <w:rsid w:val="1D303373"/>
    <w:rsid w:val="1D3058D7"/>
    <w:rsid w:val="1D310189"/>
    <w:rsid w:val="1D3201F7"/>
    <w:rsid w:val="1D321938"/>
    <w:rsid w:val="1D322C47"/>
    <w:rsid w:val="1D331687"/>
    <w:rsid w:val="1D335C80"/>
    <w:rsid w:val="1D340B1D"/>
    <w:rsid w:val="1D342403"/>
    <w:rsid w:val="1D344C11"/>
    <w:rsid w:val="1D347EF2"/>
    <w:rsid w:val="1D352B47"/>
    <w:rsid w:val="1D3540E6"/>
    <w:rsid w:val="1D3650A3"/>
    <w:rsid w:val="1D374689"/>
    <w:rsid w:val="1D392227"/>
    <w:rsid w:val="1D396C3A"/>
    <w:rsid w:val="1D3A155A"/>
    <w:rsid w:val="1D3B758C"/>
    <w:rsid w:val="1D3B7699"/>
    <w:rsid w:val="1D3C1D18"/>
    <w:rsid w:val="1D3C3AC6"/>
    <w:rsid w:val="1D3D339A"/>
    <w:rsid w:val="1D3D6A4B"/>
    <w:rsid w:val="1D3E46A5"/>
    <w:rsid w:val="1D3E6B3F"/>
    <w:rsid w:val="1D3E783E"/>
    <w:rsid w:val="1D3F5364"/>
    <w:rsid w:val="1D3F7112"/>
    <w:rsid w:val="1D4027FB"/>
    <w:rsid w:val="1D406374"/>
    <w:rsid w:val="1D414461"/>
    <w:rsid w:val="1D41732E"/>
    <w:rsid w:val="1D4209B0"/>
    <w:rsid w:val="1D424256"/>
    <w:rsid w:val="1D42776A"/>
    <w:rsid w:val="1D4330A6"/>
    <w:rsid w:val="1D434E54"/>
    <w:rsid w:val="1D437B5B"/>
    <w:rsid w:val="1D44297A"/>
    <w:rsid w:val="1D4568CB"/>
    <w:rsid w:val="1D4604A0"/>
    <w:rsid w:val="1D4665DA"/>
    <w:rsid w:val="1D4666F2"/>
    <w:rsid w:val="1D467AFD"/>
    <w:rsid w:val="1D474FA1"/>
    <w:rsid w:val="1D4806BC"/>
    <w:rsid w:val="1D48246B"/>
    <w:rsid w:val="1D484219"/>
    <w:rsid w:val="1D4911E9"/>
    <w:rsid w:val="1D4A229C"/>
    <w:rsid w:val="1D4A4435"/>
    <w:rsid w:val="1D4C396F"/>
    <w:rsid w:val="1D4D182F"/>
    <w:rsid w:val="1D4D61F7"/>
    <w:rsid w:val="1D4D6E7C"/>
    <w:rsid w:val="1D4D7A81"/>
    <w:rsid w:val="1D4E07BF"/>
    <w:rsid w:val="1D4E4F63"/>
    <w:rsid w:val="1D4E752C"/>
    <w:rsid w:val="1D4F0E60"/>
    <w:rsid w:val="1D4F1242"/>
    <w:rsid w:val="1D4F1A4B"/>
    <w:rsid w:val="1D50131F"/>
    <w:rsid w:val="1D506E6A"/>
    <w:rsid w:val="1D5232E9"/>
    <w:rsid w:val="1D526E45"/>
    <w:rsid w:val="1D5317A6"/>
    <w:rsid w:val="1D532BBD"/>
    <w:rsid w:val="1D540E0F"/>
    <w:rsid w:val="1D547061"/>
    <w:rsid w:val="1D5501C0"/>
    <w:rsid w:val="1D550258"/>
    <w:rsid w:val="1D562136"/>
    <w:rsid w:val="1D567831"/>
    <w:rsid w:val="1D5721C3"/>
    <w:rsid w:val="1D5726AE"/>
    <w:rsid w:val="1D572BE1"/>
    <w:rsid w:val="1D57445C"/>
    <w:rsid w:val="1D5801D4"/>
    <w:rsid w:val="1D596426"/>
    <w:rsid w:val="1D5A062C"/>
    <w:rsid w:val="1D5A1919"/>
    <w:rsid w:val="1D5A2BA3"/>
    <w:rsid w:val="1D5A3F4C"/>
    <w:rsid w:val="1D5A5F73"/>
    <w:rsid w:val="1D5A6425"/>
    <w:rsid w:val="1D5B1FD4"/>
    <w:rsid w:val="1D5C4168"/>
    <w:rsid w:val="1D5C63ED"/>
    <w:rsid w:val="1D5D49C7"/>
    <w:rsid w:val="1D5D4C56"/>
    <w:rsid w:val="1D5D67D9"/>
    <w:rsid w:val="1D5D6FC1"/>
    <w:rsid w:val="1D5E3A3C"/>
    <w:rsid w:val="1D5E4356"/>
    <w:rsid w:val="1D5E6186"/>
    <w:rsid w:val="1D5F1562"/>
    <w:rsid w:val="1D5F5A06"/>
    <w:rsid w:val="1D5F6196"/>
    <w:rsid w:val="1D5F77B4"/>
    <w:rsid w:val="1D5F796D"/>
    <w:rsid w:val="1D61127C"/>
    <w:rsid w:val="1D6132A5"/>
    <w:rsid w:val="1D621531"/>
    <w:rsid w:val="1D632B53"/>
    <w:rsid w:val="1D632E00"/>
    <w:rsid w:val="1D65301C"/>
    <w:rsid w:val="1D660B43"/>
    <w:rsid w:val="1D661051"/>
    <w:rsid w:val="1D6616FA"/>
    <w:rsid w:val="1D670577"/>
    <w:rsid w:val="1D6923E1"/>
    <w:rsid w:val="1D6A0633"/>
    <w:rsid w:val="1D6B6159"/>
    <w:rsid w:val="1D6C0388"/>
    <w:rsid w:val="1D6C61BB"/>
    <w:rsid w:val="1D6D0123"/>
    <w:rsid w:val="1D6E17A5"/>
    <w:rsid w:val="1D6E1DB1"/>
    <w:rsid w:val="1D6E4FFA"/>
    <w:rsid w:val="1D6E5879"/>
    <w:rsid w:val="1D6F5C49"/>
    <w:rsid w:val="1D6F6813"/>
    <w:rsid w:val="1D70376F"/>
    <w:rsid w:val="1D71276A"/>
    <w:rsid w:val="1D715BBC"/>
    <w:rsid w:val="1D720B42"/>
    <w:rsid w:val="1D721295"/>
    <w:rsid w:val="1D72463F"/>
    <w:rsid w:val="1D726E4D"/>
    <w:rsid w:val="1D7274E7"/>
    <w:rsid w:val="1D731EAB"/>
    <w:rsid w:val="1D74500E"/>
    <w:rsid w:val="1D752371"/>
    <w:rsid w:val="1D756FD8"/>
    <w:rsid w:val="1D766478"/>
    <w:rsid w:val="1D766EAD"/>
    <w:rsid w:val="1D767BFC"/>
    <w:rsid w:val="1D772D50"/>
    <w:rsid w:val="1D7768AC"/>
    <w:rsid w:val="1D792624"/>
    <w:rsid w:val="1D796AC8"/>
    <w:rsid w:val="1D7A1649"/>
    <w:rsid w:val="1D7A5A02"/>
    <w:rsid w:val="1D7B37A3"/>
    <w:rsid w:val="1D7B7E7D"/>
    <w:rsid w:val="1D7C1921"/>
    <w:rsid w:val="1D7C2114"/>
    <w:rsid w:val="1D7C3EC2"/>
    <w:rsid w:val="1D7D0DE8"/>
    <w:rsid w:val="1D7D7B19"/>
    <w:rsid w:val="1D7E5E8C"/>
    <w:rsid w:val="1D7F072E"/>
    <w:rsid w:val="1D7F1C04"/>
    <w:rsid w:val="1D7F39B2"/>
    <w:rsid w:val="1D7F3B1A"/>
    <w:rsid w:val="1D800675"/>
    <w:rsid w:val="1D80285F"/>
    <w:rsid w:val="1D802AE4"/>
    <w:rsid w:val="1D807E56"/>
    <w:rsid w:val="1D8105DD"/>
    <w:rsid w:val="1D810BD4"/>
    <w:rsid w:val="1D81260B"/>
    <w:rsid w:val="1D8131AA"/>
    <w:rsid w:val="1D813BCE"/>
    <w:rsid w:val="1D81494F"/>
    <w:rsid w:val="1D81772B"/>
    <w:rsid w:val="1D824DE3"/>
    <w:rsid w:val="1D82517F"/>
    <w:rsid w:val="1D8316F5"/>
    <w:rsid w:val="1D8334A3"/>
    <w:rsid w:val="1D836D52"/>
    <w:rsid w:val="1D840FC9"/>
    <w:rsid w:val="1D85546D"/>
    <w:rsid w:val="1D8611E5"/>
    <w:rsid w:val="1D862F93"/>
    <w:rsid w:val="1D872966"/>
    <w:rsid w:val="1D876420"/>
    <w:rsid w:val="1D880AB9"/>
    <w:rsid w:val="1D880FF1"/>
    <w:rsid w:val="1D882867"/>
    <w:rsid w:val="1D884F5D"/>
    <w:rsid w:val="1D887F78"/>
    <w:rsid w:val="1D892481"/>
    <w:rsid w:val="1D8965DF"/>
    <w:rsid w:val="1D8A7CE5"/>
    <w:rsid w:val="1D8B2357"/>
    <w:rsid w:val="1D8B3A9F"/>
    <w:rsid w:val="1D8B67FB"/>
    <w:rsid w:val="1D8B72E1"/>
    <w:rsid w:val="1D8C69EB"/>
    <w:rsid w:val="1D8D00FD"/>
    <w:rsid w:val="1D8D1806"/>
    <w:rsid w:val="1D8D6D2E"/>
    <w:rsid w:val="1D8E29C0"/>
    <w:rsid w:val="1D8E56D5"/>
    <w:rsid w:val="1D8F0099"/>
    <w:rsid w:val="1D902354"/>
    <w:rsid w:val="1D905BC0"/>
    <w:rsid w:val="1D9062BE"/>
    <w:rsid w:val="1D9064E1"/>
    <w:rsid w:val="1D914E23"/>
    <w:rsid w:val="1D9236E6"/>
    <w:rsid w:val="1D927B8A"/>
    <w:rsid w:val="1D9316FD"/>
    <w:rsid w:val="1D93759F"/>
    <w:rsid w:val="1D943902"/>
    <w:rsid w:val="1D9450D1"/>
    <w:rsid w:val="1D951428"/>
    <w:rsid w:val="1D95194F"/>
    <w:rsid w:val="1D952165"/>
    <w:rsid w:val="1D952867"/>
    <w:rsid w:val="1D9751A0"/>
    <w:rsid w:val="1D996F25"/>
    <w:rsid w:val="1D9A7B32"/>
    <w:rsid w:val="1D9B0178"/>
    <w:rsid w:val="1D9C4564"/>
    <w:rsid w:val="1D9D015F"/>
    <w:rsid w:val="1D9E208B"/>
    <w:rsid w:val="1DA022A7"/>
    <w:rsid w:val="1DA11B7B"/>
    <w:rsid w:val="1DA13929"/>
    <w:rsid w:val="1DA17DCD"/>
    <w:rsid w:val="1DA21B08"/>
    <w:rsid w:val="1DA25A8F"/>
    <w:rsid w:val="1DA33B45"/>
    <w:rsid w:val="1DA358F3"/>
    <w:rsid w:val="1DA35BA1"/>
    <w:rsid w:val="1DA3702B"/>
    <w:rsid w:val="1DA41DD9"/>
    <w:rsid w:val="1DA43419"/>
    <w:rsid w:val="1DA46830"/>
    <w:rsid w:val="1DA5543D"/>
    <w:rsid w:val="1DA578BD"/>
    <w:rsid w:val="1DA65E93"/>
    <w:rsid w:val="1DA750FA"/>
    <w:rsid w:val="1DA85CE8"/>
    <w:rsid w:val="1DA94B08"/>
    <w:rsid w:val="1DA95311"/>
    <w:rsid w:val="1DA968D6"/>
    <w:rsid w:val="1DAA0D4F"/>
    <w:rsid w:val="1DAA2EFB"/>
    <w:rsid w:val="1DAA4ED3"/>
    <w:rsid w:val="1DAA6C81"/>
    <w:rsid w:val="1DAB29F9"/>
    <w:rsid w:val="1DAB5C41"/>
    <w:rsid w:val="1DAC0C4B"/>
    <w:rsid w:val="1DAC2A21"/>
    <w:rsid w:val="1DAC5FD6"/>
    <w:rsid w:val="1DAC618C"/>
    <w:rsid w:val="1DAD0520"/>
    <w:rsid w:val="1DAD35BF"/>
    <w:rsid w:val="1DAD49C3"/>
    <w:rsid w:val="1DAE2D0C"/>
    <w:rsid w:val="1DAE5952"/>
    <w:rsid w:val="1DAE74A0"/>
    <w:rsid w:val="1DAF7D32"/>
    <w:rsid w:val="1DB0116A"/>
    <w:rsid w:val="1DB06180"/>
    <w:rsid w:val="1DB06D6D"/>
    <w:rsid w:val="1DB10CC8"/>
    <w:rsid w:val="1DB21FDA"/>
    <w:rsid w:val="1DB22198"/>
    <w:rsid w:val="1DB25B36"/>
    <w:rsid w:val="1DB268C5"/>
    <w:rsid w:val="1DB26C50"/>
    <w:rsid w:val="1DB31368"/>
    <w:rsid w:val="1DB345D7"/>
    <w:rsid w:val="1DB4038D"/>
    <w:rsid w:val="1DB4186C"/>
    <w:rsid w:val="1DB4365C"/>
    <w:rsid w:val="1DB47B00"/>
    <w:rsid w:val="1DB542EA"/>
    <w:rsid w:val="1DB606CB"/>
    <w:rsid w:val="1DB62BCA"/>
    <w:rsid w:val="1DB7139E"/>
    <w:rsid w:val="1DB7314C"/>
    <w:rsid w:val="1DB73DCE"/>
    <w:rsid w:val="1DB80EF9"/>
    <w:rsid w:val="1DB8165F"/>
    <w:rsid w:val="1DB83DBE"/>
    <w:rsid w:val="1DBA1716"/>
    <w:rsid w:val="1DBB477E"/>
    <w:rsid w:val="1DBB7BBC"/>
    <w:rsid w:val="1DBE097F"/>
    <w:rsid w:val="1DBE272D"/>
    <w:rsid w:val="1DBE44DB"/>
    <w:rsid w:val="1DBF5A6D"/>
    <w:rsid w:val="1DC01001"/>
    <w:rsid w:val="1DC05121"/>
    <w:rsid w:val="1DC064A5"/>
    <w:rsid w:val="1DC13FCB"/>
    <w:rsid w:val="1DC15D79"/>
    <w:rsid w:val="1DC27A41"/>
    <w:rsid w:val="1DC27D80"/>
    <w:rsid w:val="1DC31851"/>
    <w:rsid w:val="1DC333A2"/>
    <w:rsid w:val="1DC35F95"/>
    <w:rsid w:val="1DC37D43"/>
    <w:rsid w:val="1DC4556B"/>
    <w:rsid w:val="1DC46673"/>
    <w:rsid w:val="1DC53ABB"/>
    <w:rsid w:val="1DC54856"/>
    <w:rsid w:val="1DC73F9C"/>
    <w:rsid w:val="1DC835AB"/>
    <w:rsid w:val="1DC85359"/>
    <w:rsid w:val="1DC85AE6"/>
    <w:rsid w:val="1DC87107"/>
    <w:rsid w:val="1DC92DDB"/>
    <w:rsid w:val="1DC93146"/>
    <w:rsid w:val="1DCA3975"/>
    <w:rsid w:val="1DCA7323"/>
    <w:rsid w:val="1DCB3A18"/>
    <w:rsid w:val="1DCB4B1B"/>
    <w:rsid w:val="1DCB4E05"/>
    <w:rsid w:val="1DCB4E4A"/>
    <w:rsid w:val="1DCB6BF8"/>
    <w:rsid w:val="1DCC170C"/>
    <w:rsid w:val="1DCC309C"/>
    <w:rsid w:val="1DCD471E"/>
    <w:rsid w:val="1DCE22F6"/>
    <w:rsid w:val="1DD0199E"/>
    <w:rsid w:val="1DD106B2"/>
    <w:rsid w:val="1DD10C77"/>
    <w:rsid w:val="1DD11DA5"/>
    <w:rsid w:val="1DD1454B"/>
    <w:rsid w:val="1DD154C0"/>
    <w:rsid w:val="1DD1568E"/>
    <w:rsid w:val="1DD2622D"/>
    <w:rsid w:val="1DD276CA"/>
    <w:rsid w:val="1DD37B97"/>
    <w:rsid w:val="1DD4558D"/>
    <w:rsid w:val="1DD5022C"/>
    <w:rsid w:val="1DD51824"/>
    <w:rsid w:val="1DD65CC8"/>
    <w:rsid w:val="1DD67A76"/>
    <w:rsid w:val="1DD7144A"/>
    <w:rsid w:val="1DD8616E"/>
    <w:rsid w:val="1DD939D5"/>
    <w:rsid w:val="1DD957B9"/>
    <w:rsid w:val="1DD962FB"/>
    <w:rsid w:val="1DD97567"/>
    <w:rsid w:val="1DDA2D8B"/>
    <w:rsid w:val="1DDA6E3B"/>
    <w:rsid w:val="1DDB066B"/>
    <w:rsid w:val="1DDB32DF"/>
    <w:rsid w:val="1DDB48FA"/>
    <w:rsid w:val="1DDB508D"/>
    <w:rsid w:val="1DDB66A4"/>
    <w:rsid w:val="1DDC2BB3"/>
    <w:rsid w:val="1DDC7057"/>
    <w:rsid w:val="1DDC70F0"/>
    <w:rsid w:val="1DDC78D6"/>
    <w:rsid w:val="1DDD39AB"/>
    <w:rsid w:val="1DDE06AA"/>
    <w:rsid w:val="1DDE06EF"/>
    <w:rsid w:val="1DDE692B"/>
    <w:rsid w:val="1DDE6BF9"/>
    <w:rsid w:val="1DDF135A"/>
    <w:rsid w:val="1DDF1B32"/>
    <w:rsid w:val="1DDF1B3A"/>
    <w:rsid w:val="1DE06B47"/>
    <w:rsid w:val="1DE15952"/>
    <w:rsid w:val="1DE204BB"/>
    <w:rsid w:val="1DE22839"/>
    <w:rsid w:val="1DE23D3D"/>
    <w:rsid w:val="1DE2466D"/>
    <w:rsid w:val="1DE3194B"/>
    <w:rsid w:val="1DE32193"/>
    <w:rsid w:val="1DE33295"/>
    <w:rsid w:val="1DE343F8"/>
    <w:rsid w:val="1DE42A7E"/>
    <w:rsid w:val="1DE4451C"/>
    <w:rsid w:val="1DE55F0B"/>
    <w:rsid w:val="1DE61ECE"/>
    <w:rsid w:val="1DE63A32"/>
    <w:rsid w:val="1DE657E0"/>
    <w:rsid w:val="1DE66E3C"/>
    <w:rsid w:val="1DE671D4"/>
    <w:rsid w:val="1DE67F4B"/>
    <w:rsid w:val="1DE76912"/>
    <w:rsid w:val="1DE859FC"/>
    <w:rsid w:val="1DE86A66"/>
    <w:rsid w:val="1DE877AA"/>
    <w:rsid w:val="1DE960CB"/>
    <w:rsid w:val="1DE96E2E"/>
    <w:rsid w:val="1DEB1048"/>
    <w:rsid w:val="1DEB3F85"/>
    <w:rsid w:val="1DEC54EC"/>
    <w:rsid w:val="1DEC6719"/>
    <w:rsid w:val="1DEC729A"/>
    <w:rsid w:val="1DED42AB"/>
    <w:rsid w:val="1DED6B6E"/>
    <w:rsid w:val="1DEE798B"/>
    <w:rsid w:val="1DEF0B38"/>
    <w:rsid w:val="1DEF162F"/>
    <w:rsid w:val="1DEF40CD"/>
    <w:rsid w:val="1DEF7B48"/>
    <w:rsid w:val="1DF01C2A"/>
    <w:rsid w:val="1DF02ABF"/>
    <w:rsid w:val="1DF03317"/>
    <w:rsid w:val="1DF04200"/>
    <w:rsid w:val="1DF05690"/>
    <w:rsid w:val="1DF0665E"/>
    <w:rsid w:val="1DF20DD8"/>
    <w:rsid w:val="1DF27FB0"/>
    <w:rsid w:val="1DF34884"/>
    <w:rsid w:val="1DF35950"/>
    <w:rsid w:val="1DF3687A"/>
    <w:rsid w:val="1DF419E8"/>
    <w:rsid w:val="1DF42051"/>
    <w:rsid w:val="1DF45D66"/>
    <w:rsid w:val="1DF60118"/>
    <w:rsid w:val="1DF61EC7"/>
    <w:rsid w:val="1DF706C4"/>
    <w:rsid w:val="1DFB19B3"/>
    <w:rsid w:val="1DFB21B2"/>
    <w:rsid w:val="1DFB572F"/>
    <w:rsid w:val="1DFB7F65"/>
    <w:rsid w:val="1DFC27A3"/>
    <w:rsid w:val="1DFC3255"/>
    <w:rsid w:val="1DFC77B9"/>
    <w:rsid w:val="1DFD14A7"/>
    <w:rsid w:val="1DFD3AB5"/>
    <w:rsid w:val="1DFE0C99"/>
    <w:rsid w:val="1DFE4AC7"/>
    <w:rsid w:val="1DFE6FCD"/>
    <w:rsid w:val="1E002A46"/>
    <w:rsid w:val="1E002D45"/>
    <w:rsid w:val="1E005185"/>
    <w:rsid w:val="1E007B0D"/>
    <w:rsid w:val="1E0104B3"/>
    <w:rsid w:val="1E01086B"/>
    <w:rsid w:val="1E012619"/>
    <w:rsid w:val="1E014F8F"/>
    <w:rsid w:val="1E017286"/>
    <w:rsid w:val="1E024ED4"/>
    <w:rsid w:val="1E026010"/>
    <w:rsid w:val="1E032872"/>
    <w:rsid w:val="1E042806"/>
    <w:rsid w:val="1E045DCF"/>
    <w:rsid w:val="1E05035C"/>
    <w:rsid w:val="1E05508E"/>
    <w:rsid w:val="1E066FB4"/>
    <w:rsid w:val="1E076252"/>
    <w:rsid w:val="1E0821D6"/>
    <w:rsid w:val="1E0844DF"/>
    <w:rsid w:val="1E087E4C"/>
    <w:rsid w:val="1E09386E"/>
    <w:rsid w:val="1E0A3BC4"/>
    <w:rsid w:val="1E0A7720"/>
    <w:rsid w:val="1E0C3498"/>
    <w:rsid w:val="1E0D5462"/>
    <w:rsid w:val="1E0E23F7"/>
    <w:rsid w:val="1E0E6229"/>
    <w:rsid w:val="1E0F2F88"/>
    <w:rsid w:val="1E0F4D36"/>
    <w:rsid w:val="1E104063"/>
    <w:rsid w:val="1E11610A"/>
    <w:rsid w:val="1E117377"/>
    <w:rsid w:val="1E122A78"/>
    <w:rsid w:val="1E124827"/>
    <w:rsid w:val="1E1265D5"/>
    <w:rsid w:val="1E127F44"/>
    <w:rsid w:val="1E14234D"/>
    <w:rsid w:val="1E164317"/>
    <w:rsid w:val="1E1647DA"/>
    <w:rsid w:val="1E183CAA"/>
    <w:rsid w:val="1E187177"/>
    <w:rsid w:val="1E193E07"/>
    <w:rsid w:val="1E1B192D"/>
    <w:rsid w:val="1E1B36DB"/>
    <w:rsid w:val="1E1D46AD"/>
    <w:rsid w:val="1E1D56A5"/>
    <w:rsid w:val="1E1E0ED3"/>
    <w:rsid w:val="1E1E31CB"/>
    <w:rsid w:val="1E1E4F79"/>
    <w:rsid w:val="1E1E5B3D"/>
    <w:rsid w:val="1E1E65FA"/>
    <w:rsid w:val="1E1F7EEC"/>
    <w:rsid w:val="1E200815"/>
    <w:rsid w:val="1E201B9E"/>
    <w:rsid w:val="1E205195"/>
    <w:rsid w:val="1E2055A4"/>
    <w:rsid w:val="1E206F43"/>
    <w:rsid w:val="1E214A6A"/>
    <w:rsid w:val="1E217ADA"/>
    <w:rsid w:val="1E236A34"/>
    <w:rsid w:val="1E2376EF"/>
    <w:rsid w:val="1E2419AF"/>
    <w:rsid w:val="1E2430D7"/>
    <w:rsid w:val="1E2527AC"/>
    <w:rsid w:val="1E25455A"/>
    <w:rsid w:val="1E255B00"/>
    <w:rsid w:val="1E264396"/>
    <w:rsid w:val="1E265AD5"/>
    <w:rsid w:val="1E2754DF"/>
    <w:rsid w:val="1E285DF8"/>
    <w:rsid w:val="1E285EAC"/>
    <w:rsid w:val="1E287D28"/>
    <w:rsid w:val="1E29229C"/>
    <w:rsid w:val="1E294391"/>
    <w:rsid w:val="1E2A1B70"/>
    <w:rsid w:val="1E2A22F5"/>
    <w:rsid w:val="1E2A3EE5"/>
    <w:rsid w:val="1E2A6014"/>
    <w:rsid w:val="1E2F362A"/>
    <w:rsid w:val="1E301693"/>
    <w:rsid w:val="1E307D1D"/>
    <w:rsid w:val="1E310314"/>
    <w:rsid w:val="1E311151"/>
    <w:rsid w:val="1E312EFF"/>
    <w:rsid w:val="1E314610"/>
    <w:rsid w:val="1E3157AA"/>
    <w:rsid w:val="1E3173A3"/>
    <w:rsid w:val="1E320A25"/>
    <w:rsid w:val="1E326C77"/>
    <w:rsid w:val="1E326E83"/>
    <w:rsid w:val="1E3351FE"/>
    <w:rsid w:val="1E340C41"/>
    <w:rsid w:val="1E3414A4"/>
    <w:rsid w:val="1E3649B9"/>
    <w:rsid w:val="1E3720CE"/>
    <w:rsid w:val="1E3824DF"/>
    <w:rsid w:val="1E3829E6"/>
    <w:rsid w:val="1E384E9E"/>
    <w:rsid w:val="1E390005"/>
    <w:rsid w:val="1E391DB3"/>
    <w:rsid w:val="1E396257"/>
    <w:rsid w:val="1E3A3BD5"/>
    <w:rsid w:val="1E3B5B2B"/>
    <w:rsid w:val="1E3C479A"/>
    <w:rsid w:val="1E3C5B04"/>
    <w:rsid w:val="1E3C6B0E"/>
    <w:rsid w:val="1E3D18A3"/>
    <w:rsid w:val="1E3D2241"/>
    <w:rsid w:val="1E3D3AD1"/>
    <w:rsid w:val="1E3D7651"/>
    <w:rsid w:val="1E3D7AF5"/>
    <w:rsid w:val="1E3E39E6"/>
    <w:rsid w:val="1E3E41E9"/>
    <w:rsid w:val="1E3E76ED"/>
    <w:rsid w:val="1E3F0699"/>
    <w:rsid w:val="1E3F6C3A"/>
    <w:rsid w:val="1E4075E6"/>
    <w:rsid w:val="1E411AAF"/>
    <w:rsid w:val="1E424F38"/>
    <w:rsid w:val="1E42510C"/>
    <w:rsid w:val="1E430AE6"/>
    <w:rsid w:val="1E432C32"/>
    <w:rsid w:val="1E441BF2"/>
    <w:rsid w:val="1E4470D6"/>
    <w:rsid w:val="1E454BFC"/>
    <w:rsid w:val="1E461C89"/>
    <w:rsid w:val="1E464CAF"/>
    <w:rsid w:val="1E480248"/>
    <w:rsid w:val="1E4861D9"/>
    <w:rsid w:val="1E487669"/>
    <w:rsid w:val="1E4A0464"/>
    <w:rsid w:val="1E4A1819"/>
    <w:rsid w:val="1E4A3D52"/>
    <w:rsid w:val="1E4A5D6E"/>
    <w:rsid w:val="1E4B0DCA"/>
    <w:rsid w:val="1E4B143C"/>
    <w:rsid w:val="1E4C1AE7"/>
    <w:rsid w:val="1E4C3021"/>
    <w:rsid w:val="1E4C45AE"/>
    <w:rsid w:val="1E4C5F8A"/>
    <w:rsid w:val="1E4D37E1"/>
    <w:rsid w:val="1E4E34DB"/>
    <w:rsid w:val="1E4E3AB1"/>
    <w:rsid w:val="1E4E3B12"/>
    <w:rsid w:val="1E50753C"/>
    <w:rsid w:val="1E5109CC"/>
    <w:rsid w:val="1E5135A1"/>
    <w:rsid w:val="1E51534F"/>
    <w:rsid w:val="1E5332EC"/>
    <w:rsid w:val="1E544E3F"/>
    <w:rsid w:val="1E546BED"/>
    <w:rsid w:val="1E56053E"/>
    <w:rsid w:val="1E560BB7"/>
    <w:rsid w:val="1E566E09"/>
    <w:rsid w:val="1E576AFD"/>
    <w:rsid w:val="1E580DC1"/>
    <w:rsid w:val="1E5906A7"/>
    <w:rsid w:val="1E594203"/>
    <w:rsid w:val="1E5A3ED9"/>
    <w:rsid w:val="1E5B1DB9"/>
    <w:rsid w:val="1E5B441F"/>
    <w:rsid w:val="1E5B61CE"/>
    <w:rsid w:val="1E5C34F6"/>
    <w:rsid w:val="1E5C7149"/>
    <w:rsid w:val="1E5D1F46"/>
    <w:rsid w:val="1E5D6DE0"/>
    <w:rsid w:val="1E5E2FCF"/>
    <w:rsid w:val="1E5F5CBE"/>
    <w:rsid w:val="1E601A36"/>
    <w:rsid w:val="1E6037E4"/>
    <w:rsid w:val="1E605592"/>
    <w:rsid w:val="1E621950"/>
    <w:rsid w:val="1E6257AE"/>
    <w:rsid w:val="1E62755C"/>
    <w:rsid w:val="1E6318AC"/>
    <w:rsid w:val="1E633D0E"/>
    <w:rsid w:val="1E641526"/>
    <w:rsid w:val="1E6416BE"/>
    <w:rsid w:val="1E643755"/>
    <w:rsid w:val="1E646E41"/>
    <w:rsid w:val="1E6502D1"/>
    <w:rsid w:val="1E651E61"/>
    <w:rsid w:val="1E652BA8"/>
    <w:rsid w:val="1E65704C"/>
    <w:rsid w:val="1E662C90"/>
    <w:rsid w:val="1E66451F"/>
    <w:rsid w:val="1E673ED5"/>
    <w:rsid w:val="1E674B72"/>
    <w:rsid w:val="1E676920"/>
    <w:rsid w:val="1E682698"/>
    <w:rsid w:val="1E684E22"/>
    <w:rsid w:val="1E6854F8"/>
    <w:rsid w:val="1E686971"/>
    <w:rsid w:val="1E6908EA"/>
    <w:rsid w:val="1E691D1E"/>
    <w:rsid w:val="1E694901"/>
    <w:rsid w:val="1E6A01BF"/>
    <w:rsid w:val="1E6A2CB3"/>
    <w:rsid w:val="1E6B73A1"/>
    <w:rsid w:val="1E6C55D3"/>
    <w:rsid w:val="1E6D13F0"/>
    <w:rsid w:val="1E6D7CAF"/>
    <w:rsid w:val="1E6E5F01"/>
    <w:rsid w:val="1E6E7EF3"/>
    <w:rsid w:val="1E6F1C79"/>
    <w:rsid w:val="1E6F3A27"/>
    <w:rsid w:val="1E6F3F54"/>
    <w:rsid w:val="1E707ECB"/>
    <w:rsid w:val="1E7116D4"/>
    <w:rsid w:val="1E714664"/>
    <w:rsid w:val="1E7159F1"/>
    <w:rsid w:val="1E71779F"/>
    <w:rsid w:val="1E727D04"/>
    <w:rsid w:val="1E7352C5"/>
    <w:rsid w:val="1E74728F"/>
    <w:rsid w:val="1E7554E1"/>
    <w:rsid w:val="1E756287"/>
    <w:rsid w:val="1E763007"/>
    <w:rsid w:val="1E7777B5"/>
    <w:rsid w:val="1E777800"/>
    <w:rsid w:val="1E780F3D"/>
    <w:rsid w:val="1E790BFF"/>
    <w:rsid w:val="1E7948A6"/>
    <w:rsid w:val="1E7958F0"/>
    <w:rsid w:val="1E7A0E54"/>
    <w:rsid w:val="1E7A43DA"/>
    <w:rsid w:val="1E7B061E"/>
    <w:rsid w:val="1E7B6870"/>
    <w:rsid w:val="1E7C4595"/>
    <w:rsid w:val="1E7D4396"/>
    <w:rsid w:val="1E7D4409"/>
    <w:rsid w:val="1E7D5618"/>
    <w:rsid w:val="1E7D6144"/>
    <w:rsid w:val="1E7E1EBC"/>
    <w:rsid w:val="1E7F010E"/>
    <w:rsid w:val="1E7F3A49"/>
    <w:rsid w:val="1E802C36"/>
    <w:rsid w:val="1E803E86"/>
    <w:rsid w:val="1E805C34"/>
    <w:rsid w:val="1E82375A"/>
    <w:rsid w:val="1E827BFE"/>
    <w:rsid w:val="1E830C01"/>
    <w:rsid w:val="1E830C89"/>
    <w:rsid w:val="1E8335A2"/>
    <w:rsid w:val="1E845724"/>
    <w:rsid w:val="1E8472C7"/>
    <w:rsid w:val="1E850F80"/>
    <w:rsid w:val="1E85149C"/>
    <w:rsid w:val="1E852914"/>
    <w:rsid w:val="1E85324A"/>
    <w:rsid w:val="1E860E7A"/>
    <w:rsid w:val="1E870D71"/>
    <w:rsid w:val="1E875215"/>
    <w:rsid w:val="1E876FC3"/>
    <w:rsid w:val="1E88173F"/>
    <w:rsid w:val="1E881BAD"/>
    <w:rsid w:val="1E885A3B"/>
    <w:rsid w:val="1E893FA0"/>
    <w:rsid w:val="1E8A0861"/>
    <w:rsid w:val="1E8A34C9"/>
    <w:rsid w:val="1E8A6AB3"/>
    <w:rsid w:val="1E8B21B8"/>
    <w:rsid w:val="1E8C0E03"/>
    <w:rsid w:val="1E8C2012"/>
    <w:rsid w:val="1E8C282B"/>
    <w:rsid w:val="1E8C45D9"/>
    <w:rsid w:val="1E8C5BF0"/>
    <w:rsid w:val="1E8C604D"/>
    <w:rsid w:val="1E8E0744"/>
    <w:rsid w:val="1E8E20FF"/>
    <w:rsid w:val="1E8F1635"/>
    <w:rsid w:val="1E8F40C9"/>
    <w:rsid w:val="1E8F5629"/>
    <w:rsid w:val="1E901D3E"/>
    <w:rsid w:val="1E90231B"/>
    <w:rsid w:val="1E9029BA"/>
    <w:rsid w:val="1E911BEF"/>
    <w:rsid w:val="1E914AB9"/>
    <w:rsid w:val="1E917345"/>
    <w:rsid w:val="1E917E41"/>
    <w:rsid w:val="1E92091D"/>
    <w:rsid w:val="1E926994"/>
    <w:rsid w:val="1E9272EE"/>
    <w:rsid w:val="1E93334F"/>
    <w:rsid w:val="1E935967"/>
    <w:rsid w:val="1E94348E"/>
    <w:rsid w:val="1E9534A1"/>
    <w:rsid w:val="1E960840"/>
    <w:rsid w:val="1E9621D4"/>
    <w:rsid w:val="1E965458"/>
    <w:rsid w:val="1E967206"/>
    <w:rsid w:val="1E970ED0"/>
    <w:rsid w:val="1E982F7E"/>
    <w:rsid w:val="1E983160"/>
    <w:rsid w:val="1E984D2C"/>
    <w:rsid w:val="1E990AA4"/>
    <w:rsid w:val="1E992B75"/>
    <w:rsid w:val="1E99448D"/>
    <w:rsid w:val="1E9A0651"/>
    <w:rsid w:val="1E9A2950"/>
    <w:rsid w:val="1E9B0CC0"/>
    <w:rsid w:val="1E9D67E6"/>
    <w:rsid w:val="1E9E2487"/>
    <w:rsid w:val="1E9E43E7"/>
    <w:rsid w:val="1E9E60BA"/>
    <w:rsid w:val="1E9F02AB"/>
    <w:rsid w:val="1E9F2810"/>
    <w:rsid w:val="1E9F29BF"/>
    <w:rsid w:val="1E9F4081"/>
    <w:rsid w:val="1E9F4DE4"/>
    <w:rsid w:val="1EA00084"/>
    <w:rsid w:val="1EA062D6"/>
    <w:rsid w:val="1EA25BAA"/>
    <w:rsid w:val="1EA272B7"/>
    <w:rsid w:val="1EA27958"/>
    <w:rsid w:val="1EA336D1"/>
    <w:rsid w:val="1EA41923"/>
    <w:rsid w:val="1EA42B93"/>
    <w:rsid w:val="1EA45087"/>
    <w:rsid w:val="1EA5569B"/>
    <w:rsid w:val="1EA57449"/>
    <w:rsid w:val="1EA638ED"/>
    <w:rsid w:val="1EA71413"/>
    <w:rsid w:val="1EA71D96"/>
    <w:rsid w:val="1EA9381A"/>
    <w:rsid w:val="1EA96F39"/>
    <w:rsid w:val="1EAA1AE8"/>
    <w:rsid w:val="1EAB7E95"/>
    <w:rsid w:val="1EAC1325"/>
    <w:rsid w:val="1EAC4C7B"/>
    <w:rsid w:val="1EAC6902"/>
    <w:rsid w:val="1EAC6A29"/>
    <w:rsid w:val="1EAD05D7"/>
    <w:rsid w:val="1EAD3056"/>
    <w:rsid w:val="1EAE09F3"/>
    <w:rsid w:val="1EAE27A1"/>
    <w:rsid w:val="1EAF2B4E"/>
    <w:rsid w:val="1EB0218B"/>
    <w:rsid w:val="1EB12291"/>
    <w:rsid w:val="1EB136ED"/>
    <w:rsid w:val="1EB13D07"/>
    <w:rsid w:val="1EB15DEE"/>
    <w:rsid w:val="1EB3600A"/>
    <w:rsid w:val="1EB37DB8"/>
    <w:rsid w:val="1EB4321C"/>
    <w:rsid w:val="1EB43DC9"/>
    <w:rsid w:val="1EB458DE"/>
    <w:rsid w:val="1EB5185B"/>
    <w:rsid w:val="1EB5586E"/>
    <w:rsid w:val="1EB639CC"/>
    <w:rsid w:val="1EB678A8"/>
    <w:rsid w:val="1EB736CE"/>
    <w:rsid w:val="1EB74987"/>
    <w:rsid w:val="1EB77B79"/>
    <w:rsid w:val="1EB8252B"/>
    <w:rsid w:val="1EB83620"/>
    <w:rsid w:val="1EB853CE"/>
    <w:rsid w:val="1EB948D8"/>
    <w:rsid w:val="1EB94FB3"/>
    <w:rsid w:val="1EB94FDC"/>
    <w:rsid w:val="1EB9506A"/>
    <w:rsid w:val="1EB9570B"/>
    <w:rsid w:val="1EBA2EF4"/>
    <w:rsid w:val="1EBB0A1A"/>
    <w:rsid w:val="1EBB10CB"/>
    <w:rsid w:val="1EBC255B"/>
    <w:rsid w:val="1EBC49F5"/>
    <w:rsid w:val="1EBC6804"/>
    <w:rsid w:val="1EBD22AA"/>
    <w:rsid w:val="1EBD29E4"/>
    <w:rsid w:val="1EBD399D"/>
    <w:rsid w:val="1EBD4CF8"/>
    <w:rsid w:val="1EBE4E7B"/>
    <w:rsid w:val="1EBF3B9B"/>
    <w:rsid w:val="1EBF49AE"/>
    <w:rsid w:val="1EBF675C"/>
    <w:rsid w:val="1EBF779B"/>
    <w:rsid w:val="1EC012EC"/>
    <w:rsid w:val="1EC024D4"/>
    <w:rsid w:val="1EC10726"/>
    <w:rsid w:val="1EC41FC5"/>
    <w:rsid w:val="1EC45B21"/>
    <w:rsid w:val="1EC57AEB"/>
    <w:rsid w:val="1EC64A9D"/>
    <w:rsid w:val="1EC71AB5"/>
    <w:rsid w:val="1EC73863"/>
    <w:rsid w:val="1EC75611"/>
    <w:rsid w:val="1EC75F2D"/>
    <w:rsid w:val="1EC80AFE"/>
    <w:rsid w:val="1EC91389"/>
    <w:rsid w:val="1EC923CE"/>
    <w:rsid w:val="1EC93137"/>
    <w:rsid w:val="1EC94B5F"/>
    <w:rsid w:val="1ECA7392"/>
    <w:rsid w:val="1ECB786E"/>
    <w:rsid w:val="1ECC0E79"/>
    <w:rsid w:val="1ECC2895"/>
    <w:rsid w:val="1ECC2C27"/>
    <w:rsid w:val="1ECD35B2"/>
    <w:rsid w:val="1ECE074D"/>
    <w:rsid w:val="1ECE322F"/>
    <w:rsid w:val="1ECE5CA2"/>
    <w:rsid w:val="1ECE699F"/>
    <w:rsid w:val="1ECF44C6"/>
    <w:rsid w:val="1ED015A4"/>
    <w:rsid w:val="1ED01E61"/>
    <w:rsid w:val="1ED02718"/>
    <w:rsid w:val="1ED1023E"/>
    <w:rsid w:val="1ED11BB0"/>
    <w:rsid w:val="1ED14A3C"/>
    <w:rsid w:val="1ED24649"/>
    <w:rsid w:val="1ED3082D"/>
    <w:rsid w:val="1ED439A9"/>
    <w:rsid w:val="1ED50F0F"/>
    <w:rsid w:val="1ED5169D"/>
    <w:rsid w:val="1ED52D79"/>
    <w:rsid w:val="1ED55F80"/>
    <w:rsid w:val="1ED61CF8"/>
    <w:rsid w:val="1ED6221D"/>
    <w:rsid w:val="1ED77163"/>
    <w:rsid w:val="1ED81A83"/>
    <w:rsid w:val="1ED85A70"/>
    <w:rsid w:val="1ED86EB2"/>
    <w:rsid w:val="1ED8781E"/>
    <w:rsid w:val="1ED90CB4"/>
    <w:rsid w:val="1ED94728"/>
    <w:rsid w:val="1ED949AE"/>
    <w:rsid w:val="1EDA0E63"/>
    <w:rsid w:val="1EDA17E8"/>
    <w:rsid w:val="1EDA3596"/>
    <w:rsid w:val="1EDA78C7"/>
    <w:rsid w:val="1EDB10BC"/>
    <w:rsid w:val="1EDB681B"/>
    <w:rsid w:val="1EDD1894"/>
    <w:rsid w:val="1EDD3086"/>
    <w:rsid w:val="1EDD3808"/>
    <w:rsid w:val="1EDD4E34"/>
    <w:rsid w:val="1EDE2574"/>
    <w:rsid w:val="1EDE2D24"/>
    <w:rsid w:val="1EDE3B19"/>
    <w:rsid w:val="1EDE624F"/>
    <w:rsid w:val="1EDF0BAD"/>
    <w:rsid w:val="1EDF2B6B"/>
    <w:rsid w:val="1EDF6DFF"/>
    <w:rsid w:val="1EDF6E66"/>
    <w:rsid w:val="1EE00215"/>
    <w:rsid w:val="1EE00481"/>
    <w:rsid w:val="1EE12B77"/>
    <w:rsid w:val="1EE14925"/>
    <w:rsid w:val="1EE15A6C"/>
    <w:rsid w:val="1EE16198"/>
    <w:rsid w:val="1EE2069D"/>
    <w:rsid w:val="1EE37900"/>
    <w:rsid w:val="1EE47F71"/>
    <w:rsid w:val="1EE514B6"/>
    <w:rsid w:val="1EE6018D"/>
    <w:rsid w:val="1EE60BFB"/>
    <w:rsid w:val="1EE60FAB"/>
    <w:rsid w:val="1EE73F05"/>
    <w:rsid w:val="1EE91A2B"/>
    <w:rsid w:val="1EE96C14"/>
    <w:rsid w:val="1EEA12FF"/>
    <w:rsid w:val="1EEB1EAF"/>
    <w:rsid w:val="1EEB23D0"/>
    <w:rsid w:val="1EEB57A3"/>
    <w:rsid w:val="1EEB5C8C"/>
    <w:rsid w:val="1EEB7551"/>
    <w:rsid w:val="1EEC0BE2"/>
    <w:rsid w:val="1EEC32CA"/>
    <w:rsid w:val="1EEC5078"/>
    <w:rsid w:val="1EEC78BD"/>
    <w:rsid w:val="1EED2445"/>
    <w:rsid w:val="1EEE0DF0"/>
    <w:rsid w:val="1EEE2819"/>
    <w:rsid w:val="1EEE29E3"/>
    <w:rsid w:val="1EEE53EA"/>
    <w:rsid w:val="1EEE6C96"/>
    <w:rsid w:val="1EEF1956"/>
    <w:rsid w:val="1EEF6401"/>
    <w:rsid w:val="1EEF687A"/>
    <w:rsid w:val="1EF004C8"/>
    <w:rsid w:val="1EF02DBA"/>
    <w:rsid w:val="1EF04B68"/>
    <w:rsid w:val="1EF0755B"/>
    <w:rsid w:val="1EF108E0"/>
    <w:rsid w:val="1EF1119A"/>
    <w:rsid w:val="1EF1268E"/>
    <w:rsid w:val="1EF26B32"/>
    <w:rsid w:val="1EF26F6E"/>
    <w:rsid w:val="1EF328AA"/>
    <w:rsid w:val="1EF4393D"/>
    <w:rsid w:val="1EF57F65"/>
    <w:rsid w:val="1EF65EF6"/>
    <w:rsid w:val="1EF731F2"/>
    <w:rsid w:val="1EF74148"/>
    <w:rsid w:val="1EF87EC0"/>
    <w:rsid w:val="1EF94C49"/>
    <w:rsid w:val="1EFA0DBC"/>
    <w:rsid w:val="1EFA4321"/>
    <w:rsid w:val="1EFA59E6"/>
    <w:rsid w:val="1EFB3053"/>
    <w:rsid w:val="1EFB350D"/>
    <w:rsid w:val="1EFB52BB"/>
    <w:rsid w:val="1EFC175F"/>
    <w:rsid w:val="1EFC5281"/>
    <w:rsid w:val="1EFD1033"/>
    <w:rsid w:val="1EFD54D7"/>
    <w:rsid w:val="1EFD7285"/>
    <w:rsid w:val="1EFF2FFD"/>
    <w:rsid w:val="1EFF4CE4"/>
    <w:rsid w:val="1F0009CB"/>
    <w:rsid w:val="1F010B23"/>
    <w:rsid w:val="1F01504A"/>
    <w:rsid w:val="1F0209E1"/>
    <w:rsid w:val="1F026649"/>
    <w:rsid w:val="1F0335AF"/>
    <w:rsid w:val="1F034029"/>
    <w:rsid w:val="1F036180"/>
    <w:rsid w:val="1F0423C1"/>
    <w:rsid w:val="1F045226"/>
    <w:rsid w:val="1F047B3B"/>
    <w:rsid w:val="1F050AA0"/>
    <w:rsid w:val="1F061F30"/>
    <w:rsid w:val="1F06438B"/>
    <w:rsid w:val="1F066139"/>
    <w:rsid w:val="1F0707EF"/>
    <w:rsid w:val="1F086AFE"/>
    <w:rsid w:val="1F091A51"/>
    <w:rsid w:val="1F092009"/>
    <w:rsid w:val="1F09347D"/>
    <w:rsid w:val="1F093E7B"/>
    <w:rsid w:val="1F095C2A"/>
    <w:rsid w:val="1F095F07"/>
    <w:rsid w:val="1F0979D8"/>
    <w:rsid w:val="1F0A4489"/>
    <w:rsid w:val="1F0A6BCB"/>
    <w:rsid w:val="1F0A7BCF"/>
    <w:rsid w:val="1F0C1276"/>
    <w:rsid w:val="1F0D1F99"/>
    <w:rsid w:val="1F0D396C"/>
    <w:rsid w:val="1F0E1492"/>
    <w:rsid w:val="1F0E3240"/>
    <w:rsid w:val="1F0F207A"/>
    <w:rsid w:val="1F100D66"/>
    <w:rsid w:val="1F10520A"/>
    <w:rsid w:val="1F106FB8"/>
    <w:rsid w:val="1F120F82"/>
    <w:rsid w:val="1F121C14"/>
    <w:rsid w:val="1F124243"/>
    <w:rsid w:val="1F132604"/>
    <w:rsid w:val="1F1330A4"/>
    <w:rsid w:val="1F135C75"/>
    <w:rsid w:val="1F136AA8"/>
    <w:rsid w:val="1F154A46"/>
    <w:rsid w:val="1F154E4C"/>
    <w:rsid w:val="1F161D1D"/>
    <w:rsid w:val="1F17089A"/>
    <w:rsid w:val="1F176598"/>
    <w:rsid w:val="1F185E6D"/>
    <w:rsid w:val="1F187E58"/>
    <w:rsid w:val="1F1906C6"/>
    <w:rsid w:val="1F191616"/>
    <w:rsid w:val="1F19466A"/>
    <w:rsid w:val="1F1A1BE5"/>
    <w:rsid w:val="1F1A2AAB"/>
    <w:rsid w:val="1F1A307D"/>
    <w:rsid w:val="1F1A3993"/>
    <w:rsid w:val="1F1C3BAF"/>
    <w:rsid w:val="1F1D3483"/>
    <w:rsid w:val="1F1D463A"/>
    <w:rsid w:val="1F1E01B7"/>
    <w:rsid w:val="1F1F290B"/>
    <w:rsid w:val="1F1F544D"/>
    <w:rsid w:val="1F1F71FB"/>
    <w:rsid w:val="1F206D0C"/>
    <w:rsid w:val="1F207216"/>
    <w:rsid w:val="1F210279"/>
    <w:rsid w:val="1F2131C9"/>
    <w:rsid w:val="1F226CEB"/>
    <w:rsid w:val="1F244811"/>
    <w:rsid w:val="1F253597"/>
    <w:rsid w:val="1F253635"/>
    <w:rsid w:val="1F253903"/>
    <w:rsid w:val="1F253AB8"/>
    <w:rsid w:val="1F2554B9"/>
    <w:rsid w:val="1F26151A"/>
    <w:rsid w:val="1F262338"/>
    <w:rsid w:val="1F2667DB"/>
    <w:rsid w:val="1F2733AF"/>
    <w:rsid w:val="1F274302"/>
    <w:rsid w:val="1F29007A"/>
    <w:rsid w:val="1F291E28"/>
    <w:rsid w:val="1F2938FC"/>
    <w:rsid w:val="1F2B31CF"/>
    <w:rsid w:val="1F2B3DF2"/>
    <w:rsid w:val="1F2B3EFC"/>
    <w:rsid w:val="1F2B5D91"/>
    <w:rsid w:val="1F2C1918"/>
    <w:rsid w:val="1F2C4B7B"/>
    <w:rsid w:val="1F2C784B"/>
    <w:rsid w:val="1F2E165A"/>
    <w:rsid w:val="1F2E4567"/>
    <w:rsid w:val="1F2E62BE"/>
    <w:rsid w:val="1F2E743E"/>
    <w:rsid w:val="1F2F50FF"/>
    <w:rsid w:val="1F2F5A95"/>
    <w:rsid w:val="1F301408"/>
    <w:rsid w:val="1F302416"/>
    <w:rsid w:val="1F303EE4"/>
    <w:rsid w:val="1F322DF1"/>
    <w:rsid w:val="1F3258D0"/>
    <w:rsid w:val="1F3316E6"/>
    <w:rsid w:val="1F333B1E"/>
    <w:rsid w:val="1F334A54"/>
    <w:rsid w:val="1F342DB1"/>
    <w:rsid w:val="1F344FAE"/>
    <w:rsid w:val="1F35399F"/>
    <w:rsid w:val="1F35421B"/>
    <w:rsid w:val="1F354FC8"/>
    <w:rsid w:val="1F356A1F"/>
    <w:rsid w:val="1F3609D0"/>
    <w:rsid w:val="1F3637AD"/>
    <w:rsid w:val="1F370D5E"/>
    <w:rsid w:val="1F374545"/>
    <w:rsid w:val="1F377CDB"/>
    <w:rsid w:val="1F391A6D"/>
    <w:rsid w:val="1F396E36"/>
    <w:rsid w:val="1F3A2287"/>
    <w:rsid w:val="1F3A5DE3"/>
    <w:rsid w:val="1F3B6BA8"/>
    <w:rsid w:val="1F3C1B5B"/>
    <w:rsid w:val="1F3F164B"/>
    <w:rsid w:val="1F3F6FB6"/>
    <w:rsid w:val="1F3F7890"/>
    <w:rsid w:val="1F3F789D"/>
    <w:rsid w:val="1F4153C3"/>
    <w:rsid w:val="1F416122"/>
    <w:rsid w:val="1F4201E6"/>
    <w:rsid w:val="1F42113B"/>
    <w:rsid w:val="1F43738D"/>
    <w:rsid w:val="1F441ED2"/>
    <w:rsid w:val="1F443106"/>
    <w:rsid w:val="1F444EB4"/>
    <w:rsid w:val="1F4462C1"/>
    <w:rsid w:val="1F470853"/>
    <w:rsid w:val="1F470EBC"/>
    <w:rsid w:val="1F471F94"/>
    <w:rsid w:val="1F481507"/>
    <w:rsid w:val="1F4849A4"/>
    <w:rsid w:val="1F49071C"/>
    <w:rsid w:val="1F4924CA"/>
    <w:rsid w:val="1F494278"/>
    <w:rsid w:val="1F4944B3"/>
    <w:rsid w:val="1F4A0915"/>
    <w:rsid w:val="1F4A1AC3"/>
    <w:rsid w:val="1F4A5D44"/>
    <w:rsid w:val="1F4B6242"/>
    <w:rsid w:val="1F4B62BD"/>
    <w:rsid w:val="1F4C59B4"/>
    <w:rsid w:val="1F4D1FBA"/>
    <w:rsid w:val="1F4E5D32"/>
    <w:rsid w:val="1F4E7296"/>
    <w:rsid w:val="1F4E7AE0"/>
    <w:rsid w:val="1F4F6FE5"/>
    <w:rsid w:val="1F4F71DA"/>
    <w:rsid w:val="1F500FAE"/>
    <w:rsid w:val="1F502EE4"/>
    <w:rsid w:val="1F51312D"/>
    <w:rsid w:val="1F5140AB"/>
    <w:rsid w:val="1F533349"/>
    <w:rsid w:val="1F536EA5"/>
    <w:rsid w:val="1F5419C7"/>
    <w:rsid w:val="1F550E6F"/>
    <w:rsid w:val="1F566EB8"/>
    <w:rsid w:val="1F574BE7"/>
    <w:rsid w:val="1F5772AD"/>
    <w:rsid w:val="1F5825D8"/>
    <w:rsid w:val="1F592C68"/>
    <w:rsid w:val="1F592FDB"/>
    <w:rsid w:val="1F59471A"/>
    <w:rsid w:val="1F596413"/>
    <w:rsid w:val="1F5A0233"/>
    <w:rsid w:val="1F5A1750"/>
    <w:rsid w:val="1F5A5839"/>
    <w:rsid w:val="1F5C0367"/>
    <w:rsid w:val="1F5C044F"/>
    <w:rsid w:val="1F5C052B"/>
    <w:rsid w:val="1F5C3FAB"/>
    <w:rsid w:val="1F5D0F05"/>
    <w:rsid w:val="1F5E3523"/>
    <w:rsid w:val="1F5F16AB"/>
    <w:rsid w:val="1F5F1CED"/>
    <w:rsid w:val="1F5F247E"/>
    <w:rsid w:val="1F5F2643"/>
    <w:rsid w:val="1F5F3A9B"/>
    <w:rsid w:val="1F5F584A"/>
    <w:rsid w:val="1F5F721D"/>
    <w:rsid w:val="1F6115C2"/>
    <w:rsid w:val="1F617178"/>
    <w:rsid w:val="1F617814"/>
    <w:rsid w:val="1F620692"/>
    <w:rsid w:val="1F62533A"/>
    <w:rsid w:val="1F63002C"/>
    <w:rsid w:val="1F6317DE"/>
    <w:rsid w:val="1F631E86"/>
    <w:rsid w:val="1F632ECB"/>
    <w:rsid w:val="1F63358C"/>
    <w:rsid w:val="1F634DD9"/>
    <w:rsid w:val="1F6410B2"/>
    <w:rsid w:val="1F642E60"/>
    <w:rsid w:val="1F645556"/>
    <w:rsid w:val="1F647304"/>
    <w:rsid w:val="1F650B4E"/>
    <w:rsid w:val="1F6576C0"/>
    <w:rsid w:val="1F6602E9"/>
    <w:rsid w:val="1F664E2A"/>
    <w:rsid w:val="1F672950"/>
    <w:rsid w:val="1F672DAF"/>
    <w:rsid w:val="1F680BA2"/>
    <w:rsid w:val="1F690BFE"/>
    <w:rsid w:val="1F6924FB"/>
    <w:rsid w:val="1F69275D"/>
    <w:rsid w:val="1F6966C8"/>
    <w:rsid w:val="1F6B0692"/>
    <w:rsid w:val="1F6B21D5"/>
    <w:rsid w:val="1F6B2440"/>
    <w:rsid w:val="1F6B4167"/>
    <w:rsid w:val="1F6C523E"/>
    <w:rsid w:val="1F6D1958"/>
    <w:rsid w:val="1F6D34F5"/>
    <w:rsid w:val="1F6D4341"/>
    <w:rsid w:val="1F6D50B6"/>
    <w:rsid w:val="1F6D7F66"/>
    <w:rsid w:val="1F6E1369"/>
    <w:rsid w:val="1F6E1F30"/>
    <w:rsid w:val="1F6E4598"/>
    <w:rsid w:val="1F6E459E"/>
    <w:rsid w:val="1F7040F4"/>
    <w:rsid w:val="1F70574E"/>
    <w:rsid w:val="1F7126FE"/>
    <w:rsid w:val="1F714F7A"/>
    <w:rsid w:val="1F7237CF"/>
    <w:rsid w:val="1F725038"/>
    <w:rsid w:val="1F7312F5"/>
    <w:rsid w:val="1F737547"/>
    <w:rsid w:val="1F74219C"/>
    <w:rsid w:val="1F75010F"/>
    <w:rsid w:val="1F750269"/>
    <w:rsid w:val="1F7532BF"/>
    <w:rsid w:val="1F75506D"/>
    <w:rsid w:val="1F7769D8"/>
    <w:rsid w:val="1F784B5D"/>
    <w:rsid w:val="1F78690B"/>
    <w:rsid w:val="1F792DAF"/>
    <w:rsid w:val="1F7A36E2"/>
    <w:rsid w:val="1F7A6B27"/>
    <w:rsid w:val="1F7B3932"/>
    <w:rsid w:val="1F7B7EED"/>
    <w:rsid w:val="1F7C289F"/>
    <w:rsid w:val="1F7C464D"/>
    <w:rsid w:val="1F7C54A0"/>
    <w:rsid w:val="1F7D031E"/>
    <w:rsid w:val="1F7E00E0"/>
    <w:rsid w:val="1F7E2174"/>
    <w:rsid w:val="1F7E4207"/>
    <w:rsid w:val="1F7F2436"/>
    <w:rsid w:val="1F800297"/>
    <w:rsid w:val="1F803EEA"/>
    <w:rsid w:val="1F811C64"/>
    <w:rsid w:val="1F813A12"/>
    <w:rsid w:val="1F817EB6"/>
    <w:rsid w:val="1F8325A2"/>
    <w:rsid w:val="1F8359DC"/>
    <w:rsid w:val="1F841F36"/>
    <w:rsid w:val="1F843502"/>
    <w:rsid w:val="1F844C9C"/>
    <w:rsid w:val="1F861028"/>
    <w:rsid w:val="1F861DAB"/>
    <w:rsid w:val="1F8630A6"/>
    <w:rsid w:val="1F8654CC"/>
    <w:rsid w:val="1F8673A2"/>
    <w:rsid w:val="1F867916"/>
    <w:rsid w:val="1F877288"/>
    <w:rsid w:val="1F884DA0"/>
    <w:rsid w:val="1F894A5A"/>
    <w:rsid w:val="1F8A51FA"/>
    <w:rsid w:val="1F8A5470"/>
    <w:rsid w:val="1F8A5E3D"/>
    <w:rsid w:val="1F8B3820"/>
    <w:rsid w:val="1F8B4890"/>
    <w:rsid w:val="1F8B663F"/>
    <w:rsid w:val="1F8C3E0D"/>
    <w:rsid w:val="1F8D0609"/>
    <w:rsid w:val="1F8D1E7C"/>
    <w:rsid w:val="1F8D49AB"/>
    <w:rsid w:val="1F8E108F"/>
    <w:rsid w:val="1F8E16BD"/>
    <w:rsid w:val="1F8E5BB9"/>
    <w:rsid w:val="1F8F412D"/>
    <w:rsid w:val="1F9000F9"/>
    <w:rsid w:val="1F901EA7"/>
    <w:rsid w:val="1F902B5E"/>
    <w:rsid w:val="1F904D1B"/>
    <w:rsid w:val="1F906AC3"/>
    <w:rsid w:val="1F923E71"/>
    <w:rsid w:val="1F925C1F"/>
    <w:rsid w:val="1F9279CD"/>
    <w:rsid w:val="1F933745"/>
    <w:rsid w:val="1F9359CA"/>
    <w:rsid w:val="1F941997"/>
    <w:rsid w:val="1F947BE9"/>
    <w:rsid w:val="1F9502EA"/>
    <w:rsid w:val="1F95191A"/>
    <w:rsid w:val="1F953961"/>
    <w:rsid w:val="1F95570F"/>
    <w:rsid w:val="1F95747D"/>
    <w:rsid w:val="1F9574BD"/>
    <w:rsid w:val="1F962E5D"/>
    <w:rsid w:val="1F971487"/>
    <w:rsid w:val="1F973235"/>
    <w:rsid w:val="1F974FE3"/>
    <w:rsid w:val="1F975451"/>
    <w:rsid w:val="1F9757DB"/>
    <w:rsid w:val="1F986C6B"/>
    <w:rsid w:val="1F99065E"/>
    <w:rsid w:val="1F9966D3"/>
    <w:rsid w:val="1F996FAD"/>
    <w:rsid w:val="1F9A0F77"/>
    <w:rsid w:val="1F9A415C"/>
    <w:rsid w:val="1F9A5C92"/>
    <w:rsid w:val="1F9A6382"/>
    <w:rsid w:val="1F9B4659"/>
    <w:rsid w:val="1F9B55EC"/>
    <w:rsid w:val="1F9C4646"/>
    <w:rsid w:val="1F9D164D"/>
    <w:rsid w:val="1F9E2816"/>
    <w:rsid w:val="1F9E45C4"/>
    <w:rsid w:val="1F9F033C"/>
    <w:rsid w:val="1FA025B1"/>
    <w:rsid w:val="1FA0658E"/>
    <w:rsid w:val="1FA12306"/>
    <w:rsid w:val="1FA140B4"/>
    <w:rsid w:val="1FA15A7B"/>
    <w:rsid w:val="1FA17612"/>
    <w:rsid w:val="1FA2310A"/>
    <w:rsid w:val="1FA23B2A"/>
    <w:rsid w:val="1FA354BF"/>
    <w:rsid w:val="1FA3607E"/>
    <w:rsid w:val="1FA450A3"/>
    <w:rsid w:val="1FA45952"/>
    <w:rsid w:val="1FA567E1"/>
    <w:rsid w:val="1FA616CA"/>
    <w:rsid w:val="1FA63210"/>
    <w:rsid w:val="1FA9088D"/>
    <w:rsid w:val="1FA92F69"/>
    <w:rsid w:val="1FA94D17"/>
    <w:rsid w:val="1FA96F4D"/>
    <w:rsid w:val="1FAA1CAD"/>
    <w:rsid w:val="1FAA248E"/>
    <w:rsid w:val="1FAB1DCF"/>
    <w:rsid w:val="1FAD2A59"/>
    <w:rsid w:val="1FAD4807"/>
    <w:rsid w:val="1FAD5541"/>
    <w:rsid w:val="1FAD6B4E"/>
    <w:rsid w:val="1FAE2E99"/>
    <w:rsid w:val="1FAE3F7A"/>
    <w:rsid w:val="1FAF304B"/>
    <w:rsid w:val="1FAF3097"/>
    <w:rsid w:val="1FAF4A23"/>
    <w:rsid w:val="1FB04EF2"/>
    <w:rsid w:val="1FB060A0"/>
    <w:rsid w:val="1FB10F14"/>
    <w:rsid w:val="1FB11DD6"/>
    <w:rsid w:val="1FB13C8F"/>
    <w:rsid w:val="1FB16C3F"/>
    <w:rsid w:val="1FB2006F"/>
    <w:rsid w:val="1FB212F0"/>
    <w:rsid w:val="1FB21E1D"/>
    <w:rsid w:val="1FB24FF4"/>
    <w:rsid w:val="1FB262C1"/>
    <w:rsid w:val="1FB54F89"/>
    <w:rsid w:val="1FB634D8"/>
    <w:rsid w:val="1FB65DB1"/>
    <w:rsid w:val="1FB738D7"/>
    <w:rsid w:val="1FB75686"/>
    <w:rsid w:val="1FB76AB0"/>
    <w:rsid w:val="1FB81CEA"/>
    <w:rsid w:val="1FB82A1C"/>
    <w:rsid w:val="1FB913FE"/>
    <w:rsid w:val="1FB931AC"/>
    <w:rsid w:val="1FB93B7A"/>
    <w:rsid w:val="1FB9548D"/>
    <w:rsid w:val="1FB96028"/>
    <w:rsid w:val="1FBA6C4D"/>
    <w:rsid w:val="1FBC219E"/>
    <w:rsid w:val="1FBC2C9C"/>
    <w:rsid w:val="1FBC6E09"/>
    <w:rsid w:val="1FBD3FAA"/>
    <w:rsid w:val="1FBE1528"/>
    <w:rsid w:val="1FBE6053"/>
    <w:rsid w:val="1FBF0162"/>
    <w:rsid w:val="1FBF278C"/>
    <w:rsid w:val="1FBF453A"/>
    <w:rsid w:val="1FC009DE"/>
    <w:rsid w:val="1FC02C2C"/>
    <w:rsid w:val="1FC05E77"/>
    <w:rsid w:val="1FC07343"/>
    <w:rsid w:val="1FC102B2"/>
    <w:rsid w:val="1FC114E6"/>
    <w:rsid w:val="1FC14756"/>
    <w:rsid w:val="1FC3227C"/>
    <w:rsid w:val="1FC35DD8"/>
    <w:rsid w:val="1FC4505B"/>
    <w:rsid w:val="1FC55EA0"/>
    <w:rsid w:val="1FC55FF4"/>
    <w:rsid w:val="1FC64832"/>
    <w:rsid w:val="1FC74620"/>
    <w:rsid w:val="1FC77172"/>
    <w:rsid w:val="1FC84548"/>
    <w:rsid w:val="1FC87893"/>
    <w:rsid w:val="1FC977D5"/>
    <w:rsid w:val="1FCA058C"/>
    <w:rsid w:val="1FCA323B"/>
    <w:rsid w:val="1FCB1131"/>
    <w:rsid w:val="1FCB71AF"/>
    <w:rsid w:val="1FCC29C7"/>
    <w:rsid w:val="1FCC5B5B"/>
    <w:rsid w:val="1FCD30FB"/>
    <w:rsid w:val="1FCD3700"/>
    <w:rsid w:val="1FCD3874"/>
    <w:rsid w:val="1FCD4660"/>
    <w:rsid w:val="1FCD4EA9"/>
    <w:rsid w:val="1FCD6C57"/>
    <w:rsid w:val="1FCF6E73"/>
    <w:rsid w:val="1FD004F5"/>
    <w:rsid w:val="1FD00E77"/>
    <w:rsid w:val="1FD02D9A"/>
    <w:rsid w:val="1FD0482B"/>
    <w:rsid w:val="1FD04999"/>
    <w:rsid w:val="1FD06C30"/>
    <w:rsid w:val="1FD10EEA"/>
    <w:rsid w:val="1FD2028B"/>
    <w:rsid w:val="1FD314C8"/>
    <w:rsid w:val="1FD41E39"/>
    <w:rsid w:val="1FD46AEE"/>
    <w:rsid w:val="1FD52A57"/>
    <w:rsid w:val="1FD53D5E"/>
    <w:rsid w:val="1FD55582"/>
    <w:rsid w:val="1FD61FB0"/>
    <w:rsid w:val="1FD66AE9"/>
    <w:rsid w:val="1FD75D28"/>
    <w:rsid w:val="1FD77AD6"/>
    <w:rsid w:val="1FD9384E"/>
    <w:rsid w:val="1FD955FC"/>
    <w:rsid w:val="1FDA106E"/>
    <w:rsid w:val="1FDA2FD1"/>
    <w:rsid w:val="1FDA4D78"/>
    <w:rsid w:val="1FDB5818"/>
    <w:rsid w:val="1FDB75C6"/>
    <w:rsid w:val="1FDC4603"/>
    <w:rsid w:val="1FDE3E4D"/>
    <w:rsid w:val="1FE01CBB"/>
    <w:rsid w:val="1FE05460"/>
    <w:rsid w:val="1FE10954"/>
    <w:rsid w:val="1FE12702"/>
    <w:rsid w:val="1FE16BA6"/>
    <w:rsid w:val="1FE2318E"/>
    <w:rsid w:val="1FE33D7C"/>
    <w:rsid w:val="1FE426A0"/>
    <w:rsid w:val="1FE43FA1"/>
    <w:rsid w:val="1FE50D42"/>
    <w:rsid w:val="1FE52AE8"/>
    <w:rsid w:val="1FE5308F"/>
    <w:rsid w:val="1FE65F6B"/>
    <w:rsid w:val="1FE67D19"/>
    <w:rsid w:val="1FE7539E"/>
    <w:rsid w:val="1FE761BD"/>
    <w:rsid w:val="1FE81CE3"/>
    <w:rsid w:val="1FE837F1"/>
    <w:rsid w:val="1FE87F35"/>
    <w:rsid w:val="1FE9261F"/>
    <w:rsid w:val="1FEA5A5B"/>
    <w:rsid w:val="1FEA7809"/>
    <w:rsid w:val="1FEB2573"/>
    <w:rsid w:val="1FEB3581"/>
    <w:rsid w:val="1FEB79A2"/>
    <w:rsid w:val="1FEB7A8C"/>
    <w:rsid w:val="1FEC2DBD"/>
    <w:rsid w:val="1FED643D"/>
    <w:rsid w:val="1FED72F9"/>
    <w:rsid w:val="1FEF102C"/>
    <w:rsid w:val="1FEF3071"/>
    <w:rsid w:val="1FEF6BCD"/>
    <w:rsid w:val="1FF0340E"/>
    <w:rsid w:val="1FF1330E"/>
    <w:rsid w:val="1FF13588"/>
    <w:rsid w:val="1FF16DE9"/>
    <w:rsid w:val="1FF22990"/>
    <w:rsid w:val="1FF22B62"/>
    <w:rsid w:val="1FF24910"/>
    <w:rsid w:val="1FF266BE"/>
    <w:rsid w:val="1FF322BA"/>
    <w:rsid w:val="1FF32ECF"/>
    <w:rsid w:val="1FF57F5C"/>
    <w:rsid w:val="1FF64400"/>
    <w:rsid w:val="1FF66B8E"/>
    <w:rsid w:val="1FF71F26"/>
    <w:rsid w:val="1FF72257"/>
    <w:rsid w:val="1FF93EF0"/>
    <w:rsid w:val="1FFA0BD8"/>
    <w:rsid w:val="1FFA4D30"/>
    <w:rsid w:val="1FFB1A16"/>
    <w:rsid w:val="1FFB37C4"/>
    <w:rsid w:val="1FFC12EA"/>
    <w:rsid w:val="1FFC1E3F"/>
    <w:rsid w:val="1FFC4AB7"/>
    <w:rsid w:val="1FFC578E"/>
    <w:rsid w:val="1FFF643B"/>
    <w:rsid w:val="20005844"/>
    <w:rsid w:val="20012DA5"/>
    <w:rsid w:val="200307FA"/>
    <w:rsid w:val="20032679"/>
    <w:rsid w:val="2003454F"/>
    <w:rsid w:val="200563F1"/>
    <w:rsid w:val="20060259"/>
    <w:rsid w:val="200603BB"/>
    <w:rsid w:val="200617A8"/>
    <w:rsid w:val="20063603"/>
    <w:rsid w:val="200645AA"/>
    <w:rsid w:val="2007060B"/>
    <w:rsid w:val="20081B2D"/>
    <w:rsid w:val="20084133"/>
    <w:rsid w:val="20085EE1"/>
    <w:rsid w:val="20086FFF"/>
    <w:rsid w:val="200902A2"/>
    <w:rsid w:val="20092A5B"/>
    <w:rsid w:val="200A09E3"/>
    <w:rsid w:val="200A121A"/>
    <w:rsid w:val="200A1C59"/>
    <w:rsid w:val="200A4B94"/>
    <w:rsid w:val="200A7EAB"/>
    <w:rsid w:val="200B1487"/>
    <w:rsid w:val="200C3ABF"/>
    <w:rsid w:val="200C59D1"/>
    <w:rsid w:val="200C7471"/>
    <w:rsid w:val="200C7734"/>
    <w:rsid w:val="200D1288"/>
    <w:rsid w:val="200D34F7"/>
    <w:rsid w:val="200D799B"/>
    <w:rsid w:val="200F0D7F"/>
    <w:rsid w:val="200F4073"/>
    <w:rsid w:val="200F7270"/>
    <w:rsid w:val="20104D96"/>
    <w:rsid w:val="20105ECA"/>
    <w:rsid w:val="20106F09"/>
    <w:rsid w:val="20112FE8"/>
    <w:rsid w:val="20120B0E"/>
    <w:rsid w:val="2012191F"/>
    <w:rsid w:val="20137F9D"/>
    <w:rsid w:val="20140D2A"/>
    <w:rsid w:val="20144886"/>
    <w:rsid w:val="20146634"/>
    <w:rsid w:val="20153B28"/>
    <w:rsid w:val="20166850"/>
    <w:rsid w:val="20176124"/>
    <w:rsid w:val="201819AA"/>
    <w:rsid w:val="20186D9D"/>
    <w:rsid w:val="20191E9C"/>
    <w:rsid w:val="20192ADE"/>
    <w:rsid w:val="20194466"/>
    <w:rsid w:val="201B3E66"/>
    <w:rsid w:val="201B5C14"/>
    <w:rsid w:val="201C13A1"/>
    <w:rsid w:val="201C198C"/>
    <w:rsid w:val="201D2B69"/>
    <w:rsid w:val="201D3F72"/>
    <w:rsid w:val="201F1463"/>
    <w:rsid w:val="201F345A"/>
    <w:rsid w:val="201F4905"/>
    <w:rsid w:val="202028C2"/>
    <w:rsid w:val="2020579A"/>
    <w:rsid w:val="20210D51"/>
    <w:rsid w:val="20211783"/>
    <w:rsid w:val="20222199"/>
    <w:rsid w:val="20224B8C"/>
    <w:rsid w:val="20230F6D"/>
    <w:rsid w:val="2023302E"/>
    <w:rsid w:val="20247B33"/>
    <w:rsid w:val="20252704"/>
    <w:rsid w:val="2025476B"/>
    <w:rsid w:val="20264598"/>
    <w:rsid w:val="2026494B"/>
    <w:rsid w:val="20265145"/>
    <w:rsid w:val="20266765"/>
    <w:rsid w:val="202730EF"/>
    <w:rsid w:val="202742C3"/>
    <w:rsid w:val="20275024"/>
    <w:rsid w:val="20276179"/>
    <w:rsid w:val="20280331"/>
    <w:rsid w:val="202820DF"/>
    <w:rsid w:val="20296CBF"/>
    <w:rsid w:val="20297006"/>
    <w:rsid w:val="202A22FB"/>
    <w:rsid w:val="202A40A9"/>
    <w:rsid w:val="202A5E57"/>
    <w:rsid w:val="202B1BD0"/>
    <w:rsid w:val="202B4E35"/>
    <w:rsid w:val="202B6DED"/>
    <w:rsid w:val="202B7326"/>
    <w:rsid w:val="202C3EDE"/>
    <w:rsid w:val="202C6073"/>
    <w:rsid w:val="202C7E22"/>
    <w:rsid w:val="202D3A67"/>
    <w:rsid w:val="202D3B9A"/>
    <w:rsid w:val="202F16C0"/>
    <w:rsid w:val="202F7912"/>
    <w:rsid w:val="20304BC9"/>
    <w:rsid w:val="20304E75"/>
    <w:rsid w:val="20315CC6"/>
    <w:rsid w:val="20320EDD"/>
    <w:rsid w:val="203257C2"/>
    <w:rsid w:val="20332A74"/>
    <w:rsid w:val="20334D0F"/>
    <w:rsid w:val="20337062"/>
    <w:rsid w:val="20337402"/>
    <w:rsid w:val="20344F28"/>
    <w:rsid w:val="2034516F"/>
    <w:rsid w:val="20362A4E"/>
    <w:rsid w:val="203647FC"/>
    <w:rsid w:val="20370574"/>
    <w:rsid w:val="203717D3"/>
    <w:rsid w:val="20373F6F"/>
    <w:rsid w:val="20375FA9"/>
    <w:rsid w:val="203767C6"/>
    <w:rsid w:val="2038160B"/>
    <w:rsid w:val="203821AD"/>
    <w:rsid w:val="20384A18"/>
    <w:rsid w:val="20386BA7"/>
    <w:rsid w:val="20390790"/>
    <w:rsid w:val="2039253E"/>
    <w:rsid w:val="203942EC"/>
    <w:rsid w:val="2039796E"/>
    <w:rsid w:val="203A349A"/>
    <w:rsid w:val="203A38EA"/>
    <w:rsid w:val="203A643D"/>
    <w:rsid w:val="203B2362"/>
    <w:rsid w:val="203B579E"/>
    <w:rsid w:val="203B5E14"/>
    <w:rsid w:val="203B62B7"/>
    <w:rsid w:val="203B74FB"/>
    <w:rsid w:val="203C3DDD"/>
    <w:rsid w:val="203C5B8B"/>
    <w:rsid w:val="203D0DFD"/>
    <w:rsid w:val="203D202F"/>
    <w:rsid w:val="203E56EF"/>
    <w:rsid w:val="20401B1F"/>
    <w:rsid w:val="20414D3B"/>
    <w:rsid w:val="204157CD"/>
    <w:rsid w:val="20421C31"/>
    <w:rsid w:val="20427645"/>
    <w:rsid w:val="2043454C"/>
    <w:rsid w:val="2043516B"/>
    <w:rsid w:val="20450EE3"/>
    <w:rsid w:val="20453B84"/>
    <w:rsid w:val="20461A3D"/>
    <w:rsid w:val="20461F18"/>
    <w:rsid w:val="20464723"/>
    <w:rsid w:val="20474C5B"/>
    <w:rsid w:val="204809D3"/>
    <w:rsid w:val="20486F2E"/>
    <w:rsid w:val="20490CC8"/>
    <w:rsid w:val="204A05F1"/>
    <w:rsid w:val="204A3343"/>
    <w:rsid w:val="204A4180"/>
    <w:rsid w:val="204A44FE"/>
    <w:rsid w:val="204A64FA"/>
    <w:rsid w:val="204B441F"/>
    <w:rsid w:val="204B6FF0"/>
    <w:rsid w:val="204C132C"/>
    <w:rsid w:val="204C1D2D"/>
    <w:rsid w:val="204C2272"/>
    <w:rsid w:val="204C4020"/>
    <w:rsid w:val="204C6B07"/>
    <w:rsid w:val="204C7578"/>
    <w:rsid w:val="204D1910"/>
    <w:rsid w:val="204D1B46"/>
    <w:rsid w:val="204D3B51"/>
    <w:rsid w:val="204E24A3"/>
    <w:rsid w:val="204E2DA0"/>
    <w:rsid w:val="204F1D62"/>
    <w:rsid w:val="204F3443"/>
    <w:rsid w:val="204F3B10"/>
    <w:rsid w:val="204F451B"/>
    <w:rsid w:val="204F58BE"/>
    <w:rsid w:val="2050283C"/>
    <w:rsid w:val="20506E01"/>
    <w:rsid w:val="20507FC9"/>
    <w:rsid w:val="20511636"/>
    <w:rsid w:val="20523600"/>
    <w:rsid w:val="205273A7"/>
    <w:rsid w:val="20533D65"/>
    <w:rsid w:val="20534041"/>
    <w:rsid w:val="205424A5"/>
    <w:rsid w:val="20542ED4"/>
    <w:rsid w:val="2054459F"/>
    <w:rsid w:val="205454D1"/>
    <w:rsid w:val="20561BB5"/>
    <w:rsid w:val="20564103"/>
    <w:rsid w:val="20566C4C"/>
    <w:rsid w:val="205674A7"/>
    <w:rsid w:val="20570DB0"/>
    <w:rsid w:val="20573EE6"/>
    <w:rsid w:val="20575902"/>
    <w:rsid w:val="20580105"/>
    <w:rsid w:val="20580C17"/>
    <w:rsid w:val="20582C19"/>
    <w:rsid w:val="20586E69"/>
    <w:rsid w:val="20592BE1"/>
    <w:rsid w:val="205979DE"/>
    <w:rsid w:val="205A29D1"/>
    <w:rsid w:val="205B1E38"/>
    <w:rsid w:val="205B24B5"/>
    <w:rsid w:val="205B4263"/>
    <w:rsid w:val="205C1778"/>
    <w:rsid w:val="205C7FDB"/>
    <w:rsid w:val="205D1405"/>
    <w:rsid w:val="205D4088"/>
    <w:rsid w:val="205E01F7"/>
    <w:rsid w:val="205E04E8"/>
    <w:rsid w:val="205E1154"/>
    <w:rsid w:val="205E2961"/>
    <w:rsid w:val="205F6F9E"/>
    <w:rsid w:val="20604C45"/>
    <w:rsid w:val="206051B5"/>
    <w:rsid w:val="20605D1D"/>
    <w:rsid w:val="206075E2"/>
    <w:rsid w:val="20607ACB"/>
    <w:rsid w:val="206155F1"/>
    <w:rsid w:val="20622CA3"/>
    <w:rsid w:val="20626BAE"/>
    <w:rsid w:val="20633B36"/>
    <w:rsid w:val="206375BB"/>
    <w:rsid w:val="2063779B"/>
    <w:rsid w:val="206415BC"/>
    <w:rsid w:val="206536EE"/>
    <w:rsid w:val="20657E74"/>
    <w:rsid w:val="20663B3B"/>
    <w:rsid w:val="206661A3"/>
    <w:rsid w:val="20666A8A"/>
    <w:rsid w:val="206706F6"/>
    <w:rsid w:val="20671BE0"/>
    <w:rsid w:val="20672C08"/>
    <w:rsid w:val="20674ED5"/>
    <w:rsid w:val="206770AC"/>
    <w:rsid w:val="20685C53"/>
    <w:rsid w:val="206967F2"/>
    <w:rsid w:val="206B3A09"/>
    <w:rsid w:val="206B4E99"/>
    <w:rsid w:val="206C021E"/>
    <w:rsid w:val="206C0909"/>
    <w:rsid w:val="206C6470"/>
    <w:rsid w:val="206C7977"/>
    <w:rsid w:val="206D21E8"/>
    <w:rsid w:val="206E055B"/>
    <w:rsid w:val="206E25F1"/>
    <w:rsid w:val="206F20D9"/>
    <w:rsid w:val="20715C03"/>
    <w:rsid w:val="207215AC"/>
    <w:rsid w:val="2072219B"/>
    <w:rsid w:val="207275CA"/>
    <w:rsid w:val="207277FE"/>
    <w:rsid w:val="20730B54"/>
    <w:rsid w:val="2073120C"/>
    <w:rsid w:val="20740EA1"/>
    <w:rsid w:val="207417C9"/>
    <w:rsid w:val="20745325"/>
    <w:rsid w:val="20756A8B"/>
    <w:rsid w:val="20765541"/>
    <w:rsid w:val="20766FDC"/>
    <w:rsid w:val="207673DB"/>
    <w:rsid w:val="2077343C"/>
    <w:rsid w:val="2078031E"/>
    <w:rsid w:val="20781E6B"/>
    <w:rsid w:val="207848CC"/>
    <w:rsid w:val="20784E15"/>
    <w:rsid w:val="20785773"/>
    <w:rsid w:val="20790B8D"/>
    <w:rsid w:val="20791A2A"/>
    <w:rsid w:val="2079293B"/>
    <w:rsid w:val="20796777"/>
    <w:rsid w:val="20796DDF"/>
    <w:rsid w:val="207B38A4"/>
    <w:rsid w:val="207D61B5"/>
    <w:rsid w:val="207D68CF"/>
    <w:rsid w:val="207E3421"/>
    <w:rsid w:val="207E43F5"/>
    <w:rsid w:val="207E61A3"/>
    <w:rsid w:val="207F330F"/>
    <w:rsid w:val="20825C93"/>
    <w:rsid w:val="208270BF"/>
    <w:rsid w:val="20832045"/>
    <w:rsid w:val="208328D1"/>
    <w:rsid w:val="208417B9"/>
    <w:rsid w:val="2084581B"/>
    <w:rsid w:val="208609FE"/>
    <w:rsid w:val="20866ED0"/>
    <w:rsid w:val="208714FC"/>
    <w:rsid w:val="20871D3B"/>
    <w:rsid w:val="20872854"/>
    <w:rsid w:val="20873965"/>
    <w:rsid w:val="20874691"/>
    <w:rsid w:val="20875058"/>
    <w:rsid w:val="20880DD0"/>
    <w:rsid w:val="208843C1"/>
    <w:rsid w:val="20887022"/>
    <w:rsid w:val="20894538"/>
    <w:rsid w:val="20895274"/>
    <w:rsid w:val="208A298D"/>
    <w:rsid w:val="208B2A2D"/>
    <w:rsid w:val="208B396E"/>
    <w:rsid w:val="208C08C0"/>
    <w:rsid w:val="208C10B8"/>
    <w:rsid w:val="208C266E"/>
    <w:rsid w:val="208C2D42"/>
    <w:rsid w:val="208C549D"/>
    <w:rsid w:val="208C5913"/>
    <w:rsid w:val="208C5A94"/>
    <w:rsid w:val="208C6B12"/>
    <w:rsid w:val="208D09BD"/>
    <w:rsid w:val="208D2386"/>
    <w:rsid w:val="208D63E6"/>
    <w:rsid w:val="208D7C54"/>
    <w:rsid w:val="208E5662"/>
    <w:rsid w:val="208E5799"/>
    <w:rsid w:val="208F10F2"/>
    <w:rsid w:val="208F215E"/>
    <w:rsid w:val="208F3A31"/>
    <w:rsid w:val="208F6602"/>
    <w:rsid w:val="208F6EFA"/>
    <w:rsid w:val="20900842"/>
    <w:rsid w:val="20904294"/>
    <w:rsid w:val="20904F3E"/>
    <w:rsid w:val="2091237A"/>
    <w:rsid w:val="20913FC1"/>
    <w:rsid w:val="20914128"/>
    <w:rsid w:val="20915264"/>
    <w:rsid w:val="20920A4C"/>
    <w:rsid w:val="209239FD"/>
    <w:rsid w:val="2092414C"/>
    <w:rsid w:val="20931C4F"/>
    <w:rsid w:val="20943C19"/>
    <w:rsid w:val="209459C7"/>
    <w:rsid w:val="209548B5"/>
    <w:rsid w:val="2096173F"/>
    <w:rsid w:val="209634ED"/>
    <w:rsid w:val="20963CB8"/>
    <w:rsid w:val="20970BF6"/>
    <w:rsid w:val="20971013"/>
    <w:rsid w:val="2097158A"/>
    <w:rsid w:val="20972A26"/>
    <w:rsid w:val="20976CAE"/>
    <w:rsid w:val="209812E5"/>
    <w:rsid w:val="20983EB6"/>
    <w:rsid w:val="20987265"/>
    <w:rsid w:val="209916F9"/>
    <w:rsid w:val="20992FDD"/>
    <w:rsid w:val="20993C17"/>
    <w:rsid w:val="20994D8B"/>
    <w:rsid w:val="209B0DF5"/>
    <w:rsid w:val="209D0D1F"/>
    <w:rsid w:val="209D6898"/>
    <w:rsid w:val="209D7EC3"/>
    <w:rsid w:val="209E65E7"/>
    <w:rsid w:val="209F02CD"/>
    <w:rsid w:val="209F07ED"/>
    <w:rsid w:val="209F6845"/>
    <w:rsid w:val="209F7DAC"/>
    <w:rsid w:val="20A0436C"/>
    <w:rsid w:val="20A07065"/>
    <w:rsid w:val="20A1186A"/>
    <w:rsid w:val="20A13AD8"/>
    <w:rsid w:val="20A15D31"/>
    <w:rsid w:val="20A15EE7"/>
    <w:rsid w:val="20A27D5D"/>
    <w:rsid w:val="20A305BA"/>
    <w:rsid w:val="20A3113B"/>
    <w:rsid w:val="20A3275A"/>
    <w:rsid w:val="20A35C0A"/>
    <w:rsid w:val="20A420AE"/>
    <w:rsid w:val="20A51982"/>
    <w:rsid w:val="20A53730"/>
    <w:rsid w:val="20A5506A"/>
    <w:rsid w:val="20A756FA"/>
    <w:rsid w:val="20A81A1B"/>
    <w:rsid w:val="20A8226A"/>
    <w:rsid w:val="20AA51EA"/>
    <w:rsid w:val="20AC2D10"/>
    <w:rsid w:val="20AC3352"/>
    <w:rsid w:val="20AD09FA"/>
    <w:rsid w:val="20AF0CAD"/>
    <w:rsid w:val="20AF1106"/>
    <w:rsid w:val="20AF1627"/>
    <w:rsid w:val="20AF2801"/>
    <w:rsid w:val="20AF45AF"/>
    <w:rsid w:val="20B019B5"/>
    <w:rsid w:val="20B039D3"/>
    <w:rsid w:val="20B07FB6"/>
    <w:rsid w:val="20B10053"/>
    <w:rsid w:val="20B120D5"/>
    <w:rsid w:val="20B147CB"/>
    <w:rsid w:val="20B16579"/>
    <w:rsid w:val="20B22747"/>
    <w:rsid w:val="20B2279D"/>
    <w:rsid w:val="20B30539"/>
    <w:rsid w:val="20B322F1"/>
    <w:rsid w:val="20B44312"/>
    <w:rsid w:val="20B47E17"/>
    <w:rsid w:val="20B51A11"/>
    <w:rsid w:val="20B54B1F"/>
    <w:rsid w:val="20B61DE1"/>
    <w:rsid w:val="20B646FB"/>
    <w:rsid w:val="20B66BA0"/>
    <w:rsid w:val="20B712C3"/>
    <w:rsid w:val="20B81205"/>
    <w:rsid w:val="20B81D5F"/>
    <w:rsid w:val="20B87907"/>
    <w:rsid w:val="20B93B06"/>
    <w:rsid w:val="20B9482F"/>
    <w:rsid w:val="20B971DB"/>
    <w:rsid w:val="20BA6845"/>
    <w:rsid w:val="20BB2F53"/>
    <w:rsid w:val="20BB7250"/>
    <w:rsid w:val="20BB73F7"/>
    <w:rsid w:val="20BC17B5"/>
    <w:rsid w:val="20BD1B70"/>
    <w:rsid w:val="20BD6CCC"/>
    <w:rsid w:val="20BD7D7B"/>
    <w:rsid w:val="20BE4D41"/>
    <w:rsid w:val="20BF7167"/>
    <w:rsid w:val="20C02EC7"/>
    <w:rsid w:val="20C036CA"/>
    <w:rsid w:val="20C12B46"/>
    <w:rsid w:val="20C130C2"/>
    <w:rsid w:val="20C20050"/>
    <w:rsid w:val="20C24552"/>
    <w:rsid w:val="20C359E2"/>
    <w:rsid w:val="20C4082C"/>
    <w:rsid w:val="20C444FE"/>
    <w:rsid w:val="20C51022"/>
    <w:rsid w:val="20C52024"/>
    <w:rsid w:val="20C53DD2"/>
    <w:rsid w:val="20C733F7"/>
    <w:rsid w:val="20C757F3"/>
    <w:rsid w:val="20C91B14"/>
    <w:rsid w:val="20C92CE4"/>
    <w:rsid w:val="20C938C2"/>
    <w:rsid w:val="20C94425"/>
    <w:rsid w:val="20C9519F"/>
    <w:rsid w:val="20C95670"/>
    <w:rsid w:val="20CA2450"/>
    <w:rsid w:val="20CA3197"/>
    <w:rsid w:val="20CA5AF5"/>
    <w:rsid w:val="20CB68DC"/>
    <w:rsid w:val="20CB6B01"/>
    <w:rsid w:val="20CB6E6D"/>
    <w:rsid w:val="20CC6F0F"/>
    <w:rsid w:val="20CD2CFB"/>
    <w:rsid w:val="20CD3DC4"/>
    <w:rsid w:val="20CD4C3D"/>
    <w:rsid w:val="20CE2AF5"/>
    <w:rsid w:val="20CE3F85"/>
    <w:rsid w:val="20CE712B"/>
    <w:rsid w:val="20CF0166"/>
    <w:rsid w:val="20CF2FA2"/>
    <w:rsid w:val="20CF69FF"/>
    <w:rsid w:val="20D12BB7"/>
    <w:rsid w:val="20D14525"/>
    <w:rsid w:val="20D16F30"/>
    <w:rsid w:val="20D22906"/>
    <w:rsid w:val="20D300A8"/>
    <w:rsid w:val="20D364EF"/>
    <w:rsid w:val="20D36967"/>
    <w:rsid w:val="20D41538"/>
    <w:rsid w:val="20D44015"/>
    <w:rsid w:val="20D47DF7"/>
    <w:rsid w:val="20D61B3B"/>
    <w:rsid w:val="20D63E58"/>
    <w:rsid w:val="20D64231"/>
    <w:rsid w:val="20D66AA1"/>
    <w:rsid w:val="20D67D8D"/>
    <w:rsid w:val="20D738F8"/>
    <w:rsid w:val="20D81D57"/>
    <w:rsid w:val="20D83B05"/>
    <w:rsid w:val="20D858B3"/>
    <w:rsid w:val="20D904AE"/>
    <w:rsid w:val="20D90B87"/>
    <w:rsid w:val="20D9162C"/>
    <w:rsid w:val="20D927D9"/>
    <w:rsid w:val="20DA037C"/>
    <w:rsid w:val="20DA3C69"/>
    <w:rsid w:val="20DA5ACF"/>
    <w:rsid w:val="20DA787E"/>
    <w:rsid w:val="20DB1848"/>
    <w:rsid w:val="20DB53A4"/>
    <w:rsid w:val="20DB7CA6"/>
    <w:rsid w:val="20DC60D3"/>
    <w:rsid w:val="20DC6589"/>
    <w:rsid w:val="20DC7CCA"/>
    <w:rsid w:val="20DD0091"/>
    <w:rsid w:val="20DD111C"/>
    <w:rsid w:val="20DD25EA"/>
    <w:rsid w:val="20DD55C0"/>
    <w:rsid w:val="20DD6915"/>
    <w:rsid w:val="20DD736E"/>
    <w:rsid w:val="20DE4E3A"/>
    <w:rsid w:val="20DE6F7C"/>
    <w:rsid w:val="20DF4F0A"/>
    <w:rsid w:val="20E00C0C"/>
    <w:rsid w:val="20E00F62"/>
    <w:rsid w:val="20E029BA"/>
    <w:rsid w:val="20E06E5E"/>
    <w:rsid w:val="20E24817"/>
    <w:rsid w:val="20E34258"/>
    <w:rsid w:val="20E406FC"/>
    <w:rsid w:val="20E50DA1"/>
    <w:rsid w:val="20E51F26"/>
    <w:rsid w:val="20E57FD0"/>
    <w:rsid w:val="20E62626"/>
    <w:rsid w:val="20E643A0"/>
    <w:rsid w:val="20E7310B"/>
    <w:rsid w:val="20E73D48"/>
    <w:rsid w:val="20E76E10"/>
    <w:rsid w:val="20E83230"/>
    <w:rsid w:val="20E852A5"/>
    <w:rsid w:val="20E876F4"/>
    <w:rsid w:val="20E90B8D"/>
    <w:rsid w:val="20E95D13"/>
    <w:rsid w:val="20EA375E"/>
    <w:rsid w:val="20EB3653"/>
    <w:rsid w:val="20EB5C0D"/>
    <w:rsid w:val="20EC135F"/>
    <w:rsid w:val="20EC1C21"/>
    <w:rsid w:val="20EC288F"/>
    <w:rsid w:val="20EC4359"/>
    <w:rsid w:val="20EC5803"/>
    <w:rsid w:val="20EC607E"/>
    <w:rsid w:val="20EC75B1"/>
    <w:rsid w:val="20ED22E8"/>
    <w:rsid w:val="20ED4838"/>
    <w:rsid w:val="20EE0477"/>
    <w:rsid w:val="20EE231C"/>
    <w:rsid w:val="20EF0E4F"/>
    <w:rsid w:val="20EF2BFD"/>
    <w:rsid w:val="20EF6140"/>
    <w:rsid w:val="20F23661"/>
    <w:rsid w:val="20F24AC1"/>
    <w:rsid w:val="20F30E33"/>
    <w:rsid w:val="20F31215"/>
    <w:rsid w:val="20F34552"/>
    <w:rsid w:val="20F35F51"/>
    <w:rsid w:val="20F41B30"/>
    <w:rsid w:val="20F473E1"/>
    <w:rsid w:val="20F62A07"/>
    <w:rsid w:val="20F63EFE"/>
    <w:rsid w:val="20F646D7"/>
    <w:rsid w:val="20F673B6"/>
    <w:rsid w:val="20F748D2"/>
    <w:rsid w:val="20F841A8"/>
    <w:rsid w:val="20F85F56"/>
    <w:rsid w:val="20F871F2"/>
    <w:rsid w:val="20F916C5"/>
    <w:rsid w:val="20F91DC3"/>
    <w:rsid w:val="20F94359"/>
    <w:rsid w:val="20FA1CCE"/>
    <w:rsid w:val="20FA7F20"/>
    <w:rsid w:val="20FB58E2"/>
    <w:rsid w:val="20FB6440"/>
    <w:rsid w:val="20FC3C98"/>
    <w:rsid w:val="20FD17BE"/>
    <w:rsid w:val="20FD531A"/>
    <w:rsid w:val="20FF1092"/>
    <w:rsid w:val="20FF5536"/>
    <w:rsid w:val="20FF72E4"/>
    <w:rsid w:val="20FF7AAC"/>
    <w:rsid w:val="2100305C"/>
    <w:rsid w:val="21004E0A"/>
    <w:rsid w:val="21005C35"/>
    <w:rsid w:val="2101751A"/>
    <w:rsid w:val="21022930"/>
    <w:rsid w:val="21025026"/>
    <w:rsid w:val="210257ED"/>
    <w:rsid w:val="21026DD4"/>
    <w:rsid w:val="210406C9"/>
    <w:rsid w:val="21042B4C"/>
    <w:rsid w:val="21045BC4"/>
    <w:rsid w:val="210466A8"/>
    <w:rsid w:val="21050366"/>
    <w:rsid w:val="21050673"/>
    <w:rsid w:val="21050A76"/>
    <w:rsid w:val="210617F6"/>
    <w:rsid w:val="210716D9"/>
    <w:rsid w:val="2107263D"/>
    <w:rsid w:val="210743EB"/>
    <w:rsid w:val="21075FBA"/>
    <w:rsid w:val="21076325"/>
    <w:rsid w:val="21093CBF"/>
    <w:rsid w:val="210A2D48"/>
    <w:rsid w:val="210B3EDB"/>
    <w:rsid w:val="210B4EFC"/>
    <w:rsid w:val="210B5C89"/>
    <w:rsid w:val="210C37AF"/>
    <w:rsid w:val="210C5668"/>
    <w:rsid w:val="210C6A10"/>
    <w:rsid w:val="210C7C53"/>
    <w:rsid w:val="210D3C0A"/>
    <w:rsid w:val="210D7225"/>
    <w:rsid w:val="210E2B59"/>
    <w:rsid w:val="210E5779"/>
    <w:rsid w:val="210E5892"/>
    <w:rsid w:val="210E7F88"/>
    <w:rsid w:val="210F3FE9"/>
    <w:rsid w:val="210F504D"/>
    <w:rsid w:val="21101F15"/>
    <w:rsid w:val="21105108"/>
    <w:rsid w:val="21110DC5"/>
    <w:rsid w:val="21113C1A"/>
    <w:rsid w:val="21117017"/>
    <w:rsid w:val="211173F2"/>
    <w:rsid w:val="211214DA"/>
    <w:rsid w:val="2112198B"/>
    <w:rsid w:val="211225E9"/>
    <w:rsid w:val="21122A7A"/>
    <w:rsid w:val="2112552E"/>
    <w:rsid w:val="21132EE8"/>
    <w:rsid w:val="2114528A"/>
    <w:rsid w:val="211511D9"/>
    <w:rsid w:val="2115464A"/>
    <w:rsid w:val="2115671A"/>
    <w:rsid w:val="21162880"/>
    <w:rsid w:val="21171BC4"/>
    <w:rsid w:val="211803A6"/>
    <w:rsid w:val="21184805"/>
    <w:rsid w:val="211865F8"/>
    <w:rsid w:val="211867DC"/>
    <w:rsid w:val="211A411E"/>
    <w:rsid w:val="211B3CCD"/>
    <w:rsid w:val="211C0CE2"/>
    <w:rsid w:val="211C3A1C"/>
    <w:rsid w:val="211C515D"/>
    <w:rsid w:val="211C60E8"/>
    <w:rsid w:val="211D3C0E"/>
    <w:rsid w:val="211D59BC"/>
    <w:rsid w:val="211E3B5E"/>
    <w:rsid w:val="211F089C"/>
    <w:rsid w:val="211F304E"/>
    <w:rsid w:val="21210D85"/>
    <w:rsid w:val="2121227F"/>
    <w:rsid w:val="212136FE"/>
    <w:rsid w:val="212154AC"/>
    <w:rsid w:val="21221225"/>
    <w:rsid w:val="2122245F"/>
    <w:rsid w:val="21222D6A"/>
    <w:rsid w:val="21224762"/>
    <w:rsid w:val="21240AF9"/>
    <w:rsid w:val="21244F9D"/>
    <w:rsid w:val="21246D4B"/>
    <w:rsid w:val="212523C8"/>
    <w:rsid w:val="2125431C"/>
    <w:rsid w:val="21254871"/>
    <w:rsid w:val="21257AF5"/>
    <w:rsid w:val="21260D15"/>
    <w:rsid w:val="21261EE1"/>
    <w:rsid w:val="21262AC3"/>
    <w:rsid w:val="21272E87"/>
    <w:rsid w:val="21273470"/>
    <w:rsid w:val="2127683B"/>
    <w:rsid w:val="212831D6"/>
    <w:rsid w:val="21283700"/>
    <w:rsid w:val="21287CCA"/>
    <w:rsid w:val="212925B3"/>
    <w:rsid w:val="212A10E9"/>
    <w:rsid w:val="212A46EB"/>
    <w:rsid w:val="212A6768"/>
    <w:rsid w:val="212B769E"/>
    <w:rsid w:val="212C128C"/>
    <w:rsid w:val="212C3E51"/>
    <w:rsid w:val="212C5BFF"/>
    <w:rsid w:val="212C687A"/>
    <w:rsid w:val="212C7FCB"/>
    <w:rsid w:val="212D0522"/>
    <w:rsid w:val="212D49A1"/>
    <w:rsid w:val="212E1977"/>
    <w:rsid w:val="212E5E1B"/>
    <w:rsid w:val="212E7BC9"/>
    <w:rsid w:val="212F3A44"/>
    <w:rsid w:val="21303941"/>
    <w:rsid w:val="21313216"/>
    <w:rsid w:val="21333432"/>
    <w:rsid w:val="213351E0"/>
    <w:rsid w:val="21335230"/>
    <w:rsid w:val="21336F8E"/>
    <w:rsid w:val="213435D0"/>
    <w:rsid w:val="21354AB4"/>
    <w:rsid w:val="21354B49"/>
    <w:rsid w:val="2136082C"/>
    <w:rsid w:val="21370624"/>
    <w:rsid w:val="213760C2"/>
    <w:rsid w:val="21380E87"/>
    <w:rsid w:val="213827F6"/>
    <w:rsid w:val="213845A4"/>
    <w:rsid w:val="21384685"/>
    <w:rsid w:val="21386C61"/>
    <w:rsid w:val="2139157F"/>
    <w:rsid w:val="213A656E"/>
    <w:rsid w:val="213A7AE6"/>
    <w:rsid w:val="213B08E1"/>
    <w:rsid w:val="213B4094"/>
    <w:rsid w:val="213B5C8C"/>
    <w:rsid w:val="213B74B1"/>
    <w:rsid w:val="213C4BDD"/>
    <w:rsid w:val="213C57AD"/>
    <w:rsid w:val="213D1AC6"/>
    <w:rsid w:val="213D26CE"/>
    <w:rsid w:val="213D6AFE"/>
    <w:rsid w:val="213D7067"/>
    <w:rsid w:val="213E04F7"/>
    <w:rsid w:val="213F1DD6"/>
    <w:rsid w:val="213F5933"/>
    <w:rsid w:val="21405452"/>
    <w:rsid w:val="21411629"/>
    <w:rsid w:val="21423675"/>
    <w:rsid w:val="21425982"/>
    <w:rsid w:val="214271D1"/>
    <w:rsid w:val="21440083"/>
    <w:rsid w:val="21441798"/>
    <w:rsid w:val="21441968"/>
    <w:rsid w:val="21463165"/>
    <w:rsid w:val="21464F13"/>
    <w:rsid w:val="2146549C"/>
    <w:rsid w:val="21466C89"/>
    <w:rsid w:val="21472A39"/>
    <w:rsid w:val="21486EDD"/>
    <w:rsid w:val="2149055F"/>
    <w:rsid w:val="214967B1"/>
    <w:rsid w:val="214B077B"/>
    <w:rsid w:val="214B42D7"/>
    <w:rsid w:val="214B46A2"/>
    <w:rsid w:val="214B60CA"/>
    <w:rsid w:val="214D2228"/>
    <w:rsid w:val="214D4EAB"/>
    <w:rsid w:val="214E154F"/>
    <w:rsid w:val="214E201A"/>
    <w:rsid w:val="214E20FB"/>
    <w:rsid w:val="214E29CF"/>
    <w:rsid w:val="21501E7F"/>
    <w:rsid w:val="21507B40"/>
    <w:rsid w:val="21521B0A"/>
    <w:rsid w:val="215238B8"/>
    <w:rsid w:val="21561917"/>
    <w:rsid w:val="21562E5A"/>
    <w:rsid w:val="215727DE"/>
    <w:rsid w:val="21577185"/>
    <w:rsid w:val="21580E0F"/>
    <w:rsid w:val="2159252D"/>
    <w:rsid w:val="21594494"/>
    <w:rsid w:val="215A09BE"/>
    <w:rsid w:val="215A2310"/>
    <w:rsid w:val="215A39BD"/>
    <w:rsid w:val="215A451A"/>
    <w:rsid w:val="215A6C10"/>
    <w:rsid w:val="215C4736"/>
    <w:rsid w:val="215D225D"/>
    <w:rsid w:val="215D400B"/>
    <w:rsid w:val="215D411D"/>
    <w:rsid w:val="215D509E"/>
    <w:rsid w:val="215E195C"/>
    <w:rsid w:val="215F6774"/>
    <w:rsid w:val="215F7D83"/>
    <w:rsid w:val="21602C70"/>
    <w:rsid w:val="21604C37"/>
    <w:rsid w:val="216058A9"/>
    <w:rsid w:val="21606027"/>
    <w:rsid w:val="21607552"/>
    <w:rsid w:val="21611D4D"/>
    <w:rsid w:val="2161243E"/>
    <w:rsid w:val="21613AFB"/>
    <w:rsid w:val="21622E3A"/>
    <w:rsid w:val="21627873"/>
    <w:rsid w:val="21635AC5"/>
    <w:rsid w:val="21641FAC"/>
    <w:rsid w:val="216435EB"/>
    <w:rsid w:val="21645399"/>
    <w:rsid w:val="216550FD"/>
    <w:rsid w:val="2166240D"/>
    <w:rsid w:val="21667363"/>
    <w:rsid w:val="21676C37"/>
    <w:rsid w:val="21682E26"/>
    <w:rsid w:val="216830DB"/>
    <w:rsid w:val="21686B2B"/>
    <w:rsid w:val="21690C01"/>
    <w:rsid w:val="216A0F01"/>
    <w:rsid w:val="216A34B2"/>
    <w:rsid w:val="216A648C"/>
    <w:rsid w:val="216B2BCB"/>
    <w:rsid w:val="216B497A"/>
    <w:rsid w:val="216B5207"/>
    <w:rsid w:val="216D05B2"/>
    <w:rsid w:val="216D1E33"/>
    <w:rsid w:val="216E4827"/>
    <w:rsid w:val="216E6218"/>
    <w:rsid w:val="216E7FC6"/>
    <w:rsid w:val="216F74D4"/>
    <w:rsid w:val="217001E2"/>
    <w:rsid w:val="21701F90"/>
    <w:rsid w:val="217038B5"/>
    <w:rsid w:val="21703D3E"/>
    <w:rsid w:val="21713EAC"/>
    <w:rsid w:val="21721B80"/>
    <w:rsid w:val="21723F5A"/>
    <w:rsid w:val="21724373"/>
    <w:rsid w:val="21730FAD"/>
    <w:rsid w:val="21731A80"/>
    <w:rsid w:val="21731FC6"/>
    <w:rsid w:val="2173382E"/>
    <w:rsid w:val="21740A12"/>
    <w:rsid w:val="21747CD2"/>
    <w:rsid w:val="217557F8"/>
    <w:rsid w:val="21756E76"/>
    <w:rsid w:val="217575A6"/>
    <w:rsid w:val="2177331E"/>
    <w:rsid w:val="217769E4"/>
    <w:rsid w:val="21785478"/>
    <w:rsid w:val="21787096"/>
    <w:rsid w:val="217A28E4"/>
    <w:rsid w:val="217A2BBB"/>
    <w:rsid w:val="217A2E0F"/>
    <w:rsid w:val="217A3D05"/>
    <w:rsid w:val="217B7008"/>
    <w:rsid w:val="217B7139"/>
    <w:rsid w:val="217C0935"/>
    <w:rsid w:val="217C2CF8"/>
    <w:rsid w:val="217C6B87"/>
    <w:rsid w:val="217D32FC"/>
    <w:rsid w:val="217D35CA"/>
    <w:rsid w:val="217D645B"/>
    <w:rsid w:val="217E5989"/>
    <w:rsid w:val="217F0425"/>
    <w:rsid w:val="217F6677"/>
    <w:rsid w:val="218004BA"/>
    <w:rsid w:val="21804FF5"/>
    <w:rsid w:val="21821CC3"/>
    <w:rsid w:val="21822BC9"/>
    <w:rsid w:val="218477E9"/>
    <w:rsid w:val="21853D75"/>
    <w:rsid w:val="218617B3"/>
    <w:rsid w:val="2186530F"/>
    <w:rsid w:val="218705A7"/>
    <w:rsid w:val="21871088"/>
    <w:rsid w:val="21875B03"/>
    <w:rsid w:val="2188286E"/>
    <w:rsid w:val="218912A4"/>
    <w:rsid w:val="21892A9C"/>
    <w:rsid w:val="21893052"/>
    <w:rsid w:val="21894680"/>
    <w:rsid w:val="218B0AAF"/>
    <w:rsid w:val="218B501C"/>
    <w:rsid w:val="218B6AFD"/>
    <w:rsid w:val="218C669E"/>
    <w:rsid w:val="218D2B42"/>
    <w:rsid w:val="218D7345"/>
    <w:rsid w:val="218F3D3D"/>
    <w:rsid w:val="219043E0"/>
    <w:rsid w:val="2192171F"/>
    <w:rsid w:val="2193477D"/>
    <w:rsid w:val="21935C7E"/>
    <w:rsid w:val="21937A2C"/>
    <w:rsid w:val="2195103F"/>
    <w:rsid w:val="21962254"/>
    <w:rsid w:val="21971952"/>
    <w:rsid w:val="2197284B"/>
    <w:rsid w:val="21972CF8"/>
    <w:rsid w:val="2197576F"/>
    <w:rsid w:val="21976AF2"/>
    <w:rsid w:val="219A3A21"/>
    <w:rsid w:val="219B78EA"/>
    <w:rsid w:val="219C0FD7"/>
    <w:rsid w:val="219C2D85"/>
    <w:rsid w:val="219C3250"/>
    <w:rsid w:val="219C533D"/>
    <w:rsid w:val="219D08AB"/>
    <w:rsid w:val="219D0C9F"/>
    <w:rsid w:val="219D0F12"/>
    <w:rsid w:val="219D253D"/>
    <w:rsid w:val="219D2B8D"/>
    <w:rsid w:val="219D2D23"/>
    <w:rsid w:val="219E4D4F"/>
    <w:rsid w:val="219E6AFD"/>
    <w:rsid w:val="219F2875"/>
    <w:rsid w:val="219F4623"/>
    <w:rsid w:val="21A0568B"/>
    <w:rsid w:val="21A1530E"/>
    <w:rsid w:val="21A25EC1"/>
    <w:rsid w:val="21A41C3A"/>
    <w:rsid w:val="21A460DD"/>
    <w:rsid w:val="21A51B5B"/>
    <w:rsid w:val="21A52FF1"/>
    <w:rsid w:val="21A56D9E"/>
    <w:rsid w:val="21A61FC4"/>
    <w:rsid w:val="21A63705"/>
    <w:rsid w:val="21A659B2"/>
    <w:rsid w:val="21A74B95"/>
    <w:rsid w:val="21A7762C"/>
    <w:rsid w:val="21A8172A"/>
    <w:rsid w:val="21A842C7"/>
    <w:rsid w:val="21A97250"/>
    <w:rsid w:val="21AA283A"/>
    <w:rsid w:val="21AA36F4"/>
    <w:rsid w:val="21AB2FC8"/>
    <w:rsid w:val="21AB746C"/>
    <w:rsid w:val="21AD0AEE"/>
    <w:rsid w:val="21AD3BA7"/>
    <w:rsid w:val="21AD4AF6"/>
    <w:rsid w:val="21AD4F92"/>
    <w:rsid w:val="21AD6D40"/>
    <w:rsid w:val="21AD72C6"/>
    <w:rsid w:val="21AE03AA"/>
    <w:rsid w:val="21AE2AB8"/>
    <w:rsid w:val="21AF0D0A"/>
    <w:rsid w:val="21AF5822"/>
    <w:rsid w:val="21B005DE"/>
    <w:rsid w:val="21B064E3"/>
    <w:rsid w:val="21B06830"/>
    <w:rsid w:val="21B14447"/>
    <w:rsid w:val="21B14B1E"/>
    <w:rsid w:val="21B170D7"/>
    <w:rsid w:val="21B225A8"/>
    <w:rsid w:val="21B24356"/>
    <w:rsid w:val="21B26104"/>
    <w:rsid w:val="21B300CF"/>
    <w:rsid w:val="21B35B98"/>
    <w:rsid w:val="21B4303B"/>
    <w:rsid w:val="21B43FCC"/>
    <w:rsid w:val="21B46321"/>
    <w:rsid w:val="21B53E47"/>
    <w:rsid w:val="21B55A58"/>
    <w:rsid w:val="21B65CB2"/>
    <w:rsid w:val="21B65D3C"/>
    <w:rsid w:val="21B73C42"/>
    <w:rsid w:val="21B856E5"/>
    <w:rsid w:val="21B85B1A"/>
    <w:rsid w:val="21B917AE"/>
    <w:rsid w:val="21B93937"/>
    <w:rsid w:val="21BA145D"/>
    <w:rsid w:val="21BA320B"/>
    <w:rsid w:val="21BB4B9C"/>
    <w:rsid w:val="21BB52B4"/>
    <w:rsid w:val="21BC51D5"/>
    <w:rsid w:val="21BD6D71"/>
    <w:rsid w:val="21BD6DBB"/>
    <w:rsid w:val="21BE719F"/>
    <w:rsid w:val="21BF20AC"/>
    <w:rsid w:val="21BF42AC"/>
    <w:rsid w:val="21BF4F0F"/>
    <w:rsid w:val="21C078FF"/>
    <w:rsid w:val="21C1030D"/>
    <w:rsid w:val="21C103C6"/>
    <w:rsid w:val="21C10A3D"/>
    <w:rsid w:val="21C127EB"/>
    <w:rsid w:val="21C26024"/>
    <w:rsid w:val="21C32C2D"/>
    <w:rsid w:val="21C34799"/>
    <w:rsid w:val="21C347B6"/>
    <w:rsid w:val="21C36564"/>
    <w:rsid w:val="21C43B9C"/>
    <w:rsid w:val="21C46094"/>
    <w:rsid w:val="21C51EFF"/>
    <w:rsid w:val="21C569DD"/>
    <w:rsid w:val="21C65F75"/>
    <w:rsid w:val="21C67E02"/>
    <w:rsid w:val="21C72E5E"/>
    <w:rsid w:val="21C7555C"/>
    <w:rsid w:val="21C77D00"/>
    <w:rsid w:val="21C80FDC"/>
    <w:rsid w:val="21C83455"/>
    <w:rsid w:val="21C83ECE"/>
    <w:rsid w:val="21C870E9"/>
    <w:rsid w:val="21C9535E"/>
    <w:rsid w:val="21C96F0C"/>
    <w:rsid w:val="21C978F2"/>
    <w:rsid w:val="21C97F2F"/>
    <w:rsid w:val="21CA13BF"/>
    <w:rsid w:val="21CA1DC1"/>
    <w:rsid w:val="21CA5B44"/>
    <w:rsid w:val="21CB06A9"/>
    <w:rsid w:val="21CB18BC"/>
    <w:rsid w:val="21CC31CC"/>
    <w:rsid w:val="21CC5420"/>
    <w:rsid w:val="21CD258A"/>
    <w:rsid w:val="21CD73E2"/>
    <w:rsid w:val="21CE54A8"/>
    <w:rsid w:val="21CE6CB6"/>
    <w:rsid w:val="21CF1AC1"/>
    <w:rsid w:val="21CF3B1F"/>
    <w:rsid w:val="21D00C81"/>
    <w:rsid w:val="21D02A2F"/>
    <w:rsid w:val="21D06ED2"/>
    <w:rsid w:val="21D166C1"/>
    <w:rsid w:val="21D267A7"/>
    <w:rsid w:val="21D320CC"/>
    <w:rsid w:val="21D40771"/>
    <w:rsid w:val="21D4251F"/>
    <w:rsid w:val="21D50045"/>
    <w:rsid w:val="21D57C13"/>
    <w:rsid w:val="21D60969"/>
    <w:rsid w:val="21D62A8B"/>
    <w:rsid w:val="21D7200F"/>
    <w:rsid w:val="21D94BA3"/>
    <w:rsid w:val="21D94E53"/>
    <w:rsid w:val="21D95D87"/>
    <w:rsid w:val="21DA0D50"/>
    <w:rsid w:val="21DA1AFF"/>
    <w:rsid w:val="21DA38AD"/>
    <w:rsid w:val="21DA4465"/>
    <w:rsid w:val="21DA565B"/>
    <w:rsid w:val="21DA6025"/>
    <w:rsid w:val="21DB2512"/>
    <w:rsid w:val="21DB7773"/>
    <w:rsid w:val="21DC13D3"/>
    <w:rsid w:val="21DC5877"/>
    <w:rsid w:val="21DD1F72"/>
    <w:rsid w:val="21DD325B"/>
    <w:rsid w:val="21DE318A"/>
    <w:rsid w:val="21DE514B"/>
    <w:rsid w:val="21DF0CC5"/>
    <w:rsid w:val="21DF3896"/>
    <w:rsid w:val="21DF6698"/>
    <w:rsid w:val="21E0212B"/>
    <w:rsid w:val="21E1189F"/>
    <w:rsid w:val="21E14A75"/>
    <w:rsid w:val="21E14C3C"/>
    <w:rsid w:val="21E169EA"/>
    <w:rsid w:val="21E25BC6"/>
    <w:rsid w:val="21E309B4"/>
    <w:rsid w:val="21E32762"/>
    <w:rsid w:val="21E36C06"/>
    <w:rsid w:val="21E40288"/>
    <w:rsid w:val="21E464C1"/>
    <w:rsid w:val="21E464DA"/>
    <w:rsid w:val="21E52DAF"/>
    <w:rsid w:val="21E533F6"/>
    <w:rsid w:val="21E5472C"/>
    <w:rsid w:val="21E62252"/>
    <w:rsid w:val="21E655EB"/>
    <w:rsid w:val="21E75FAA"/>
    <w:rsid w:val="21E8421C"/>
    <w:rsid w:val="21E867A8"/>
    <w:rsid w:val="21E91608"/>
    <w:rsid w:val="21E97519"/>
    <w:rsid w:val="21EA5DD8"/>
    <w:rsid w:val="21EA7DCB"/>
    <w:rsid w:val="21EB07A6"/>
    <w:rsid w:val="21EB1616"/>
    <w:rsid w:val="21EB5ABA"/>
    <w:rsid w:val="21EB7868"/>
    <w:rsid w:val="21ED1832"/>
    <w:rsid w:val="21EE1107"/>
    <w:rsid w:val="21EE5349"/>
    <w:rsid w:val="21EF5B80"/>
    <w:rsid w:val="21F030D1"/>
    <w:rsid w:val="21F0363B"/>
    <w:rsid w:val="21F04E7F"/>
    <w:rsid w:val="21F05E39"/>
    <w:rsid w:val="21F0715B"/>
    <w:rsid w:val="21F2300C"/>
    <w:rsid w:val="21F34EE5"/>
    <w:rsid w:val="21F36C2E"/>
    <w:rsid w:val="21F410A8"/>
    <w:rsid w:val="21F42BC1"/>
    <w:rsid w:val="21F445A2"/>
    <w:rsid w:val="21F45D95"/>
    <w:rsid w:val="21F47225"/>
    <w:rsid w:val="21F506E7"/>
    <w:rsid w:val="21F514CA"/>
    <w:rsid w:val="21F53661"/>
    <w:rsid w:val="21F63C82"/>
    <w:rsid w:val="21F66F4C"/>
    <w:rsid w:val="21F726B1"/>
    <w:rsid w:val="21F73172"/>
    <w:rsid w:val="21F77FBB"/>
    <w:rsid w:val="21F841CE"/>
    <w:rsid w:val="21F8438B"/>
    <w:rsid w:val="21F87BD3"/>
    <w:rsid w:val="21F901D7"/>
    <w:rsid w:val="21F93D33"/>
    <w:rsid w:val="21F94C38"/>
    <w:rsid w:val="21FA27FC"/>
    <w:rsid w:val="21FB3F4F"/>
    <w:rsid w:val="21FC62DA"/>
    <w:rsid w:val="21FC7CC7"/>
    <w:rsid w:val="21FD16B5"/>
    <w:rsid w:val="21FD6D7A"/>
    <w:rsid w:val="21FD6F30"/>
    <w:rsid w:val="21FE134A"/>
    <w:rsid w:val="21FE56DE"/>
    <w:rsid w:val="21FE57EE"/>
    <w:rsid w:val="21FE759C"/>
    <w:rsid w:val="21FF010C"/>
    <w:rsid w:val="21FF38E5"/>
    <w:rsid w:val="2201708C"/>
    <w:rsid w:val="22026C30"/>
    <w:rsid w:val="22031056"/>
    <w:rsid w:val="22041550"/>
    <w:rsid w:val="22044FB8"/>
    <w:rsid w:val="22053AFD"/>
    <w:rsid w:val="22053E70"/>
    <w:rsid w:val="22060BD8"/>
    <w:rsid w:val="220748B5"/>
    <w:rsid w:val="2208666C"/>
    <w:rsid w:val="220927F1"/>
    <w:rsid w:val="22097CEF"/>
    <w:rsid w:val="220A5F40"/>
    <w:rsid w:val="220B3A67"/>
    <w:rsid w:val="220B6398"/>
    <w:rsid w:val="220B6792"/>
    <w:rsid w:val="220C2D31"/>
    <w:rsid w:val="220C6D32"/>
    <w:rsid w:val="220D77DF"/>
    <w:rsid w:val="220E4178"/>
    <w:rsid w:val="220E522F"/>
    <w:rsid w:val="220F1234"/>
    <w:rsid w:val="220F79FB"/>
    <w:rsid w:val="2210107D"/>
    <w:rsid w:val="221041A9"/>
    <w:rsid w:val="22104BCC"/>
    <w:rsid w:val="22105521"/>
    <w:rsid w:val="22105FB5"/>
    <w:rsid w:val="22106080"/>
    <w:rsid w:val="22130322"/>
    <w:rsid w:val="22136EFB"/>
    <w:rsid w:val="22137BB5"/>
    <w:rsid w:val="22140B6D"/>
    <w:rsid w:val="221424D5"/>
    <w:rsid w:val="2214507F"/>
    <w:rsid w:val="22146DBF"/>
    <w:rsid w:val="22160D89"/>
    <w:rsid w:val="22162B37"/>
    <w:rsid w:val="2217240B"/>
    <w:rsid w:val="22181944"/>
    <w:rsid w:val="22191C3E"/>
    <w:rsid w:val="221922E6"/>
    <w:rsid w:val="22192627"/>
    <w:rsid w:val="22194137"/>
    <w:rsid w:val="221943D6"/>
    <w:rsid w:val="2219440B"/>
    <w:rsid w:val="22196184"/>
    <w:rsid w:val="221A14F6"/>
    <w:rsid w:val="221A1EFC"/>
    <w:rsid w:val="221A374B"/>
    <w:rsid w:val="221A709A"/>
    <w:rsid w:val="221B014E"/>
    <w:rsid w:val="221B2546"/>
    <w:rsid w:val="221B478F"/>
    <w:rsid w:val="221B61BB"/>
    <w:rsid w:val="221B7A6B"/>
    <w:rsid w:val="221C214A"/>
    <w:rsid w:val="221C3EC6"/>
    <w:rsid w:val="221C5C74"/>
    <w:rsid w:val="221D7445"/>
    <w:rsid w:val="221D7F75"/>
    <w:rsid w:val="221E4CC8"/>
    <w:rsid w:val="221E7C3E"/>
    <w:rsid w:val="221F0149"/>
    <w:rsid w:val="22202606"/>
    <w:rsid w:val="222039B6"/>
    <w:rsid w:val="22213649"/>
    <w:rsid w:val="2221772E"/>
    <w:rsid w:val="222208C5"/>
    <w:rsid w:val="22230F15"/>
    <w:rsid w:val="22237002"/>
    <w:rsid w:val="22246549"/>
    <w:rsid w:val="22250FCC"/>
    <w:rsid w:val="222510F9"/>
    <w:rsid w:val="22252D7A"/>
    <w:rsid w:val="222605CD"/>
    <w:rsid w:val="222608A0"/>
    <w:rsid w:val="22280ABD"/>
    <w:rsid w:val="2228286B"/>
    <w:rsid w:val="22284124"/>
    <w:rsid w:val="222922A3"/>
    <w:rsid w:val="22295AD0"/>
    <w:rsid w:val="222A2833"/>
    <w:rsid w:val="222A65E3"/>
    <w:rsid w:val="222B5EB7"/>
    <w:rsid w:val="222C235B"/>
    <w:rsid w:val="222F1E4B"/>
    <w:rsid w:val="222F42F9"/>
    <w:rsid w:val="222F7A24"/>
    <w:rsid w:val="223027C7"/>
    <w:rsid w:val="223034CD"/>
    <w:rsid w:val="22303B84"/>
    <w:rsid w:val="223236E9"/>
    <w:rsid w:val="22325497"/>
    <w:rsid w:val="22333E32"/>
    <w:rsid w:val="22342FBD"/>
    <w:rsid w:val="223451AE"/>
    <w:rsid w:val="22347461"/>
    <w:rsid w:val="2235037E"/>
    <w:rsid w:val="22350AE4"/>
    <w:rsid w:val="2235710E"/>
    <w:rsid w:val="223613C5"/>
    <w:rsid w:val="2236157A"/>
    <w:rsid w:val="2236531C"/>
    <w:rsid w:val="22370D00"/>
    <w:rsid w:val="2237219C"/>
    <w:rsid w:val="22372AAE"/>
    <w:rsid w:val="2237480D"/>
    <w:rsid w:val="22377DCC"/>
    <w:rsid w:val="22384AEA"/>
    <w:rsid w:val="22386FE9"/>
    <w:rsid w:val="223876B6"/>
    <w:rsid w:val="22387A21"/>
    <w:rsid w:val="22394A78"/>
    <w:rsid w:val="223A2562"/>
    <w:rsid w:val="223B2314"/>
    <w:rsid w:val="223B259E"/>
    <w:rsid w:val="223B4170"/>
    <w:rsid w:val="223B434C"/>
    <w:rsid w:val="223E0D96"/>
    <w:rsid w:val="223E7769"/>
    <w:rsid w:val="223E7C56"/>
    <w:rsid w:val="22413129"/>
    <w:rsid w:val="22413D08"/>
    <w:rsid w:val="224156DA"/>
    <w:rsid w:val="224240C3"/>
    <w:rsid w:val="22445508"/>
    <w:rsid w:val="2245341D"/>
    <w:rsid w:val="22456F24"/>
    <w:rsid w:val="22465C8A"/>
    <w:rsid w:val="224701D5"/>
    <w:rsid w:val="22475254"/>
    <w:rsid w:val="22477195"/>
    <w:rsid w:val="22482F0D"/>
    <w:rsid w:val="22484CBB"/>
    <w:rsid w:val="22485ECA"/>
    <w:rsid w:val="224867F4"/>
    <w:rsid w:val="224913C5"/>
    <w:rsid w:val="224A0A33"/>
    <w:rsid w:val="224A3AD1"/>
    <w:rsid w:val="224A458F"/>
    <w:rsid w:val="224B53BE"/>
    <w:rsid w:val="224C6559"/>
    <w:rsid w:val="224D0523"/>
    <w:rsid w:val="224D334D"/>
    <w:rsid w:val="224F1BA5"/>
    <w:rsid w:val="224F429B"/>
    <w:rsid w:val="224F6049"/>
    <w:rsid w:val="224F66C7"/>
    <w:rsid w:val="22501E10"/>
    <w:rsid w:val="2250591D"/>
    <w:rsid w:val="22511DC1"/>
    <w:rsid w:val="2251732D"/>
    <w:rsid w:val="22521696"/>
    <w:rsid w:val="22525D60"/>
    <w:rsid w:val="22535AF3"/>
    <w:rsid w:val="225406C0"/>
    <w:rsid w:val="225418B2"/>
    <w:rsid w:val="2254540E"/>
    <w:rsid w:val="22547375"/>
    <w:rsid w:val="22552F34"/>
    <w:rsid w:val="22554305"/>
    <w:rsid w:val="22562288"/>
    <w:rsid w:val="2256435E"/>
    <w:rsid w:val="22572D9B"/>
    <w:rsid w:val="22573718"/>
    <w:rsid w:val="22576990"/>
    <w:rsid w:val="22590C76"/>
    <w:rsid w:val="22596EC8"/>
    <w:rsid w:val="225A1C20"/>
    <w:rsid w:val="225A40A6"/>
    <w:rsid w:val="225A5C7C"/>
    <w:rsid w:val="225B2099"/>
    <w:rsid w:val="225C2514"/>
    <w:rsid w:val="225C57E4"/>
    <w:rsid w:val="225D0766"/>
    <w:rsid w:val="225D56AD"/>
    <w:rsid w:val="225D61BE"/>
    <w:rsid w:val="225E44DE"/>
    <w:rsid w:val="225E628C"/>
    <w:rsid w:val="225F46B7"/>
    <w:rsid w:val="22600256"/>
    <w:rsid w:val="226002D5"/>
    <w:rsid w:val="22604A7B"/>
    <w:rsid w:val="22615016"/>
    <w:rsid w:val="22617B2B"/>
    <w:rsid w:val="22621F6C"/>
    <w:rsid w:val="22627DAF"/>
    <w:rsid w:val="226333FC"/>
    <w:rsid w:val="22635651"/>
    <w:rsid w:val="2264640B"/>
    <w:rsid w:val="2264745D"/>
    <w:rsid w:val="22654504"/>
    <w:rsid w:val="226650A3"/>
    <w:rsid w:val="22665141"/>
    <w:rsid w:val="226714C6"/>
    <w:rsid w:val="22673393"/>
    <w:rsid w:val="22676516"/>
    <w:rsid w:val="22682C67"/>
    <w:rsid w:val="2268469D"/>
    <w:rsid w:val="226944C0"/>
    <w:rsid w:val="22697923"/>
    <w:rsid w:val="226A200B"/>
    <w:rsid w:val="226A2E83"/>
    <w:rsid w:val="226A69DF"/>
    <w:rsid w:val="226B5064"/>
    <w:rsid w:val="226C21B5"/>
    <w:rsid w:val="226C7D3C"/>
    <w:rsid w:val="226D64CF"/>
    <w:rsid w:val="226E1C50"/>
    <w:rsid w:val="226F0499"/>
    <w:rsid w:val="226F2247"/>
    <w:rsid w:val="22710E72"/>
    <w:rsid w:val="22711EB6"/>
    <w:rsid w:val="22712221"/>
    <w:rsid w:val="22715FC0"/>
    <w:rsid w:val="22720BE8"/>
    <w:rsid w:val="22720F54"/>
    <w:rsid w:val="22721109"/>
    <w:rsid w:val="22723A6C"/>
    <w:rsid w:val="22723AE6"/>
    <w:rsid w:val="22725D81"/>
    <w:rsid w:val="22736352"/>
    <w:rsid w:val="227369A3"/>
    <w:rsid w:val="227374B9"/>
    <w:rsid w:val="22737F8A"/>
    <w:rsid w:val="2274095A"/>
    <w:rsid w:val="22743D02"/>
    <w:rsid w:val="22744381"/>
    <w:rsid w:val="22755811"/>
    <w:rsid w:val="22761828"/>
    <w:rsid w:val="227635D6"/>
    <w:rsid w:val="22765384"/>
    <w:rsid w:val="227710FC"/>
    <w:rsid w:val="22783C3D"/>
    <w:rsid w:val="2278441E"/>
    <w:rsid w:val="227855A0"/>
    <w:rsid w:val="22785B04"/>
    <w:rsid w:val="22791318"/>
    <w:rsid w:val="22792C40"/>
    <w:rsid w:val="22795622"/>
    <w:rsid w:val="227A57BE"/>
    <w:rsid w:val="227B6E3E"/>
    <w:rsid w:val="227C3FA3"/>
    <w:rsid w:val="227C445B"/>
    <w:rsid w:val="227D579B"/>
    <w:rsid w:val="227F4693"/>
    <w:rsid w:val="22803E07"/>
    <w:rsid w:val="22804455"/>
    <w:rsid w:val="22811875"/>
    <w:rsid w:val="22812B39"/>
    <w:rsid w:val="228248EB"/>
    <w:rsid w:val="228270D7"/>
    <w:rsid w:val="228312A5"/>
    <w:rsid w:val="22833D7B"/>
    <w:rsid w:val="22833F45"/>
    <w:rsid w:val="22843E76"/>
    <w:rsid w:val="228451DF"/>
    <w:rsid w:val="2285091F"/>
    <w:rsid w:val="228727F7"/>
    <w:rsid w:val="22873A35"/>
    <w:rsid w:val="228850B7"/>
    <w:rsid w:val="228925D7"/>
    <w:rsid w:val="22894341"/>
    <w:rsid w:val="22896322"/>
    <w:rsid w:val="228A1178"/>
    <w:rsid w:val="228A48BA"/>
    <w:rsid w:val="228A7081"/>
    <w:rsid w:val="228C2DF9"/>
    <w:rsid w:val="228D0920"/>
    <w:rsid w:val="228D1E28"/>
    <w:rsid w:val="228D358A"/>
    <w:rsid w:val="228E0E55"/>
    <w:rsid w:val="228E6E70"/>
    <w:rsid w:val="228E7AF9"/>
    <w:rsid w:val="228F0F89"/>
    <w:rsid w:val="228F33A1"/>
    <w:rsid w:val="228F5837"/>
    <w:rsid w:val="228F5BBE"/>
    <w:rsid w:val="2290015D"/>
    <w:rsid w:val="22911696"/>
    <w:rsid w:val="2291387F"/>
    <w:rsid w:val="229220F8"/>
    <w:rsid w:val="229254B9"/>
    <w:rsid w:val="229323DA"/>
    <w:rsid w:val="22947F00"/>
    <w:rsid w:val="2295140D"/>
    <w:rsid w:val="22963C78"/>
    <w:rsid w:val="22965A26"/>
    <w:rsid w:val="2297354C"/>
    <w:rsid w:val="229761DD"/>
    <w:rsid w:val="22977140"/>
    <w:rsid w:val="2298203B"/>
    <w:rsid w:val="22986F7E"/>
    <w:rsid w:val="229879F0"/>
    <w:rsid w:val="22990301"/>
    <w:rsid w:val="2299158D"/>
    <w:rsid w:val="22994C0C"/>
    <w:rsid w:val="2299510C"/>
    <w:rsid w:val="22996551"/>
    <w:rsid w:val="229972C4"/>
    <w:rsid w:val="229A0FED"/>
    <w:rsid w:val="229B0F0C"/>
    <w:rsid w:val="229B128E"/>
    <w:rsid w:val="229B2245"/>
    <w:rsid w:val="229B752C"/>
    <w:rsid w:val="229C0B63"/>
    <w:rsid w:val="229C164D"/>
    <w:rsid w:val="229C19B8"/>
    <w:rsid w:val="229C64CD"/>
    <w:rsid w:val="229D5007"/>
    <w:rsid w:val="229D6AC4"/>
    <w:rsid w:val="229E0426"/>
    <w:rsid w:val="229E48DB"/>
    <w:rsid w:val="229F0EC2"/>
    <w:rsid w:val="229F1B2B"/>
    <w:rsid w:val="229F39AE"/>
    <w:rsid w:val="229F628D"/>
    <w:rsid w:val="22A05A4C"/>
    <w:rsid w:val="22A068A5"/>
    <w:rsid w:val="22A073F1"/>
    <w:rsid w:val="22A10C9C"/>
    <w:rsid w:val="22A1482E"/>
    <w:rsid w:val="22A21151"/>
    <w:rsid w:val="22A21485"/>
    <w:rsid w:val="22A21A7C"/>
    <w:rsid w:val="22A2261D"/>
    <w:rsid w:val="22A238FE"/>
    <w:rsid w:val="22A31981"/>
    <w:rsid w:val="22A35E4B"/>
    <w:rsid w:val="22A413D5"/>
    <w:rsid w:val="22A438DD"/>
    <w:rsid w:val="22A47055"/>
    <w:rsid w:val="22A5210D"/>
    <w:rsid w:val="22A55D80"/>
    <w:rsid w:val="22A706A0"/>
    <w:rsid w:val="22A8280C"/>
    <w:rsid w:val="22A87507"/>
    <w:rsid w:val="22A87B4E"/>
    <w:rsid w:val="22A939AB"/>
    <w:rsid w:val="22A974E5"/>
    <w:rsid w:val="22AB33E9"/>
    <w:rsid w:val="22AC04B1"/>
    <w:rsid w:val="22AC1F65"/>
    <w:rsid w:val="22AC349C"/>
    <w:rsid w:val="22AC524A"/>
    <w:rsid w:val="22AC6FF8"/>
    <w:rsid w:val="22AD0665"/>
    <w:rsid w:val="22AD085E"/>
    <w:rsid w:val="22AD2D70"/>
    <w:rsid w:val="22AD4512"/>
    <w:rsid w:val="22AF0271"/>
    <w:rsid w:val="22AF2C21"/>
    <w:rsid w:val="22AF4D3A"/>
    <w:rsid w:val="22AF6AE8"/>
    <w:rsid w:val="22B002C2"/>
    <w:rsid w:val="22B04F41"/>
    <w:rsid w:val="22B10AB2"/>
    <w:rsid w:val="22B12860"/>
    <w:rsid w:val="22B1460E"/>
    <w:rsid w:val="22B17707"/>
    <w:rsid w:val="22B20386"/>
    <w:rsid w:val="22B21D4D"/>
    <w:rsid w:val="22B3482A"/>
    <w:rsid w:val="22B35470"/>
    <w:rsid w:val="22B36C43"/>
    <w:rsid w:val="22B45EAC"/>
    <w:rsid w:val="22B61C24"/>
    <w:rsid w:val="22B660C8"/>
    <w:rsid w:val="22B67E76"/>
    <w:rsid w:val="22B71155"/>
    <w:rsid w:val="22B71E69"/>
    <w:rsid w:val="22B91715"/>
    <w:rsid w:val="22B933D5"/>
    <w:rsid w:val="22BB547A"/>
    <w:rsid w:val="22BC5719"/>
    <w:rsid w:val="22BC6F5D"/>
    <w:rsid w:val="22BD1205"/>
    <w:rsid w:val="22BD28C6"/>
    <w:rsid w:val="22BD36EB"/>
    <w:rsid w:val="22BD4007"/>
    <w:rsid w:val="22BE43A9"/>
    <w:rsid w:val="22BE4F7D"/>
    <w:rsid w:val="22BE7B97"/>
    <w:rsid w:val="22C00CF5"/>
    <w:rsid w:val="22C033AB"/>
    <w:rsid w:val="22C04851"/>
    <w:rsid w:val="22C06E6F"/>
    <w:rsid w:val="22C14E96"/>
    <w:rsid w:val="22C252A7"/>
    <w:rsid w:val="22C2681B"/>
    <w:rsid w:val="22C35463"/>
    <w:rsid w:val="22C407E5"/>
    <w:rsid w:val="22C514DF"/>
    <w:rsid w:val="22C5455D"/>
    <w:rsid w:val="22C72083"/>
    <w:rsid w:val="22C75390"/>
    <w:rsid w:val="22C75BE0"/>
    <w:rsid w:val="22C811B4"/>
    <w:rsid w:val="22C81958"/>
    <w:rsid w:val="22C95DFC"/>
    <w:rsid w:val="22C9728B"/>
    <w:rsid w:val="22CA3922"/>
    <w:rsid w:val="22CA517A"/>
    <w:rsid w:val="22CA6846"/>
    <w:rsid w:val="22CB5EF2"/>
    <w:rsid w:val="22CC1448"/>
    <w:rsid w:val="22CD065A"/>
    <w:rsid w:val="22CD6F6E"/>
    <w:rsid w:val="22CE3412"/>
    <w:rsid w:val="22CF0F38"/>
    <w:rsid w:val="22CF2CE6"/>
    <w:rsid w:val="22CF718A"/>
    <w:rsid w:val="22D10941"/>
    <w:rsid w:val="22D12F02"/>
    <w:rsid w:val="22D16A5E"/>
    <w:rsid w:val="22D1747D"/>
    <w:rsid w:val="22D30A28"/>
    <w:rsid w:val="22D327D6"/>
    <w:rsid w:val="22D3622C"/>
    <w:rsid w:val="22D4654E"/>
    <w:rsid w:val="22D47123"/>
    <w:rsid w:val="22D66D30"/>
    <w:rsid w:val="22D6753F"/>
    <w:rsid w:val="22D7777E"/>
    <w:rsid w:val="22D77F19"/>
    <w:rsid w:val="22D80AB8"/>
    <w:rsid w:val="22D83B25"/>
    <w:rsid w:val="22D8603F"/>
    <w:rsid w:val="22D8608B"/>
    <w:rsid w:val="22D87DED"/>
    <w:rsid w:val="22D95913"/>
    <w:rsid w:val="22DA00CB"/>
    <w:rsid w:val="22DA352E"/>
    <w:rsid w:val="22DB168B"/>
    <w:rsid w:val="22DB7C2A"/>
    <w:rsid w:val="22DC0A1F"/>
    <w:rsid w:val="22DC5E4E"/>
    <w:rsid w:val="22DC68C1"/>
    <w:rsid w:val="22DD3655"/>
    <w:rsid w:val="22DD40A2"/>
    <w:rsid w:val="22DE117B"/>
    <w:rsid w:val="22DE1A64"/>
    <w:rsid w:val="22DE74C5"/>
    <w:rsid w:val="22DF6260"/>
    <w:rsid w:val="22DF73CD"/>
    <w:rsid w:val="22E03145"/>
    <w:rsid w:val="22E14469"/>
    <w:rsid w:val="22E205EC"/>
    <w:rsid w:val="22E22A19"/>
    <w:rsid w:val="22E26EBD"/>
    <w:rsid w:val="22E35D21"/>
    <w:rsid w:val="22E41AB5"/>
    <w:rsid w:val="22E449E3"/>
    <w:rsid w:val="22E456B7"/>
    <w:rsid w:val="22E456C8"/>
    <w:rsid w:val="22E479A8"/>
    <w:rsid w:val="22E5075C"/>
    <w:rsid w:val="22E53E2E"/>
    <w:rsid w:val="22E542B8"/>
    <w:rsid w:val="22E54C87"/>
    <w:rsid w:val="22E569AE"/>
    <w:rsid w:val="22E61AD1"/>
    <w:rsid w:val="22E6364E"/>
    <w:rsid w:val="22E63803"/>
    <w:rsid w:val="22E64245"/>
    <w:rsid w:val="22E65AFB"/>
    <w:rsid w:val="22E66EBF"/>
    <w:rsid w:val="22E72F61"/>
    <w:rsid w:val="22E744D4"/>
    <w:rsid w:val="22E76282"/>
    <w:rsid w:val="22E7713E"/>
    <w:rsid w:val="22E832C8"/>
    <w:rsid w:val="22E95145"/>
    <w:rsid w:val="22EA5D72"/>
    <w:rsid w:val="22EA7B20"/>
    <w:rsid w:val="22EB3FC4"/>
    <w:rsid w:val="22EC3898"/>
    <w:rsid w:val="22EC5646"/>
    <w:rsid w:val="22ED2A1F"/>
    <w:rsid w:val="22EE24C7"/>
    <w:rsid w:val="22EE5862"/>
    <w:rsid w:val="22EE7610"/>
    <w:rsid w:val="22EF1F13"/>
    <w:rsid w:val="22EF3388"/>
    <w:rsid w:val="22EF344E"/>
    <w:rsid w:val="22F079A8"/>
    <w:rsid w:val="22F1222E"/>
    <w:rsid w:val="22F17100"/>
    <w:rsid w:val="22F25269"/>
    <w:rsid w:val="22F3304B"/>
    <w:rsid w:val="22F34C27"/>
    <w:rsid w:val="22F369D5"/>
    <w:rsid w:val="22F37798"/>
    <w:rsid w:val="22F406F8"/>
    <w:rsid w:val="22F42D67"/>
    <w:rsid w:val="22F4634C"/>
    <w:rsid w:val="22F47480"/>
    <w:rsid w:val="22F55755"/>
    <w:rsid w:val="22F71CC2"/>
    <w:rsid w:val="22F80095"/>
    <w:rsid w:val="22F8223D"/>
    <w:rsid w:val="22F83FEB"/>
    <w:rsid w:val="22F86AB7"/>
    <w:rsid w:val="22F90A2E"/>
    <w:rsid w:val="22FA41BC"/>
    <w:rsid w:val="22FB05D3"/>
    <w:rsid w:val="22FB0DB4"/>
    <w:rsid w:val="22FB0DF4"/>
    <w:rsid w:val="22FB3ADB"/>
    <w:rsid w:val="22FB7AFF"/>
    <w:rsid w:val="22FB7F7F"/>
    <w:rsid w:val="22FC3726"/>
    <w:rsid w:val="22FC4420"/>
    <w:rsid w:val="22FD3CF7"/>
    <w:rsid w:val="22FD5AA5"/>
    <w:rsid w:val="22FE2929"/>
    <w:rsid w:val="22FF7A6F"/>
    <w:rsid w:val="23003E65"/>
    <w:rsid w:val="23005595"/>
    <w:rsid w:val="23007343"/>
    <w:rsid w:val="2301042F"/>
    <w:rsid w:val="2302130E"/>
    <w:rsid w:val="230230BC"/>
    <w:rsid w:val="23030E94"/>
    <w:rsid w:val="23040BE2"/>
    <w:rsid w:val="23045086"/>
    <w:rsid w:val="23046E34"/>
    <w:rsid w:val="230512B4"/>
    <w:rsid w:val="23052BAC"/>
    <w:rsid w:val="2305495A"/>
    <w:rsid w:val="23056708"/>
    <w:rsid w:val="2306028A"/>
    <w:rsid w:val="230639FB"/>
    <w:rsid w:val="23064884"/>
    <w:rsid w:val="23067FEC"/>
    <w:rsid w:val="2307254B"/>
    <w:rsid w:val="23073B84"/>
    <w:rsid w:val="23084722"/>
    <w:rsid w:val="2309269C"/>
    <w:rsid w:val="230A1F70"/>
    <w:rsid w:val="230B5438"/>
    <w:rsid w:val="230B6414"/>
    <w:rsid w:val="230C5CE8"/>
    <w:rsid w:val="230E078D"/>
    <w:rsid w:val="230E0CDD"/>
    <w:rsid w:val="23103A2A"/>
    <w:rsid w:val="23104603"/>
    <w:rsid w:val="231061B2"/>
    <w:rsid w:val="231150AD"/>
    <w:rsid w:val="231177A3"/>
    <w:rsid w:val="23123914"/>
    <w:rsid w:val="23124FBC"/>
    <w:rsid w:val="23133FE2"/>
    <w:rsid w:val="2313447E"/>
    <w:rsid w:val="23137077"/>
    <w:rsid w:val="23145231"/>
    <w:rsid w:val="23152DEF"/>
    <w:rsid w:val="23155FDF"/>
    <w:rsid w:val="23160915"/>
    <w:rsid w:val="23164DB9"/>
    <w:rsid w:val="231734D0"/>
    <w:rsid w:val="2317633D"/>
    <w:rsid w:val="23177672"/>
    <w:rsid w:val="231828DF"/>
    <w:rsid w:val="2318643B"/>
    <w:rsid w:val="23190119"/>
    <w:rsid w:val="231921B3"/>
    <w:rsid w:val="23195DF0"/>
    <w:rsid w:val="231A30AE"/>
    <w:rsid w:val="231B23CF"/>
    <w:rsid w:val="231B417D"/>
    <w:rsid w:val="231B5F2B"/>
    <w:rsid w:val="231D0CED"/>
    <w:rsid w:val="231D4771"/>
    <w:rsid w:val="231E32E1"/>
    <w:rsid w:val="231E77CA"/>
    <w:rsid w:val="231F6859"/>
    <w:rsid w:val="23200ED4"/>
    <w:rsid w:val="23201794"/>
    <w:rsid w:val="232050A1"/>
    <w:rsid w:val="232057F5"/>
    <w:rsid w:val="232079E6"/>
    <w:rsid w:val="23214B81"/>
    <w:rsid w:val="2322301B"/>
    <w:rsid w:val="2322375E"/>
    <w:rsid w:val="2322550C"/>
    <w:rsid w:val="23226452"/>
    <w:rsid w:val="23235841"/>
    <w:rsid w:val="23240E85"/>
    <w:rsid w:val="23241284"/>
    <w:rsid w:val="23243032"/>
    <w:rsid w:val="23255AD4"/>
    <w:rsid w:val="23256C77"/>
    <w:rsid w:val="23256DAA"/>
    <w:rsid w:val="232610F0"/>
    <w:rsid w:val="232653EC"/>
    <w:rsid w:val="23272B22"/>
    <w:rsid w:val="23274608"/>
    <w:rsid w:val="232748D0"/>
    <w:rsid w:val="232852C7"/>
    <w:rsid w:val="23294AEC"/>
    <w:rsid w:val="232A43C0"/>
    <w:rsid w:val="232A616E"/>
    <w:rsid w:val="232B0864"/>
    <w:rsid w:val="232B2612"/>
    <w:rsid w:val="232B2745"/>
    <w:rsid w:val="232C1EE7"/>
    <w:rsid w:val="232C32B2"/>
    <w:rsid w:val="232C66D5"/>
    <w:rsid w:val="232D4266"/>
    <w:rsid w:val="232D456F"/>
    <w:rsid w:val="232D4D03"/>
    <w:rsid w:val="232E3EB1"/>
    <w:rsid w:val="232F1757"/>
    <w:rsid w:val="232F19D7"/>
    <w:rsid w:val="232F735E"/>
    <w:rsid w:val="233012E3"/>
    <w:rsid w:val="23304389"/>
    <w:rsid w:val="23312F85"/>
    <w:rsid w:val="23314077"/>
    <w:rsid w:val="233157B8"/>
    <w:rsid w:val="23316C48"/>
    <w:rsid w:val="233174FD"/>
    <w:rsid w:val="23324671"/>
    <w:rsid w:val="2334346F"/>
    <w:rsid w:val="23344139"/>
    <w:rsid w:val="23361360"/>
    <w:rsid w:val="23364BB5"/>
    <w:rsid w:val="23366A59"/>
    <w:rsid w:val="233711CD"/>
    <w:rsid w:val="23372ABA"/>
    <w:rsid w:val="233735B1"/>
    <w:rsid w:val="23384D2F"/>
    <w:rsid w:val="2338762A"/>
    <w:rsid w:val="233A3024"/>
    <w:rsid w:val="233D1CF0"/>
    <w:rsid w:val="233D3EEB"/>
    <w:rsid w:val="233D5EA2"/>
    <w:rsid w:val="233E5D5A"/>
    <w:rsid w:val="233F1C1A"/>
    <w:rsid w:val="233F7E6C"/>
    <w:rsid w:val="23403BE4"/>
    <w:rsid w:val="23411E36"/>
    <w:rsid w:val="23413B6C"/>
    <w:rsid w:val="2341763F"/>
    <w:rsid w:val="23425BAE"/>
    <w:rsid w:val="2343105D"/>
    <w:rsid w:val="23440B32"/>
    <w:rsid w:val="23440C6E"/>
    <w:rsid w:val="23447230"/>
    <w:rsid w:val="234505F1"/>
    <w:rsid w:val="23453EE9"/>
    <w:rsid w:val="2346635F"/>
    <w:rsid w:val="234679EA"/>
    <w:rsid w:val="2347324C"/>
    <w:rsid w:val="23474129"/>
    <w:rsid w:val="23476D20"/>
    <w:rsid w:val="234856C5"/>
    <w:rsid w:val="23492A98"/>
    <w:rsid w:val="23495CBC"/>
    <w:rsid w:val="234A4691"/>
    <w:rsid w:val="234B06E0"/>
    <w:rsid w:val="234B49EE"/>
    <w:rsid w:val="234B4A63"/>
    <w:rsid w:val="234C3850"/>
    <w:rsid w:val="234C4162"/>
    <w:rsid w:val="234D4382"/>
    <w:rsid w:val="234D49B8"/>
    <w:rsid w:val="234E4553"/>
    <w:rsid w:val="234E6301"/>
    <w:rsid w:val="234F08C0"/>
    <w:rsid w:val="234F3DB8"/>
    <w:rsid w:val="235002CB"/>
    <w:rsid w:val="23503CDB"/>
    <w:rsid w:val="23503E27"/>
    <w:rsid w:val="23507FD7"/>
    <w:rsid w:val="2351194D"/>
    <w:rsid w:val="23517B9F"/>
    <w:rsid w:val="23522813"/>
    <w:rsid w:val="23525367"/>
    <w:rsid w:val="235303CC"/>
    <w:rsid w:val="235356C5"/>
    <w:rsid w:val="23541FE2"/>
    <w:rsid w:val="23546987"/>
    <w:rsid w:val="23552736"/>
    <w:rsid w:val="2355340B"/>
    <w:rsid w:val="23553E9E"/>
    <w:rsid w:val="23554BB3"/>
    <w:rsid w:val="23557394"/>
    <w:rsid w:val="235651B5"/>
    <w:rsid w:val="23566043"/>
    <w:rsid w:val="23580F2E"/>
    <w:rsid w:val="23582CDC"/>
    <w:rsid w:val="23583534"/>
    <w:rsid w:val="2358717F"/>
    <w:rsid w:val="235A0A97"/>
    <w:rsid w:val="235A2EF8"/>
    <w:rsid w:val="235A4CA6"/>
    <w:rsid w:val="235A7381"/>
    <w:rsid w:val="235A7520"/>
    <w:rsid w:val="235B07EB"/>
    <w:rsid w:val="235B27CC"/>
    <w:rsid w:val="235B60B3"/>
    <w:rsid w:val="235B6269"/>
    <w:rsid w:val="235C1499"/>
    <w:rsid w:val="235D1C04"/>
    <w:rsid w:val="235F1D78"/>
    <w:rsid w:val="235F43AF"/>
    <w:rsid w:val="235F70F5"/>
    <w:rsid w:val="235F7526"/>
    <w:rsid w:val="23602DBD"/>
    <w:rsid w:val="23607DE2"/>
    <w:rsid w:val="236118E9"/>
    <w:rsid w:val="23616034"/>
    <w:rsid w:val="23627FFE"/>
    <w:rsid w:val="23631826"/>
    <w:rsid w:val="236478D2"/>
    <w:rsid w:val="2365041A"/>
    <w:rsid w:val="236505B4"/>
    <w:rsid w:val="23652F67"/>
    <w:rsid w:val="236636BF"/>
    <w:rsid w:val="23666FC8"/>
    <w:rsid w:val="236705E0"/>
    <w:rsid w:val="23671171"/>
    <w:rsid w:val="236723EA"/>
    <w:rsid w:val="23675615"/>
    <w:rsid w:val="236818E8"/>
    <w:rsid w:val="2369313B"/>
    <w:rsid w:val="23694EE9"/>
    <w:rsid w:val="23696C97"/>
    <w:rsid w:val="236A7E4F"/>
    <w:rsid w:val="236B0C61"/>
    <w:rsid w:val="236B202E"/>
    <w:rsid w:val="236B2A0F"/>
    <w:rsid w:val="236B6DD9"/>
    <w:rsid w:val="236B6EB3"/>
    <w:rsid w:val="236C0269"/>
    <w:rsid w:val="236C259D"/>
    <w:rsid w:val="236C49D9"/>
    <w:rsid w:val="236C50A2"/>
    <w:rsid w:val="236C7799"/>
    <w:rsid w:val="236D2C2B"/>
    <w:rsid w:val="236E24FF"/>
    <w:rsid w:val="236E4DBA"/>
    <w:rsid w:val="236F4D83"/>
    <w:rsid w:val="23700025"/>
    <w:rsid w:val="237044C9"/>
    <w:rsid w:val="23706277"/>
    <w:rsid w:val="23711FEF"/>
    <w:rsid w:val="23713D9D"/>
    <w:rsid w:val="23717CB9"/>
    <w:rsid w:val="23720241"/>
    <w:rsid w:val="2372299A"/>
    <w:rsid w:val="23731259"/>
    <w:rsid w:val="23733FB9"/>
    <w:rsid w:val="23747651"/>
    <w:rsid w:val="23751A8C"/>
    <w:rsid w:val="23751ADF"/>
    <w:rsid w:val="23753F06"/>
    <w:rsid w:val="237577CA"/>
    <w:rsid w:val="23757D31"/>
    <w:rsid w:val="23757D3B"/>
    <w:rsid w:val="237607F8"/>
    <w:rsid w:val="23762761"/>
    <w:rsid w:val="23766824"/>
    <w:rsid w:val="23773E1A"/>
    <w:rsid w:val="23775858"/>
    <w:rsid w:val="23775C46"/>
    <w:rsid w:val="237819DD"/>
    <w:rsid w:val="2378512C"/>
    <w:rsid w:val="23791F56"/>
    <w:rsid w:val="2379286D"/>
    <w:rsid w:val="2379618E"/>
    <w:rsid w:val="237B192E"/>
    <w:rsid w:val="237B289E"/>
    <w:rsid w:val="237B518D"/>
    <w:rsid w:val="237B69CA"/>
    <w:rsid w:val="237B6A21"/>
    <w:rsid w:val="237C2E6E"/>
    <w:rsid w:val="237C7A0B"/>
    <w:rsid w:val="237D0699"/>
    <w:rsid w:val="237D224F"/>
    <w:rsid w:val="237D2742"/>
    <w:rsid w:val="237D28DE"/>
    <w:rsid w:val="237D2B13"/>
    <w:rsid w:val="237E51F3"/>
    <w:rsid w:val="237F295E"/>
    <w:rsid w:val="237F470C"/>
    <w:rsid w:val="237F47FB"/>
    <w:rsid w:val="237F64BA"/>
    <w:rsid w:val="23801303"/>
    <w:rsid w:val="23810484"/>
    <w:rsid w:val="2382495C"/>
    <w:rsid w:val="2383647E"/>
    <w:rsid w:val="23843AD1"/>
    <w:rsid w:val="23863CED"/>
    <w:rsid w:val="23871813"/>
    <w:rsid w:val="23872563"/>
    <w:rsid w:val="23874733"/>
    <w:rsid w:val="238945FD"/>
    <w:rsid w:val="2389558B"/>
    <w:rsid w:val="23897339"/>
    <w:rsid w:val="23897791"/>
    <w:rsid w:val="238A1B3F"/>
    <w:rsid w:val="238A6552"/>
    <w:rsid w:val="238B2D2C"/>
    <w:rsid w:val="238B30B1"/>
    <w:rsid w:val="238B4E5F"/>
    <w:rsid w:val="238C0CE3"/>
    <w:rsid w:val="238C6112"/>
    <w:rsid w:val="238C6E29"/>
    <w:rsid w:val="238E2BA1"/>
    <w:rsid w:val="238E494F"/>
    <w:rsid w:val="238F61D4"/>
    <w:rsid w:val="238F6CCC"/>
    <w:rsid w:val="239006C7"/>
    <w:rsid w:val="239042DF"/>
    <w:rsid w:val="23906919"/>
    <w:rsid w:val="23907C91"/>
    <w:rsid w:val="23912854"/>
    <w:rsid w:val="23923970"/>
    <w:rsid w:val="239318D1"/>
    <w:rsid w:val="239448A4"/>
    <w:rsid w:val="23952182"/>
    <w:rsid w:val="23953F85"/>
    <w:rsid w:val="23955CDE"/>
    <w:rsid w:val="23957A8C"/>
    <w:rsid w:val="239607BC"/>
    <w:rsid w:val="23962A1B"/>
    <w:rsid w:val="23963804"/>
    <w:rsid w:val="23975438"/>
    <w:rsid w:val="239755FD"/>
    <w:rsid w:val="23981BEB"/>
    <w:rsid w:val="23982206"/>
    <w:rsid w:val="23983A20"/>
    <w:rsid w:val="23983E31"/>
    <w:rsid w:val="23985936"/>
    <w:rsid w:val="239862B8"/>
    <w:rsid w:val="23987286"/>
    <w:rsid w:val="2398757C"/>
    <w:rsid w:val="23991DA9"/>
    <w:rsid w:val="239969B1"/>
    <w:rsid w:val="239A1546"/>
    <w:rsid w:val="239A32F4"/>
    <w:rsid w:val="239C102F"/>
    <w:rsid w:val="239C52BE"/>
    <w:rsid w:val="239D2A0E"/>
    <w:rsid w:val="239D34C1"/>
    <w:rsid w:val="239E04F7"/>
    <w:rsid w:val="23A105E9"/>
    <w:rsid w:val="23A11B58"/>
    <w:rsid w:val="23A14683"/>
    <w:rsid w:val="23A16EA8"/>
    <w:rsid w:val="23A22B70"/>
    <w:rsid w:val="23A31DC3"/>
    <w:rsid w:val="23A322E4"/>
    <w:rsid w:val="23A3249A"/>
    <w:rsid w:val="23A3664D"/>
    <w:rsid w:val="23A42943"/>
    <w:rsid w:val="23A44173"/>
    <w:rsid w:val="23A451EB"/>
    <w:rsid w:val="23A45F21"/>
    <w:rsid w:val="23A4762F"/>
    <w:rsid w:val="23A54519"/>
    <w:rsid w:val="23A62696"/>
    <w:rsid w:val="23A6613D"/>
    <w:rsid w:val="23A6679D"/>
    <w:rsid w:val="23A67EEB"/>
    <w:rsid w:val="23A7418C"/>
    <w:rsid w:val="23A745A9"/>
    <w:rsid w:val="23A75A11"/>
    <w:rsid w:val="23A777BF"/>
    <w:rsid w:val="23A81EB5"/>
    <w:rsid w:val="23A841AA"/>
    <w:rsid w:val="23A86D7B"/>
    <w:rsid w:val="23A91789"/>
    <w:rsid w:val="23AB2B2B"/>
    <w:rsid w:val="23AC3027"/>
    <w:rsid w:val="23AD74CB"/>
    <w:rsid w:val="23B009E2"/>
    <w:rsid w:val="23B02B18"/>
    <w:rsid w:val="23B048C6"/>
    <w:rsid w:val="23B0586E"/>
    <w:rsid w:val="23B100DE"/>
    <w:rsid w:val="23B17C39"/>
    <w:rsid w:val="23B24235"/>
    <w:rsid w:val="23B24AE2"/>
    <w:rsid w:val="23B26890"/>
    <w:rsid w:val="23B32A5C"/>
    <w:rsid w:val="23B337F3"/>
    <w:rsid w:val="23B37411"/>
    <w:rsid w:val="23B4085A"/>
    <w:rsid w:val="23B41C93"/>
    <w:rsid w:val="23B5012E"/>
    <w:rsid w:val="23B51EDC"/>
    <w:rsid w:val="23B5349D"/>
    <w:rsid w:val="23B56380"/>
    <w:rsid w:val="23B71DF9"/>
    <w:rsid w:val="23B7280F"/>
    <w:rsid w:val="23B73EA6"/>
    <w:rsid w:val="23B83808"/>
    <w:rsid w:val="23B83E4E"/>
    <w:rsid w:val="23B97206"/>
    <w:rsid w:val="23BA050E"/>
    <w:rsid w:val="23BA1BE8"/>
    <w:rsid w:val="23BA6B34"/>
    <w:rsid w:val="23BB7507"/>
    <w:rsid w:val="23BC14BC"/>
    <w:rsid w:val="23BC3AB0"/>
    <w:rsid w:val="23BD4D73"/>
    <w:rsid w:val="23BD508B"/>
    <w:rsid w:val="23BD5235"/>
    <w:rsid w:val="23BD6FE3"/>
    <w:rsid w:val="23BE21BE"/>
    <w:rsid w:val="23BE3486"/>
    <w:rsid w:val="23BE3FCE"/>
    <w:rsid w:val="23BF0FAD"/>
    <w:rsid w:val="23BF71FF"/>
    <w:rsid w:val="23BF7CE0"/>
    <w:rsid w:val="23C10881"/>
    <w:rsid w:val="23C13E08"/>
    <w:rsid w:val="23C30A9D"/>
    <w:rsid w:val="23C35A13"/>
    <w:rsid w:val="23C40371"/>
    <w:rsid w:val="23C61E6D"/>
    <w:rsid w:val="23C6233B"/>
    <w:rsid w:val="23C640E9"/>
    <w:rsid w:val="23C67B2A"/>
    <w:rsid w:val="23C77025"/>
    <w:rsid w:val="23C860B3"/>
    <w:rsid w:val="23C87BEE"/>
    <w:rsid w:val="23C93BD9"/>
    <w:rsid w:val="23C94C24"/>
    <w:rsid w:val="23CA414C"/>
    <w:rsid w:val="23CA5401"/>
    <w:rsid w:val="23CB2115"/>
    <w:rsid w:val="23CB2775"/>
    <w:rsid w:val="23CB4D3A"/>
    <w:rsid w:val="23CB65C5"/>
    <w:rsid w:val="23CB7951"/>
    <w:rsid w:val="23CC1035"/>
    <w:rsid w:val="23CD10B6"/>
    <w:rsid w:val="23CD191B"/>
    <w:rsid w:val="23CD47DE"/>
    <w:rsid w:val="23CE11F0"/>
    <w:rsid w:val="23CE5CAC"/>
    <w:rsid w:val="23CE7442"/>
    <w:rsid w:val="23CF0CCE"/>
    <w:rsid w:val="23CF23CE"/>
    <w:rsid w:val="23D000D7"/>
    <w:rsid w:val="23D0188B"/>
    <w:rsid w:val="23D11B74"/>
    <w:rsid w:val="23D13B4D"/>
    <w:rsid w:val="23D2013A"/>
    <w:rsid w:val="23D26F32"/>
    <w:rsid w:val="23D31501"/>
    <w:rsid w:val="23D401ED"/>
    <w:rsid w:val="23D43367"/>
    <w:rsid w:val="23D55716"/>
    <w:rsid w:val="23D56F8E"/>
    <w:rsid w:val="23D700A4"/>
    <w:rsid w:val="23D706B8"/>
    <w:rsid w:val="23D74548"/>
    <w:rsid w:val="23D8170D"/>
    <w:rsid w:val="23D84719"/>
    <w:rsid w:val="23DA077A"/>
    <w:rsid w:val="23DA1943"/>
    <w:rsid w:val="23DA33FC"/>
    <w:rsid w:val="23DA7039"/>
    <w:rsid w:val="23DC390D"/>
    <w:rsid w:val="23DC40A3"/>
    <w:rsid w:val="23DC4258"/>
    <w:rsid w:val="23DC4779"/>
    <w:rsid w:val="23DC492F"/>
    <w:rsid w:val="23DC56BB"/>
    <w:rsid w:val="23DD1433"/>
    <w:rsid w:val="23DE1C48"/>
    <w:rsid w:val="23DE581E"/>
    <w:rsid w:val="23DE59BA"/>
    <w:rsid w:val="23DE5FE3"/>
    <w:rsid w:val="23DF164F"/>
    <w:rsid w:val="23DF33FD"/>
    <w:rsid w:val="23DF51AB"/>
    <w:rsid w:val="23E02EAB"/>
    <w:rsid w:val="23E045EC"/>
    <w:rsid w:val="23E20C19"/>
    <w:rsid w:val="23E30AF0"/>
    <w:rsid w:val="23E32F6D"/>
    <w:rsid w:val="23E34C9B"/>
    <w:rsid w:val="23E40A13"/>
    <w:rsid w:val="23E40E7A"/>
    <w:rsid w:val="23E57332"/>
    <w:rsid w:val="23E629DD"/>
    <w:rsid w:val="23E65DAB"/>
    <w:rsid w:val="23E72D7E"/>
    <w:rsid w:val="23E7405F"/>
    <w:rsid w:val="23E8105A"/>
    <w:rsid w:val="23E81433"/>
    <w:rsid w:val="23E8163D"/>
    <w:rsid w:val="23E822B1"/>
    <w:rsid w:val="23E826CC"/>
    <w:rsid w:val="23E9569E"/>
    <w:rsid w:val="23E9602A"/>
    <w:rsid w:val="23E97DD8"/>
    <w:rsid w:val="23EB1DA2"/>
    <w:rsid w:val="23EB7FF4"/>
    <w:rsid w:val="23EC2B8F"/>
    <w:rsid w:val="23EC3B4C"/>
    <w:rsid w:val="23ED3D6C"/>
    <w:rsid w:val="23ED503B"/>
    <w:rsid w:val="23ED5B1A"/>
    <w:rsid w:val="23EE3640"/>
    <w:rsid w:val="23EF1510"/>
    <w:rsid w:val="23F01166"/>
    <w:rsid w:val="23F0560A"/>
    <w:rsid w:val="23F073B8"/>
    <w:rsid w:val="23F21382"/>
    <w:rsid w:val="23F32A04"/>
    <w:rsid w:val="23F44E98"/>
    <w:rsid w:val="23F46EA8"/>
    <w:rsid w:val="23F52C20"/>
    <w:rsid w:val="23F549CE"/>
    <w:rsid w:val="23F55382"/>
    <w:rsid w:val="23F5677C"/>
    <w:rsid w:val="23F6508E"/>
    <w:rsid w:val="23F650D1"/>
    <w:rsid w:val="23F724F4"/>
    <w:rsid w:val="23F76998"/>
    <w:rsid w:val="23F807EF"/>
    <w:rsid w:val="23F80E56"/>
    <w:rsid w:val="23F84C8B"/>
    <w:rsid w:val="23F87361"/>
    <w:rsid w:val="23F90CF2"/>
    <w:rsid w:val="23F9105D"/>
    <w:rsid w:val="23F92711"/>
    <w:rsid w:val="23F944BF"/>
    <w:rsid w:val="23F959F3"/>
    <w:rsid w:val="23FB11F4"/>
    <w:rsid w:val="23FB1925"/>
    <w:rsid w:val="23FB6C29"/>
    <w:rsid w:val="23FC39A1"/>
    <w:rsid w:val="23FC5D5D"/>
    <w:rsid w:val="23FC7B0B"/>
    <w:rsid w:val="23FD23D3"/>
    <w:rsid w:val="23FE269E"/>
    <w:rsid w:val="23FE3883"/>
    <w:rsid w:val="23FF0FA2"/>
    <w:rsid w:val="23FF5A81"/>
    <w:rsid w:val="23FF75FB"/>
    <w:rsid w:val="24003A9F"/>
    <w:rsid w:val="240055F7"/>
    <w:rsid w:val="24005D08"/>
    <w:rsid w:val="24013373"/>
    <w:rsid w:val="240167EB"/>
    <w:rsid w:val="240210CD"/>
    <w:rsid w:val="2402360E"/>
    <w:rsid w:val="24024DB5"/>
    <w:rsid w:val="2403533D"/>
    <w:rsid w:val="24042E63"/>
    <w:rsid w:val="24044C11"/>
    <w:rsid w:val="24046632"/>
    <w:rsid w:val="2406098A"/>
    <w:rsid w:val="24062738"/>
    <w:rsid w:val="24066BDB"/>
    <w:rsid w:val="240741DA"/>
    <w:rsid w:val="24077A99"/>
    <w:rsid w:val="24082457"/>
    <w:rsid w:val="24083684"/>
    <w:rsid w:val="24084702"/>
    <w:rsid w:val="24092228"/>
    <w:rsid w:val="24092722"/>
    <w:rsid w:val="240928D8"/>
    <w:rsid w:val="24094C88"/>
    <w:rsid w:val="240A129F"/>
    <w:rsid w:val="240A19EC"/>
    <w:rsid w:val="240A3FEA"/>
    <w:rsid w:val="240A49D7"/>
    <w:rsid w:val="240A66CC"/>
    <w:rsid w:val="240B355E"/>
    <w:rsid w:val="240C47E1"/>
    <w:rsid w:val="240D19B6"/>
    <w:rsid w:val="240D1D18"/>
    <w:rsid w:val="240E783E"/>
    <w:rsid w:val="240F3CE2"/>
    <w:rsid w:val="240F53B2"/>
    <w:rsid w:val="240F5A90"/>
    <w:rsid w:val="24101808"/>
    <w:rsid w:val="24111CD9"/>
    <w:rsid w:val="24114F6B"/>
    <w:rsid w:val="241237D2"/>
    <w:rsid w:val="241248AA"/>
    <w:rsid w:val="24125580"/>
    <w:rsid w:val="24127C14"/>
    <w:rsid w:val="24134E54"/>
    <w:rsid w:val="241412AC"/>
    <w:rsid w:val="241430A6"/>
    <w:rsid w:val="24150BCD"/>
    <w:rsid w:val="24155071"/>
    <w:rsid w:val="2415561B"/>
    <w:rsid w:val="24156E1F"/>
    <w:rsid w:val="2415723F"/>
    <w:rsid w:val="24160D9B"/>
    <w:rsid w:val="241617E4"/>
    <w:rsid w:val="24172B97"/>
    <w:rsid w:val="24174945"/>
    <w:rsid w:val="24175420"/>
    <w:rsid w:val="2418246B"/>
    <w:rsid w:val="24184308"/>
    <w:rsid w:val="24184673"/>
    <w:rsid w:val="24187653"/>
    <w:rsid w:val="241938C6"/>
    <w:rsid w:val="241A2687"/>
    <w:rsid w:val="241A7BE5"/>
    <w:rsid w:val="241C052D"/>
    <w:rsid w:val="241C17CD"/>
    <w:rsid w:val="241C1D52"/>
    <w:rsid w:val="241C6152"/>
    <w:rsid w:val="241C73D4"/>
    <w:rsid w:val="241E3F25"/>
    <w:rsid w:val="241E5A1E"/>
    <w:rsid w:val="241F36B6"/>
    <w:rsid w:val="241F37F9"/>
    <w:rsid w:val="241F4AE3"/>
    <w:rsid w:val="241F5B18"/>
    <w:rsid w:val="241F6DD9"/>
    <w:rsid w:val="24215577"/>
    <w:rsid w:val="242162F9"/>
    <w:rsid w:val="24222C5E"/>
    <w:rsid w:val="2422680C"/>
    <w:rsid w:val="24227232"/>
    <w:rsid w:val="242304F0"/>
    <w:rsid w:val="242332EA"/>
    <w:rsid w:val="242341FB"/>
    <w:rsid w:val="24237C58"/>
    <w:rsid w:val="242411CC"/>
    <w:rsid w:val="24243E05"/>
    <w:rsid w:val="24253767"/>
    <w:rsid w:val="2426052F"/>
    <w:rsid w:val="24261463"/>
    <w:rsid w:val="24262460"/>
    <w:rsid w:val="24262DDA"/>
    <w:rsid w:val="24264F6D"/>
    <w:rsid w:val="2426692F"/>
    <w:rsid w:val="24267371"/>
    <w:rsid w:val="24280900"/>
    <w:rsid w:val="242816A1"/>
    <w:rsid w:val="2428729B"/>
    <w:rsid w:val="242920CC"/>
    <w:rsid w:val="24296006"/>
    <w:rsid w:val="242A0765"/>
    <w:rsid w:val="242B03F0"/>
    <w:rsid w:val="242B2707"/>
    <w:rsid w:val="242B4C10"/>
    <w:rsid w:val="242C61E4"/>
    <w:rsid w:val="242C68E1"/>
    <w:rsid w:val="242D23BA"/>
    <w:rsid w:val="242D5F16"/>
    <w:rsid w:val="242E65CB"/>
    <w:rsid w:val="242F3CBE"/>
    <w:rsid w:val="242F6132"/>
    <w:rsid w:val="242F7FBD"/>
    <w:rsid w:val="24305A06"/>
    <w:rsid w:val="24307E33"/>
    <w:rsid w:val="2432177F"/>
    <w:rsid w:val="24341478"/>
    <w:rsid w:val="24343749"/>
    <w:rsid w:val="24346E74"/>
    <w:rsid w:val="243472A5"/>
    <w:rsid w:val="24347C44"/>
    <w:rsid w:val="2435110C"/>
    <w:rsid w:val="2435126F"/>
    <w:rsid w:val="24351427"/>
    <w:rsid w:val="243674C1"/>
    <w:rsid w:val="24373239"/>
    <w:rsid w:val="24374FE7"/>
    <w:rsid w:val="24376D95"/>
    <w:rsid w:val="243840DE"/>
    <w:rsid w:val="24386DA8"/>
    <w:rsid w:val="24390D5F"/>
    <w:rsid w:val="24392B0D"/>
    <w:rsid w:val="243A5492"/>
    <w:rsid w:val="243A6885"/>
    <w:rsid w:val="243A708A"/>
    <w:rsid w:val="243B6031"/>
    <w:rsid w:val="243C0673"/>
    <w:rsid w:val="243C084F"/>
    <w:rsid w:val="243C2A74"/>
    <w:rsid w:val="243C43AB"/>
    <w:rsid w:val="243C4864"/>
    <w:rsid w:val="243C7521"/>
    <w:rsid w:val="243C7780"/>
    <w:rsid w:val="243D0FA6"/>
    <w:rsid w:val="243D3A7E"/>
    <w:rsid w:val="243E45C7"/>
    <w:rsid w:val="243E6375"/>
    <w:rsid w:val="243F4DA8"/>
    <w:rsid w:val="243F5CF4"/>
    <w:rsid w:val="24410DB7"/>
    <w:rsid w:val="24412260"/>
    <w:rsid w:val="24415E66"/>
    <w:rsid w:val="24431BDE"/>
    <w:rsid w:val="2443399D"/>
    <w:rsid w:val="24441899"/>
    <w:rsid w:val="2444243C"/>
    <w:rsid w:val="244430F4"/>
    <w:rsid w:val="24450BC8"/>
    <w:rsid w:val="244514B2"/>
    <w:rsid w:val="24455AB5"/>
    <w:rsid w:val="24457704"/>
    <w:rsid w:val="24463799"/>
    <w:rsid w:val="24472FA1"/>
    <w:rsid w:val="24482D50"/>
    <w:rsid w:val="244871F4"/>
    <w:rsid w:val="2449696F"/>
    <w:rsid w:val="244A4405"/>
    <w:rsid w:val="244A4D1A"/>
    <w:rsid w:val="244A7712"/>
    <w:rsid w:val="244B45EE"/>
    <w:rsid w:val="244D2BFB"/>
    <w:rsid w:val="244D65B8"/>
    <w:rsid w:val="244E1F2B"/>
    <w:rsid w:val="244F0582"/>
    <w:rsid w:val="244F2331"/>
    <w:rsid w:val="244F4DB5"/>
    <w:rsid w:val="24507E57"/>
    <w:rsid w:val="24511298"/>
    <w:rsid w:val="245142FB"/>
    <w:rsid w:val="245177D4"/>
    <w:rsid w:val="24517C97"/>
    <w:rsid w:val="24521E21"/>
    <w:rsid w:val="24523BCF"/>
    <w:rsid w:val="2452531A"/>
    <w:rsid w:val="245331CC"/>
    <w:rsid w:val="24535D9D"/>
    <w:rsid w:val="24537CA2"/>
    <w:rsid w:val="24547947"/>
    <w:rsid w:val="245513DF"/>
    <w:rsid w:val="24561911"/>
    <w:rsid w:val="24561B4D"/>
    <w:rsid w:val="24565A67"/>
    <w:rsid w:val="24575689"/>
    <w:rsid w:val="24576B06"/>
    <w:rsid w:val="24577437"/>
    <w:rsid w:val="24585DAF"/>
    <w:rsid w:val="24587AD1"/>
    <w:rsid w:val="245902E0"/>
    <w:rsid w:val="24595FF3"/>
    <w:rsid w:val="24596D0B"/>
    <w:rsid w:val="24597AF9"/>
    <w:rsid w:val="245A0637"/>
    <w:rsid w:val="245A2A83"/>
    <w:rsid w:val="245A4A6F"/>
    <w:rsid w:val="245A6527"/>
    <w:rsid w:val="245B2E38"/>
    <w:rsid w:val="245B7843"/>
    <w:rsid w:val="245C59BF"/>
    <w:rsid w:val="245D6E4F"/>
    <w:rsid w:val="245D7545"/>
    <w:rsid w:val="245F1411"/>
    <w:rsid w:val="245F4340"/>
    <w:rsid w:val="246008A4"/>
    <w:rsid w:val="24601679"/>
    <w:rsid w:val="246102B6"/>
    <w:rsid w:val="24612064"/>
    <w:rsid w:val="24613E12"/>
    <w:rsid w:val="2461780A"/>
    <w:rsid w:val="24621831"/>
    <w:rsid w:val="2462573A"/>
    <w:rsid w:val="2463402E"/>
    <w:rsid w:val="246456B0"/>
    <w:rsid w:val="24645B8A"/>
    <w:rsid w:val="24647CF6"/>
    <w:rsid w:val="24653902"/>
    <w:rsid w:val="24665FB7"/>
    <w:rsid w:val="2466767A"/>
    <w:rsid w:val="246758CC"/>
    <w:rsid w:val="246851A0"/>
    <w:rsid w:val="24692F95"/>
    <w:rsid w:val="246953F2"/>
    <w:rsid w:val="24697B84"/>
    <w:rsid w:val="246A0F18"/>
    <w:rsid w:val="246A53BC"/>
    <w:rsid w:val="246A716A"/>
    <w:rsid w:val="246B4C91"/>
    <w:rsid w:val="246B6A3F"/>
    <w:rsid w:val="246C0074"/>
    <w:rsid w:val="246C08A8"/>
    <w:rsid w:val="246C2EE2"/>
    <w:rsid w:val="246C54B4"/>
    <w:rsid w:val="246D27B7"/>
    <w:rsid w:val="246E29D9"/>
    <w:rsid w:val="246E3081"/>
    <w:rsid w:val="246E7DD4"/>
    <w:rsid w:val="246F00E2"/>
    <w:rsid w:val="246F1C69"/>
    <w:rsid w:val="246F29D3"/>
    <w:rsid w:val="24701892"/>
    <w:rsid w:val="247104F9"/>
    <w:rsid w:val="24715ECA"/>
    <w:rsid w:val="2471674B"/>
    <w:rsid w:val="24727DCD"/>
    <w:rsid w:val="24731075"/>
    <w:rsid w:val="24743B45"/>
    <w:rsid w:val="247575E5"/>
    <w:rsid w:val="2475792C"/>
    <w:rsid w:val="247616D0"/>
    <w:rsid w:val="24763D61"/>
    <w:rsid w:val="2479115B"/>
    <w:rsid w:val="24794EE7"/>
    <w:rsid w:val="247955FF"/>
    <w:rsid w:val="2479677A"/>
    <w:rsid w:val="247B1377"/>
    <w:rsid w:val="247B3126"/>
    <w:rsid w:val="247E49C4"/>
    <w:rsid w:val="247F5F5B"/>
    <w:rsid w:val="2480073C"/>
    <w:rsid w:val="248012B4"/>
    <w:rsid w:val="248021E9"/>
    <w:rsid w:val="24805DE8"/>
    <w:rsid w:val="2480698E"/>
    <w:rsid w:val="24811B3C"/>
    <w:rsid w:val="24814B09"/>
    <w:rsid w:val="24822706"/>
    <w:rsid w:val="24831FDA"/>
    <w:rsid w:val="24833D88"/>
    <w:rsid w:val="248348E5"/>
    <w:rsid w:val="2483647E"/>
    <w:rsid w:val="24836D52"/>
    <w:rsid w:val="24843087"/>
    <w:rsid w:val="24853FA4"/>
    <w:rsid w:val="24855D52"/>
    <w:rsid w:val="24863878"/>
    <w:rsid w:val="24875235"/>
    <w:rsid w:val="24885EC4"/>
    <w:rsid w:val="24897977"/>
    <w:rsid w:val="248A15BB"/>
    <w:rsid w:val="248A5117"/>
    <w:rsid w:val="248B03A6"/>
    <w:rsid w:val="248B078C"/>
    <w:rsid w:val="248B0E8F"/>
    <w:rsid w:val="248B29EF"/>
    <w:rsid w:val="248D1D5F"/>
    <w:rsid w:val="248D2E59"/>
    <w:rsid w:val="248E0275"/>
    <w:rsid w:val="248E50A3"/>
    <w:rsid w:val="248F097F"/>
    <w:rsid w:val="248F1CDE"/>
    <w:rsid w:val="249046C9"/>
    <w:rsid w:val="24905833"/>
    <w:rsid w:val="2490587F"/>
    <w:rsid w:val="24912949"/>
    <w:rsid w:val="249146F7"/>
    <w:rsid w:val="24941AEF"/>
    <w:rsid w:val="24942439"/>
    <w:rsid w:val="249428F2"/>
    <w:rsid w:val="24952F7F"/>
    <w:rsid w:val="24966FE0"/>
    <w:rsid w:val="24967F5F"/>
    <w:rsid w:val="24973CD7"/>
    <w:rsid w:val="24976642"/>
    <w:rsid w:val="24977834"/>
    <w:rsid w:val="24983A3E"/>
    <w:rsid w:val="24986607"/>
    <w:rsid w:val="249908E3"/>
    <w:rsid w:val="249917FE"/>
    <w:rsid w:val="24992818"/>
    <w:rsid w:val="249929CE"/>
    <w:rsid w:val="24992B83"/>
    <w:rsid w:val="24997A50"/>
    <w:rsid w:val="249B19C2"/>
    <w:rsid w:val="249B7F2C"/>
    <w:rsid w:val="249C4E4A"/>
    <w:rsid w:val="249C54BD"/>
    <w:rsid w:val="249C637D"/>
    <w:rsid w:val="249D611B"/>
    <w:rsid w:val="249D7540"/>
    <w:rsid w:val="249E0BC2"/>
    <w:rsid w:val="249E1534"/>
    <w:rsid w:val="249E5066"/>
    <w:rsid w:val="249E6E14"/>
    <w:rsid w:val="249F17D3"/>
    <w:rsid w:val="249F7B12"/>
    <w:rsid w:val="24A00DDE"/>
    <w:rsid w:val="24A02B8C"/>
    <w:rsid w:val="24A0493A"/>
    <w:rsid w:val="24A077F4"/>
    <w:rsid w:val="24A24B56"/>
    <w:rsid w:val="24A30FC0"/>
    <w:rsid w:val="24A31E52"/>
    <w:rsid w:val="24A33C6C"/>
    <w:rsid w:val="24A4042D"/>
    <w:rsid w:val="24A408F0"/>
    <w:rsid w:val="24A563F4"/>
    <w:rsid w:val="24A576F6"/>
    <w:rsid w:val="24A61AD5"/>
    <w:rsid w:val="24A63957"/>
    <w:rsid w:val="24A65001"/>
    <w:rsid w:val="24A7216D"/>
    <w:rsid w:val="24A73F1B"/>
    <w:rsid w:val="24A76F3A"/>
    <w:rsid w:val="24A81A41"/>
    <w:rsid w:val="24A8491F"/>
    <w:rsid w:val="24A85EE5"/>
    <w:rsid w:val="24A92885"/>
    <w:rsid w:val="24A932B1"/>
    <w:rsid w:val="24A93FC6"/>
    <w:rsid w:val="24A96F54"/>
    <w:rsid w:val="24A975AD"/>
    <w:rsid w:val="24AA57B9"/>
    <w:rsid w:val="24AA5D21"/>
    <w:rsid w:val="24AA62DE"/>
    <w:rsid w:val="24AA7567"/>
    <w:rsid w:val="24AB0791"/>
    <w:rsid w:val="24AB32DF"/>
    <w:rsid w:val="24AC1531"/>
    <w:rsid w:val="24AC416E"/>
    <w:rsid w:val="24AD1779"/>
    <w:rsid w:val="24AD3DD7"/>
    <w:rsid w:val="24AE34FB"/>
    <w:rsid w:val="24AF2564"/>
    <w:rsid w:val="24AF2DCF"/>
    <w:rsid w:val="24AF66F7"/>
    <w:rsid w:val="24AF7273"/>
    <w:rsid w:val="24B11017"/>
    <w:rsid w:val="24B2466D"/>
    <w:rsid w:val="24B30B11"/>
    <w:rsid w:val="24B410D9"/>
    <w:rsid w:val="24B47998"/>
    <w:rsid w:val="24B6415E"/>
    <w:rsid w:val="24B64F37"/>
    <w:rsid w:val="24B71C84"/>
    <w:rsid w:val="24B77ED6"/>
    <w:rsid w:val="24B8164E"/>
    <w:rsid w:val="24B86128"/>
    <w:rsid w:val="24B9237A"/>
    <w:rsid w:val="24B93C4E"/>
    <w:rsid w:val="24B94ECC"/>
    <w:rsid w:val="24B96619"/>
    <w:rsid w:val="24BB1774"/>
    <w:rsid w:val="24BB3829"/>
    <w:rsid w:val="24BB5C18"/>
    <w:rsid w:val="24BB5E0F"/>
    <w:rsid w:val="24BB776E"/>
    <w:rsid w:val="24BB786B"/>
    <w:rsid w:val="24BC494F"/>
    <w:rsid w:val="24BC4B5A"/>
    <w:rsid w:val="24BE1264"/>
    <w:rsid w:val="24BE2184"/>
    <w:rsid w:val="24BE3012"/>
    <w:rsid w:val="24BE361B"/>
    <w:rsid w:val="24BE74B6"/>
    <w:rsid w:val="24BF09F7"/>
    <w:rsid w:val="24BF4D72"/>
    <w:rsid w:val="24C0322E"/>
    <w:rsid w:val="24C06D8A"/>
    <w:rsid w:val="24C0767C"/>
    <w:rsid w:val="24C25541"/>
    <w:rsid w:val="24C34ACD"/>
    <w:rsid w:val="24C35FAD"/>
    <w:rsid w:val="24C43CC8"/>
    <w:rsid w:val="24C463B5"/>
    <w:rsid w:val="24C50845"/>
    <w:rsid w:val="24C50E97"/>
    <w:rsid w:val="24C51508"/>
    <w:rsid w:val="24C5156E"/>
    <w:rsid w:val="24C51A8E"/>
    <w:rsid w:val="24C52DAA"/>
    <w:rsid w:val="24C543A1"/>
    <w:rsid w:val="24C67181"/>
    <w:rsid w:val="24C70119"/>
    <w:rsid w:val="24C7636B"/>
    <w:rsid w:val="24C77D7F"/>
    <w:rsid w:val="24C83E91"/>
    <w:rsid w:val="24C928EA"/>
    <w:rsid w:val="24CA19B7"/>
    <w:rsid w:val="24CC1BD3"/>
    <w:rsid w:val="24CC31DC"/>
    <w:rsid w:val="24CC360B"/>
    <w:rsid w:val="24CC3981"/>
    <w:rsid w:val="24CC572F"/>
    <w:rsid w:val="24CD14A7"/>
    <w:rsid w:val="24CD16D1"/>
    <w:rsid w:val="24CD76F9"/>
    <w:rsid w:val="24CE0F37"/>
    <w:rsid w:val="24CF521F"/>
    <w:rsid w:val="24CF68E3"/>
    <w:rsid w:val="24CF6FCD"/>
    <w:rsid w:val="24CF7171"/>
    <w:rsid w:val="24D12D46"/>
    <w:rsid w:val="24D131D2"/>
    <w:rsid w:val="24D14878"/>
    <w:rsid w:val="24D14CB6"/>
    <w:rsid w:val="24D171E9"/>
    <w:rsid w:val="24D32F62"/>
    <w:rsid w:val="24D34D10"/>
    <w:rsid w:val="24D42836"/>
    <w:rsid w:val="24D61CD0"/>
    <w:rsid w:val="24D67678"/>
    <w:rsid w:val="24D720E8"/>
    <w:rsid w:val="24D740D4"/>
    <w:rsid w:val="24D76CB0"/>
    <w:rsid w:val="24D804D4"/>
    <w:rsid w:val="24D82DC2"/>
    <w:rsid w:val="24D83311"/>
    <w:rsid w:val="24D942F0"/>
    <w:rsid w:val="24DA3EBB"/>
    <w:rsid w:val="24DA5582"/>
    <w:rsid w:val="24DB1E16"/>
    <w:rsid w:val="24DB5972"/>
    <w:rsid w:val="24DC16EA"/>
    <w:rsid w:val="24DD0E9F"/>
    <w:rsid w:val="24DD1775"/>
    <w:rsid w:val="24DD3FC2"/>
    <w:rsid w:val="24DD5B8E"/>
    <w:rsid w:val="24DD793C"/>
    <w:rsid w:val="24DE5321"/>
    <w:rsid w:val="24DE624F"/>
    <w:rsid w:val="24DE6A47"/>
    <w:rsid w:val="24DF1D4A"/>
    <w:rsid w:val="24DF4095"/>
    <w:rsid w:val="24E0567E"/>
    <w:rsid w:val="24E058A2"/>
    <w:rsid w:val="24E0742D"/>
    <w:rsid w:val="24E101A2"/>
    <w:rsid w:val="24E13247"/>
    <w:rsid w:val="24E16D01"/>
    <w:rsid w:val="24E22CD8"/>
    <w:rsid w:val="24E231A5"/>
    <w:rsid w:val="24E24157"/>
    <w:rsid w:val="24E24F53"/>
    <w:rsid w:val="24E3111B"/>
    <w:rsid w:val="24E34B84"/>
    <w:rsid w:val="24E40183"/>
    <w:rsid w:val="24E43E69"/>
    <w:rsid w:val="24E43FEE"/>
    <w:rsid w:val="24E46F1D"/>
    <w:rsid w:val="24E52C95"/>
    <w:rsid w:val="24E567F1"/>
    <w:rsid w:val="24E61397"/>
    <w:rsid w:val="24E64EA3"/>
    <w:rsid w:val="24E76A0D"/>
    <w:rsid w:val="24E8008F"/>
    <w:rsid w:val="24E82278"/>
    <w:rsid w:val="24E85B0E"/>
    <w:rsid w:val="24E90A58"/>
    <w:rsid w:val="24E97D18"/>
    <w:rsid w:val="24EA3E07"/>
    <w:rsid w:val="24EC08E0"/>
    <w:rsid w:val="24EC4023"/>
    <w:rsid w:val="24EC5DD1"/>
    <w:rsid w:val="24EC7B7F"/>
    <w:rsid w:val="24ED7B29"/>
    <w:rsid w:val="24EE00C3"/>
    <w:rsid w:val="24EE1B49"/>
    <w:rsid w:val="24EE1B79"/>
    <w:rsid w:val="24EE4C66"/>
    <w:rsid w:val="24EE7D9B"/>
    <w:rsid w:val="24EF141E"/>
    <w:rsid w:val="24EF58C2"/>
    <w:rsid w:val="24F20F0E"/>
    <w:rsid w:val="24F350DC"/>
    <w:rsid w:val="24F353B2"/>
    <w:rsid w:val="24F35A61"/>
    <w:rsid w:val="24F42ED8"/>
    <w:rsid w:val="24F4487F"/>
    <w:rsid w:val="24F44C86"/>
    <w:rsid w:val="24F52DD1"/>
    <w:rsid w:val="24F56246"/>
    <w:rsid w:val="24F609FE"/>
    <w:rsid w:val="24F61663"/>
    <w:rsid w:val="24F6601B"/>
    <w:rsid w:val="24F66C50"/>
    <w:rsid w:val="24F73CA1"/>
    <w:rsid w:val="24F74099"/>
    <w:rsid w:val="24F77EC0"/>
    <w:rsid w:val="24F829C8"/>
    <w:rsid w:val="24F84776"/>
    <w:rsid w:val="24F867BE"/>
    <w:rsid w:val="24FA386E"/>
    <w:rsid w:val="24FB4266"/>
    <w:rsid w:val="24FB48C3"/>
    <w:rsid w:val="24FB6014"/>
    <w:rsid w:val="24FB7DC2"/>
    <w:rsid w:val="24FC1290"/>
    <w:rsid w:val="24FC4FA2"/>
    <w:rsid w:val="24FC618E"/>
    <w:rsid w:val="24FD3B3B"/>
    <w:rsid w:val="24FD4C8D"/>
    <w:rsid w:val="24FE0232"/>
    <w:rsid w:val="24FE52BE"/>
    <w:rsid w:val="24FE537A"/>
    <w:rsid w:val="24FE78B3"/>
    <w:rsid w:val="24FF3AEE"/>
    <w:rsid w:val="24FF3D57"/>
    <w:rsid w:val="250011E1"/>
    <w:rsid w:val="2500187D"/>
    <w:rsid w:val="2500362B"/>
    <w:rsid w:val="25006BE0"/>
    <w:rsid w:val="25007ACF"/>
    <w:rsid w:val="25010D91"/>
    <w:rsid w:val="2502031E"/>
    <w:rsid w:val="25021151"/>
    <w:rsid w:val="250255F5"/>
    <w:rsid w:val="250273A3"/>
    <w:rsid w:val="250330A0"/>
    <w:rsid w:val="2503311B"/>
    <w:rsid w:val="25034EC9"/>
    <w:rsid w:val="250364AF"/>
    <w:rsid w:val="25050C41"/>
    <w:rsid w:val="25050EFD"/>
    <w:rsid w:val="25051AF0"/>
    <w:rsid w:val="25056E93"/>
    <w:rsid w:val="25063136"/>
    <w:rsid w:val="25067240"/>
    <w:rsid w:val="250719AB"/>
    <w:rsid w:val="250732A1"/>
    <w:rsid w:val="250824DF"/>
    <w:rsid w:val="25082DD0"/>
    <w:rsid w:val="25083BE5"/>
    <w:rsid w:val="25084F27"/>
    <w:rsid w:val="250937F2"/>
    <w:rsid w:val="250A26FB"/>
    <w:rsid w:val="250A6257"/>
    <w:rsid w:val="250A6664"/>
    <w:rsid w:val="250B0B1B"/>
    <w:rsid w:val="250B1C22"/>
    <w:rsid w:val="250C1FD0"/>
    <w:rsid w:val="250C6474"/>
    <w:rsid w:val="250D7AF6"/>
    <w:rsid w:val="250E3F9A"/>
    <w:rsid w:val="250F3C45"/>
    <w:rsid w:val="250F4692"/>
    <w:rsid w:val="250F53CE"/>
    <w:rsid w:val="250F7D12"/>
    <w:rsid w:val="25110665"/>
    <w:rsid w:val="25115838"/>
    <w:rsid w:val="251175E6"/>
    <w:rsid w:val="25132F85"/>
    <w:rsid w:val="25137802"/>
    <w:rsid w:val="25143590"/>
    <w:rsid w:val="25145328"/>
    <w:rsid w:val="25155A54"/>
    <w:rsid w:val="251610A0"/>
    <w:rsid w:val="25161424"/>
    <w:rsid w:val="25164BFC"/>
    <w:rsid w:val="25166D35"/>
    <w:rsid w:val="25177229"/>
    <w:rsid w:val="25180974"/>
    <w:rsid w:val="2518526C"/>
    <w:rsid w:val="251A0B90"/>
    <w:rsid w:val="251A293E"/>
    <w:rsid w:val="251A3E7F"/>
    <w:rsid w:val="251B2213"/>
    <w:rsid w:val="251B5452"/>
    <w:rsid w:val="251B66B7"/>
    <w:rsid w:val="251C753A"/>
    <w:rsid w:val="251C778C"/>
    <w:rsid w:val="251D1D68"/>
    <w:rsid w:val="251D2D51"/>
    <w:rsid w:val="251D5F8B"/>
    <w:rsid w:val="251E0BDC"/>
    <w:rsid w:val="251F40F9"/>
    <w:rsid w:val="251F61A7"/>
    <w:rsid w:val="251F7F55"/>
    <w:rsid w:val="25203CCD"/>
    <w:rsid w:val="25205A7B"/>
    <w:rsid w:val="25207829"/>
    <w:rsid w:val="25211DEA"/>
    <w:rsid w:val="25214B27"/>
    <w:rsid w:val="252217F3"/>
    <w:rsid w:val="252235A1"/>
    <w:rsid w:val="25234EC2"/>
    <w:rsid w:val="25242560"/>
    <w:rsid w:val="252427C9"/>
    <w:rsid w:val="252437BD"/>
    <w:rsid w:val="2524556B"/>
    <w:rsid w:val="25253091"/>
    <w:rsid w:val="252611F9"/>
    <w:rsid w:val="252613FB"/>
    <w:rsid w:val="25270BB7"/>
    <w:rsid w:val="2527114A"/>
    <w:rsid w:val="2527796E"/>
    <w:rsid w:val="25284C83"/>
    <w:rsid w:val="25290DD3"/>
    <w:rsid w:val="252929D5"/>
    <w:rsid w:val="252950A3"/>
    <w:rsid w:val="252A0250"/>
    <w:rsid w:val="252A595F"/>
    <w:rsid w:val="252B1641"/>
    <w:rsid w:val="252B19AC"/>
    <w:rsid w:val="252B269C"/>
    <w:rsid w:val="252B4B4C"/>
    <w:rsid w:val="252B7ACB"/>
    <w:rsid w:val="252C08C4"/>
    <w:rsid w:val="252C0F6A"/>
    <w:rsid w:val="252C232F"/>
    <w:rsid w:val="252C4420"/>
    <w:rsid w:val="252D53FE"/>
    <w:rsid w:val="252D6F8F"/>
    <w:rsid w:val="252E0AE4"/>
    <w:rsid w:val="252E1F46"/>
    <w:rsid w:val="252E63EA"/>
    <w:rsid w:val="252E73DD"/>
    <w:rsid w:val="252F3F10"/>
    <w:rsid w:val="252F5CBE"/>
    <w:rsid w:val="2531393D"/>
    <w:rsid w:val="25315EDA"/>
    <w:rsid w:val="253206D4"/>
    <w:rsid w:val="253216D2"/>
    <w:rsid w:val="25331C52"/>
    <w:rsid w:val="2533755C"/>
    <w:rsid w:val="25341526"/>
    <w:rsid w:val="253432D4"/>
    <w:rsid w:val="2536704D"/>
    <w:rsid w:val="253820CF"/>
    <w:rsid w:val="25384FEB"/>
    <w:rsid w:val="25387FF3"/>
    <w:rsid w:val="253944F4"/>
    <w:rsid w:val="253A13A7"/>
    <w:rsid w:val="253A4D8F"/>
    <w:rsid w:val="253B0B07"/>
    <w:rsid w:val="253B4663"/>
    <w:rsid w:val="253B75C0"/>
    <w:rsid w:val="253E672B"/>
    <w:rsid w:val="253E7682"/>
    <w:rsid w:val="253F4153"/>
    <w:rsid w:val="253F73D1"/>
    <w:rsid w:val="25413432"/>
    <w:rsid w:val="25416B4F"/>
    <w:rsid w:val="25423C43"/>
    <w:rsid w:val="25440C67"/>
    <w:rsid w:val="25442302"/>
    <w:rsid w:val="25452A75"/>
    <w:rsid w:val="254535CD"/>
    <w:rsid w:val="25453733"/>
    <w:rsid w:val="25457290"/>
    <w:rsid w:val="25461985"/>
    <w:rsid w:val="25464EC2"/>
    <w:rsid w:val="2547018E"/>
    <w:rsid w:val="2547125A"/>
    <w:rsid w:val="25473008"/>
    <w:rsid w:val="254774AC"/>
    <w:rsid w:val="25477D12"/>
    <w:rsid w:val="254902A2"/>
    <w:rsid w:val="25493224"/>
    <w:rsid w:val="25494C0D"/>
    <w:rsid w:val="25495178"/>
    <w:rsid w:val="25496D80"/>
    <w:rsid w:val="254A4736"/>
    <w:rsid w:val="254A58B3"/>
    <w:rsid w:val="254C061E"/>
    <w:rsid w:val="254C0B3F"/>
    <w:rsid w:val="254D4874"/>
    <w:rsid w:val="254D4CED"/>
    <w:rsid w:val="254F0F7F"/>
    <w:rsid w:val="255045B2"/>
    <w:rsid w:val="2551032A"/>
    <w:rsid w:val="25513E86"/>
    <w:rsid w:val="255143B7"/>
    <w:rsid w:val="25525847"/>
    <w:rsid w:val="25535E50"/>
    <w:rsid w:val="25542CEF"/>
    <w:rsid w:val="25545725"/>
    <w:rsid w:val="25545BB7"/>
    <w:rsid w:val="25551BC9"/>
    <w:rsid w:val="25553977"/>
    <w:rsid w:val="255556C2"/>
    <w:rsid w:val="25555909"/>
    <w:rsid w:val="2556149D"/>
    <w:rsid w:val="25565511"/>
    <w:rsid w:val="25565941"/>
    <w:rsid w:val="25565E93"/>
    <w:rsid w:val="25575245"/>
    <w:rsid w:val="255816B9"/>
    <w:rsid w:val="25590322"/>
    <w:rsid w:val="25595909"/>
    <w:rsid w:val="255B2F57"/>
    <w:rsid w:val="255B4D05"/>
    <w:rsid w:val="255B6AB3"/>
    <w:rsid w:val="255B6BAA"/>
    <w:rsid w:val="255C234B"/>
    <w:rsid w:val="255C2D9C"/>
    <w:rsid w:val="255C4493"/>
    <w:rsid w:val="255C5864"/>
    <w:rsid w:val="255D1713"/>
    <w:rsid w:val="255D39AA"/>
    <w:rsid w:val="255E0351"/>
    <w:rsid w:val="255E0E4F"/>
    <w:rsid w:val="255E1E8D"/>
    <w:rsid w:val="256006BE"/>
    <w:rsid w:val="2560231B"/>
    <w:rsid w:val="256040C9"/>
    <w:rsid w:val="2561056D"/>
    <w:rsid w:val="256242E5"/>
    <w:rsid w:val="25637E5F"/>
    <w:rsid w:val="2564005E"/>
    <w:rsid w:val="25643BBA"/>
    <w:rsid w:val="256452BF"/>
    <w:rsid w:val="25647C5C"/>
    <w:rsid w:val="256516E0"/>
    <w:rsid w:val="25652D29"/>
    <w:rsid w:val="25657932"/>
    <w:rsid w:val="25661F7C"/>
    <w:rsid w:val="25662132"/>
    <w:rsid w:val="25662FA2"/>
    <w:rsid w:val="25663CBD"/>
    <w:rsid w:val="2567153B"/>
    <w:rsid w:val="2567514D"/>
    <w:rsid w:val="25677EAD"/>
    <w:rsid w:val="256911D0"/>
    <w:rsid w:val="25693476"/>
    <w:rsid w:val="25695674"/>
    <w:rsid w:val="256A4F48"/>
    <w:rsid w:val="256A7EFF"/>
    <w:rsid w:val="256B1D08"/>
    <w:rsid w:val="256B319A"/>
    <w:rsid w:val="256B4F5E"/>
    <w:rsid w:val="256B74AF"/>
    <w:rsid w:val="256C0CC0"/>
    <w:rsid w:val="256C2A6E"/>
    <w:rsid w:val="256D0C54"/>
    <w:rsid w:val="256E38DF"/>
    <w:rsid w:val="256E4A38"/>
    <w:rsid w:val="256E67E6"/>
    <w:rsid w:val="256F643D"/>
    <w:rsid w:val="256F79A3"/>
    <w:rsid w:val="257007B0"/>
    <w:rsid w:val="25702511"/>
    <w:rsid w:val="25710085"/>
    <w:rsid w:val="25710DD0"/>
    <w:rsid w:val="257162D7"/>
    <w:rsid w:val="25720D54"/>
    <w:rsid w:val="257537F7"/>
    <w:rsid w:val="25755C21"/>
    <w:rsid w:val="25761B3F"/>
    <w:rsid w:val="25773499"/>
    <w:rsid w:val="257738E2"/>
    <w:rsid w:val="257858B7"/>
    <w:rsid w:val="25790741"/>
    <w:rsid w:val="257A162F"/>
    <w:rsid w:val="257A2B1C"/>
    <w:rsid w:val="257A33DD"/>
    <w:rsid w:val="257A518B"/>
    <w:rsid w:val="257A6194"/>
    <w:rsid w:val="257C2F2C"/>
    <w:rsid w:val="257C53A7"/>
    <w:rsid w:val="257D2C18"/>
    <w:rsid w:val="257D2ECD"/>
    <w:rsid w:val="257D4E7C"/>
    <w:rsid w:val="257E2399"/>
    <w:rsid w:val="257E76FF"/>
    <w:rsid w:val="257F1390"/>
    <w:rsid w:val="257F27A2"/>
    <w:rsid w:val="257F3212"/>
    <w:rsid w:val="257F3C7D"/>
    <w:rsid w:val="257F6C45"/>
    <w:rsid w:val="257F79A3"/>
    <w:rsid w:val="25801B50"/>
    <w:rsid w:val="25805122"/>
    <w:rsid w:val="25814783"/>
    <w:rsid w:val="258204E4"/>
    <w:rsid w:val="25822292"/>
    <w:rsid w:val="25824454"/>
    <w:rsid w:val="25826736"/>
    <w:rsid w:val="258424AE"/>
    <w:rsid w:val="2584490A"/>
    <w:rsid w:val="25845FD4"/>
    <w:rsid w:val="2584600A"/>
    <w:rsid w:val="258513D2"/>
    <w:rsid w:val="25853B30"/>
    <w:rsid w:val="25861939"/>
    <w:rsid w:val="25864737"/>
    <w:rsid w:val="25867FD4"/>
    <w:rsid w:val="25873D4C"/>
    <w:rsid w:val="25875199"/>
    <w:rsid w:val="25875915"/>
    <w:rsid w:val="25875AFA"/>
    <w:rsid w:val="25881CA6"/>
    <w:rsid w:val="25891C28"/>
    <w:rsid w:val="25893DCB"/>
    <w:rsid w:val="25897AC4"/>
    <w:rsid w:val="258A1146"/>
    <w:rsid w:val="258A30B8"/>
    <w:rsid w:val="258B4548"/>
    <w:rsid w:val="258B55EA"/>
    <w:rsid w:val="258B7398"/>
    <w:rsid w:val="258C1362"/>
    <w:rsid w:val="258C4EBE"/>
    <w:rsid w:val="258D2929"/>
    <w:rsid w:val="258D56AF"/>
    <w:rsid w:val="258D5FED"/>
    <w:rsid w:val="258E0C37"/>
    <w:rsid w:val="258E6E89"/>
    <w:rsid w:val="25900E53"/>
    <w:rsid w:val="2590282B"/>
    <w:rsid w:val="25902C01"/>
    <w:rsid w:val="25910727"/>
    <w:rsid w:val="259124D5"/>
    <w:rsid w:val="25912C39"/>
    <w:rsid w:val="259326F1"/>
    <w:rsid w:val="25940895"/>
    <w:rsid w:val="25943EAE"/>
    <w:rsid w:val="25950217"/>
    <w:rsid w:val="25965D3D"/>
    <w:rsid w:val="259669FF"/>
    <w:rsid w:val="25971E1E"/>
    <w:rsid w:val="259720B5"/>
    <w:rsid w:val="25972AEB"/>
    <w:rsid w:val="25981AB5"/>
    <w:rsid w:val="25983863"/>
    <w:rsid w:val="25985BC5"/>
    <w:rsid w:val="25985D9D"/>
    <w:rsid w:val="259A3A7F"/>
    <w:rsid w:val="259A582D"/>
    <w:rsid w:val="259A5E9F"/>
    <w:rsid w:val="259A75DB"/>
    <w:rsid w:val="259B2404"/>
    <w:rsid w:val="259B28FC"/>
    <w:rsid w:val="259C15A5"/>
    <w:rsid w:val="259C1858"/>
    <w:rsid w:val="259C37F0"/>
    <w:rsid w:val="259C77F7"/>
    <w:rsid w:val="259D3570"/>
    <w:rsid w:val="259D531E"/>
    <w:rsid w:val="259E226D"/>
    <w:rsid w:val="259F094B"/>
    <w:rsid w:val="259F4A62"/>
    <w:rsid w:val="259F4BF2"/>
    <w:rsid w:val="25A03B85"/>
    <w:rsid w:val="25A14E0E"/>
    <w:rsid w:val="25A15886"/>
    <w:rsid w:val="25A16BBC"/>
    <w:rsid w:val="25A22934"/>
    <w:rsid w:val="25A313AD"/>
    <w:rsid w:val="25A34C18"/>
    <w:rsid w:val="25A4045A"/>
    <w:rsid w:val="25A46830"/>
    <w:rsid w:val="25A61150"/>
    <w:rsid w:val="25A62424"/>
    <w:rsid w:val="25A641D2"/>
    <w:rsid w:val="25A71CF8"/>
    <w:rsid w:val="25A725E0"/>
    <w:rsid w:val="25A73019"/>
    <w:rsid w:val="25A73154"/>
    <w:rsid w:val="25A77F4A"/>
    <w:rsid w:val="25A8619C"/>
    <w:rsid w:val="25A920F9"/>
    <w:rsid w:val="25A95A70"/>
    <w:rsid w:val="25AA4198"/>
    <w:rsid w:val="25AB3597"/>
    <w:rsid w:val="25AB62BB"/>
    <w:rsid w:val="25AC5D4E"/>
    <w:rsid w:val="25AD37B3"/>
    <w:rsid w:val="25AE12D9"/>
    <w:rsid w:val="25AE3087"/>
    <w:rsid w:val="25AE752B"/>
    <w:rsid w:val="25AF3943"/>
    <w:rsid w:val="25B04809"/>
    <w:rsid w:val="25B05051"/>
    <w:rsid w:val="25B06DFF"/>
    <w:rsid w:val="25B12B88"/>
    <w:rsid w:val="25B14925"/>
    <w:rsid w:val="25B16263"/>
    <w:rsid w:val="25B20DC9"/>
    <w:rsid w:val="25B26714"/>
    <w:rsid w:val="25B3069D"/>
    <w:rsid w:val="25B3540E"/>
    <w:rsid w:val="25B508B9"/>
    <w:rsid w:val="25B52667"/>
    <w:rsid w:val="25B54415"/>
    <w:rsid w:val="25B55293"/>
    <w:rsid w:val="25B56073"/>
    <w:rsid w:val="25B60ACE"/>
    <w:rsid w:val="25B720D4"/>
    <w:rsid w:val="25B74631"/>
    <w:rsid w:val="25B76CDD"/>
    <w:rsid w:val="25B81EF3"/>
    <w:rsid w:val="25B8423E"/>
    <w:rsid w:val="25B85B24"/>
    <w:rsid w:val="25B85CB3"/>
    <w:rsid w:val="25BA1A2C"/>
    <w:rsid w:val="25BA2648"/>
    <w:rsid w:val="25BA5ED0"/>
    <w:rsid w:val="25BB534D"/>
    <w:rsid w:val="25BC39F6"/>
    <w:rsid w:val="25BD776E"/>
    <w:rsid w:val="25BE0866"/>
    <w:rsid w:val="25BE2B87"/>
    <w:rsid w:val="25BE6FE6"/>
    <w:rsid w:val="25BE7CF3"/>
    <w:rsid w:val="25BF218E"/>
    <w:rsid w:val="25BF3561"/>
    <w:rsid w:val="25BF5294"/>
    <w:rsid w:val="25BF593D"/>
    <w:rsid w:val="25BF6948"/>
    <w:rsid w:val="25BF7042"/>
    <w:rsid w:val="25C03186"/>
    <w:rsid w:val="25C03390"/>
    <w:rsid w:val="25C12DBA"/>
    <w:rsid w:val="25C25783"/>
    <w:rsid w:val="25C26B32"/>
    <w:rsid w:val="25C32FD6"/>
    <w:rsid w:val="25C44658"/>
    <w:rsid w:val="25C45DCC"/>
    <w:rsid w:val="25C62054"/>
    <w:rsid w:val="25C66622"/>
    <w:rsid w:val="25C7239A"/>
    <w:rsid w:val="25C73059"/>
    <w:rsid w:val="25C7455E"/>
    <w:rsid w:val="25C81572"/>
    <w:rsid w:val="25C9295B"/>
    <w:rsid w:val="25C94365"/>
    <w:rsid w:val="25CB19DA"/>
    <w:rsid w:val="25CB331D"/>
    <w:rsid w:val="25CB59E7"/>
    <w:rsid w:val="25CB6D44"/>
    <w:rsid w:val="25CC175F"/>
    <w:rsid w:val="25CC23BA"/>
    <w:rsid w:val="25CC2570"/>
    <w:rsid w:val="25CC7E84"/>
    <w:rsid w:val="25CD1458"/>
    <w:rsid w:val="25CD365F"/>
    <w:rsid w:val="25CD42FA"/>
    <w:rsid w:val="25CD5C03"/>
    <w:rsid w:val="25CD5E61"/>
    <w:rsid w:val="25CD6603"/>
    <w:rsid w:val="25CD6E77"/>
    <w:rsid w:val="25CD79B1"/>
    <w:rsid w:val="25CE2353"/>
    <w:rsid w:val="25CE3729"/>
    <w:rsid w:val="25CE3B00"/>
    <w:rsid w:val="25CE54D7"/>
    <w:rsid w:val="25CF289A"/>
    <w:rsid w:val="25CF34AF"/>
    <w:rsid w:val="25D00BCB"/>
    <w:rsid w:val="25D0124F"/>
    <w:rsid w:val="25D02FFD"/>
    <w:rsid w:val="25D074A1"/>
    <w:rsid w:val="25D24FC7"/>
    <w:rsid w:val="25D30D9A"/>
    <w:rsid w:val="25D32AED"/>
    <w:rsid w:val="25D36F91"/>
    <w:rsid w:val="25D415D6"/>
    <w:rsid w:val="25D41FAD"/>
    <w:rsid w:val="25D458D2"/>
    <w:rsid w:val="25D53C51"/>
    <w:rsid w:val="25D54AB7"/>
    <w:rsid w:val="25D6438C"/>
    <w:rsid w:val="25D725DE"/>
    <w:rsid w:val="25D845A8"/>
    <w:rsid w:val="25D86356"/>
    <w:rsid w:val="25D96B0D"/>
    <w:rsid w:val="25DA088A"/>
    <w:rsid w:val="25DA0980"/>
    <w:rsid w:val="25DA2C59"/>
    <w:rsid w:val="25DA3E7C"/>
    <w:rsid w:val="25DA482C"/>
    <w:rsid w:val="25DA6A07"/>
    <w:rsid w:val="25DA74AE"/>
    <w:rsid w:val="25DC01C7"/>
    <w:rsid w:val="25DC4098"/>
    <w:rsid w:val="25DC7BF4"/>
    <w:rsid w:val="25DD07DA"/>
    <w:rsid w:val="25DE0DD1"/>
    <w:rsid w:val="25DE2164"/>
    <w:rsid w:val="25DE67A2"/>
    <w:rsid w:val="25DF05ED"/>
    <w:rsid w:val="25DF05F5"/>
    <w:rsid w:val="25DF56C4"/>
    <w:rsid w:val="25DF5CBB"/>
    <w:rsid w:val="25DF7347"/>
    <w:rsid w:val="25DF76E4"/>
    <w:rsid w:val="25E00134"/>
    <w:rsid w:val="25E036C2"/>
    <w:rsid w:val="25E10514"/>
    <w:rsid w:val="25E1345C"/>
    <w:rsid w:val="25E16F03"/>
    <w:rsid w:val="25E20F82"/>
    <w:rsid w:val="25E21B4F"/>
    <w:rsid w:val="25E26479"/>
    <w:rsid w:val="25E371D4"/>
    <w:rsid w:val="25E4680D"/>
    <w:rsid w:val="25E56562"/>
    <w:rsid w:val="25E60A73"/>
    <w:rsid w:val="25E92392"/>
    <w:rsid w:val="25E940BF"/>
    <w:rsid w:val="25E9677D"/>
    <w:rsid w:val="25E971BF"/>
    <w:rsid w:val="25EA3196"/>
    <w:rsid w:val="25EA5B86"/>
    <w:rsid w:val="25EA63F3"/>
    <w:rsid w:val="25EB3B3B"/>
    <w:rsid w:val="25EB6089"/>
    <w:rsid w:val="25EB7E37"/>
    <w:rsid w:val="25EC0D8E"/>
    <w:rsid w:val="25EC2D81"/>
    <w:rsid w:val="25EC3BAF"/>
    <w:rsid w:val="25ED4D74"/>
    <w:rsid w:val="25ED6026"/>
    <w:rsid w:val="25EE5B79"/>
    <w:rsid w:val="25EE6204"/>
    <w:rsid w:val="25EF725A"/>
    <w:rsid w:val="25F0544D"/>
    <w:rsid w:val="25F13430"/>
    <w:rsid w:val="25F2111F"/>
    <w:rsid w:val="25F25669"/>
    <w:rsid w:val="25F3318F"/>
    <w:rsid w:val="25F331EF"/>
    <w:rsid w:val="25F34F3E"/>
    <w:rsid w:val="25F413E1"/>
    <w:rsid w:val="25F41C17"/>
    <w:rsid w:val="25F4383A"/>
    <w:rsid w:val="25F50CB6"/>
    <w:rsid w:val="25F50CE9"/>
    <w:rsid w:val="25F555DF"/>
    <w:rsid w:val="25F660D7"/>
    <w:rsid w:val="25F717E6"/>
    <w:rsid w:val="25F71B51"/>
    <w:rsid w:val="25F72C80"/>
    <w:rsid w:val="25F74A2E"/>
    <w:rsid w:val="25F767DC"/>
    <w:rsid w:val="25F807A6"/>
    <w:rsid w:val="25F809F7"/>
    <w:rsid w:val="25F82554"/>
    <w:rsid w:val="25F90E17"/>
    <w:rsid w:val="25F969F8"/>
    <w:rsid w:val="25FA2770"/>
    <w:rsid w:val="25FA62CC"/>
    <w:rsid w:val="25FC2044"/>
    <w:rsid w:val="25FD5DBC"/>
    <w:rsid w:val="25FD6116"/>
    <w:rsid w:val="25FD7B6A"/>
    <w:rsid w:val="25FE1F57"/>
    <w:rsid w:val="25FE400E"/>
    <w:rsid w:val="25FE5CF9"/>
    <w:rsid w:val="25FF1B34"/>
    <w:rsid w:val="26002B97"/>
    <w:rsid w:val="260032D0"/>
    <w:rsid w:val="26020A04"/>
    <w:rsid w:val="26025181"/>
    <w:rsid w:val="26030FFB"/>
    <w:rsid w:val="26031625"/>
    <w:rsid w:val="260333D3"/>
    <w:rsid w:val="26041B6B"/>
    <w:rsid w:val="26043FDD"/>
    <w:rsid w:val="26050A80"/>
    <w:rsid w:val="260545A2"/>
    <w:rsid w:val="26062EC3"/>
    <w:rsid w:val="260676FF"/>
    <w:rsid w:val="260678C3"/>
    <w:rsid w:val="260809E9"/>
    <w:rsid w:val="26084E8D"/>
    <w:rsid w:val="26086C3B"/>
    <w:rsid w:val="2609650F"/>
    <w:rsid w:val="260971F7"/>
    <w:rsid w:val="260A030E"/>
    <w:rsid w:val="260A2F54"/>
    <w:rsid w:val="260A7888"/>
    <w:rsid w:val="260B75E8"/>
    <w:rsid w:val="260C1C27"/>
    <w:rsid w:val="260C4DB1"/>
    <w:rsid w:val="260C5D86"/>
    <w:rsid w:val="260D178D"/>
    <w:rsid w:val="260D24A3"/>
    <w:rsid w:val="260D5FFF"/>
    <w:rsid w:val="260E0D1D"/>
    <w:rsid w:val="260E7530"/>
    <w:rsid w:val="260E7FC9"/>
    <w:rsid w:val="260F621B"/>
    <w:rsid w:val="2610496B"/>
    <w:rsid w:val="2611159E"/>
    <w:rsid w:val="261116CF"/>
    <w:rsid w:val="26121868"/>
    <w:rsid w:val="26124DE7"/>
    <w:rsid w:val="26136A8F"/>
    <w:rsid w:val="2613738E"/>
    <w:rsid w:val="26151358"/>
    <w:rsid w:val="2615531D"/>
    <w:rsid w:val="261554D3"/>
    <w:rsid w:val="26157888"/>
    <w:rsid w:val="26164DFC"/>
    <w:rsid w:val="26176E7E"/>
    <w:rsid w:val="261801CB"/>
    <w:rsid w:val="26181B21"/>
    <w:rsid w:val="261847E6"/>
    <w:rsid w:val="26191C9C"/>
    <w:rsid w:val="26192BF6"/>
    <w:rsid w:val="261A3D91"/>
    <w:rsid w:val="261C4494"/>
    <w:rsid w:val="261C5E32"/>
    <w:rsid w:val="261D1FBA"/>
    <w:rsid w:val="261D3E53"/>
    <w:rsid w:val="261E020C"/>
    <w:rsid w:val="261E3BA2"/>
    <w:rsid w:val="261F6D7E"/>
    <w:rsid w:val="26211093"/>
    <w:rsid w:val="26217CFD"/>
    <w:rsid w:val="262275D1"/>
    <w:rsid w:val="262306F1"/>
    <w:rsid w:val="262308A7"/>
    <w:rsid w:val="262317E4"/>
    <w:rsid w:val="26232D49"/>
    <w:rsid w:val="26233A75"/>
    <w:rsid w:val="26235823"/>
    <w:rsid w:val="2624159B"/>
    <w:rsid w:val="26245763"/>
    <w:rsid w:val="262470B9"/>
    <w:rsid w:val="2624778F"/>
    <w:rsid w:val="26265313"/>
    <w:rsid w:val="2627404D"/>
    <w:rsid w:val="26280F66"/>
    <w:rsid w:val="26292383"/>
    <w:rsid w:val="26296BB1"/>
    <w:rsid w:val="262A1E53"/>
    <w:rsid w:val="262A5CAA"/>
    <w:rsid w:val="262B2929"/>
    <w:rsid w:val="262C00F7"/>
    <w:rsid w:val="262C1DE3"/>
    <w:rsid w:val="262D2307"/>
    <w:rsid w:val="262D3BE6"/>
    <w:rsid w:val="262D48F3"/>
    <w:rsid w:val="262D66A1"/>
    <w:rsid w:val="262D6D67"/>
    <w:rsid w:val="262D7820"/>
    <w:rsid w:val="262F36AA"/>
    <w:rsid w:val="26301CEE"/>
    <w:rsid w:val="26303AC6"/>
    <w:rsid w:val="2630419C"/>
    <w:rsid w:val="26306192"/>
    <w:rsid w:val="26306B90"/>
    <w:rsid w:val="26307F40"/>
    <w:rsid w:val="263122AC"/>
    <w:rsid w:val="26316A2B"/>
    <w:rsid w:val="26322018"/>
    <w:rsid w:val="26323CB8"/>
    <w:rsid w:val="26331A9A"/>
    <w:rsid w:val="26333EC3"/>
    <w:rsid w:val="26343371"/>
    <w:rsid w:val="26351D86"/>
    <w:rsid w:val="263537A8"/>
    <w:rsid w:val="26357304"/>
    <w:rsid w:val="26360F68"/>
    <w:rsid w:val="263631A5"/>
    <w:rsid w:val="263732B9"/>
    <w:rsid w:val="26382B74"/>
    <w:rsid w:val="26387CD4"/>
    <w:rsid w:val="26393298"/>
    <w:rsid w:val="26396DF4"/>
    <w:rsid w:val="263A2B6C"/>
    <w:rsid w:val="263A491A"/>
    <w:rsid w:val="263B7010"/>
    <w:rsid w:val="263B799F"/>
    <w:rsid w:val="263C0693"/>
    <w:rsid w:val="263C2969"/>
    <w:rsid w:val="263E08AF"/>
    <w:rsid w:val="263E265D"/>
    <w:rsid w:val="263E318C"/>
    <w:rsid w:val="263F2B65"/>
    <w:rsid w:val="263F63D5"/>
    <w:rsid w:val="26404627"/>
    <w:rsid w:val="264056AC"/>
    <w:rsid w:val="26410211"/>
    <w:rsid w:val="264137C8"/>
    <w:rsid w:val="26413EFB"/>
    <w:rsid w:val="26431A21"/>
    <w:rsid w:val="26435B6E"/>
    <w:rsid w:val="26435EC5"/>
    <w:rsid w:val="264439EB"/>
    <w:rsid w:val="26446854"/>
    <w:rsid w:val="264659B5"/>
    <w:rsid w:val="26467763"/>
    <w:rsid w:val="26482E0A"/>
    <w:rsid w:val="264834DB"/>
    <w:rsid w:val="26485289"/>
    <w:rsid w:val="2649645A"/>
    <w:rsid w:val="264A0FF5"/>
    <w:rsid w:val="264A194A"/>
    <w:rsid w:val="264A1B0E"/>
    <w:rsid w:val="264B2FCC"/>
    <w:rsid w:val="264B4B51"/>
    <w:rsid w:val="264C2F39"/>
    <w:rsid w:val="264D0AF2"/>
    <w:rsid w:val="264D2539"/>
    <w:rsid w:val="264D317D"/>
    <w:rsid w:val="264D685D"/>
    <w:rsid w:val="264F2A74"/>
    <w:rsid w:val="264F486A"/>
    <w:rsid w:val="264F6618"/>
    <w:rsid w:val="26502390"/>
    <w:rsid w:val="265066CF"/>
    <w:rsid w:val="26521602"/>
    <w:rsid w:val="265231DC"/>
    <w:rsid w:val="26526108"/>
    <w:rsid w:val="26527EB6"/>
    <w:rsid w:val="26530EAD"/>
    <w:rsid w:val="265359DC"/>
    <w:rsid w:val="265378F3"/>
    <w:rsid w:val="26544982"/>
    <w:rsid w:val="26551DA8"/>
    <w:rsid w:val="26571970"/>
    <w:rsid w:val="26591839"/>
    <w:rsid w:val="26591940"/>
    <w:rsid w:val="2659251B"/>
    <w:rsid w:val="265956E8"/>
    <w:rsid w:val="26597496"/>
    <w:rsid w:val="265A320F"/>
    <w:rsid w:val="265A4FBD"/>
    <w:rsid w:val="265A6D6B"/>
    <w:rsid w:val="265C29D1"/>
    <w:rsid w:val="265C2AE3"/>
    <w:rsid w:val="265C7550"/>
    <w:rsid w:val="265D2778"/>
    <w:rsid w:val="265D3C03"/>
    <w:rsid w:val="265D607C"/>
    <w:rsid w:val="265F25D3"/>
    <w:rsid w:val="265F4199"/>
    <w:rsid w:val="265F57F6"/>
    <w:rsid w:val="26600825"/>
    <w:rsid w:val="26606458"/>
    <w:rsid w:val="266073AE"/>
    <w:rsid w:val="26610994"/>
    <w:rsid w:val="2661459D"/>
    <w:rsid w:val="26617952"/>
    <w:rsid w:val="26617E4F"/>
    <w:rsid w:val="26620572"/>
    <w:rsid w:val="26626ADB"/>
    <w:rsid w:val="266279B6"/>
    <w:rsid w:val="266320C3"/>
    <w:rsid w:val="26635AF3"/>
    <w:rsid w:val="26645622"/>
    <w:rsid w:val="2665408D"/>
    <w:rsid w:val="26655E3B"/>
    <w:rsid w:val="26660967"/>
    <w:rsid w:val="26663961"/>
    <w:rsid w:val="26663A50"/>
    <w:rsid w:val="2666570F"/>
    <w:rsid w:val="26672398"/>
    <w:rsid w:val="2668592C"/>
    <w:rsid w:val="26687F42"/>
    <w:rsid w:val="266A51AE"/>
    <w:rsid w:val="266A75E9"/>
    <w:rsid w:val="266B4401"/>
    <w:rsid w:val="266B4922"/>
    <w:rsid w:val="266B541C"/>
    <w:rsid w:val="266B625E"/>
    <w:rsid w:val="266C3F24"/>
    <w:rsid w:val="266D4CF0"/>
    <w:rsid w:val="266E544D"/>
    <w:rsid w:val="266E7BDA"/>
    <w:rsid w:val="266F0A68"/>
    <w:rsid w:val="266F1EBD"/>
    <w:rsid w:val="266F4923"/>
    <w:rsid w:val="266F6CBA"/>
    <w:rsid w:val="266F6F4D"/>
    <w:rsid w:val="26701FC4"/>
    <w:rsid w:val="26703544"/>
    <w:rsid w:val="267047E0"/>
    <w:rsid w:val="26712A32"/>
    <w:rsid w:val="2671601B"/>
    <w:rsid w:val="2672207C"/>
    <w:rsid w:val="267274AB"/>
    <w:rsid w:val="2673350C"/>
    <w:rsid w:val="267356C5"/>
    <w:rsid w:val="26742B5C"/>
    <w:rsid w:val="267442D0"/>
    <w:rsid w:val="2674607E"/>
    <w:rsid w:val="26747E2C"/>
    <w:rsid w:val="26750CE7"/>
    <w:rsid w:val="26753992"/>
    <w:rsid w:val="26753B8F"/>
    <w:rsid w:val="26771E8D"/>
    <w:rsid w:val="2677349D"/>
    <w:rsid w:val="26773DC1"/>
    <w:rsid w:val="267940DD"/>
    <w:rsid w:val="267962D4"/>
    <w:rsid w:val="26797B39"/>
    <w:rsid w:val="267A740D"/>
    <w:rsid w:val="267C13D7"/>
    <w:rsid w:val="267C3327"/>
    <w:rsid w:val="267C4201"/>
    <w:rsid w:val="267C5CFF"/>
    <w:rsid w:val="267D21CD"/>
    <w:rsid w:val="267E0CAB"/>
    <w:rsid w:val="267E173B"/>
    <w:rsid w:val="267E514F"/>
    <w:rsid w:val="2680161F"/>
    <w:rsid w:val="26812549"/>
    <w:rsid w:val="26830430"/>
    <w:rsid w:val="268418C0"/>
    <w:rsid w:val="26845998"/>
    <w:rsid w:val="2685028B"/>
    <w:rsid w:val="26864004"/>
    <w:rsid w:val="26875414"/>
    <w:rsid w:val="26881206"/>
    <w:rsid w:val="26881571"/>
    <w:rsid w:val="268838D8"/>
    <w:rsid w:val="2688487A"/>
    <w:rsid w:val="268902C6"/>
    <w:rsid w:val="26891855"/>
    <w:rsid w:val="26893CCE"/>
    <w:rsid w:val="268B33C8"/>
    <w:rsid w:val="268B5E48"/>
    <w:rsid w:val="268C786C"/>
    <w:rsid w:val="268E0114"/>
    <w:rsid w:val="268E0C0C"/>
    <w:rsid w:val="268E5905"/>
    <w:rsid w:val="268E668F"/>
    <w:rsid w:val="268F110A"/>
    <w:rsid w:val="268F2EB8"/>
    <w:rsid w:val="268F456F"/>
    <w:rsid w:val="268F4C66"/>
    <w:rsid w:val="268F6768"/>
    <w:rsid w:val="269009DE"/>
    <w:rsid w:val="269047F5"/>
    <w:rsid w:val="26912B79"/>
    <w:rsid w:val="26914E82"/>
    <w:rsid w:val="269172C2"/>
    <w:rsid w:val="269229A8"/>
    <w:rsid w:val="26923FE7"/>
    <w:rsid w:val="26924756"/>
    <w:rsid w:val="26931D54"/>
    <w:rsid w:val="26933A39"/>
    <w:rsid w:val="269404CF"/>
    <w:rsid w:val="269427E9"/>
    <w:rsid w:val="26955FF5"/>
    <w:rsid w:val="26967AF6"/>
    <w:rsid w:val="26972FA1"/>
    <w:rsid w:val="26977FBF"/>
    <w:rsid w:val="26984137"/>
    <w:rsid w:val="269855A3"/>
    <w:rsid w:val="26997893"/>
    <w:rsid w:val="269A1540"/>
    <w:rsid w:val="269A4809"/>
    <w:rsid w:val="269B0876"/>
    <w:rsid w:val="269B1288"/>
    <w:rsid w:val="269B7AAF"/>
    <w:rsid w:val="269C02B2"/>
    <w:rsid w:val="269C0FD7"/>
    <w:rsid w:val="269C44AE"/>
    <w:rsid w:val="269C455F"/>
    <w:rsid w:val="269C55D5"/>
    <w:rsid w:val="269C7383"/>
    <w:rsid w:val="269C765D"/>
    <w:rsid w:val="269D3806"/>
    <w:rsid w:val="269D6395"/>
    <w:rsid w:val="269E30FB"/>
    <w:rsid w:val="269F1C1D"/>
    <w:rsid w:val="269F51CE"/>
    <w:rsid w:val="26A050C5"/>
    <w:rsid w:val="26A06E73"/>
    <w:rsid w:val="26A12175"/>
    <w:rsid w:val="26A12BEB"/>
    <w:rsid w:val="26A1499A"/>
    <w:rsid w:val="26A1747F"/>
    <w:rsid w:val="26A27E10"/>
    <w:rsid w:val="26A32317"/>
    <w:rsid w:val="26A440C8"/>
    <w:rsid w:val="26A45974"/>
    <w:rsid w:val="26A5092E"/>
    <w:rsid w:val="26A566E1"/>
    <w:rsid w:val="26A5701B"/>
    <w:rsid w:val="26A649D2"/>
    <w:rsid w:val="26A67D55"/>
    <w:rsid w:val="26A76BB7"/>
    <w:rsid w:val="26A821CC"/>
    <w:rsid w:val="26A94D1C"/>
    <w:rsid w:val="26A9791D"/>
    <w:rsid w:val="26AA04BC"/>
    <w:rsid w:val="26AA61AC"/>
    <w:rsid w:val="26AA7CF2"/>
    <w:rsid w:val="26AB0948"/>
    <w:rsid w:val="26AB5818"/>
    <w:rsid w:val="26AC0ACC"/>
    <w:rsid w:val="26AC3A6A"/>
    <w:rsid w:val="26AD77E2"/>
    <w:rsid w:val="26AE3B4C"/>
    <w:rsid w:val="26AF70B6"/>
    <w:rsid w:val="26B008DD"/>
    <w:rsid w:val="26B01DC9"/>
    <w:rsid w:val="26B02E2F"/>
    <w:rsid w:val="26B03FF2"/>
    <w:rsid w:val="26B058C9"/>
    <w:rsid w:val="26B06968"/>
    <w:rsid w:val="26B06EEB"/>
    <w:rsid w:val="26B20955"/>
    <w:rsid w:val="26B26BA7"/>
    <w:rsid w:val="26B3073B"/>
    <w:rsid w:val="26B34EFA"/>
    <w:rsid w:val="26B4291F"/>
    <w:rsid w:val="26B446CD"/>
    <w:rsid w:val="26B506EE"/>
    <w:rsid w:val="26B532BF"/>
    <w:rsid w:val="26B571AF"/>
    <w:rsid w:val="26B62E79"/>
    <w:rsid w:val="26B63AAA"/>
    <w:rsid w:val="26B67414"/>
    <w:rsid w:val="26B741BD"/>
    <w:rsid w:val="26B75F6B"/>
    <w:rsid w:val="26B7746D"/>
    <w:rsid w:val="26B80661"/>
    <w:rsid w:val="26B81871"/>
    <w:rsid w:val="26B84810"/>
    <w:rsid w:val="26B91CE3"/>
    <w:rsid w:val="26B92774"/>
    <w:rsid w:val="26B93247"/>
    <w:rsid w:val="26B96187"/>
    <w:rsid w:val="26B96AF1"/>
    <w:rsid w:val="26BA435B"/>
    <w:rsid w:val="26BA4560"/>
    <w:rsid w:val="26BC17D3"/>
    <w:rsid w:val="26BD5C77"/>
    <w:rsid w:val="26BE08C7"/>
    <w:rsid w:val="26BE19EF"/>
    <w:rsid w:val="26BF6F42"/>
    <w:rsid w:val="26C003D2"/>
    <w:rsid w:val="26C012C4"/>
    <w:rsid w:val="26C0182E"/>
    <w:rsid w:val="26C03072"/>
    <w:rsid w:val="26C2328E"/>
    <w:rsid w:val="26C24433"/>
    <w:rsid w:val="26C30487"/>
    <w:rsid w:val="26C30DB4"/>
    <w:rsid w:val="26C317D6"/>
    <w:rsid w:val="26C32ADE"/>
    <w:rsid w:val="26C358C3"/>
    <w:rsid w:val="26C406B1"/>
    <w:rsid w:val="26C44EE9"/>
    <w:rsid w:val="26C50688"/>
    <w:rsid w:val="26C51AF1"/>
    <w:rsid w:val="26C52699"/>
    <w:rsid w:val="26C727D4"/>
    <w:rsid w:val="26C804D3"/>
    <w:rsid w:val="26CC3181"/>
    <w:rsid w:val="26CC5EBA"/>
    <w:rsid w:val="26CD258B"/>
    <w:rsid w:val="26CD39E1"/>
    <w:rsid w:val="26CF1507"/>
    <w:rsid w:val="26CF7F45"/>
    <w:rsid w:val="26D05281"/>
    <w:rsid w:val="26D0721B"/>
    <w:rsid w:val="26D11723"/>
    <w:rsid w:val="26D13A43"/>
    <w:rsid w:val="26D144D4"/>
    <w:rsid w:val="26D150CB"/>
    <w:rsid w:val="26D15A87"/>
    <w:rsid w:val="26D16230"/>
    <w:rsid w:val="26D227E7"/>
    <w:rsid w:val="26D23F28"/>
    <w:rsid w:val="26D42FC1"/>
    <w:rsid w:val="26D43D9E"/>
    <w:rsid w:val="26D47358"/>
    <w:rsid w:val="26D528A9"/>
    <w:rsid w:val="26D60AE7"/>
    <w:rsid w:val="26D62895"/>
    <w:rsid w:val="26D703BB"/>
    <w:rsid w:val="26D71E4A"/>
    <w:rsid w:val="26D76417"/>
    <w:rsid w:val="26D7774E"/>
    <w:rsid w:val="26D905D7"/>
    <w:rsid w:val="26DA348F"/>
    <w:rsid w:val="26DB434F"/>
    <w:rsid w:val="26DC1503"/>
    <w:rsid w:val="26DC2275"/>
    <w:rsid w:val="26DC42BF"/>
    <w:rsid w:val="26DD5EB5"/>
    <w:rsid w:val="26DE2DEE"/>
    <w:rsid w:val="26DE5BEE"/>
    <w:rsid w:val="26DE799C"/>
    <w:rsid w:val="26DF4DEB"/>
    <w:rsid w:val="26DF689D"/>
    <w:rsid w:val="26DF742E"/>
    <w:rsid w:val="26E013F5"/>
    <w:rsid w:val="26E054C2"/>
    <w:rsid w:val="26E1123A"/>
    <w:rsid w:val="26E146C4"/>
    <w:rsid w:val="26E21AF1"/>
    <w:rsid w:val="26E222DC"/>
    <w:rsid w:val="26E2445C"/>
    <w:rsid w:val="26E36D60"/>
    <w:rsid w:val="26E474C3"/>
    <w:rsid w:val="26E47778"/>
    <w:rsid w:val="26E57361"/>
    <w:rsid w:val="26E72CF4"/>
    <w:rsid w:val="26E8081A"/>
    <w:rsid w:val="26EA00EF"/>
    <w:rsid w:val="26EA4592"/>
    <w:rsid w:val="26EA7A50"/>
    <w:rsid w:val="26EB3E67"/>
    <w:rsid w:val="26EB6CCE"/>
    <w:rsid w:val="26EC5F5F"/>
    <w:rsid w:val="26EE1644"/>
    <w:rsid w:val="26EE4083"/>
    <w:rsid w:val="26EF06E2"/>
    <w:rsid w:val="26EF1BA9"/>
    <w:rsid w:val="26EF1E1E"/>
    <w:rsid w:val="26EF7DFB"/>
    <w:rsid w:val="26F07CA0"/>
    <w:rsid w:val="26F40F6D"/>
    <w:rsid w:val="26F606C4"/>
    <w:rsid w:val="26F61189"/>
    <w:rsid w:val="26F6655E"/>
    <w:rsid w:val="26F81E01"/>
    <w:rsid w:val="26F868E4"/>
    <w:rsid w:val="26F86CAF"/>
    <w:rsid w:val="26F92A28"/>
    <w:rsid w:val="26F957EF"/>
    <w:rsid w:val="26F96584"/>
    <w:rsid w:val="26FA19F3"/>
    <w:rsid w:val="26FA69C7"/>
    <w:rsid w:val="26FB054E"/>
    <w:rsid w:val="26FB67A0"/>
    <w:rsid w:val="26FC4863"/>
    <w:rsid w:val="26FC6074"/>
    <w:rsid w:val="26FC7CDF"/>
    <w:rsid w:val="26FD2518"/>
    <w:rsid w:val="26FD42C6"/>
    <w:rsid w:val="26FD7AFE"/>
    <w:rsid w:val="26FD7D25"/>
    <w:rsid w:val="26FE003E"/>
    <w:rsid w:val="26FE2B18"/>
    <w:rsid w:val="26FF009C"/>
    <w:rsid w:val="27003DB6"/>
    <w:rsid w:val="27010B22"/>
    <w:rsid w:val="27013C95"/>
    <w:rsid w:val="270218C6"/>
    <w:rsid w:val="270218DC"/>
    <w:rsid w:val="270317AE"/>
    <w:rsid w:val="27035654"/>
    <w:rsid w:val="27037402"/>
    <w:rsid w:val="27046DB7"/>
    <w:rsid w:val="2705317A"/>
    <w:rsid w:val="27053614"/>
    <w:rsid w:val="270537D9"/>
    <w:rsid w:val="27054F28"/>
    <w:rsid w:val="2706363C"/>
    <w:rsid w:val="27070CA1"/>
    <w:rsid w:val="270760E1"/>
    <w:rsid w:val="27076EF2"/>
    <w:rsid w:val="27080982"/>
    <w:rsid w:val="27081AFF"/>
    <w:rsid w:val="27084686"/>
    <w:rsid w:val="27084A19"/>
    <w:rsid w:val="27090058"/>
    <w:rsid w:val="27090EBD"/>
    <w:rsid w:val="270A253F"/>
    <w:rsid w:val="270A6DF8"/>
    <w:rsid w:val="270B4F8F"/>
    <w:rsid w:val="270B67B4"/>
    <w:rsid w:val="270B73F9"/>
    <w:rsid w:val="270B7C75"/>
    <w:rsid w:val="270C275B"/>
    <w:rsid w:val="270C4509"/>
    <w:rsid w:val="270C4C5A"/>
    <w:rsid w:val="270C54E6"/>
    <w:rsid w:val="270C6CED"/>
    <w:rsid w:val="270D0281"/>
    <w:rsid w:val="270D56F8"/>
    <w:rsid w:val="270E428B"/>
    <w:rsid w:val="270E64D3"/>
    <w:rsid w:val="270F5DA7"/>
    <w:rsid w:val="270F7B55"/>
    <w:rsid w:val="27105115"/>
    <w:rsid w:val="271138CD"/>
    <w:rsid w:val="27121FFF"/>
    <w:rsid w:val="27123B6E"/>
    <w:rsid w:val="27127645"/>
    <w:rsid w:val="2713040A"/>
    <w:rsid w:val="2713284B"/>
    <w:rsid w:val="27133AE9"/>
    <w:rsid w:val="2714723A"/>
    <w:rsid w:val="27147861"/>
    <w:rsid w:val="271544E5"/>
    <w:rsid w:val="27160EE4"/>
    <w:rsid w:val="271635D9"/>
    <w:rsid w:val="271712CB"/>
    <w:rsid w:val="27181100"/>
    <w:rsid w:val="2718121A"/>
    <w:rsid w:val="27182EAE"/>
    <w:rsid w:val="27194E78"/>
    <w:rsid w:val="27197BC0"/>
    <w:rsid w:val="271A3A5A"/>
    <w:rsid w:val="271A6CFE"/>
    <w:rsid w:val="271B299E"/>
    <w:rsid w:val="271B52DA"/>
    <w:rsid w:val="271C0729"/>
    <w:rsid w:val="271C7D5B"/>
    <w:rsid w:val="271D04C4"/>
    <w:rsid w:val="271D6164"/>
    <w:rsid w:val="271D74C3"/>
    <w:rsid w:val="271E795E"/>
    <w:rsid w:val="271E7F95"/>
    <w:rsid w:val="27201D62"/>
    <w:rsid w:val="27207FB4"/>
    <w:rsid w:val="27221F24"/>
    <w:rsid w:val="27221F7E"/>
    <w:rsid w:val="27223D2C"/>
    <w:rsid w:val="27230BFF"/>
    <w:rsid w:val="27231852"/>
    <w:rsid w:val="27233601"/>
    <w:rsid w:val="2723556F"/>
    <w:rsid w:val="2724044B"/>
    <w:rsid w:val="27247AA4"/>
    <w:rsid w:val="27252DB6"/>
    <w:rsid w:val="2725351F"/>
    <w:rsid w:val="2725381D"/>
    <w:rsid w:val="272555CB"/>
    <w:rsid w:val="27255615"/>
    <w:rsid w:val="272619A5"/>
    <w:rsid w:val="27262112"/>
    <w:rsid w:val="27263790"/>
    <w:rsid w:val="27271343"/>
    <w:rsid w:val="2727432F"/>
    <w:rsid w:val="27281EA0"/>
    <w:rsid w:val="2728280B"/>
    <w:rsid w:val="27286E69"/>
    <w:rsid w:val="272924A0"/>
    <w:rsid w:val="272A0E33"/>
    <w:rsid w:val="272A61AC"/>
    <w:rsid w:val="272A6FE5"/>
    <w:rsid w:val="272B1F61"/>
    <w:rsid w:val="272B402F"/>
    <w:rsid w:val="272B7390"/>
    <w:rsid w:val="272C0707"/>
    <w:rsid w:val="272C4BAB"/>
    <w:rsid w:val="272C6EE6"/>
    <w:rsid w:val="272D447F"/>
    <w:rsid w:val="272D5FC2"/>
    <w:rsid w:val="272D6CD8"/>
    <w:rsid w:val="272E0E33"/>
    <w:rsid w:val="272E26D1"/>
    <w:rsid w:val="272F55FD"/>
    <w:rsid w:val="27313F6F"/>
    <w:rsid w:val="27321A96"/>
    <w:rsid w:val="27325B22"/>
    <w:rsid w:val="27327868"/>
    <w:rsid w:val="27335167"/>
    <w:rsid w:val="2733531B"/>
    <w:rsid w:val="27340A4D"/>
    <w:rsid w:val="27344752"/>
    <w:rsid w:val="27344754"/>
    <w:rsid w:val="2734580E"/>
    <w:rsid w:val="27345B41"/>
    <w:rsid w:val="27351CB2"/>
    <w:rsid w:val="27361586"/>
    <w:rsid w:val="273619FB"/>
    <w:rsid w:val="2736411B"/>
    <w:rsid w:val="27365354"/>
    <w:rsid w:val="273656BF"/>
    <w:rsid w:val="273677D8"/>
    <w:rsid w:val="27383550"/>
    <w:rsid w:val="27384C99"/>
    <w:rsid w:val="27391076"/>
    <w:rsid w:val="27392E24"/>
    <w:rsid w:val="273932D9"/>
    <w:rsid w:val="27394347"/>
    <w:rsid w:val="273956E6"/>
    <w:rsid w:val="27395FB0"/>
    <w:rsid w:val="27397988"/>
    <w:rsid w:val="273A290F"/>
    <w:rsid w:val="273B094A"/>
    <w:rsid w:val="273B3040"/>
    <w:rsid w:val="273C09D8"/>
    <w:rsid w:val="273C1A02"/>
    <w:rsid w:val="273C2D68"/>
    <w:rsid w:val="273C3E88"/>
    <w:rsid w:val="273C7063"/>
    <w:rsid w:val="273D3754"/>
    <w:rsid w:val="27400126"/>
    <w:rsid w:val="27400656"/>
    <w:rsid w:val="27400A75"/>
    <w:rsid w:val="27402CF7"/>
    <w:rsid w:val="274041B2"/>
    <w:rsid w:val="27413FF2"/>
    <w:rsid w:val="27421CD9"/>
    <w:rsid w:val="27427F2B"/>
    <w:rsid w:val="27435A51"/>
    <w:rsid w:val="27436F47"/>
    <w:rsid w:val="27441EF5"/>
    <w:rsid w:val="274556D9"/>
    <w:rsid w:val="27457B31"/>
    <w:rsid w:val="27465428"/>
    <w:rsid w:val="274666AE"/>
    <w:rsid w:val="27470A00"/>
    <w:rsid w:val="27472BD1"/>
    <w:rsid w:val="27475541"/>
    <w:rsid w:val="27475901"/>
    <w:rsid w:val="27480012"/>
    <w:rsid w:val="274912B9"/>
    <w:rsid w:val="27495A23"/>
    <w:rsid w:val="2749750B"/>
    <w:rsid w:val="274A2AF4"/>
    <w:rsid w:val="274A4A2D"/>
    <w:rsid w:val="274A697A"/>
    <w:rsid w:val="274C1F03"/>
    <w:rsid w:val="274D272A"/>
    <w:rsid w:val="274E2D73"/>
    <w:rsid w:val="274E4B21"/>
    <w:rsid w:val="274E53E9"/>
    <w:rsid w:val="274F2647"/>
    <w:rsid w:val="274F678B"/>
    <w:rsid w:val="2750198D"/>
    <w:rsid w:val="2751016E"/>
    <w:rsid w:val="27510424"/>
    <w:rsid w:val="27514612"/>
    <w:rsid w:val="275160BD"/>
    <w:rsid w:val="275163C0"/>
    <w:rsid w:val="27532138"/>
    <w:rsid w:val="2753282F"/>
    <w:rsid w:val="27533EE6"/>
    <w:rsid w:val="275345A5"/>
    <w:rsid w:val="275413AC"/>
    <w:rsid w:val="2755096A"/>
    <w:rsid w:val="27561C28"/>
    <w:rsid w:val="275639D6"/>
    <w:rsid w:val="27573136"/>
    <w:rsid w:val="275814FC"/>
    <w:rsid w:val="2758774E"/>
    <w:rsid w:val="27595274"/>
    <w:rsid w:val="27597809"/>
    <w:rsid w:val="275A1718"/>
    <w:rsid w:val="275A34C6"/>
    <w:rsid w:val="275A389E"/>
    <w:rsid w:val="275B723E"/>
    <w:rsid w:val="275B78FF"/>
    <w:rsid w:val="275C23D2"/>
    <w:rsid w:val="275C281A"/>
    <w:rsid w:val="275D221F"/>
    <w:rsid w:val="275D2FB6"/>
    <w:rsid w:val="275D3E3F"/>
    <w:rsid w:val="275D6B12"/>
    <w:rsid w:val="275E3638"/>
    <w:rsid w:val="275E45A9"/>
    <w:rsid w:val="275F6D2E"/>
    <w:rsid w:val="27606603"/>
    <w:rsid w:val="276205CD"/>
    <w:rsid w:val="27624AEB"/>
    <w:rsid w:val="276274D0"/>
    <w:rsid w:val="27632DDC"/>
    <w:rsid w:val="27633147"/>
    <w:rsid w:val="27637EA1"/>
    <w:rsid w:val="276420F2"/>
    <w:rsid w:val="27650462"/>
    <w:rsid w:val="27652186"/>
    <w:rsid w:val="27662D25"/>
    <w:rsid w:val="2766554B"/>
    <w:rsid w:val="27677991"/>
    <w:rsid w:val="27687332"/>
    <w:rsid w:val="2769195B"/>
    <w:rsid w:val="27693A21"/>
    <w:rsid w:val="276B73F4"/>
    <w:rsid w:val="276C144B"/>
    <w:rsid w:val="276C5CB3"/>
    <w:rsid w:val="276E51C4"/>
    <w:rsid w:val="276E6F72"/>
    <w:rsid w:val="276F2100"/>
    <w:rsid w:val="276F3B33"/>
    <w:rsid w:val="276F7789"/>
    <w:rsid w:val="277022CD"/>
    <w:rsid w:val="27702CEA"/>
    <w:rsid w:val="277057A2"/>
    <w:rsid w:val="2770758F"/>
    <w:rsid w:val="27710810"/>
    <w:rsid w:val="277125BE"/>
    <w:rsid w:val="2772246B"/>
    <w:rsid w:val="27722FB5"/>
    <w:rsid w:val="277327DA"/>
    <w:rsid w:val="277420AE"/>
    <w:rsid w:val="277434C7"/>
    <w:rsid w:val="27747016"/>
    <w:rsid w:val="27750300"/>
    <w:rsid w:val="2776341F"/>
    <w:rsid w:val="27767BD4"/>
    <w:rsid w:val="2777693C"/>
    <w:rsid w:val="27782976"/>
    <w:rsid w:val="2778394C"/>
    <w:rsid w:val="27786E27"/>
    <w:rsid w:val="27795EC7"/>
    <w:rsid w:val="277A3683"/>
    <w:rsid w:val="277A3B68"/>
    <w:rsid w:val="277B168E"/>
    <w:rsid w:val="277B4F51"/>
    <w:rsid w:val="277B6EE9"/>
    <w:rsid w:val="277D1809"/>
    <w:rsid w:val="277D5EC7"/>
    <w:rsid w:val="277F4CDB"/>
    <w:rsid w:val="2782276C"/>
    <w:rsid w:val="27822A1D"/>
    <w:rsid w:val="27822E10"/>
    <w:rsid w:val="27826579"/>
    <w:rsid w:val="27827BF6"/>
    <w:rsid w:val="27833F3A"/>
    <w:rsid w:val="27837AA9"/>
    <w:rsid w:val="27840543"/>
    <w:rsid w:val="278422F1"/>
    <w:rsid w:val="27846795"/>
    <w:rsid w:val="27847FDB"/>
    <w:rsid w:val="278542BB"/>
    <w:rsid w:val="27865F9D"/>
    <w:rsid w:val="27870033"/>
    <w:rsid w:val="278715C8"/>
    <w:rsid w:val="27871DE1"/>
    <w:rsid w:val="27893275"/>
    <w:rsid w:val="27895B59"/>
    <w:rsid w:val="27897DAC"/>
    <w:rsid w:val="278A18D2"/>
    <w:rsid w:val="278A39C3"/>
    <w:rsid w:val="278B1881"/>
    <w:rsid w:val="278B529D"/>
    <w:rsid w:val="278B7FF6"/>
    <w:rsid w:val="278C389C"/>
    <w:rsid w:val="278D11DB"/>
    <w:rsid w:val="278D3841"/>
    <w:rsid w:val="278D3ED3"/>
    <w:rsid w:val="278D78E5"/>
    <w:rsid w:val="278E0C6E"/>
    <w:rsid w:val="278E3170"/>
    <w:rsid w:val="278E33B8"/>
    <w:rsid w:val="278F0C96"/>
    <w:rsid w:val="278F1023"/>
    <w:rsid w:val="278F1B32"/>
    <w:rsid w:val="278F3C4B"/>
    <w:rsid w:val="278F4242"/>
    <w:rsid w:val="27901724"/>
    <w:rsid w:val="27906EE8"/>
    <w:rsid w:val="27910EB2"/>
    <w:rsid w:val="27912C60"/>
    <w:rsid w:val="27924C09"/>
    <w:rsid w:val="2793296A"/>
    <w:rsid w:val="279360A5"/>
    <w:rsid w:val="279369D8"/>
    <w:rsid w:val="27942DAC"/>
    <w:rsid w:val="279462AC"/>
    <w:rsid w:val="27963AF1"/>
    <w:rsid w:val="279664C8"/>
    <w:rsid w:val="27973840"/>
    <w:rsid w:val="279772B5"/>
    <w:rsid w:val="27977BFA"/>
    <w:rsid w:val="27982240"/>
    <w:rsid w:val="27983FEE"/>
    <w:rsid w:val="27985D9D"/>
    <w:rsid w:val="27992BB1"/>
    <w:rsid w:val="279938C3"/>
    <w:rsid w:val="279A0D31"/>
    <w:rsid w:val="279B588D"/>
    <w:rsid w:val="279C29FA"/>
    <w:rsid w:val="279C5792"/>
    <w:rsid w:val="279C7979"/>
    <w:rsid w:val="279C7D79"/>
    <w:rsid w:val="279D0DF3"/>
    <w:rsid w:val="279D33B3"/>
    <w:rsid w:val="279E0B42"/>
    <w:rsid w:val="279F3713"/>
    <w:rsid w:val="279F537D"/>
    <w:rsid w:val="279F712B"/>
    <w:rsid w:val="27A02EA3"/>
    <w:rsid w:val="27A04C51"/>
    <w:rsid w:val="27A22094"/>
    <w:rsid w:val="27A24AFB"/>
    <w:rsid w:val="27A32323"/>
    <w:rsid w:val="27A40BE5"/>
    <w:rsid w:val="27A42993"/>
    <w:rsid w:val="27A460F5"/>
    <w:rsid w:val="27A504B9"/>
    <w:rsid w:val="27A50A81"/>
    <w:rsid w:val="27A5509E"/>
    <w:rsid w:val="27A6171B"/>
    <w:rsid w:val="27A627D1"/>
    <w:rsid w:val="27A6670B"/>
    <w:rsid w:val="27A73335"/>
    <w:rsid w:val="27A74232"/>
    <w:rsid w:val="27A9199E"/>
    <w:rsid w:val="27A9599F"/>
    <w:rsid w:val="27A961FC"/>
    <w:rsid w:val="27A97396"/>
    <w:rsid w:val="27AA4DAB"/>
    <w:rsid w:val="27AA5AD0"/>
    <w:rsid w:val="27AA6199"/>
    <w:rsid w:val="27AB1CB6"/>
    <w:rsid w:val="27AB3D22"/>
    <w:rsid w:val="27AC5287"/>
    <w:rsid w:val="27AC5A55"/>
    <w:rsid w:val="27AD0495"/>
    <w:rsid w:val="27AD45D6"/>
    <w:rsid w:val="27AE1C6C"/>
    <w:rsid w:val="27AE3812"/>
    <w:rsid w:val="27AE4545"/>
    <w:rsid w:val="27AE55C0"/>
    <w:rsid w:val="27AE736E"/>
    <w:rsid w:val="27AF0600"/>
    <w:rsid w:val="27AF4F9F"/>
    <w:rsid w:val="27B01338"/>
    <w:rsid w:val="27B03E32"/>
    <w:rsid w:val="27B0758A"/>
    <w:rsid w:val="27B106F9"/>
    <w:rsid w:val="27B119B4"/>
    <w:rsid w:val="27B150B0"/>
    <w:rsid w:val="27B15A83"/>
    <w:rsid w:val="27B22717"/>
    <w:rsid w:val="27B32668"/>
    <w:rsid w:val="27B5694E"/>
    <w:rsid w:val="27B626C7"/>
    <w:rsid w:val="27B66EDD"/>
    <w:rsid w:val="27B70919"/>
    <w:rsid w:val="27B71F21"/>
    <w:rsid w:val="27B75C48"/>
    <w:rsid w:val="27B801ED"/>
    <w:rsid w:val="27B81034"/>
    <w:rsid w:val="27B859FB"/>
    <w:rsid w:val="27B9574A"/>
    <w:rsid w:val="27B96E8B"/>
    <w:rsid w:val="27BA3B12"/>
    <w:rsid w:val="27BA55A2"/>
    <w:rsid w:val="27BB0366"/>
    <w:rsid w:val="27BB7CDD"/>
    <w:rsid w:val="27BC6787"/>
    <w:rsid w:val="27BD2558"/>
    <w:rsid w:val="27BD375B"/>
    <w:rsid w:val="27BD3A55"/>
    <w:rsid w:val="27BD65D3"/>
    <w:rsid w:val="27BE3C67"/>
    <w:rsid w:val="27BF3329"/>
    <w:rsid w:val="27BF5A1F"/>
    <w:rsid w:val="27BF72F2"/>
    <w:rsid w:val="27C052F3"/>
    <w:rsid w:val="27C070A1"/>
    <w:rsid w:val="27C1173F"/>
    <w:rsid w:val="27C154A3"/>
    <w:rsid w:val="27C157DB"/>
    <w:rsid w:val="27C17345"/>
    <w:rsid w:val="27C22E19"/>
    <w:rsid w:val="27C25A3A"/>
    <w:rsid w:val="27C267E3"/>
    <w:rsid w:val="27C43035"/>
    <w:rsid w:val="27C43F9E"/>
    <w:rsid w:val="27C60B5C"/>
    <w:rsid w:val="27C6148F"/>
    <w:rsid w:val="27C671FD"/>
    <w:rsid w:val="27C76013"/>
    <w:rsid w:val="27C902C4"/>
    <w:rsid w:val="27C926C1"/>
    <w:rsid w:val="27C9373B"/>
    <w:rsid w:val="27C93F5B"/>
    <w:rsid w:val="27CA2CF9"/>
    <w:rsid w:val="27CA65B2"/>
    <w:rsid w:val="27CB43C4"/>
    <w:rsid w:val="27CB7B5F"/>
    <w:rsid w:val="27CC1CD7"/>
    <w:rsid w:val="27CC1EEA"/>
    <w:rsid w:val="27CC3C98"/>
    <w:rsid w:val="27CD4B99"/>
    <w:rsid w:val="27CE7A10"/>
    <w:rsid w:val="27CF1AAE"/>
    <w:rsid w:val="27CF4657"/>
    <w:rsid w:val="27D003F3"/>
    <w:rsid w:val="27D019DA"/>
    <w:rsid w:val="27D03788"/>
    <w:rsid w:val="27D042B1"/>
    <w:rsid w:val="27D05042"/>
    <w:rsid w:val="27D05536"/>
    <w:rsid w:val="27D065FB"/>
    <w:rsid w:val="27D112AE"/>
    <w:rsid w:val="27D11B30"/>
    <w:rsid w:val="27D239E4"/>
    <w:rsid w:val="27D27A32"/>
    <w:rsid w:val="27D33158"/>
    <w:rsid w:val="27D33279"/>
    <w:rsid w:val="27D33979"/>
    <w:rsid w:val="27D36DD5"/>
    <w:rsid w:val="27D50D9F"/>
    <w:rsid w:val="27D51A6E"/>
    <w:rsid w:val="27D52B4D"/>
    <w:rsid w:val="27D56FF1"/>
    <w:rsid w:val="27D6508F"/>
    <w:rsid w:val="27D663B3"/>
    <w:rsid w:val="27D6664B"/>
    <w:rsid w:val="27D74B17"/>
    <w:rsid w:val="27D75ABA"/>
    <w:rsid w:val="27D75D62"/>
    <w:rsid w:val="27D80E4A"/>
    <w:rsid w:val="27D838A4"/>
    <w:rsid w:val="27D843EB"/>
    <w:rsid w:val="27D868FE"/>
    <w:rsid w:val="27D90D61"/>
    <w:rsid w:val="27D941B0"/>
    <w:rsid w:val="27DA0163"/>
    <w:rsid w:val="27DA0EB7"/>
    <w:rsid w:val="27DA4607"/>
    <w:rsid w:val="27DA61C4"/>
    <w:rsid w:val="27DA63B5"/>
    <w:rsid w:val="27DB3EDB"/>
    <w:rsid w:val="27DC1DA7"/>
    <w:rsid w:val="27DC212D"/>
    <w:rsid w:val="27DC4CB8"/>
    <w:rsid w:val="27DC63A8"/>
    <w:rsid w:val="27DC7BED"/>
    <w:rsid w:val="27DD0BCE"/>
    <w:rsid w:val="27DD40F7"/>
    <w:rsid w:val="27DF1C1D"/>
    <w:rsid w:val="27DF5779"/>
    <w:rsid w:val="27E00990"/>
    <w:rsid w:val="27E014F2"/>
    <w:rsid w:val="27E15995"/>
    <w:rsid w:val="27E17743"/>
    <w:rsid w:val="27E17C03"/>
    <w:rsid w:val="27E234BC"/>
    <w:rsid w:val="27E40FE2"/>
    <w:rsid w:val="27E43E92"/>
    <w:rsid w:val="27E47572"/>
    <w:rsid w:val="27E56902"/>
    <w:rsid w:val="27E6001E"/>
    <w:rsid w:val="27E64D5A"/>
    <w:rsid w:val="27E67338"/>
    <w:rsid w:val="27E707C8"/>
    <w:rsid w:val="27E83399"/>
    <w:rsid w:val="27E91A04"/>
    <w:rsid w:val="27E930E8"/>
    <w:rsid w:val="27E9484A"/>
    <w:rsid w:val="27E94FC7"/>
    <w:rsid w:val="27E95F58"/>
    <w:rsid w:val="27EB2370"/>
    <w:rsid w:val="27EB24A8"/>
    <w:rsid w:val="27EB411E"/>
    <w:rsid w:val="27EC0040"/>
    <w:rsid w:val="27EC31AA"/>
    <w:rsid w:val="27EC60E8"/>
    <w:rsid w:val="27EC7936"/>
    <w:rsid w:val="27ED066B"/>
    <w:rsid w:val="27ED4D04"/>
    <w:rsid w:val="27ED7253"/>
    <w:rsid w:val="27EE2613"/>
    <w:rsid w:val="27EE5ACA"/>
    <w:rsid w:val="27EE7176"/>
    <w:rsid w:val="27EF069B"/>
    <w:rsid w:val="27EF0E94"/>
    <w:rsid w:val="27EF6B9C"/>
    <w:rsid w:val="27F01306"/>
    <w:rsid w:val="27F04B60"/>
    <w:rsid w:val="27F154AD"/>
    <w:rsid w:val="27F31225"/>
    <w:rsid w:val="27F3419F"/>
    <w:rsid w:val="27F37477"/>
    <w:rsid w:val="27F42ED2"/>
    <w:rsid w:val="27F52A30"/>
    <w:rsid w:val="27F52DCC"/>
    <w:rsid w:val="27F54BBE"/>
    <w:rsid w:val="27F618F8"/>
    <w:rsid w:val="27F702BD"/>
    <w:rsid w:val="27F7429F"/>
    <w:rsid w:val="27F751B9"/>
    <w:rsid w:val="27F76F67"/>
    <w:rsid w:val="27F81547"/>
    <w:rsid w:val="27F82CDF"/>
    <w:rsid w:val="27F84A8D"/>
    <w:rsid w:val="27F8683B"/>
    <w:rsid w:val="27F927A6"/>
    <w:rsid w:val="27F95033"/>
    <w:rsid w:val="27F97590"/>
    <w:rsid w:val="27FA0805"/>
    <w:rsid w:val="27FA406D"/>
    <w:rsid w:val="27FA6A57"/>
    <w:rsid w:val="27FB1AA2"/>
    <w:rsid w:val="27FC156C"/>
    <w:rsid w:val="27FC27CF"/>
    <w:rsid w:val="27FC457D"/>
    <w:rsid w:val="27FC5FD6"/>
    <w:rsid w:val="27FD40D2"/>
    <w:rsid w:val="27FE6547"/>
    <w:rsid w:val="27FF406E"/>
    <w:rsid w:val="280008F1"/>
    <w:rsid w:val="28002AB0"/>
    <w:rsid w:val="280068CA"/>
    <w:rsid w:val="2801136F"/>
    <w:rsid w:val="28026AB1"/>
    <w:rsid w:val="280276BA"/>
    <w:rsid w:val="2803474D"/>
    <w:rsid w:val="28037FA1"/>
    <w:rsid w:val="28041684"/>
    <w:rsid w:val="280528C1"/>
    <w:rsid w:val="28054030"/>
    <w:rsid w:val="28056EDC"/>
    <w:rsid w:val="28072F22"/>
    <w:rsid w:val="280736BB"/>
    <w:rsid w:val="28081174"/>
    <w:rsid w:val="280821E0"/>
    <w:rsid w:val="28092D7E"/>
    <w:rsid w:val="280A52A3"/>
    <w:rsid w:val="280B2A12"/>
    <w:rsid w:val="280B35A5"/>
    <w:rsid w:val="280B455B"/>
    <w:rsid w:val="280B47C0"/>
    <w:rsid w:val="280B6663"/>
    <w:rsid w:val="280C09A1"/>
    <w:rsid w:val="280C1053"/>
    <w:rsid w:val="280C400C"/>
    <w:rsid w:val="280C7A22"/>
    <w:rsid w:val="280D678A"/>
    <w:rsid w:val="280E2503"/>
    <w:rsid w:val="280E42B1"/>
    <w:rsid w:val="280F0788"/>
    <w:rsid w:val="2810737D"/>
    <w:rsid w:val="28110042"/>
    <w:rsid w:val="281126A6"/>
    <w:rsid w:val="28123DA1"/>
    <w:rsid w:val="28125B4F"/>
    <w:rsid w:val="281270DF"/>
    <w:rsid w:val="28131A34"/>
    <w:rsid w:val="28131C63"/>
    <w:rsid w:val="28133675"/>
    <w:rsid w:val="28137D47"/>
    <w:rsid w:val="281477E5"/>
    <w:rsid w:val="28153D08"/>
    <w:rsid w:val="28154A9C"/>
    <w:rsid w:val="2815563F"/>
    <w:rsid w:val="281569AA"/>
    <w:rsid w:val="28163820"/>
    <w:rsid w:val="28163846"/>
    <w:rsid w:val="28164F13"/>
    <w:rsid w:val="28174A50"/>
    <w:rsid w:val="28180C8B"/>
    <w:rsid w:val="28186506"/>
    <w:rsid w:val="28187E9E"/>
    <w:rsid w:val="281A2C55"/>
    <w:rsid w:val="281C4C20"/>
    <w:rsid w:val="281D1F4A"/>
    <w:rsid w:val="281D4270"/>
    <w:rsid w:val="281D44F4"/>
    <w:rsid w:val="281F026C"/>
    <w:rsid w:val="281F1861"/>
    <w:rsid w:val="281F48F8"/>
    <w:rsid w:val="282002A1"/>
    <w:rsid w:val="2820363B"/>
    <w:rsid w:val="2821352A"/>
    <w:rsid w:val="28215D92"/>
    <w:rsid w:val="28215EF0"/>
    <w:rsid w:val="28221B0A"/>
    <w:rsid w:val="28245882"/>
    <w:rsid w:val="28247630"/>
    <w:rsid w:val="28253771"/>
    <w:rsid w:val="282615FA"/>
    <w:rsid w:val="282633A8"/>
    <w:rsid w:val="28277120"/>
    <w:rsid w:val="282778FF"/>
    <w:rsid w:val="2828082C"/>
    <w:rsid w:val="28285372"/>
    <w:rsid w:val="282870EB"/>
    <w:rsid w:val="28291CBC"/>
    <w:rsid w:val="2829733C"/>
    <w:rsid w:val="282A0AF2"/>
    <w:rsid w:val="282A5AC6"/>
    <w:rsid w:val="282B4E63"/>
    <w:rsid w:val="282B6C11"/>
    <w:rsid w:val="282C36B4"/>
    <w:rsid w:val="282D0BDB"/>
    <w:rsid w:val="282D2689"/>
    <w:rsid w:val="282D2989"/>
    <w:rsid w:val="282D6EFC"/>
    <w:rsid w:val="282E04AF"/>
    <w:rsid w:val="282E4925"/>
    <w:rsid w:val="282E6701"/>
    <w:rsid w:val="282F46A5"/>
    <w:rsid w:val="282F4953"/>
    <w:rsid w:val="282F60C7"/>
    <w:rsid w:val="28302479"/>
    <w:rsid w:val="28304227"/>
    <w:rsid w:val="28305619"/>
    <w:rsid w:val="2831044E"/>
    <w:rsid w:val="28311BA9"/>
    <w:rsid w:val="283171CB"/>
    <w:rsid w:val="28321BC4"/>
    <w:rsid w:val="28324E39"/>
    <w:rsid w:val="28333D17"/>
    <w:rsid w:val="28335DA3"/>
    <w:rsid w:val="28341F69"/>
    <w:rsid w:val="2834568E"/>
    <w:rsid w:val="2835183D"/>
    <w:rsid w:val="2835726C"/>
    <w:rsid w:val="28357A8F"/>
    <w:rsid w:val="283614D5"/>
    <w:rsid w:val="28366CEA"/>
    <w:rsid w:val="28373807"/>
    <w:rsid w:val="2838132E"/>
    <w:rsid w:val="28385EE8"/>
    <w:rsid w:val="283940D8"/>
    <w:rsid w:val="283A50A6"/>
    <w:rsid w:val="283A6E54"/>
    <w:rsid w:val="283B1A59"/>
    <w:rsid w:val="283B2990"/>
    <w:rsid w:val="283C0E1E"/>
    <w:rsid w:val="283C2BCC"/>
    <w:rsid w:val="283C5561"/>
    <w:rsid w:val="283C7070"/>
    <w:rsid w:val="283D6944"/>
    <w:rsid w:val="283D6A2C"/>
    <w:rsid w:val="283D7D74"/>
    <w:rsid w:val="283E4C16"/>
    <w:rsid w:val="283E520D"/>
    <w:rsid w:val="283E5ACA"/>
    <w:rsid w:val="283E6299"/>
    <w:rsid w:val="283F090E"/>
    <w:rsid w:val="283F4D76"/>
    <w:rsid w:val="28402722"/>
    <w:rsid w:val="2840342E"/>
    <w:rsid w:val="28405DFB"/>
    <w:rsid w:val="284113D3"/>
    <w:rsid w:val="28416434"/>
    <w:rsid w:val="28416802"/>
    <w:rsid w:val="28425D08"/>
    <w:rsid w:val="28427C92"/>
    <w:rsid w:val="284303FE"/>
    <w:rsid w:val="284321AC"/>
    <w:rsid w:val="28433F5A"/>
    <w:rsid w:val="28435D4C"/>
    <w:rsid w:val="28441A80"/>
    <w:rsid w:val="28445F24"/>
    <w:rsid w:val="2844755E"/>
    <w:rsid w:val="28452940"/>
    <w:rsid w:val="28461C9C"/>
    <w:rsid w:val="284657F9"/>
    <w:rsid w:val="28472493"/>
    <w:rsid w:val="28475245"/>
    <w:rsid w:val="28476456"/>
    <w:rsid w:val="28481693"/>
    <w:rsid w:val="28485A15"/>
    <w:rsid w:val="284866D5"/>
    <w:rsid w:val="28494F94"/>
    <w:rsid w:val="28497097"/>
    <w:rsid w:val="284A0B16"/>
    <w:rsid w:val="284A1718"/>
    <w:rsid w:val="284A25A4"/>
    <w:rsid w:val="284A3DB2"/>
    <w:rsid w:val="284B1061"/>
    <w:rsid w:val="284B18E0"/>
    <w:rsid w:val="284B375B"/>
    <w:rsid w:val="284B5738"/>
    <w:rsid w:val="284B72B3"/>
    <w:rsid w:val="284C4266"/>
    <w:rsid w:val="284C441E"/>
    <w:rsid w:val="284D76B0"/>
    <w:rsid w:val="284E0B51"/>
    <w:rsid w:val="284E1DBC"/>
    <w:rsid w:val="284E28FF"/>
    <w:rsid w:val="284E6F8A"/>
    <w:rsid w:val="285048C9"/>
    <w:rsid w:val="28510EC8"/>
    <w:rsid w:val="28516E47"/>
    <w:rsid w:val="285256C3"/>
    <w:rsid w:val="28541D39"/>
    <w:rsid w:val="285443B9"/>
    <w:rsid w:val="28546167"/>
    <w:rsid w:val="28550131"/>
    <w:rsid w:val="28551EE0"/>
    <w:rsid w:val="28573B25"/>
    <w:rsid w:val="28575C58"/>
    <w:rsid w:val="28577A06"/>
    <w:rsid w:val="2858552C"/>
    <w:rsid w:val="285861CA"/>
    <w:rsid w:val="28590E3A"/>
    <w:rsid w:val="2859377E"/>
    <w:rsid w:val="285940BD"/>
    <w:rsid w:val="28595C3D"/>
    <w:rsid w:val="285A2FA5"/>
    <w:rsid w:val="285A74F6"/>
    <w:rsid w:val="285B24CC"/>
    <w:rsid w:val="285B6291"/>
    <w:rsid w:val="285C501C"/>
    <w:rsid w:val="285C5348"/>
    <w:rsid w:val="285E09A1"/>
    <w:rsid w:val="285F2D5E"/>
    <w:rsid w:val="285F4B0C"/>
    <w:rsid w:val="285F68BA"/>
    <w:rsid w:val="285F7519"/>
    <w:rsid w:val="286078D7"/>
    <w:rsid w:val="28611887"/>
    <w:rsid w:val="28612632"/>
    <w:rsid w:val="28613ADE"/>
    <w:rsid w:val="28614014"/>
    <w:rsid w:val="28615DEC"/>
    <w:rsid w:val="28616AD6"/>
    <w:rsid w:val="28620159"/>
    <w:rsid w:val="286345FC"/>
    <w:rsid w:val="286363AA"/>
    <w:rsid w:val="286454FC"/>
    <w:rsid w:val="286501C4"/>
    <w:rsid w:val="28650AED"/>
    <w:rsid w:val="28657D63"/>
    <w:rsid w:val="286640ED"/>
    <w:rsid w:val="2867689A"/>
    <w:rsid w:val="2867720B"/>
    <w:rsid w:val="28677802"/>
    <w:rsid w:val="2868457E"/>
    <w:rsid w:val="2868597F"/>
    <w:rsid w:val="28687E65"/>
    <w:rsid w:val="286903EF"/>
    <w:rsid w:val="286A003F"/>
    <w:rsid w:val="286A05DF"/>
    <w:rsid w:val="286B1940"/>
    <w:rsid w:val="286B1A6F"/>
    <w:rsid w:val="286B34B1"/>
    <w:rsid w:val="286B6886"/>
    <w:rsid w:val="286C5AD0"/>
    <w:rsid w:val="286D5097"/>
    <w:rsid w:val="286D5B95"/>
    <w:rsid w:val="286D7229"/>
    <w:rsid w:val="286E1E2D"/>
    <w:rsid w:val="286E3DC0"/>
    <w:rsid w:val="286E6AFD"/>
    <w:rsid w:val="286E6E54"/>
    <w:rsid w:val="286F2FA1"/>
    <w:rsid w:val="286F595B"/>
    <w:rsid w:val="286F5B1F"/>
    <w:rsid w:val="28700888"/>
    <w:rsid w:val="28700AC7"/>
    <w:rsid w:val="28702875"/>
    <w:rsid w:val="287121F9"/>
    <w:rsid w:val="287158E1"/>
    <w:rsid w:val="28722A91"/>
    <w:rsid w:val="287265EE"/>
    <w:rsid w:val="28732366"/>
    <w:rsid w:val="287516A9"/>
    <w:rsid w:val="28767D4B"/>
    <w:rsid w:val="287700A8"/>
    <w:rsid w:val="287767FF"/>
    <w:rsid w:val="28782CFC"/>
    <w:rsid w:val="28784F23"/>
    <w:rsid w:val="28786C91"/>
    <w:rsid w:val="28793E20"/>
    <w:rsid w:val="2879737F"/>
    <w:rsid w:val="2879797C"/>
    <w:rsid w:val="287A1946"/>
    <w:rsid w:val="287A1D0F"/>
    <w:rsid w:val="287B7B98"/>
    <w:rsid w:val="287C01DC"/>
    <w:rsid w:val="287C746C"/>
    <w:rsid w:val="287D6A55"/>
    <w:rsid w:val="287E08AB"/>
    <w:rsid w:val="287F4DA2"/>
    <w:rsid w:val="28803712"/>
    <w:rsid w:val="288051AE"/>
    <w:rsid w:val="288129C2"/>
    <w:rsid w:val="28812CD5"/>
    <w:rsid w:val="28813C95"/>
    <w:rsid w:val="28814A83"/>
    <w:rsid w:val="288153C1"/>
    <w:rsid w:val="288307FB"/>
    <w:rsid w:val="28831186"/>
    <w:rsid w:val="28832121"/>
    <w:rsid w:val="28842616"/>
    <w:rsid w:val="28844573"/>
    <w:rsid w:val="28852586"/>
    <w:rsid w:val="288528F2"/>
    <w:rsid w:val="288544D0"/>
    <w:rsid w:val="288551E7"/>
    <w:rsid w:val="288602EB"/>
    <w:rsid w:val="28860BAB"/>
    <w:rsid w:val="2886653D"/>
    <w:rsid w:val="28870BE3"/>
    <w:rsid w:val="288822B5"/>
    <w:rsid w:val="28883B68"/>
    <w:rsid w:val="28883EB8"/>
    <w:rsid w:val="28885E11"/>
    <w:rsid w:val="28887BBF"/>
    <w:rsid w:val="28892427"/>
    <w:rsid w:val="288A1A03"/>
    <w:rsid w:val="288A1B89"/>
    <w:rsid w:val="288A4039"/>
    <w:rsid w:val="288B25EB"/>
    <w:rsid w:val="288B500E"/>
    <w:rsid w:val="288B76AF"/>
    <w:rsid w:val="288D078C"/>
    <w:rsid w:val="288D1679"/>
    <w:rsid w:val="288D212C"/>
    <w:rsid w:val="288D4E09"/>
    <w:rsid w:val="288E0BC9"/>
    <w:rsid w:val="288E0E9B"/>
    <w:rsid w:val="288E0FFC"/>
    <w:rsid w:val="288F719F"/>
    <w:rsid w:val="28905AFA"/>
    <w:rsid w:val="28916ACD"/>
    <w:rsid w:val="289305C8"/>
    <w:rsid w:val="28932B31"/>
    <w:rsid w:val="289407DF"/>
    <w:rsid w:val="28940FA3"/>
    <w:rsid w:val="28942A08"/>
    <w:rsid w:val="289478CD"/>
    <w:rsid w:val="289522DC"/>
    <w:rsid w:val="28953A96"/>
    <w:rsid w:val="28956639"/>
    <w:rsid w:val="28963FBA"/>
    <w:rsid w:val="28980A8C"/>
    <w:rsid w:val="28985F92"/>
    <w:rsid w:val="28987C65"/>
    <w:rsid w:val="2899001E"/>
    <w:rsid w:val="289907C9"/>
    <w:rsid w:val="289924DD"/>
    <w:rsid w:val="28996270"/>
    <w:rsid w:val="289A78F2"/>
    <w:rsid w:val="289B1FE8"/>
    <w:rsid w:val="289B3D96"/>
    <w:rsid w:val="289B5A9F"/>
    <w:rsid w:val="289C089D"/>
    <w:rsid w:val="289C346E"/>
    <w:rsid w:val="289E642A"/>
    <w:rsid w:val="289E73E3"/>
    <w:rsid w:val="289F53A4"/>
    <w:rsid w:val="289F7CB9"/>
    <w:rsid w:val="28A01C27"/>
    <w:rsid w:val="28A02911"/>
    <w:rsid w:val="28A032DB"/>
    <w:rsid w:val="28A075FF"/>
    <w:rsid w:val="28A10C81"/>
    <w:rsid w:val="28A1327F"/>
    <w:rsid w:val="28A271D5"/>
    <w:rsid w:val="28A340B7"/>
    <w:rsid w:val="28A349F9"/>
    <w:rsid w:val="28A360BD"/>
    <w:rsid w:val="28A41BFF"/>
    <w:rsid w:val="28A539D9"/>
    <w:rsid w:val="28A569C3"/>
    <w:rsid w:val="28A625A6"/>
    <w:rsid w:val="28A6273B"/>
    <w:rsid w:val="28A644E9"/>
    <w:rsid w:val="28A6726C"/>
    <w:rsid w:val="28A759AF"/>
    <w:rsid w:val="28A80261"/>
    <w:rsid w:val="28A81EEF"/>
    <w:rsid w:val="28A8200F"/>
    <w:rsid w:val="28A95D87"/>
    <w:rsid w:val="28AA222B"/>
    <w:rsid w:val="28AA5A71"/>
    <w:rsid w:val="28AB22D4"/>
    <w:rsid w:val="28AB41A0"/>
    <w:rsid w:val="28AB7D51"/>
    <w:rsid w:val="28AD1D1C"/>
    <w:rsid w:val="28AD43F2"/>
    <w:rsid w:val="28AD5878"/>
    <w:rsid w:val="28AE37C0"/>
    <w:rsid w:val="28AF15F0"/>
    <w:rsid w:val="28AF7842"/>
    <w:rsid w:val="28B017F4"/>
    <w:rsid w:val="28B05368"/>
    <w:rsid w:val="28B22E8E"/>
    <w:rsid w:val="28B27332"/>
    <w:rsid w:val="28B345DB"/>
    <w:rsid w:val="28B409B4"/>
    <w:rsid w:val="28B430AA"/>
    <w:rsid w:val="28B46C06"/>
    <w:rsid w:val="28B51119"/>
    <w:rsid w:val="28B51443"/>
    <w:rsid w:val="28B5297E"/>
    <w:rsid w:val="28B54DB0"/>
    <w:rsid w:val="28B57C1C"/>
    <w:rsid w:val="28B61CBD"/>
    <w:rsid w:val="28B704A4"/>
    <w:rsid w:val="28B7285C"/>
    <w:rsid w:val="28B766F6"/>
    <w:rsid w:val="28B8489E"/>
    <w:rsid w:val="28B87722"/>
    <w:rsid w:val="28BA588B"/>
    <w:rsid w:val="28BB6B95"/>
    <w:rsid w:val="28BB713A"/>
    <w:rsid w:val="28BC1F5F"/>
    <w:rsid w:val="28BD0D4F"/>
    <w:rsid w:val="28BD6C68"/>
    <w:rsid w:val="28BE1833"/>
    <w:rsid w:val="28BE7A85"/>
    <w:rsid w:val="28BE7E3F"/>
    <w:rsid w:val="28BF09DE"/>
    <w:rsid w:val="28BF3E24"/>
    <w:rsid w:val="28BF73A1"/>
    <w:rsid w:val="28C010F8"/>
    <w:rsid w:val="28C02EC2"/>
    <w:rsid w:val="28C0369D"/>
    <w:rsid w:val="28C037FD"/>
    <w:rsid w:val="28C055AB"/>
    <w:rsid w:val="28C07C97"/>
    <w:rsid w:val="28C11127"/>
    <w:rsid w:val="28C11323"/>
    <w:rsid w:val="28C17575"/>
    <w:rsid w:val="28C36E49"/>
    <w:rsid w:val="28C411E9"/>
    <w:rsid w:val="28C50E13"/>
    <w:rsid w:val="28C5291D"/>
    <w:rsid w:val="28C54A49"/>
    <w:rsid w:val="28C54C0D"/>
    <w:rsid w:val="28C606E7"/>
    <w:rsid w:val="28C66C4C"/>
    <w:rsid w:val="28C80903"/>
    <w:rsid w:val="28C826B1"/>
    <w:rsid w:val="28C96BF9"/>
    <w:rsid w:val="28CB21A2"/>
    <w:rsid w:val="28CC03F4"/>
    <w:rsid w:val="28CC3B53"/>
    <w:rsid w:val="28CC797B"/>
    <w:rsid w:val="28CF4AA8"/>
    <w:rsid w:val="28CF4BBB"/>
    <w:rsid w:val="28CF54BD"/>
    <w:rsid w:val="28D10C1C"/>
    <w:rsid w:val="28D10D83"/>
    <w:rsid w:val="28D15A0A"/>
    <w:rsid w:val="28D3353C"/>
    <w:rsid w:val="28D44CE7"/>
    <w:rsid w:val="28D472A8"/>
    <w:rsid w:val="28D4759D"/>
    <w:rsid w:val="28D50460"/>
    <w:rsid w:val="28D56B7C"/>
    <w:rsid w:val="28D61EBD"/>
    <w:rsid w:val="28D63020"/>
    <w:rsid w:val="28D70B46"/>
    <w:rsid w:val="28D728F5"/>
    <w:rsid w:val="28D74A8E"/>
    <w:rsid w:val="28D8189E"/>
    <w:rsid w:val="28D84447"/>
    <w:rsid w:val="28D85F1E"/>
    <w:rsid w:val="28D92B11"/>
    <w:rsid w:val="28D9666D"/>
    <w:rsid w:val="28DB23E5"/>
    <w:rsid w:val="28DC0A2F"/>
    <w:rsid w:val="28DC386E"/>
    <w:rsid w:val="28DC43AF"/>
    <w:rsid w:val="28DD71BF"/>
    <w:rsid w:val="28DE0127"/>
    <w:rsid w:val="28DE036B"/>
    <w:rsid w:val="28DE347B"/>
    <w:rsid w:val="28DE5933"/>
    <w:rsid w:val="28DE7285"/>
    <w:rsid w:val="28DF17A9"/>
    <w:rsid w:val="28E03E9F"/>
    <w:rsid w:val="28E10711"/>
    <w:rsid w:val="28E13CDA"/>
    <w:rsid w:val="28E15521"/>
    <w:rsid w:val="28E211F4"/>
    <w:rsid w:val="28E219C5"/>
    <w:rsid w:val="28E27535"/>
    <w:rsid w:val="28E3573D"/>
    <w:rsid w:val="28E374EB"/>
    <w:rsid w:val="28E47092"/>
    <w:rsid w:val="28E514B5"/>
    <w:rsid w:val="28E5317D"/>
    <w:rsid w:val="28E55011"/>
    <w:rsid w:val="28E567E9"/>
    <w:rsid w:val="28E57C8A"/>
    <w:rsid w:val="28E60D8A"/>
    <w:rsid w:val="28E619B2"/>
    <w:rsid w:val="28E62B38"/>
    <w:rsid w:val="28E74583"/>
    <w:rsid w:val="28E7613D"/>
    <w:rsid w:val="28E82D54"/>
    <w:rsid w:val="28E868B0"/>
    <w:rsid w:val="28E96C54"/>
    <w:rsid w:val="28EA087A"/>
    <w:rsid w:val="28EA2628"/>
    <w:rsid w:val="28EB0C2F"/>
    <w:rsid w:val="28EB0FF7"/>
    <w:rsid w:val="28EB3171"/>
    <w:rsid w:val="28EC2844"/>
    <w:rsid w:val="28EC5BE2"/>
    <w:rsid w:val="28ED2118"/>
    <w:rsid w:val="28ED3EC6"/>
    <w:rsid w:val="28ED400A"/>
    <w:rsid w:val="28ED4528"/>
    <w:rsid w:val="28EF0E83"/>
    <w:rsid w:val="28EF1630"/>
    <w:rsid w:val="28EF40E2"/>
    <w:rsid w:val="28EF7C3E"/>
    <w:rsid w:val="28F05635"/>
    <w:rsid w:val="28F05CD3"/>
    <w:rsid w:val="28F164A1"/>
    <w:rsid w:val="28F17E5A"/>
    <w:rsid w:val="28F20E8B"/>
    <w:rsid w:val="28F214DC"/>
    <w:rsid w:val="28F22A1C"/>
    <w:rsid w:val="28F26B0E"/>
    <w:rsid w:val="28F33BD2"/>
    <w:rsid w:val="28F33FB6"/>
    <w:rsid w:val="28F36425"/>
    <w:rsid w:val="28F40963"/>
    <w:rsid w:val="28F42E82"/>
    <w:rsid w:val="28F434A6"/>
    <w:rsid w:val="28F60FCD"/>
    <w:rsid w:val="28F63A1B"/>
    <w:rsid w:val="28F65471"/>
    <w:rsid w:val="28F74D45"/>
    <w:rsid w:val="28F819E1"/>
    <w:rsid w:val="28F90ABD"/>
    <w:rsid w:val="28FA5252"/>
    <w:rsid w:val="28FB32DD"/>
    <w:rsid w:val="28FB3648"/>
    <w:rsid w:val="28FB4835"/>
    <w:rsid w:val="28FC20F1"/>
    <w:rsid w:val="28FC235B"/>
    <w:rsid w:val="28FE280A"/>
    <w:rsid w:val="28FE6678"/>
    <w:rsid w:val="28FF61A3"/>
    <w:rsid w:val="29002B47"/>
    <w:rsid w:val="29003BF9"/>
    <w:rsid w:val="2900512A"/>
    <w:rsid w:val="29015BC3"/>
    <w:rsid w:val="2903193C"/>
    <w:rsid w:val="29053906"/>
    <w:rsid w:val="2907571B"/>
    <w:rsid w:val="290803BE"/>
    <w:rsid w:val="29080D00"/>
    <w:rsid w:val="290862B9"/>
    <w:rsid w:val="29086F52"/>
    <w:rsid w:val="290874A2"/>
    <w:rsid w:val="29094D4C"/>
    <w:rsid w:val="29095FDB"/>
    <w:rsid w:val="290A0F1C"/>
    <w:rsid w:val="290A4A78"/>
    <w:rsid w:val="290B259E"/>
    <w:rsid w:val="290B2EB5"/>
    <w:rsid w:val="290C07F0"/>
    <w:rsid w:val="290C15E6"/>
    <w:rsid w:val="290C1785"/>
    <w:rsid w:val="290C194A"/>
    <w:rsid w:val="290C34A9"/>
    <w:rsid w:val="290C3C1A"/>
    <w:rsid w:val="290D27BA"/>
    <w:rsid w:val="290D4568"/>
    <w:rsid w:val="290D6316"/>
    <w:rsid w:val="290E0BBE"/>
    <w:rsid w:val="290F4D53"/>
    <w:rsid w:val="291122AA"/>
    <w:rsid w:val="29116B08"/>
    <w:rsid w:val="29120635"/>
    <w:rsid w:val="29121B7F"/>
    <w:rsid w:val="291365F5"/>
    <w:rsid w:val="291458F7"/>
    <w:rsid w:val="291607CD"/>
    <w:rsid w:val="29161BBA"/>
    <w:rsid w:val="2916341D"/>
    <w:rsid w:val="291678C1"/>
    <w:rsid w:val="291833B1"/>
    <w:rsid w:val="29183639"/>
    <w:rsid w:val="291840DF"/>
    <w:rsid w:val="291853E7"/>
    <w:rsid w:val="29192782"/>
    <w:rsid w:val="291A79D3"/>
    <w:rsid w:val="291B4ED7"/>
    <w:rsid w:val="291B6C85"/>
    <w:rsid w:val="291C3D7C"/>
    <w:rsid w:val="291C47AB"/>
    <w:rsid w:val="291D0C4F"/>
    <w:rsid w:val="291D29FD"/>
    <w:rsid w:val="291E06B3"/>
    <w:rsid w:val="291E2574"/>
    <w:rsid w:val="2920116D"/>
    <w:rsid w:val="29202FD3"/>
    <w:rsid w:val="2920429C"/>
    <w:rsid w:val="29206EB8"/>
    <w:rsid w:val="29215BA4"/>
    <w:rsid w:val="29220551"/>
    <w:rsid w:val="29231FDE"/>
    <w:rsid w:val="292320BB"/>
    <w:rsid w:val="29244525"/>
    <w:rsid w:val="292518B2"/>
    <w:rsid w:val="292535BA"/>
    <w:rsid w:val="29253660"/>
    <w:rsid w:val="292540AD"/>
    <w:rsid w:val="292634B6"/>
    <w:rsid w:val="29263A7E"/>
    <w:rsid w:val="29264159"/>
    <w:rsid w:val="29272553"/>
    <w:rsid w:val="292726DD"/>
    <w:rsid w:val="29272709"/>
    <w:rsid w:val="2927387C"/>
    <w:rsid w:val="2927562A"/>
    <w:rsid w:val="29275E96"/>
    <w:rsid w:val="292813A2"/>
    <w:rsid w:val="292957C6"/>
    <w:rsid w:val="292A336C"/>
    <w:rsid w:val="292A6C56"/>
    <w:rsid w:val="292C0E92"/>
    <w:rsid w:val="292C16BA"/>
    <w:rsid w:val="292C2C40"/>
    <w:rsid w:val="292D0766"/>
    <w:rsid w:val="292D4147"/>
    <w:rsid w:val="292D69B8"/>
    <w:rsid w:val="292E148C"/>
    <w:rsid w:val="292E4C0A"/>
    <w:rsid w:val="292E55EE"/>
    <w:rsid w:val="292F0982"/>
    <w:rsid w:val="292F2731"/>
    <w:rsid w:val="292F2BC0"/>
    <w:rsid w:val="292F44DF"/>
    <w:rsid w:val="29310257"/>
    <w:rsid w:val="2931192E"/>
    <w:rsid w:val="29321A81"/>
    <w:rsid w:val="29324F91"/>
    <w:rsid w:val="29325D7D"/>
    <w:rsid w:val="2933596C"/>
    <w:rsid w:val="293366CF"/>
    <w:rsid w:val="29345F99"/>
    <w:rsid w:val="29354323"/>
    <w:rsid w:val="29355772"/>
    <w:rsid w:val="29361C90"/>
    <w:rsid w:val="29363ABF"/>
    <w:rsid w:val="2936586D"/>
    <w:rsid w:val="293715E5"/>
    <w:rsid w:val="29373393"/>
    <w:rsid w:val="2938125A"/>
    <w:rsid w:val="2938171F"/>
    <w:rsid w:val="2939123B"/>
    <w:rsid w:val="293935AF"/>
    <w:rsid w:val="2939535D"/>
    <w:rsid w:val="293976BE"/>
    <w:rsid w:val="293B33E1"/>
    <w:rsid w:val="293B4D05"/>
    <w:rsid w:val="293B7327"/>
    <w:rsid w:val="293D4BA3"/>
    <w:rsid w:val="293D4E4D"/>
    <w:rsid w:val="293D5999"/>
    <w:rsid w:val="293D6BFB"/>
    <w:rsid w:val="293F6D86"/>
    <w:rsid w:val="2940049A"/>
    <w:rsid w:val="2940493E"/>
    <w:rsid w:val="294066EC"/>
    <w:rsid w:val="29410CDA"/>
    <w:rsid w:val="294208E8"/>
    <w:rsid w:val="29420A80"/>
    <w:rsid w:val="29421067"/>
    <w:rsid w:val="29422464"/>
    <w:rsid w:val="294244B5"/>
    <w:rsid w:val="294361DC"/>
    <w:rsid w:val="2943636D"/>
    <w:rsid w:val="29442CB4"/>
    <w:rsid w:val="2944343A"/>
    <w:rsid w:val="29451F54"/>
    <w:rsid w:val="29452074"/>
    <w:rsid w:val="29454C43"/>
    <w:rsid w:val="29471C5E"/>
    <w:rsid w:val="29473412"/>
    <w:rsid w:val="2947781B"/>
    <w:rsid w:val="294813D7"/>
    <w:rsid w:val="29485468"/>
    <w:rsid w:val="29485CC9"/>
    <w:rsid w:val="29486861"/>
    <w:rsid w:val="29487345"/>
    <w:rsid w:val="294948CA"/>
    <w:rsid w:val="294A30C6"/>
    <w:rsid w:val="294A6240"/>
    <w:rsid w:val="294B502C"/>
    <w:rsid w:val="294B5CE5"/>
    <w:rsid w:val="294C0B60"/>
    <w:rsid w:val="294C32E2"/>
    <w:rsid w:val="294C4345"/>
    <w:rsid w:val="294C6E3F"/>
    <w:rsid w:val="294D1FF0"/>
    <w:rsid w:val="294D2BB7"/>
    <w:rsid w:val="294E0E09"/>
    <w:rsid w:val="294E4C23"/>
    <w:rsid w:val="294E538A"/>
    <w:rsid w:val="294F0BA7"/>
    <w:rsid w:val="294F0C22"/>
    <w:rsid w:val="294F2DD3"/>
    <w:rsid w:val="294F3AE1"/>
    <w:rsid w:val="294F43B2"/>
    <w:rsid w:val="294F4776"/>
    <w:rsid w:val="29503D65"/>
    <w:rsid w:val="295108F9"/>
    <w:rsid w:val="29510D97"/>
    <w:rsid w:val="29514455"/>
    <w:rsid w:val="295201CD"/>
    <w:rsid w:val="295403E9"/>
    <w:rsid w:val="29563A48"/>
    <w:rsid w:val="29565F0F"/>
    <w:rsid w:val="295705D9"/>
    <w:rsid w:val="2957243F"/>
    <w:rsid w:val="295757E3"/>
    <w:rsid w:val="29581C87"/>
    <w:rsid w:val="29581F09"/>
    <w:rsid w:val="29586EEE"/>
    <w:rsid w:val="29586F2B"/>
    <w:rsid w:val="29587103"/>
    <w:rsid w:val="29587865"/>
    <w:rsid w:val="29595666"/>
    <w:rsid w:val="295977AD"/>
    <w:rsid w:val="295B1778"/>
    <w:rsid w:val="295B3526"/>
    <w:rsid w:val="295B52D4"/>
    <w:rsid w:val="295B5A84"/>
    <w:rsid w:val="295C2DFA"/>
    <w:rsid w:val="295D4718"/>
    <w:rsid w:val="295D49CD"/>
    <w:rsid w:val="295D54F0"/>
    <w:rsid w:val="295D729E"/>
    <w:rsid w:val="295E2F75"/>
    <w:rsid w:val="295E3016"/>
    <w:rsid w:val="295E5B46"/>
    <w:rsid w:val="295F4405"/>
    <w:rsid w:val="29606D8E"/>
    <w:rsid w:val="296115C3"/>
    <w:rsid w:val="29626662"/>
    <w:rsid w:val="296419B8"/>
    <w:rsid w:val="2964687E"/>
    <w:rsid w:val="29657F00"/>
    <w:rsid w:val="29673C78"/>
    <w:rsid w:val="296740C8"/>
    <w:rsid w:val="29684C67"/>
    <w:rsid w:val="296866D6"/>
    <w:rsid w:val="2968791A"/>
    <w:rsid w:val="29693E94"/>
    <w:rsid w:val="296948CA"/>
    <w:rsid w:val="296A1046"/>
    <w:rsid w:val="296A19BB"/>
    <w:rsid w:val="296A3BD5"/>
    <w:rsid w:val="296A40E9"/>
    <w:rsid w:val="296A782E"/>
    <w:rsid w:val="296B4718"/>
    <w:rsid w:val="296B6D7E"/>
    <w:rsid w:val="296C4D0F"/>
    <w:rsid w:val="296C74E1"/>
    <w:rsid w:val="296D15DA"/>
    <w:rsid w:val="296D5B53"/>
    <w:rsid w:val="296E7010"/>
    <w:rsid w:val="296F6FD1"/>
    <w:rsid w:val="29703948"/>
    <w:rsid w:val="29710557"/>
    <w:rsid w:val="2971194A"/>
    <w:rsid w:val="29714AF7"/>
    <w:rsid w:val="297201AB"/>
    <w:rsid w:val="2972287B"/>
    <w:rsid w:val="29725EEF"/>
    <w:rsid w:val="29743DA4"/>
    <w:rsid w:val="297445E7"/>
    <w:rsid w:val="297474C8"/>
    <w:rsid w:val="29752839"/>
    <w:rsid w:val="29756479"/>
    <w:rsid w:val="2976035F"/>
    <w:rsid w:val="2976210D"/>
    <w:rsid w:val="29763DCD"/>
    <w:rsid w:val="29763EBB"/>
    <w:rsid w:val="297671DC"/>
    <w:rsid w:val="29780915"/>
    <w:rsid w:val="29785E86"/>
    <w:rsid w:val="2978652E"/>
    <w:rsid w:val="29791BFE"/>
    <w:rsid w:val="297939AC"/>
    <w:rsid w:val="297A47FC"/>
    <w:rsid w:val="297B506E"/>
    <w:rsid w:val="297C1EC3"/>
    <w:rsid w:val="297C2079"/>
    <w:rsid w:val="297C23E4"/>
    <w:rsid w:val="297C578D"/>
    <w:rsid w:val="297D17ED"/>
    <w:rsid w:val="297D349C"/>
    <w:rsid w:val="297D524A"/>
    <w:rsid w:val="297E01B4"/>
    <w:rsid w:val="297E051F"/>
    <w:rsid w:val="297E0FC2"/>
    <w:rsid w:val="297E255F"/>
    <w:rsid w:val="297F7B45"/>
    <w:rsid w:val="29807A50"/>
    <w:rsid w:val="29815ABE"/>
    <w:rsid w:val="29820AB2"/>
    <w:rsid w:val="29822869"/>
    <w:rsid w:val="29826D04"/>
    <w:rsid w:val="29833800"/>
    <w:rsid w:val="298365D8"/>
    <w:rsid w:val="298567F4"/>
    <w:rsid w:val="2986113F"/>
    <w:rsid w:val="29874881"/>
    <w:rsid w:val="298760C9"/>
    <w:rsid w:val="29883BEF"/>
    <w:rsid w:val="29890093"/>
    <w:rsid w:val="29891E41"/>
    <w:rsid w:val="298A1BD8"/>
    <w:rsid w:val="298A3E0B"/>
    <w:rsid w:val="298A5BB9"/>
    <w:rsid w:val="298B1F92"/>
    <w:rsid w:val="298B4335"/>
    <w:rsid w:val="298C38F4"/>
    <w:rsid w:val="298D0E15"/>
    <w:rsid w:val="298D2929"/>
    <w:rsid w:val="298E32BC"/>
    <w:rsid w:val="298E38FB"/>
    <w:rsid w:val="299023C6"/>
    <w:rsid w:val="2990258A"/>
    <w:rsid w:val="29904184"/>
    <w:rsid w:val="29915199"/>
    <w:rsid w:val="29916F47"/>
    <w:rsid w:val="29932CBF"/>
    <w:rsid w:val="29933E32"/>
    <w:rsid w:val="2995056D"/>
    <w:rsid w:val="29954C89"/>
    <w:rsid w:val="299627B0"/>
    <w:rsid w:val="299704E8"/>
    <w:rsid w:val="29977578"/>
    <w:rsid w:val="29977B6E"/>
    <w:rsid w:val="299802D6"/>
    <w:rsid w:val="2999354F"/>
    <w:rsid w:val="29995DFC"/>
    <w:rsid w:val="29997167"/>
    <w:rsid w:val="299A1A87"/>
    <w:rsid w:val="299A42D5"/>
    <w:rsid w:val="299A59FA"/>
    <w:rsid w:val="299A5BB0"/>
    <w:rsid w:val="299B2C88"/>
    <w:rsid w:val="299B4658"/>
    <w:rsid w:val="299B4A98"/>
    <w:rsid w:val="299B6018"/>
    <w:rsid w:val="299C3545"/>
    <w:rsid w:val="299D266E"/>
    <w:rsid w:val="299D2868"/>
    <w:rsid w:val="299D3B3E"/>
    <w:rsid w:val="299D6F78"/>
    <w:rsid w:val="299E6507"/>
    <w:rsid w:val="299F1664"/>
    <w:rsid w:val="299F21F8"/>
    <w:rsid w:val="299F78B6"/>
    <w:rsid w:val="29A0362E"/>
    <w:rsid w:val="29A050B9"/>
    <w:rsid w:val="29A0718A"/>
    <w:rsid w:val="29A21154"/>
    <w:rsid w:val="29A22F02"/>
    <w:rsid w:val="29A25A2F"/>
    <w:rsid w:val="29A41709"/>
    <w:rsid w:val="29A44ECD"/>
    <w:rsid w:val="29A46C7B"/>
    <w:rsid w:val="29A50C45"/>
    <w:rsid w:val="29A520E4"/>
    <w:rsid w:val="29A529F3"/>
    <w:rsid w:val="29A72A19"/>
    <w:rsid w:val="29A72BFB"/>
    <w:rsid w:val="29A80A63"/>
    <w:rsid w:val="29A8113A"/>
    <w:rsid w:val="29A812EF"/>
    <w:rsid w:val="29A901D7"/>
    <w:rsid w:val="29A90543"/>
    <w:rsid w:val="29A924E3"/>
    <w:rsid w:val="29A94291"/>
    <w:rsid w:val="29A97B01"/>
    <w:rsid w:val="29AC3D81"/>
    <w:rsid w:val="29AE7EFD"/>
    <w:rsid w:val="29AF561F"/>
    <w:rsid w:val="29B11398"/>
    <w:rsid w:val="29B13146"/>
    <w:rsid w:val="29B3119E"/>
    <w:rsid w:val="29B33362"/>
    <w:rsid w:val="29B338F4"/>
    <w:rsid w:val="29B35110"/>
    <w:rsid w:val="29B35277"/>
    <w:rsid w:val="29B36EBE"/>
    <w:rsid w:val="29B42C36"/>
    <w:rsid w:val="29B45DA1"/>
    <w:rsid w:val="29B47331"/>
    <w:rsid w:val="29B50E88"/>
    <w:rsid w:val="29B63C82"/>
    <w:rsid w:val="29B669AE"/>
    <w:rsid w:val="29B7117D"/>
    <w:rsid w:val="29B716F9"/>
    <w:rsid w:val="29B726F0"/>
    <w:rsid w:val="29B83155"/>
    <w:rsid w:val="29BA46F0"/>
    <w:rsid w:val="29BA5973"/>
    <w:rsid w:val="29BA649E"/>
    <w:rsid w:val="29BB2216"/>
    <w:rsid w:val="29BB246E"/>
    <w:rsid w:val="29BB5D21"/>
    <w:rsid w:val="29BB6B4E"/>
    <w:rsid w:val="29BB76FC"/>
    <w:rsid w:val="29BD1AEA"/>
    <w:rsid w:val="29BE726D"/>
    <w:rsid w:val="29BF1D06"/>
    <w:rsid w:val="29BF2F7B"/>
    <w:rsid w:val="29C02312"/>
    <w:rsid w:val="29C03139"/>
    <w:rsid w:val="29C15A7E"/>
    <w:rsid w:val="29C235A5"/>
    <w:rsid w:val="29C25353"/>
    <w:rsid w:val="29C27101"/>
    <w:rsid w:val="29C322B3"/>
    <w:rsid w:val="29C323D4"/>
    <w:rsid w:val="29C410CB"/>
    <w:rsid w:val="29C4112C"/>
    <w:rsid w:val="29C42123"/>
    <w:rsid w:val="29C42E79"/>
    <w:rsid w:val="29C44EA5"/>
    <w:rsid w:val="29C51833"/>
    <w:rsid w:val="29C54E43"/>
    <w:rsid w:val="29C55D89"/>
    <w:rsid w:val="29C55F3E"/>
    <w:rsid w:val="29C561AD"/>
    <w:rsid w:val="29C60D55"/>
    <w:rsid w:val="29C652E0"/>
    <w:rsid w:val="29C67614"/>
    <w:rsid w:val="29C72969"/>
    <w:rsid w:val="29C7297D"/>
    <w:rsid w:val="29C76E0D"/>
    <w:rsid w:val="29C81F34"/>
    <w:rsid w:val="29C84B91"/>
    <w:rsid w:val="29C9048F"/>
    <w:rsid w:val="29C9356B"/>
    <w:rsid w:val="29CA0B66"/>
    <w:rsid w:val="29CA2459"/>
    <w:rsid w:val="29CA4159"/>
    <w:rsid w:val="29CB06AB"/>
    <w:rsid w:val="29CB0A4B"/>
    <w:rsid w:val="29CD5F2C"/>
    <w:rsid w:val="29CD7774"/>
    <w:rsid w:val="29CE019B"/>
    <w:rsid w:val="29CE1F49"/>
    <w:rsid w:val="29CE6E51"/>
    <w:rsid w:val="29CF7236"/>
    <w:rsid w:val="29D05CC2"/>
    <w:rsid w:val="29D07A70"/>
    <w:rsid w:val="29D15596"/>
    <w:rsid w:val="29D230D8"/>
    <w:rsid w:val="29D25BB7"/>
    <w:rsid w:val="29D3130E"/>
    <w:rsid w:val="29D31DC1"/>
    <w:rsid w:val="29D35C27"/>
    <w:rsid w:val="29D47298"/>
    <w:rsid w:val="29D532D8"/>
    <w:rsid w:val="29D55086"/>
    <w:rsid w:val="29D55C79"/>
    <w:rsid w:val="29D62BAC"/>
    <w:rsid w:val="29D7197B"/>
    <w:rsid w:val="29D739EF"/>
    <w:rsid w:val="29D7798E"/>
    <w:rsid w:val="29D84B76"/>
    <w:rsid w:val="29D86924"/>
    <w:rsid w:val="29D930A2"/>
    <w:rsid w:val="29DA269C"/>
    <w:rsid w:val="29DB01C2"/>
    <w:rsid w:val="29DC52B9"/>
    <w:rsid w:val="29DD440B"/>
    <w:rsid w:val="29DE046C"/>
    <w:rsid w:val="29DE5060"/>
    <w:rsid w:val="29DF4157"/>
    <w:rsid w:val="29DF5F05"/>
    <w:rsid w:val="29DF7CB3"/>
    <w:rsid w:val="29E02228"/>
    <w:rsid w:val="29E17ECF"/>
    <w:rsid w:val="29E21551"/>
    <w:rsid w:val="29E22B8D"/>
    <w:rsid w:val="29E26DED"/>
    <w:rsid w:val="29E277A3"/>
    <w:rsid w:val="29E311E9"/>
    <w:rsid w:val="29E325E0"/>
    <w:rsid w:val="29E4043D"/>
    <w:rsid w:val="29E4351B"/>
    <w:rsid w:val="29E51041"/>
    <w:rsid w:val="29E52B9D"/>
    <w:rsid w:val="29E60AA3"/>
    <w:rsid w:val="29E62217"/>
    <w:rsid w:val="29E67293"/>
    <w:rsid w:val="29E72BF1"/>
    <w:rsid w:val="29E74DB9"/>
    <w:rsid w:val="29E76B67"/>
    <w:rsid w:val="29E91431"/>
    <w:rsid w:val="29E91A30"/>
    <w:rsid w:val="29E928DF"/>
    <w:rsid w:val="29E9432E"/>
    <w:rsid w:val="29E975A9"/>
    <w:rsid w:val="29EA31D2"/>
    <w:rsid w:val="29EA41E0"/>
    <w:rsid w:val="29EA6657"/>
    <w:rsid w:val="29EB065A"/>
    <w:rsid w:val="29EB523B"/>
    <w:rsid w:val="29EB56E3"/>
    <w:rsid w:val="29EC23D0"/>
    <w:rsid w:val="29ED2585"/>
    <w:rsid w:val="29EE439A"/>
    <w:rsid w:val="29EE6148"/>
    <w:rsid w:val="29EF6820"/>
    <w:rsid w:val="29F067FC"/>
    <w:rsid w:val="29F13D11"/>
    <w:rsid w:val="29F1409D"/>
    <w:rsid w:val="29F179E6"/>
    <w:rsid w:val="29F237BD"/>
    <w:rsid w:val="29F334BA"/>
    <w:rsid w:val="29F41202"/>
    <w:rsid w:val="29F43A2A"/>
    <w:rsid w:val="29F501FA"/>
    <w:rsid w:val="29F51284"/>
    <w:rsid w:val="29F55728"/>
    <w:rsid w:val="29F574D6"/>
    <w:rsid w:val="29F61865"/>
    <w:rsid w:val="29F6324E"/>
    <w:rsid w:val="29F63C06"/>
    <w:rsid w:val="29F666F3"/>
    <w:rsid w:val="29F70520"/>
    <w:rsid w:val="29F714A0"/>
    <w:rsid w:val="29F80D74"/>
    <w:rsid w:val="29F85218"/>
    <w:rsid w:val="29F95074"/>
    <w:rsid w:val="29FA0386"/>
    <w:rsid w:val="29FA0F90"/>
    <w:rsid w:val="29FA4AED"/>
    <w:rsid w:val="29FA6504"/>
    <w:rsid w:val="29FA689B"/>
    <w:rsid w:val="29FB0BB3"/>
    <w:rsid w:val="29FB11D2"/>
    <w:rsid w:val="29FB34FA"/>
    <w:rsid w:val="29FB5B09"/>
    <w:rsid w:val="29FB7994"/>
    <w:rsid w:val="29FC6AB7"/>
    <w:rsid w:val="29FC6C33"/>
    <w:rsid w:val="29FD0CD2"/>
    <w:rsid w:val="29FD282F"/>
    <w:rsid w:val="29FD39F5"/>
    <w:rsid w:val="29FD3A62"/>
    <w:rsid w:val="29FD60FD"/>
    <w:rsid w:val="29FD638B"/>
    <w:rsid w:val="29FF2103"/>
    <w:rsid w:val="29FF6315"/>
    <w:rsid w:val="29FF65A7"/>
    <w:rsid w:val="29FF72BC"/>
    <w:rsid w:val="2A0066C4"/>
    <w:rsid w:val="2A006D56"/>
    <w:rsid w:val="2A0077A5"/>
    <w:rsid w:val="2A007C29"/>
    <w:rsid w:val="2A007D3D"/>
    <w:rsid w:val="2A0239A1"/>
    <w:rsid w:val="2A027E45"/>
    <w:rsid w:val="2A040CF7"/>
    <w:rsid w:val="2A04596B"/>
    <w:rsid w:val="2A064AA7"/>
    <w:rsid w:val="2A07200A"/>
    <w:rsid w:val="2A077678"/>
    <w:rsid w:val="2A08069A"/>
    <w:rsid w:val="2A08153D"/>
    <w:rsid w:val="2A08288A"/>
    <w:rsid w:val="2A0911D4"/>
    <w:rsid w:val="2A094C83"/>
    <w:rsid w:val="2A0A5FF9"/>
    <w:rsid w:val="2A0A60EA"/>
    <w:rsid w:val="2A0B7489"/>
    <w:rsid w:val="2A0C2A72"/>
    <w:rsid w:val="2A0C38C4"/>
    <w:rsid w:val="2A0C5D48"/>
    <w:rsid w:val="2A0C793E"/>
    <w:rsid w:val="2A0E0598"/>
    <w:rsid w:val="2A0E0B36"/>
    <w:rsid w:val="2A0E5BDE"/>
    <w:rsid w:val="2A0E67EA"/>
    <w:rsid w:val="2A0F5E0A"/>
    <w:rsid w:val="2A102562"/>
    <w:rsid w:val="2A1060BE"/>
    <w:rsid w:val="2A111BBA"/>
    <w:rsid w:val="2A111E36"/>
    <w:rsid w:val="2A11650B"/>
    <w:rsid w:val="2A122B23"/>
    <w:rsid w:val="2A12304A"/>
    <w:rsid w:val="2A124F77"/>
    <w:rsid w:val="2A13795C"/>
    <w:rsid w:val="2A1470AB"/>
    <w:rsid w:val="2A15053B"/>
    <w:rsid w:val="2A17569E"/>
    <w:rsid w:val="2A1758D5"/>
    <w:rsid w:val="2A1969CA"/>
    <w:rsid w:val="2A197757"/>
    <w:rsid w:val="2A1A518F"/>
    <w:rsid w:val="2A1B43AD"/>
    <w:rsid w:val="2A1B45E1"/>
    <w:rsid w:val="2A1C040D"/>
    <w:rsid w:val="2A1C0F07"/>
    <w:rsid w:val="2A1C2CB5"/>
    <w:rsid w:val="2A1D07DB"/>
    <w:rsid w:val="2A1D6747"/>
    <w:rsid w:val="2A1D6A2D"/>
    <w:rsid w:val="2A1E2D2D"/>
    <w:rsid w:val="2A1F27A5"/>
    <w:rsid w:val="2A1F439F"/>
    <w:rsid w:val="2A1F4553"/>
    <w:rsid w:val="2A1F4BAB"/>
    <w:rsid w:val="2A1F75EA"/>
    <w:rsid w:val="2A202079"/>
    <w:rsid w:val="2A204F8D"/>
    <w:rsid w:val="2A21310B"/>
    <w:rsid w:val="2A21776B"/>
    <w:rsid w:val="2A217938"/>
    <w:rsid w:val="2A2212A1"/>
    <w:rsid w:val="2A222295"/>
    <w:rsid w:val="2A2225EE"/>
    <w:rsid w:val="2A2305AF"/>
    <w:rsid w:val="2A2342F0"/>
    <w:rsid w:val="2A23570F"/>
    <w:rsid w:val="2A241B69"/>
    <w:rsid w:val="2A2453F2"/>
    <w:rsid w:val="2A24600D"/>
    <w:rsid w:val="2A2507F7"/>
    <w:rsid w:val="2A255140"/>
    <w:rsid w:val="2A257690"/>
    <w:rsid w:val="2A257B34"/>
    <w:rsid w:val="2A2658E2"/>
    <w:rsid w:val="2A27165A"/>
    <w:rsid w:val="2A273408"/>
    <w:rsid w:val="2A273A45"/>
    <w:rsid w:val="2A291789"/>
    <w:rsid w:val="2A293624"/>
    <w:rsid w:val="2A297180"/>
    <w:rsid w:val="2A2B114A"/>
    <w:rsid w:val="2A2B2EF8"/>
    <w:rsid w:val="2A2B4129"/>
    <w:rsid w:val="2A2B739C"/>
    <w:rsid w:val="2A2C0A1E"/>
    <w:rsid w:val="2A2C49D8"/>
    <w:rsid w:val="2A2C5264"/>
    <w:rsid w:val="2A2C6C70"/>
    <w:rsid w:val="2A2E6F54"/>
    <w:rsid w:val="2A30050E"/>
    <w:rsid w:val="2A3049B2"/>
    <w:rsid w:val="2A304F69"/>
    <w:rsid w:val="2A305142"/>
    <w:rsid w:val="2A344F53"/>
    <w:rsid w:val="2A3468BD"/>
    <w:rsid w:val="2A347B41"/>
    <w:rsid w:val="2A353D77"/>
    <w:rsid w:val="2A357B24"/>
    <w:rsid w:val="2A360FB4"/>
    <w:rsid w:val="2A36189D"/>
    <w:rsid w:val="2A37358D"/>
    <w:rsid w:val="2A383867"/>
    <w:rsid w:val="2A385C74"/>
    <w:rsid w:val="2A3907EE"/>
    <w:rsid w:val="2A396D5F"/>
    <w:rsid w:val="2A397935"/>
    <w:rsid w:val="2A3A313B"/>
    <w:rsid w:val="2A3A7DAD"/>
    <w:rsid w:val="2A3B4E26"/>
    <w:rsid w:val="2A3B6FE2"/>
    <w:rsid w:val="2A3C2D06"/>
    <w:rsid w:val="2A3C3357"/>
    <w:rsid w:val="2A3C5105"/>
    <w:rsid w:val="2A3D0E7D"/>
    <w:rsid w:val="2A3D52C3"/>
    <w:rsid w:val="2A3D76DE"/>
    <w:rsid w:val="2A3E70CF"/>
    <w:rsid w:val="2A3F2335"/>
    <w:rsid w:val="2A3F37A7"/>
    <w:rsid w:val="2A3F4C11"/>
    <w:rsid w:val="2A3F65DB"/>
    <w:rsid w:val="2A4144C9"/>
    <w:rsid w:val="2A426494"/>
    <w:rsid w:val="2A44045E"/>
    <w:rsid w:val="2A44220C"/>
    <w:rsid w:val="2A443B5D"/>
    <w:rsid w:val="2A444B99"/>
    <w:rsid w:val="2A446E5A"/>
    <w:rsid w:val="2A452503"/>
    <w:rsid w:val="2A456A43"/>
    <w:rsid w:val="2A465F84"/>
    <w:rsid w:val="2A467D32"/>
    <w:rsid w:val="2A471040"/>
    <w:rsid w:val="2A473AAA"/>
    <w:rsid w:val="2A475858"/>
    <w:rsid w:val="2A48213D"/>
    <w:rsid w:val="2A490E0C"/>
    <w:rsid w:val="2A4915D0"/>
    <w:rsid w:val="2A491CFE"/>
    <w:rsid w:val="2A495A74"/>
    <w:rsid w:val="2A497822"/>
    <w:rsid w:val="2A4A5A08"/>
    <w:rsid w:val="2A4B17EC"/>
    <w:rsid w:val="2A4C5E65"/>
    <w:rsid w:val="2A4C5FA0"/>
    <w:rsid w:val="2A4C68E4"/>
    <w:rsid w:val="2A4D5650"/>
    <w:rsid w:val="2A4D5AFA"/>
    <w:rsid w:val="2A4E308A"/>
    <w:rsid w:val="2A4E6BE6"/>
    <w:rsid w:val="2A4E774C"/>
    <w:rsid w:val="2A500BB0"/>
    <w:rsid w:val="2A50472C"/>
    <w:rsid w:val="2A506E02"/>
    <w:rsid w:val="2A5078E5"/>
    <w:rsid w:val="2A507E24"/>
    <w:rsid w:val="2A510716"/>
    <w:rsid w:val="2A513501"/>
    <w:rsid w:val="2A524929"/>
    <w:rsid w:val="2A5306A1"/>
    <w:rsid w:val="2A53244F"/>
    <w:rsid w:val="2A5423D7"/>
    <w:rsid w:val="2A5454E0"/>
    <w:rsid w:val="2A54710E"/>
    <w:rsid w:val="2A553267"/>
    <w:rsid w:val="2A554419"/>
    <w:rsid w:val="2A557F75"/>
    <w:rsid w:val="2A56595E"/>
    <w:rsid w:val="2A571F3F"/>
    <w:rsid w:val="2A581813"/>
    <w:rsid w:val="2A5856ED"/>
    <w:rsid w:val="2A585CB7"/>
    <w:rsid w:val="2A5A1A2F"/>
    <w:rsid w:val="2A5A405F"/>
    <w:rsid w:val="2A5A558B"/>
    <w:rsid w:val="2A5B183F"/>
    <w:rsid w:val="2A5B38C3"/>
    <w:rsid w:val="2A5C3B9F"/>
    <w:rsid w:val="2A5C57A7"/>
    <w:rsid w:val="2A5C65AB"/>
    <w:rsid w:val="2A5D507B"/>
    <w:rsid w:val="2A5E151F"/>
    <w:rsid w:val="2A5E2EF5"/>
    <w:rsid w:val="2A5E6853"/>
    <w:rsid w:val="2A5E7426"/>
    <w:rsid w:val="2A5F2835"/>
    <w:rsid w:val="2A5F4221"/>
    <w:rsid w:val="2A607B25"/>
    <w:rsid w:val="2A612DBE"/>
    <w:rsid w:val="2A61691A"/>
    <w:rsid w:val="2A636B36"/>
    <w:rsid w:val="2A6401B8"/>
    <w:rsid w:val="2A6443A7"/>
    <w:rsid w:val="2A644AF2"/>
    <w:rsid w:val="2A64640A"/>
    <w:rsid w:val="2A64728E"/>
    <w:rsid w:val="2A65002D"/>
    <w:rsid w:val="2A6601A2"/>
    <w:rsid w:val="2A663F30"/>
    <w:rsid w:val="2A677DE2"/>
    <w:rsid w:val="2A685EFA"/>
    <w:rsid w:val="2A691C72"/>
    <w:rsid w:val="2A694569"/>
    <w:rsid w:val="2A6952D3"/>
    <w:rsid w:val="2A6965EC"/>
    <w:rsid w:val="2A697EC4"/>
    <w:rsid w:val="2A6A18D4"/>
    <w:rsid w:val="2A6A2EA4"/>
    <w:rsid w:val="2A6A6763"/>
    <w:rsid w:val="2A6B59EA"/>
    <w:rsid w:val="2A6B7798"/>
    <w:rsid w:val="2A6C3C54"/>
    <w:rsid w:val="2A6C52BE"/>
    <w:rsid w:val="2A6D6825"/>
    <w:rsid w:val="2A6D7438"/>
    <w:rsid w:val="2A6F3CC8"/>
    <w:rsid w:val="2A6F5055"/>
    <w:rsid w:val="2A6F54DA"/>
    <w:rsid w:val="2A700144"/>
    <w:rsid w:val="2A702181"/>
    <w:rsid w:val="2A703001"/>
    <w:rsid w:val="2A713A65"/>
    <w:rsid w:val="2A714C8C"/>
    <w:rsid w:val="2A720B27"/>
    <w:rsid w:val="2A726D79"/>
    <w:rsid w:val="2A727425"/>
    <w:rsid w:val="2A730F56"/>
    <w:rsid w:val="2A73664D"/>
    <w:rsid w:val="2A74112A"/>
    <w:rsid w:val="2A741495"/>
    <w:rsid w:val="2A742AF1"/>
    <w:rsid w:val="2A74681B"/>
    <w:rsid w:val="2A750617"/>
    <w:rsid w:val="2A75089E"/>
    <w:rsid w:val="2A7530F1"/>
    <w:rsid w:val="2A77438F"/>
    <w:rsid w:val="2A790107"/>
    <w:rsid w:val="2A7A03EF"/>
    <w:rsid w:val="2A7A79DD"/>
    <w:rsid w:val="2A7B2284"/>
    <w:rsid w:val="2A7B22B9"/>
    <w:rsid w:val="2A7B6B0F"/>
    <w:rsid w:val="2A7C467C"/>
    <w:rsid w:val="2A7C7BF7"/>
    <w:rsid w:val="2A7D127A"/>
    <w:rsid w:val="2A7D27C2"/>
    <w:rsid w:val="2A7E1E12"/>
    <w:rsid w:val="2A7E3970"/>
    <w:rsid w:val="2A7E50B3"/>
    <w:rsid w:val="2A7E77AA"/>
    <w:rsid w:val="2A7F0C3A"/>
    <w:rsid w:val="2A7F4FF2"/>
    <w:rsid w:val="2A7F74F9"/>
    <w:rsid w:val="2A8020CA"/>
    <w:rsid w:val="2A805391"/>
    <w:rsid w:val="2A810D6A"/>
    <w:rsid w:val="2A81520E"/>
    <w:rsid w:val="2A816FBC"/>
    <w:rsid w:val="2A823FDD"/>
    <w:rsid w:val="2A824904"/>
    <w:rsid w:val="2A825E7A"/>
    <w:rsid w:val="2A8275BB"/>
    <w:rsid w:val="2A830F86"/>
    <w:rsid w:val="2A832D34"/>
    <w:rsid w:val="2A841E6F"/>
    <w:rsid w:val="2A847B4D"/>
    <w:rsid w:val="2A852B40"/>
    <w:rsid w:val="2A854AAC"/>
    <w:rsid w:val="2A8645D2"/>
    <w:rsid w:val="2A8647FB"/>
    <w:rsid w:val="2A873655"/>
    <w:rsid w:val="2A877F95"/>
    <w:rsid w:val="2A8805F8"/>
    <w:rsid w:val="2A8948BD"/>
    <w:rsid w:val="2A8A1456"/>
    <w:rsid w:val="2A8A2314"/>
    <w:rsid w:val="2A8B0668"/>
    <w:rsid w:val="2A8B1DAE"/>
    <w:rsid w:val="2A8B6CCE"/>
    <w:rsid w:val="2A8B71DD"/>
    <w:rsid w:val="2A8C7ED9"/>
    <w:rsid w:val="2A8D1AFD"/>
    <w:rsid w:val="2A8D3BB3"/>
    <w:rsid w:val="2A8D46CE"/>
    <w:rsid w:val="2A8D4D62"/>
    <w:rsid w:val="2A8E16D9"/>
    <w:rsid w:val="2A8E3487"/>
    <w:rsid w:val="2A8F5B36"/>
    <w:rsid w:val="2A900FAD"/>
    <w:rsid w:val="2A9036A3"/>
    <w:rsid w:val="2A904F8C"/>
    <w:rsid w:val="2A9071FF"/>
    <w:rsid w:val="2A9115B6"/>
    <w:rsid w:val="2A915F2E"/>
    <w:rsid w:val="2A924AAB"/>
    <w:rsid w:val="2A924D25"/>
    <w:rsid w:val="2A9270B0"/>
    <w:rsid w:val="2A930540"/>
    <w:rsid w:val="2A931F65"/>
    <w:rsid w:val="2A933820"/>
    <w:rsid w:val="2A9419D0"/>
    <w:rsid w:val="2A944F41"/>
    <w:rsid w:val="2A946CEF"/>
    <w:rsid w:val="2A9501DE"/>
    <w:rsid w:val="2A9524AF"/>
    <w:rsid w:val="2A952913"/>
    <w:rsid w:val="2A954F76"/>
    <w:rsid w:val="2A960C6E"/>
    <w:rsid w:val="2A966849"/>
    <w:rsid w:val="2A97058D"/>
    <w:rsid w:val="2A97218E"/>
    <w:rsid w:val="2A992557"/>
    <w:rsid w:val="2A994305"/>
    <w:rsid w:val="2A9A1E2C"/>
    <w:rsid w:val="2A9A6739"/>
    <w:rsid w:val="2A9B6575"/>
    <w:rsid w:val="2A9B7114"/>
    <w:rsid w:val="2A9C5BA4"/>
    <w:rsid w:val="2A9C7CB2"/>
    <w:rsid w:val="2A9D36CA"/>
    <w:rsid w:val="2A9D68B2"/>
    <w:rsid w:val="2A9E1053"/>
    <w:rsid w:val="2A9E191C"/>
    <w:rsid w:val="2A9E7B6E"/>
    <w:rsid w:val="2AA109AC"/>
    <w:rsid w:val="2AA220AD"/>
    <w:rsid w:val="2AA24988"/>
    <w:rsid w:val="2AA25464"/>
    <w:rsid w:val="2AA32731"/>
    <w:rsid w:val="2AA333D6"/>
    <w:rsid w:val="2AA33CA7"/>
    <w:rsid w:val="2AA368F4"/>
    <w:rsid w:val="2AA36A8A"/>
    <w:rsid w:val="2AA371E8"/>
    <w:rsid w:val="2AA42A4B"/>
    <w:rsid w:val="2AA42CAA"/>
    <w:rsid w:val="2AA44A58"/>
    <w:rsid w:val="2AA46A7B"/>
    <w:rsid w:val="2AA50EFC"/>
    <w:rsid w:val="2AA77E46"/>
    <w:rsid w:val="2AA8141E"/>
    <w:rsid w:val="2AA8279A"/>
    <w:rsid w:val="2AA91689"/>
    <w:rsid w:val="2AA9708A"/>
    <w:rsid w:val="2AAA3BF6"/>
    <w:rsid w:val="2AAA55F3"/>
    <w:rsid w:val="2AAB2C02"/>
    <w:rsid w:val="2AAB47DF"/>
    <w:rsid w:val="2AAB5DE7"/>
    <w:rsid w:val="2AAC7C57"/>
    <w:rsid w:val="2AAD309E"/>
    <w:rsid w:val="2AAD4FA3"/>
    <w:rsid w:val="2AAD6B21"/>
    <w:rsid w:val="2AAE58D7"/>
    <w:rsid w:val="2AB02639"/>
    <w:rsid w:val="2AB078A1"/>
    <w:rsid w:val="2AB16F20"/>
    <w:rsid w:val="2AB20A53"/>
    <w:rsid w:val="2AB23619"/>
    <w:rsid w:val="2AB253C7"/>
    <w:rsid w:val="2AB26D79"/>
    <w:rsid w:val="2AB27175"/>
    <w:rsid w:val="2AB35959"/>
    <w:rsid w:val="2AB47391"/>
    <w:rsid w:val="2AB50D09"/>
    <w:rsid w:val="2AB5588B"/>
    <w:rsid w:val="2AB63109"/>
    <w:rsid w:val="2AB729DE"/>
    <w:rsid w:val="2AB7478C"/>
    <w:rsid w:val="2AB8040C"/>
    <w:rsid w:val="2AB90504"/>
    <w:rsid w:val="2AB912D8"/>
    <w:rsid w:val="2AB949A8"/>
    <w:rsid w:val="2ABA1C62"/>
    <w:rsid w:val="2ABA4FF6"/>
    <w:rsid w:val="2ABC12D3"/>
    <w:rsid w:val="2ABC1DA2"/>
    <w:rsid w:val="2ABC70CB"/>
    <w:rsid w:val="2ABC7FF4"/>
    <w:rsid w:val="2ABD206C"/>
    <w:rsid w:val="2ABD2ED6"/>
    <w:rsid w:val="2ABE0ADA"/>
    <w:rsid w:val="2ABE1FBE"/>
    <w:rsid w:val="2ABE3D6C"/>
    <w:rsid w:val="2ABF1892"/>
    <w:rsid w:val="2AC05D36"/>
    <w:rsid w:val="2AC109ED"/>
    <w:rsid w:val="2AC12FAE"/>
    <w:rsid w:val="2AC135BE"/>
    <w:rsid w:val="2AC145C0"/>
    <w:rsid w:val="2AC31382"/>
    <w:rsid w:val="2AC33130"/>
    <w:rsid w:val="2AC33C89"/>
    <w:rsid w:val="2AC33E99"/>
    <w:rsid w:val="2AC375D4"/>
    <w:rsid w:val="2AC46EA9"/>
    <w:rsid w:val="2AC4736E"/>
    <w:rsid w:val="2AC5117B"/>
    <w:rsid w:val="2AC62848"/>
    <w:rsid w:val="2AC62C21"/>
    <w:rsid w:val="2AC721CE"/>
    <w:rsid w:val="2AC75CEF"/>
    <w:rsid w:val="2AC84797"/>
    <w:rsid w:val="2AC84BEB"/>
    <w:rsid w:val="2AC86999"/>
    <w:rsid w:val="2AC91D50"/>
    <w:rsid w:val="2ACA0963"/>
    <w:rsid w:val="2ACA0B27"/>
    <w:rsid w:val="2ACA2711"/>
    <w:rsid w:val="2ACA3377"/>
    <w:rsid w:val="2ACB21DF"/>
    <w:rsid w:val="2ACB46DB"/>
    <w:rsid w:val="2ACB7B38"/>
    <w:rsid w:val="2ACC06D1"/>
    <w:rsid w:val="2ACD5752"/>
    <w:rsid w:val="2ACE3B76"/>
    <w:rsid w:val="2ACF3897"/>
    <w:rsid w:val="2ACF4481"/>
    <w:rsid w:val="2ACF77E4"/>
    <w:rsid w:val="2ACF7D27"/>
    <w:rsid w:val="2AD03A9F"/>
    <w:rsid w:val="2AD05911"/>
    <w:rsid w:val="2AD10E49"/>
    <w:rsid w:val="2AD11E67"/>
    <w:rsid w:val="2AD16B46"/>
    <w:rsid w:val="2AD1713D"/>
    <w:rsid w:val="2AD2014A"/>
    <w:rsid w:val="2AD36006"/>
    <w:rsid w:val="2AD417E1"/>
    <w:rsid w:val="2AD510B6"/>
    <w:rsid w:val="2AD52E64"/>
    <w:rsid w:val="2AD6105C"/>
    <w:rsid w:val="2AD64354"/>
    <w:rsid w:val="2AD6555A"/>
    <w:rsid w:val="2AD73018"/>
    <w:rsid w:val="2AD73080"/>
    <w:rsid w:val="2AD749A5"/>
    <w:rsid w:val="2AD90BA6"/>
    <w:rsid w:val="2ADA10C7"/>
    <w:rsid w:val="2ADB2B70"/>
    <w:rsid w:val="2ADB4165"/>
    <w:rsid w:val="2ADC1861"/>
    <w:rsid w:val="2ADC2444"/>
    <w:rsid w:val="2ADC66A8"/>
    <w:rsid w:val="2ADD649E"/>
    <w:rsid w:val="2ADE7C21"/>
    <w:rsid w:val="2ADF3CE2"/>
    <w:rsid w:val="2AE15CAC"/>
    <w:rsid w:val="2AE16896"/>
    <w:rsid w:val="2AE2652C"/>
    <w:rsid w:val="2AE309C0"/>
    <w:rsid w:val="2AE31A25"/>
    <w:rsid w:val="2AE36D78"/>
    <w:rsid w:val="2AE36F95"/>
    <w:rsid w:val="2AE412F9"/>
    <w:rsid w:val="2AE5579D"/>
    <w:rsid w:val="2AE55C49"/>
    <w:rsid w:val="2AE5754B"/>
    <w:rsid w:val="2AE63E49"/>
    <w:rsid w:val="2AE65071"/>
    <w:rsid w:val="2AE82B97"/>
    <w:rsid w:val="2AE87C87"/>
    <w:rsid w:val="2AE95028"/>
    <w:rsid w:val="2AEA0C1E"/>
    <w:rsid w:val="2AEA2DB3"/>
    <w:rsid w:val="2AEA62BD"/>
    <w:rsid w:val="2AEB0FE9"/>
    <w:rsid w:val="2AEB2687"/>
    <w:rsid w:val="2AEB5195"/>
    <w:rsid w:val="2AEB5259"/>
    <w:rsid w:val="2AEC39A9"/>
    <w:rsid w:val="2AEC50EA"/>
    <w:rsid w:val="2AEC657A"/>
    <w:rsid w:val="2AEC6B2B"/>
    <w:rsid w:val="2AED63FF"/>
    <w:rsid w:val="2AEE7DDB"/>
    <w:rsid w:val="2AEF2177"/>
    <w:rsid w:val="2AEF5197"/>
    <w:rsid w:val="2AF04EFB"/>
    <w:rsid w:val="2AF07C9E"/>
    <w:rsid w:val="2AF17F0A"/>
    <w:rsid w:val="2AF23A16"/>
    <w:rsid w:val="2AF2781B"/>
    <w:rsid w:val="2AF30CAB"/>
    <w:rsid w:val="2AF40319"/>
    <w:rsid w:val="2AF519DB"/>
    <w:rsid w:val="2AF53506"/>
    <w:rsid w:val="2AF56183"/>
    <w:rsid w:val="2AF622F4"/>
    <w:rsid w:val="2AF7102C"/>
    <w:rsid w:val="2AF75AE0"/>
    <w:rsid w:val="2AF76001"/>
    <w:rsid w:val="2AF7636C"/>
    <w:rsid w:val="2AF80C6C"/>
    <w:rsid w:val="2AF84095"/>
    <w:rsid w:val="2AF8413F"/>
    <w:rsid w:val="2AF84B7E"/>
    <w:rsid w:val="2AF850CE"/>
    <w:rsid w:val="2AF923CF"/>
    <w:rsid w:val="2AF92FF6"/>
    <w:rsid w:val="2AF93B6E"/>
    <w:rsid w:val="2AFA0B1C"/>
    <w:rsid w:val="2AFB11C4"/>
    <w:rsid w:val="2AFB4BDF"/>
    <w:rsid w:val="2AFC2AE6"/>
    <w:rsid w:val="2AFD0471"/>
    <w:rsid w:val="2AFD0BD7"/>
    <w:rsid w:val="2AFD71FE"/>
    <w:rsid w:val="2AFD73C3"/>
    <w:rsid w:val="2AFD74FF"/>
    <w:rsid w:val="2AFE060C"/>
    <w:rsid w:val="2AFE6FEE"/>
    <w:rsid w:val="2AFF6E50"/>
    <w:rsid w:val="2AFF7E61"/>
    <w:rsid w:val="2B0025D7"/>
    <w:rsid w:val="2B004385"/>
    <w:rsid w:val="2B0105A2"/>
    <w:rsid w:val="2B013C59"/>
    <w:rsid w:val="2B022A53"/>
    <w:rsid w:val="2B027310"/>
    <w:rsid w:val="2B033E75"/>
    <w:rsid w:val="2B05199B"/>
    <w:rsid w:val="2B05371F"/>
    <w:rsid w:val="2B053749"/>
    <w:rsid w:val="2B0674C1"/>
    <w:rsid w:val="2B070A3B"/>
    <w:rsid w:val="2B075324"/>
    <w:rsid w:val="2B08148B"/>
    <w:rsid w:val="2B084A9B"/>
    <w:rsid w:val="2B084FE7"/>
    <w:rsid w:val="2B085E43"/>
    <w:rsid w:val="2B08765C"/>
    <w:rsid w:val="2B097498"/>
    <w:rsid w:val="2B0A0D5F"/>
    <w:rsid w:val="2B0A1B96"/>
    <w:rsid w:val="2B0A22AB"/>
    <w:rsid w:val="2B0A3709"/>
    <w:rsid w:val="2B0A3F7E"/>
    <w:rsid w:val="2B0B2D29"/>
    <w:rsid w:val="2B0C6360"/>
    <w:rsid w:val="2B0D0850"/>
    <w:rsid w:val="2B102059"/>
    <w:rsid w:val="2B1044E5"/>
    <w:rsid w:val="2B110340"/>
    <w:rsid w:val="2B112CC7"/>
    <w:rsid w:val="2B11340A"/>
    <w:rsid w:val="2B115975"/>
    <w:rsid w:val="2B1163BB"/>
    <w:rsid w:val="2B116592"/>
    <w:rsid w:val="2B12230A"/>
    <w:rsid w:val="2B12637D"/>
    <w:rsid w:val="2B14220F"/>
    <w:rsid w:val="2B14398C"/>
    <w:rsid w:val="2B146082"/>
    <w:rsid w:val="2B147E30"/>
    <w:rsid w:val="2B151034"/>
    <w:rsid w:val="2B151F0D"/>
    <w:rsid w:val="2B1621A4"/>
    <w:rsid w:val="2B164D81"/>
    <w:rsid w:val="2B165956"/>
    <w:rsid w:val="2B1659E8"/>
    <w:rsid w:val="2B1716CE"/>
    <w:rsid w:val="2B17347C"/>
    <w:rsid w:val="2B177920"/>
    <w:rsid w:val="2B193698"/>
    <w:rsid w:val="2B193CEA"/>
    <w:rsid w:val="2B195446"/>
    <w:rsid w:val="2B197307"/>
    <w:rsid w:val="2B19771E"/>
    <w:rsid w:val="2B1A46C4"/>
    <w:rsid w:val="2B1B11BE"/>
    <w:rsid w:val="2B1B50A3"/>
    <w:rsid w:val="2B1B7EB7"/>
    <w:rsid w:val="2B1C0D9C"/>
    <w:rsid w:val="2B1C6179"/>
    <w:rsid w:val="2B1D6617"/>
    <w:rsid w:val="2B1F1A48"/>
    <w:rsid w:val="2B1F5AB9"/>
    <w:rsid w:val="2B2007AA"/>
    <w:rsid w:val="2B2015FA"/>
    <w:rsid w:val="2B204A27"/>
    <w:rsid w:val="2B205B4B"/>
    <w:rsid w:val="2B213824"/>
    <w:rsid w:val="2B21624E"/>
    <w:rsid w:val="2B221116"/>
    <w:rsid w:val="2B22254D"/>
    <w:rsid w:val="2B225278"/>
    <w:rsid w:val="2B233997"/>
    <w:rsid w:val="2B234836"/>
    <w:rsid w:val="2B245D5B"/>
    <w:rsid w:val="2B24619F"/>
    <w:rsid w:val="2B25203D"/>
    <w:rsid w:val="2B25495E"/>
    <w:rsid w:val="2B261206"/>
    <w:rsid w:val="2B2636BF"/>
    <w:rsid w:val="2B2649E5"/>
    <w:rsid w:val="2B27276C"/>
    <w:rsid w:val="2B2838DB"/>
    <w:rsid w:val="2B285689"/>
    <w:rsid w:val="2B286A75"/>
    <w:rsid w:val="2B286C3A"/>
    <w:rsid w:val="2B287437"/>
    <w:rsid w:val="2B291877"/>
    <w:rsid w:val="2B296CDD"/>
    <w:rsid w:val="2B2A1401"/>
    <w:rsid w:val="2B2A7653"/>
    <w:rsid w:val="2B2B548F"/>
    <w:rsid w:val="2B2B6F28"/>
    <w:rsid w:val="2B2C257D"/>
    <w:rsid w:val="2B2C517A"/>
    <w:rsid w:val="2B2C7CA6"/>
    <w:rsid w:val="2B2D02F9"/>
    <w:rsid w:val="2B2D2CA0"/>
    <w:rsid w:val="2B2D4A4E"/>
    <w:rsid w:val="2B2E0650"/>
    <w:rsid w:val="2B2E1742"/>
    <w:rsid w:val="2B2E1DB5"/>
    <w:rsid w:val="2B2E6A62"/>
    <w:rsid w:val="2B2F4C6A"/>
    <w:rsid w:val="2B2F6A18"/>
    <w:rsid w:val="2B3002E1"/>
    <w:rsid w:val="2B30421D"/>
    <w:rsid w:val="2B30453E"/>
    <w:rsid w:val="2B312C31"/>
    <w:rsid w:val="2B316EC5"/>
    <w:rsid w:val="2B3202B6"/>
    <w:rsid w:val="2B324CAE"/>
    <w:rsid w:val="2B326787"/>
    <w:rsid w:val="2B326937"/>
    <w:rsid w:val="2B34219F"/>
    <w:rsid w:val="2B342280"/>
    <w:rsid w:val="2B354638"/>
    <w:rsid w:val="2B365FF8"/>
    <w:rsid w:val="2B373B1E"/>
    <w:rsid w:val="2B3758CC"/>
    <w:rsid w:val="2B377690"/>
    <w:rsid w:val="2B391645"/>
    <w:rsid w:val="2B393F0C"/>
    <w:rsid w:val="2B395AE8"/>
    <w:rsid w:val="2B3A3B76"/>
    <w:rsid w:val="2B3A5660"/>
    <w:rsid w:val="2B3B360F"/>
    <w:rsid w:val="2B3B3E95"/>
    <w:rsid w:val="2B3C1135"/>
    <w:rsid w:val="2B3C2EE3"/>
    <w:rsid w:val="2B3C5056"/>
    <w:rsid w:val="2B3D48E5"/>
    <w:rsid w:val="2B3E30FF"/>
    <w:rsid w:val="2B3F207C"/>
    <w:rsid w:val="2B400C25"/>
    <w:rsid w:val="2B401485"/>
    <w:rsid w:val="2B4029D3"/>
    <w:rsid w:val="2B404781"/>
    <w:rsid w:val="2B406E77"/>
    <w:rsid w:val="2B407E3D"/>
    <w:rsid w:val="2B421E23"/>
    <w:rsid w:val="2B423CA3"/>
    <w:rsid w:val="2B42499D"/>
    <w:rsid w:val="2B45448D"/>
    <w:rsid w:val="2B45623B"/>
    <w:rsid w:val="2B461F02"/>
    <w:rsid w:val="2B46585E"/>
    <w:rsid w:val="2B473D61"/>
    <w:rsid w:val="2B483D91"/>
    <w:rsid w:val="2B487ADA"/>
    <w:rsid w:val="2B4A1AA4"/>
    <w:rsid w:val="2B4A3852"/>
    <w:rsid w:val="2B4A477A"/>
    <w:rsid w:val="2B4B3FF4"/>
    <w:rsid w:val="2B4B6F96"/>
    <w:rsid w:val="2B4C0B44"/>
    <w:rsid w:val="2B4C0D09"/>
    <w:rsid w:val="2B4C4E30"/>
    <w:rsid w:val="2B4C581C"/>
    <w:rsid w:val="2B4D161C"/>
    <w:rsid w:val="2B4D18B6"/>
    <w:rsid w:val="2B4D4487"/>
    <w:rsid w:val="2B4D6E9E"/>
    <w:rsid w:val="2B4E0D8A"/>
    <w:rsid w:val="2B4E4339"/>
    <w:rsid w:val="2B4F0E68"/>
    <w:rsid w:val="2B502629"/>
    <w:rsid w:val="2B5039A3"/>
    <w:rsid w:val="2B510049"/>
    <w:rsid w:val="2B514BE0"/>
    <w:rsid w:val="2B515D97"/>
    <w:rsid w:val="2B51698E"/>
    <w:rsid w:val="2B52190B"/>
    <w:rsid w:val="2B522706"/>
    <w:rsid w:val="2B5231A1"/>
    <w:rsid w:val="2B524298"/>
    <w:rsid w:val="2B5252B0"/>
    <w:rsid w:val="2B5302F9"/>
    <w:rsid w:val="2B534BF3"/>
    <w:rsid w:val="2B536BAA"/>
    <w:rsid w:val="2B54022C"/>
    <w:rsid w:val="2B541155"/>
    <w:rsid w:val="2B5446D0"/>
    <w:rsid w:val="2B5524B6"/>
    <w:rsid w:val="2B563FA5"/>
    <w:rsid w:val="2B5657C6"/>
    <w:rsid w:val="2B573C92"/>
    <w:rsid w:val="2B577D1D"/>
    <w:rsid w:val="2B58159A"/>
    <w:rsid w:val="2B585F6F"/>
    <w:rsid w:val="2B5869C9"/>
    <w:rsid w:val="2B5A70CA"/>
    <w:rsid w:val="2B5B47F7"/>
    <w:rsid w:val="2B5B5A5F"/>
    <w:rsid w:val="2B5C5333"/>
    <w:rsid w:val="2B5C7F1B"/>
    <w:rsid w:val="2B5D17D7"/>
    <w:rsid w:val="2B5D3585"/>
    <w:rsid w:val="2B5D5BAC"/>
    <w:rsid w:val="2B5E10AB"/>
    <w:rsid w:val="2B5E72FD"/>
    <w:rsid w:val="2B5F1253"/>
    <w:rsid w:val="2B5F689C"/>
    <w:rsid w:val="2B603075"/>
    <w:rsid w:val="2B604E23"/>
    <w:rsid w:val="2B607D2C"/>
    <w:rsid w:val="2B6111BC"/>
    <w:rsid w:val="2B61581B"/>
    <w:rsid w:val="2B620B9B"/>
    <w:rsid w:val="2B622425"/>
    <w:rsid w:val="2B632B65"/>
    <w:rsid w:val="2B633D7C"/>
    <w:rsid w:val="2B647DA3"/>
    <w:rsid w:val="2B65068C"/>
    <w:rsid w:val="2B65243A"/>
    <w:rsid w:val="2B6620C8"/>
    <w:rsid w:val="2B665F42"/>
    <w:rsid w:val="2B672C04"/>
    <w:rsid w:val="2B67597F"/>
    <w:rsid w:val="2B681F2A"/>
    <w:rsid w:val="2B6A5CA2"/>
    <w:rsid w:val="2B6B3C91"/>
    <w:rsid w:val="2B6B5B6B"/>
    <w:rsid w:val="2B6B6F25"/>
    <w:rsid w:val="2B6C1A1A"/>
    <w:rsid w:val="2B6C5576"/>
    <w:rsid w:val="2B6C6310"/>
    <w:rsid w:val="2B6D12EE"/>
    <w:rsid w:val="2B6D2330"/>
    <w:rsid w:val="2B6D775F"/>
    <w:rsid w:val="2B6D7F24"/>
    <w:rsid w:val="2B6D7FFD"/>
    <w:rsid w:val="2B6E136C"/>
    <w:rsid w:val="2B6E79FD"/>
    <w:rsid w:val="2B6F32B8"/>
    <w:rsid w:val="2B701226"/>
    <w:rsid w:val="2B701A2A"/>
    <w:rsid w:val="2B712E2C"/>
    <w:rsid w:val="2B715282"/>
    <w:rsid w:val="2B7168E7"/>
    <w:rsid w:val="2B717030"/>
    <w:rsid w:val="2B732DA8"/>
    <w:rsid w:val="2B74267D"/>
    <w:rsid w:val="2B746B21"/>
    <w:rsid w:val="2B747632"/>
    <w:rsid w:val="2B760580"/>
    <w:rsid w:val="2B761F52"/>
    <w:rsid w:val="2B7646B0"/>
    <w:rsid w:val="2B7663F5"/>
    <w:rsid w:val="2B7733E2"/>
    <w:rsid w:val="2B784A89"/>
    <w:rsid w:val="2B790267"/>
    <w:rsid w:val="2B793244"/>
    <w:rsid w:val="2B793765"/>
    <w:rsid w:val="2B794129"/>
    <w:rsid w:val="2B794137"/>
    <w:rsid w:val="2B797C93"/>
    <w:rsid w:val="2B7A0E2A"/>
    <w:rsid w:val="2B7A22E2"/>
    <w:rsid w:val="2B7A3306"/>
    <w:rsid w:val="2B7B1DC1"/>
    <w:rsid w:val="2B7B1F76"/>
    <w:rsid w:val="2B7B31CD"/>
    <w:rsid w:val="2B7C75CA"/>
    <w:rsid w:val="2B7D1051"/>
    <w:rsid w:val="2B7D1E25"/>
    <w:rsid w:val="2B7D3AFF"/>
    <w:rsid w:val="2B7E174D"/>
    <w:rsid w:val="2B7E505C"/>
    <w:rsid w:val="2B7F5698"/>
    <w:rsid w:val="2B7F6702"/>
    <w:rsid w:val="2B7F68C6"/>
    <w:rsid w:val="2B7F799F"/>
    <w:rsid w:val="2B801021"/>
    <w:rsid w:val="2B8054C5"/>
    <w:rsid w:val="2B807273"/>
    <w:rsid w:val="2B817065"/>
    <w:rsid w:val="2B820819"/>
    <w:rsid w:val="2B82123D"/>
    <w:rsid w:val="2B823112"/>
    <w:rsid w:val="2B824D9A"/>
    <w:rsid w:val="2B830B12"/>
    <w:rsid w:val="2B8330C6"/>
    <w:rsid w:val="2B8368CD"/>
    <w:rsid w:val="2B836D64"/>
    <w:rsid w:val="2B844FB6"/>
    <w:rsid w:val="2B852ADC"/>
    <w:rsid w:val="2B870602"/>
    <w:rsid w:val="2B8711D4"/>
    <w:rsid w:val="2B8723B0"/>
    <w:rsid w:val="2B874A48"/>
    <w:rsid w:val="2B876618"/>
    <w:rsid w:val="2B876854"/>
    <w:rsid w:val="2B885195"/>
    <w:rsid w:val="2B885500"/>
    <w:rsid w:val="2B886128"/>
    <w:rsid w:val="2B892294"/>
    <w:rsid w:val="2B8925CC"/>
    <w:rsid w:val="2B893E83"/>
    <w:rsid w:val="2B894233"/>
    <w:rsid w:val="2B8A39A7"/>
    <w:rsid w:val="2B8B0152"/>
    <w:rsid w:val="2B8D14E1"/>
    <w:rsid w:val="2B8D191A"/>
    <w:rsid w:val="2B8D30D6"/>
    <w:rsid w:val="2B8D373E"/>
    <w:rsid w:val="2B8D3F54"/>
    <w:rsid w:val="2B8E1D2E"/>
    <w:rsid w:val="2B8E6DF0"/>
    <w:rsid w:val="2B8E7BE2"/>
    <w:rsid w:val="2B8F368C"/>
    <w:rsid w:val="2B8F395A"/>
    <w:rsid w:val="2B8F5708"/>
    <w:rsid w:val="2B90552B"/>
    <w:rsid w:val="2B911481"/>
    <w:rsid w:val="2B91264E"/>
    <w:rsid w:val="2B917B34"/>
    <w:rsid w:val="2B940F71"/>
    <w:rsid w:val="2B965AF7"/>
    <w:rsid w:val="2B965B4C"/>
    <w:rsid w:val="2B967CE2"/>
    <w:rsid w:val="2B97559C"/>
    <w:rsid w:val="2B97636B"/>
    <w:rsid w:val="2B980A61"/>
    <w:rsid w:val="2B9845BD"/>
    <w:rsid w:val="2B99092D"/>
    <w:rsid w:val="2B9920A2"/>
    <w:rsid w:val="2B9952EB"/>
    <w:rsid w:val="2B9A134C"/>
    <w:rsid w:val="2B9A40D3"/>
    <w:rsid w:val="2B9B22FF"/>
    <w:rsid w:val="2B9B47E4"/>
    <w:rsid w:val="2B9B5E5B"/>
    <w:rsid w:val="2B9D6077"/>
    <w:rsid w:val="2B9D7DA5"/>
    <w:rsid w:val="2B9E289E"/>
    <w:rsid w:val="2B9E72DE"/>
    <w:rsid w:val="2B9E7B63"/>
    <w:rsid w:val="2B9F3B9D"/>
    <w:rsid w:val="2B9F3DFD"/>
    <w:rsid w:val="2BA12852"/>
    <w:rsid w:val="2BA203E2"/>
    <w:rsid w:val="2BA2368E"/>
    <w:rsid w:val="2BA246DE"/>
    <w:rsid w:val="2BA2543C"/>
    <w:rsid w:val="2BA271EA"/>
    <w:rsid w:val="2BA32F62"/>
    <w:rsid w:val="2BA33B3F"/>
    <w:rsid w:val="2BA358E0"/>
    <w:rsid w:val="2BA411B4"/>
    <w:rsid w:val="2BA44FCF"/>
    <w:rsid w:val="2BA47406"/>
    <w:rsid w:val="2BA53A40"/>
    <w:rsid w:val="2BA540A2"/>
    <w:rsid w:val="2BA56CDA"/>
    <w:rsid w:val="2BA61030"/>
    <w:rsid w:val="2BA6170E"/>
    <w:rsid w:val="2BA70B16"/>
    <w:rsid w:val="2BA70CA4"/>
    <w:rsid w:val="2BA92106"/>
    <w:rsid w:val="2BA93181"/>
    <w:rsid w:val="2BA936A8"/>
    <w:rsid w:val="2BA93F88"/>
    <w:rsid w:val="2BA9457F"/>
    <w:rsid w:val="2BAA2542"/>
    <w:rsid w:val="2BAA42F0"/>
    <w:rsid w:val="2BAA6270"/>
    <w:rsid w:val="2BAB5764"/>
    <w:rsid w:val="2BAB6FEF"/>
    <w:rsid w:val="2BAC01DB"/>
    <w:rsid w:val="2BAC159C"/>
    <w:rsid w:val="2BAC1E16"/>
    <w:rsid w:val="2BAC421F"/>
    <w:rsid w:val="2BAC76B6"/>
    <w:rsid w:val="2BAD44D0"/>
    <w:rsid w:val="2BAD4BF1"/>
    <w:rsid w:val="2BAD5B8F"/>
    <w:rsid w:val="2BAE1FB6"/>
    <w:rsid w:val="2BAE2033"/>
    <w:rsid w:val="2BAF1907"/>
    <w:rsid w:val="2BAF1A5C"/>
    <w:rsid w:val="2BB03E36"/>
    <w:rsid w:val="2BB138D1"/>
    <w:rsid w:val="2BB1742D"/>
    <w:rsid w:val="2BB21A69"/>
    <w:rsid w:val="2BB241C5"/>
    <w:rsid w:val="2BB313F7"/>
    <w:rsid w:val="2BB331A5"/>
    <w:rsid w:val="2BB34C97"/>
    <w:rsid w:val="2BB366FF"/>
    <w:rsid w:val="2BB41EF3"/>
    <w:rsid w:val="2BB445C1"/>
    <w:rsid w:val="2BB53743"/>
    <w:rsid w:val="2BB609D0"/>
    <w:rsid w:val="2BB61450"/>
    <w:rsid w:val="2BB62F23"/>
    <w:rsid w:val="2BB70874"/>
    <w:rsid w:val="2BB74E0C"/>
    <w:rsid w:val="2BB7625B"/>
    <w:rsid w:val="2BB76BC5"/>
    <w:rsid w:val="2BB77950"/>
    <w:rsid w:val="2BB77A5A"/>
    <w:rsid w:val="2BB807BB"/>
    <w:rsid w:val="2BB845C0"/>
    <w:rsid w:val="2BB84C5F"/>
    <w:rsid w:val="2BB861EE"/>
    <w:rsid w:val="2BB94533"/>
    <w:rsid w:val="2BB948D5"/>
    <w:rsid w:val="2BBB2721"/>
    <w:rsid w:val="2BBC3256"/>
    <w:rsid w:val="2BBD0EFB"/>
    <w:rsid w:val="2BBD2276"/>
    <w:rsid w:val="2BBE1B4A"/>
    <w:rsid w:val="2BBE79D8"/>
    <w:rsid w:val="2BBF18FE"/>
    <w:rsid w:val="2BBF5C96"/>
    <w:rsid w:val="2BC01D66"/>
    <w:rsid w:val="2BC0710F"/>
    <w:rsid w:val="2BC25ADE"/>
    <w:rsid w:val="2BC2788C"/>
    <w:rsid w:val="2BC27DAE"/>
    <w:rsid w:val="2BC37160"/>
    <w:rsid w:val="2BC4024D"/>
    <w:rsid w:val="2BC415B4"/>
    <w:rsid w:val="2BC6067C"/>
    <w:rsid w:val="2BC62A64"/>
    <w:rsid w:val="2BC66ED9"/>
    <w:rsid w:val="2BC70369"/>
    <w:rsid w:val="2BC730F4"/>
    <w:rsid w:val="2BC74EA2"/>
    <w:rsid w:val="2BC84B9D"/>
    <w:rsid w:val="2BC90C1A"/>
    <w:rsid w:val="2BC96E6C"/>
    <w:rsid w:val="2BCA042B"/>
    <w:rsid w:val="2BCA4992"/>
    <w:rsid w:val="2BCA6741"/>
    <w:rsid w:val="2BCB18BB"/>
    <w:rsid w:val="2BCB1BE3"/>
    <w:rsid w:val="2BCC070B"/>
    <w:rsid w:val="2BCC24B9"/>
    <w:rsid w:val="2BCC27B1"/>
    <w:rsid w:val="2BCC766D"/>
    <w:rsid w:val="2BCD3450"/>
    <w:rsid w:val="2BCD41DB"/>
    <w:rsid w:val="2BCF16CC"/>
    <w:rsid w:val="2BCF1785"/>
    <w:rsid w:val="2BCF3D57"/>
    <w:rsid w:val="2BD001FB"/>
    <w:rsid w:val="2BD11C89"/>
    <w:rsid w:val="2BD13FEC"/>
    <w:rsid w:val="2BD1572D"/>
    <w:rsid w:val="2BD165C5"/>
    <w:rsid w:val="2BD17ACF"/>
    <w:rsid w:val="2BD22877"/>
    <w:rsid w:val="2BD31A99"/>
    <w:rsid w:val="2BD33847"/>
    <w:rsid w:val="2BD366C3"/>
    <w:rsid w:val="2BD440AE"/>
    <w:rsid w:val="2BD458DF"/>
    <w:rsid w:val="2BD46751"/>
    <w:rsid w:val="2BD53DFD"/>
    <w:rsid w:val="2BD55ED6"/>
    <w:rsid w:val="2BD55F40"/>
    <w:rsid w:val="2BD60070"/>
    <w:rsid w:val="2BD61589"/>
    <w:rsid w:val="2BD65EFD"/>
    <w:rsid w:val="2BD67727"/>
    <w:rsid w:val="2BD812EE"/>
    <w:rsid w:val="2BD82C0B"/>
    <w:rsid w:val="2BD8582F"/>
    <w:rsid w:val="2BD9042B"/>
    <w:rsid w:val="2BDA4BD6"/>
    <w:rsid w:val="2BDA62EF"/>
    <w:rsid w:val="2BDA67DF"/>
    <w:rsid w:val="2BDA6A14"/>
    <w:rsid w:val="2BDB109C"/>
    <w:rsid w:val="2BDB22D9"/>
    <w:rsid w:val="2BDB26FC"/>
    <w:rsid w:val="2BDC26F0"/>
    <w:rsid w:val="2BDC287C"/>
    <w:rsid w:val="2BDC4C4A"/>
    <w:rsid w:val="2BDC7282"/>
    <w:rsid w:val="2BDD0222"/>
    <w:rsid w:val="2BDD46C6"/>
    <w:rsid w:val="2BDE3F9A"/>
    <w:rsid w:val="2BDE6A57"/>
    <w:rsid w:val="2BDF21EC"/>
    <w:rsid w:val="2BE03317"/>
    <w:rsid w:val="2BE05F64"/>
    <w:rsid w:val="2BE106A6"/>
    <w:rsid w:val="2BE23A8A"/>
    <w:rsid w:val="2BE27F2E"/>
    <w:rsid w:val="2BE43CE0"/>
    <w:rsid w:val="2BE45A54"/>
    <w:rsid w:val="2BE47802"/>
    <w:rsid w:val="2BE5357A"/>
    <w:rsid w:val="2BE664C3"/>
    <w:rsid w:val="2BE71226"/>
    <w:rsid w:val="2BE75D18"/>
    <w:rsid w:val="2BE80DE3"/>
    <w:rsid w:val="2BE912BD"/>
    <w:rsid w:val="2BE94B33"/>
    <w:rsid w:val="2BEA293F"/>
    <w:rsid w:val="2BEA3703"/>
    <w:rsid w:val="2BEB6DE3"/>
    <w:rsid w:val="2BEC1DFE"/>
    <w:rsid w:val="2BEC2B5B"/>
    <w:rsid w:val="2BEC6523"/>
    <w:rsid w:val="2BED37C5"/>
    <w:rsid w:val="2BED4D07"/>
    <w:rsid w:val="2BEE0681"/>
    <w:rsid w:val="2BEE242F"/>
    <w:rsid w:val="2BEE68D3"/>
    <w:rsid w:val="2BEF27EE"/>
    <w:rsid w:val="2BEF2E88"/>
    <w:rsid w:val="2BEF4EFD"/>
    <w:rsid w:val="2BEF61A7"/>
    <w:rsid w:val="2BEF71D2"/>
    <w:rsid w:val="2BEF7499"/>
    <w:rsid w:val="2BF00A05"/>
    <w:rsid w:val="2BF00B81"/>
    <w:rsid w:val="2BF01901"/>
    <w:rsid w:val="2BF02146"/>
    <w:rsid w:val="2BF11E95"/>
    <w:rsid w:val="2BF13D93"/>
    <w:rsid w:val="2BF24A66"/>
    <w:rsid w:val="2BF27B31"/>
    <w:rsid w:val="2BF33EE9"/>
    <w:rsid w:val="2BF3422E"/>
    <w:rsid w:val="2BF3502B"/>
    <w:rsid w:val="2BF46AAA"/>
    <w:rsid w:val="2BF57C61"/>
    <w:rsid w:val="2BF64877"/>
    <w:rsid w:val="2BF75D07"/>
    <w:rsid w:val="2BF7648B"/>
    <w:rsid w:val="2BF77C14"/>
    <w:rsid w:val="2BF81500"/>
    <w:rsid w:val="2BF832AE"/>
    <w:rsid w:val="2BFA5278"/>
    <w:rsid w:val="2BFA6497"/>
    <w:rsid w:val="2BFA7026"/>
    <w:rsid w:val="2BFC59AE"/>
    <w:rsid w:val="2BFD2672"/>
    <w:rsid w:val="2BFD2B77"/>
    <w:rsid w:val="2BFD71B9"/>
    <w:rsid w:val="2BFF288E"/>
    <w:rsid w:val="2BFF2943"/>
    <w:rsid w:val="2BFF463C"/>
    <w:rsid w:val="2BFF482F"/>
    <w:rsid w:val="2C0003B4"/>
    <w:rsid w:val="2C00782C"/>
    <w:rsid w:val="2C013C93"/>
    <w:rsid w:val="2C02041A"/>
    <w:rsid w:val="2C02412C"/>
    <w:rsid w:val="2C025EDA"/>
    <w:rsid w:val="2C026598"/>
    <w:rsid w:val="2C0278DB"/>
    <w:rsid w:val="2C034D0D"/>
    <w:rsid w:val="2C037900"/>
    <w:rsid w:val="2C041C52"/>
    <w:rsid w:val="2C047D74"/>
    <w:rsid w:val="2C05493F"/>
    <w:rsid w:val="2C0559CB"/>
    <w:rsid w:val="2C057779"/>
    <w:rsid w:val="2C063C1D"/>
    <w:rsid w:val="2C0734F1"/>
    <w:rsid w:val="2C077D19"/>
    <w:rsid w:val="2C091017"/>
    <w:rsid w:val="2C0954BB"/>
    <w:rsid w:val="2C0A4D8F"/>
    <w:rsid w:val="2C0B23D8"/>
    <w:rsid w:val="2C0B5689"/>
    <w:rsid w:val="2C0C2156"/>
    <w:rsid w:val="2C0D77A1"/>
    <w:rsid w:val="2C0E487F"/>
    <w:rsid w:val="2C0F23A5"/>
    <w:rsid w:val="2C0F3FE0"/>
    <w:rsid w:val="2C1016F4"/>
    <w:rsid w:val="2C10437B"/>
    <w:rsid w:val="2C106849"/>
    <w:rsid w:val="2C1125C1"/>
    <w:rsid w:val="2C11498F"/>
    <w:rsid w:val="2C1300B0"/>
    <w:rsid w:val="2C13155B"/>
    <w:rsid w:val="2C131E96"/>
    <w:rsid w:val="2C133D9F"/>
    <w:rsid w:val="2C1354E0"/>
    <w:rsid w:val="2C1434F3"/>
    <w:rsid w:val="2C1439CA"/>
    <w:rsid w:val="2C146369"/>
    <w:rsid w:val="2C1520B2"/>
    <w:rsid w:val="2C153E60"/>
    <w:rsid w:val="2C163734"/>
    <w:rsid w:val="2C165923"/>
    <w:rsid w:val="2C165B26"/>
    <w:rsid w:val="2C175B64"/>
    <w:rsid w:val="2C183950"/>
    <w:rsid w:val="2C194F20"/>
    <w:rsid w:val="2C197A3A"/>
    <w:rsid w:val="2C197C11"/>
    <w:rsid w:val="2C1A1476"/>
    <w:rsid w:val="2C1A5154"/>
    <w:rsid w:val="2C1A76C8"/>
    <w:rsid w:val="2C1B6F9C"/>
    <w:rsid w:val="2C1C51EE"/>
    <w:rsid w:val="2C1C7CD3"/>
    <w:rsid w:val="2C1D1163"/>
    <w:rsid w:val="2C1D2917"/>
    <w:rsid w:val="2C1F4CDE"/>
    <w:rsid w:val="2C1F7397"/>
    <w:rsid w:val="2C2045B2"/>
    <w:rsid w:val="2C2063A3"/>
    <w:rsid w:val="2C210A56"/>
    <w:rsid w:val="2C210F74"/>
    <w:rsid w:val="2C222404"/>
    <w:rsid w:val="2C224538"/>
    <w:rsid w:val="2C231241"/>
    <w:rsid w:val="2C231F58"/>
    <w:rsid w:val="2C2422F5"/>
    <w:rsid w:val="2C243739"/>
    <w:rsid w:val="2C2440A3"/>
    <w:rsid w:val="2C251BC9"/>
    <w:rsid w:val="2C2520F8"/>
    <w:rsid w:val="2C255DD0"/>
    <w:rsid w:val="2C261B85"/>
    <w:rsid w:val="2C267E1B"/>
    <w:rsid w:val="2C287392"/>
    <w:rsid w:val="2C2916B9"/>
    <w:rsid w:val="2C295B25"/>
    <w:rsid w:val="2C296CCA"/>
    <w:rsid w:val="2C2A63D7"/>
    <w:rsid w:val="2C2B3683"/>
    <w:rsid w:val="2C2C177A"/>
    <w:rsid w:val="2C2C2F57"/>
    <w:rsid w:val="2C2C73FB"/>
    <w:rsid w:val="2C2D0C58"/>
    <w:rsid w:val="2C2D484C"/>
    <w:rsid w:val="2C2E09A7"/>
    <w:rsid w:val="2C2F0ADD"/>
    <w:rsid w:val="2C2F4A08"/>
    <w:rsid w:val="2C300C99"/>
    <w:rsid w:val="2C302A48"/>
    <w:rsid w:val="2C3047F6"/>
    <w:rsid w:val="2C310A69"/>
    <w:rsid w:val="2C315A5A"/>
    <w:rsid w:val="2C321B26"/>
    <w:rsid w:val="2C3342E6"/>
    <w:rsid w:val="2C335F5A"/>
    <w:rsid w:val="2C340A76"/>
    <w:rsid w:val="2C340C6F"/>
    <w:rsid w:val="2C351E0C"/>
    <w:rsid w:val="2C353425"/>
    <w:rsid w:val="2C355CA9"/>
    <w:rsid w:val="2C361D0A"/>
    <w:rsid w:val="2C363DD6"/>
    <w:rsid w:val="2C365B84"/>
    <w:rsid w:val="2C372028"/>
    <w:rsid w:val="2C3806EC"/>
    <w:rsid w:val="2C385D8C"/>
    <w:rsid w:val="2C387B4E"/>
    <w:rsid w:val="2C397789"/>
    <w:rsid w:val="2C3A30E8"/>
    <w:rsid w:val="2C3A38C6"/>
    <w:rsid w:val="2C3A456C"/>
    <w:rsid w:val="2C3A51FC"/>
    <w:rsid w:val="2C3B319A"/>
    <w:rsid w:val="2C3C763E"/>
    <w:rsid w:val="2C3D33B6"/>
    <w:rsid w:val="2C3D37CB"/>
    <w:rsid w:val="2C3D76D9"/>
    <w:rsid w:val="2C3F0EDD"/>
    <w:rsid w:val="2C3F3C21"/>
    <w:rsid w:val="2C3F5276"/>
    <w:rsid w:val="2C4070B9"/>
    <w:rsid w:val="2C412EA7"/>
    <w:rsid w:val="2C416A03"/>
    <w:rsid w:val="2C424529"/>
    <w:rsid w:val="2C432F0D"/>
    <w:rsid w:val="2C43569C"/>
    <w:rsid w:val="2C441B1F"/>
    <w:rsid w:val="2C442DB6"/>
    <w:rsid w:val="2C4464F3"/>
    <w:rsid w:val="2C451E37"/>
    <w:rsid w:val="2C45602A"/>
    <w:rsid w:val="2C4604BD"/>
    <w:rsid w:val="2C46226B"/>
    <w:rsid w:val="2C471F68"/>
    <w:rsid w:val="2C48411F"/>
    <w:rsid w:val="2C491D5B"/>
    <w:rsid w:val="2C493B09"/>
    <w:rsid w:val="2C494727"/>
    <w:rsid w:val="2C4958B7"/>
    <w:rsid w:val="2C4A1610"/>
    <w:rsid w:val="2C4B162F"/>
    <w:rsid w:val="2C4B1C25"/>
    <w:rsid w:val="2C4D1BB1"/>
    <w:rsid w:val="2C4E1120"/>
    <w:rsid w:val="2C4E2ECE"/>
    <w:rsid w:val="2C5028B1"/>
    <w:rsid w:val="2C5030EA"/>
    <w:rsid w:val="2C504E98"/>
    <w:rsid w:val="2C506C46"/>
    <w:rsid w:val="2C507DF0"/>
    <w:rsid w:val="2C510BC3"/>
    <w:rsid w:val="2C520AB7"/>
    <w:rsid w:val="2C5243EF"/>
    <w:rsid w:val="2C525A98"/>
    <w:rsid w:val="2C527DA2"/>
    <w:rsid w:val="2C531232"/>
    <w:rsid w:val="2C534988"/>
    <w:rsid w:val="2C542B89"/>
    <w:rsid w:val="2C54533B"/>
    <w:rsid w:val="2C550700"/>
    <w:rsid w:val="2C5518F5"/>
    <w:rsid w:val="2C55425C"/>
    <w:rsid w:val="2C5612F4"/>
    <w:rsid w:val="2C565957"/>
    <w:rsid w:val="2C576226"/>
    <w:rsid w:val="2C580C76"/>
    <w:rsid w:val="2C581225"/>
    <w:rsid w:val="2C5830C6"/>
    <w:rsid w:val="2C583C14"/>
    <w:rsid w:val="2C58554A"/>
    <w:rsid w:val="2C59507C"/>
    <w:rsid w:val="2C595B41"/>
    <w:rsid w:val="2C5A1872"/>
    <w:rsid w:val="2C5A35AE"/>
    <w:rsid w:val="2C5A3F68"/>
    <w:rsid w:val="2C5A5D16"/>
    <w:rsid w:val="2C5B3224"/>
    <w:rsid w:val="2C5B55EB"/>
    <w:rsid w:val="2C5C1A8E"/>
    <w:rsid w:val="2C5D4014"/>
    <w:rsid w:val="2C5E492D"/>
    <w:rsid w:val="2C5F157F"/>
    <w:rsid w:val="2C5F332D"/>
    <w:rsid w:val="2C60666F"/>
    <w:rsid w:val="2C610E53"/>
    <w:rsid w:val="2C613836"/>
    <w:rsid w:val="2C6143C8"/>
    <w:rsid w:val="2C6170A5"/>
    <w:rsid w:val="2C622E1D"/>
    <w:rsid w:val="2C624671"/>
    <w:rsid w:val="2C624BCB"/>
    <w:rsid w:val="2C626979"/>
    <w:rsid w:val="2C6334D3"/>
    <w:rsid w:val="2C6336CD"/>
    <w:rsid w:val="2C63688F"/>
    <w:rsid w:val="2C640943"/>
    <w:rsid w:val="2C641F76"/>
    <w:rsid w:val="2C6438F8"/>
    <w:rsid w:val="2C644D88"/>
    <w:rsid w:val="2C653A7C"/>
    <w:rsid w:val="2C655A7B"/>
    <w:rsid w:val="2C66290D"/>
    <w:rsid w:val="2C666469"/>
    <w:rsid w:val="2C672279"/>
    <w:rsid w:val="2C673F8F"/>
    <w:rsid w:val="2C680433"/>
    <w:rsid w:val="2C6941AB"/>
    <w:rsid w:val="2C695AFB"/>
    <w:rsid w:val="2C695F59"/>
    <w:rsid w:val="2C6A6F91"/>
    <w:rsid w:val="2C6B1CD2"/>
    <w:rsid w:val="2C6B3A80"/>
    <w:rsid w:val="2C6B7F24"/>
    <w:rsid w:val="2C6C23FD"/>
    <w:rsid w:val="2C6C4BD5"/>
    <w:rsid w:val="2C6C77F8"/>
    <w:rsid w:val="2C6E0D6E"/>
    <w:rsid w:val="2C6E3570"/>
    <w:rsid w:val="2C6F0A0B"/>
    <w:rsid w:val="2C6F24A5"/>
    <w:rsid w:val="2C6F72CA"/>
    <w:rsid w:val="2C70340D"/>
    <w:rsid w:val="2C703778"/>
    <w:rsid w:val="2C703BB7"/>
    <w:rsid w:val="2C7066A0"/>
    <w:rsid w:val="2C7072E8"/>
    <w:rsid w:val="2C714E0E"/>
    <w:rsid w:val="2C716A20"/>
    <w:rsid w:val="2C723060"/>
    <w:rsid w:val="2C73502A"/>
    <w:rsid w:val="2C736DD8"/>
    <w:rsid w:val="2C743CFC"/>
    <w:rsid w:val="2C75313C"/>
    <w:rsid w:val="2C7548FE"/>
    <w:rsid w:val="2C7566AC"/>
    <w:rsid w:val="2C757690"/>
    <w:rsid w:val="2C760121"/>
    <w:rsid w:val="2C771A65"/>
    <w:rsid w:val="2C773720"/>
    <w:rsid w:val="2C7768C8"/>
    <w:rsid w:val="2C7817B0"/>
    <w:rsid w:val="2C784601"/>
    <w:rsid w:val="2C78619D"/>
    <w:rsid w:val="2C792F4D"/>
    <w:rsid w:val="2C7A06EF"/>
    <w:rsid w:val="2C7A1F15"/>
    <w:rsid w:val="2C7A3CC3"/>
    <w:rsid w:val="2C7A5060"/>
    <w:rsid w:val="2C7C18CE"/>
    <w:rsid w:val="2C7C249D"/>
    <w:rsid w:val="2C7C300F"/>
    <w:rsid w:val="2C7C3EDF"/>
    <w:rsid w:val="2C7D31B0"/>
    <w:rsid w:val="2C7E2617"/>
    <w:rsid w:val="2C7E7070"/>
    <w:rsid w:val="2C7E7C57"/>
    <w:rsid w:val="2C7F5513"/>
    <w:rsid w:val="2C80019D"/>
    <w:rsid w:val="2C802E20"/>
    <w:rsid w:val="2C8043FC"/>
    <w:rsid w:val="2C8113C9"/>
    <w:rsid w:val="2C8156C5"/>
    <w:rsid w:val="2C820DC9"/>
    <w:rsid w:val="2C82701B"/>
    <w:rsid w:val="2C8325A7"/>
    <w:rsid w:val="2C83526D"/>
    <w:rsid w:val="2C855616"/>
    <w:rsid w:val="2C8563D4"/>
    <w:rsid w:val="2C8608B9"/>
    <w:rsid w:val="2C862667"/>
    <w:rsid w:val="2C8640C1"/>
    <w:rsid w:val="2C864D5D"/>
    <w:rsid w:val="2C867FC2"/>
    <w:rsid w:val="2C8750B7"/>
    <w:rsid w:val="2C882884"/>
    <w:rsid w:val="2C884632"/>
    <w:rsid w:val="2C885566"/>
    <w:rsid w:val="2C887846"/>
    <w:rsid w:val="2C892158"/>
    <w:rsid w:val="2C8A049C"/>
    <w:rsid w:val="2C8A4F82"/>
    <w:rsid w:val="2C8A5E31"/>
    <w:rsid w:val="2C8B6B4C"/>
    <w:rsid w:val="2C8C2B04"/>
    <w:rsid w:val="2C8D7B3B"/>
    <w:rsid w:val="2C8E2CEF"/>
    <w:rsid w:val="2C8E77D0"/>
    <w:rsid w:val="2C9034E6"/>
    <w:rsid w:val="2C90798A"/>
    <w:rsid w:val="2C920BF7"/>
    <w:rsid w:val="2C9216BB"/>
    <w:rsid w:val="2C923702"/>
    <w:rsid w:val="2C9254B0"/>
    <w:rsid w:val="2C9256AF"/>
    <w:rsid w:val="2C931228"/>
    <w:rsid w:val="2C93465B"/>
    <w:rsid w:val="2C9458F9"/>
    <w:rsid w:val="2C953968"/>
    <w:rsid w:val="2C95574B"/>
    <w:rsid w:val="2C962486"/>
    <w:rsid w:val="2C974875"/>
    <w:rsid w:val="2C974E26"/>
    <w:rsid w:val="2C9764D6"/>
    <w:rsid w:val="2C9805ED"/>
    <w:rsid w:val="2C98683F"/>
    <w:rsid w:val="2C994B71"/>
    <w:rsid w:val="2C99528E"/>
    <w:rsid w:val="2C9A25B7"/>
    <w:rsid w:val="2C9A6598"/>
    <w:rsid w:val="2C9B135A"/>
    <w:rsid w:val="2C9C00DD"/>
    <w:rsid w:val="2C9C0849"/>
    <w:rsid w:val="2C9C1E8B"/>
    <w:rsid w:val="2C9E1BF4"/>
    <w:rsid w:val="2C9E7D7D"/>
    <w:rsid w:val="2C9F25CE"/>
    <w:rsid w:val="2C9F5E1F"/>
    <w:rsid w:val="2C9F63A9"/>
    <w:rsid w:val="2CA10A28"/>
    <w:rsid w:val="2CA1389A"/>
    <w:rsid w:val="2CA174A1"/>
    <w:rsid w:val="2CA23219"/>
    <w:rsid w:val="2CA246E6"/>
    <w:rsid w:val="2CA248AA"/>
    <w:rsid w:val="2CA3146B"/>
    <w:rsid w:val="2CA376BD"/>
    <w:rsid w:val="2CA60A2D"/>
    <w:rsid w:val="2CA64AB8"/>
    <w:rsid w:val="2CA64B3B"/>
    <w:rsid w:val="2CA85B69"/>
    <w:rsid w:val="2CA86A82"/>
    <w:rsid w:val="2CA927FA"/>
    <w:rsid w:val="2CAB4CAE"/>
    <w:rsid w:val="2CAB6572"/>
    <w:rsid w:val="2CAB751D"/>
    <w:rsid w:val="2CAC0439"/>
    <w:rsid w:val="2CAC2729"/>
    <w:rsid w:val="2CAC34BC"/>
    <w:rsid w:val="2CAD22EA"/>
    <w:rsid w:val="2CAD30BF"/>
    <w:rsid w:val="2CAD5E46"/>
    <w:rsid w:val="2CAD73E0"/>
    <w:rsid w:val="2CAE3F84"/>
    <w:rsid w:val="2CAE56E3"/>
    <w:rsid w:val="2CAF0C57"/>
    <w:rsid w:val="2CAF0E20"/>
    <w:rsid w:val="2CB01DE4"/>
    <w:rsid w:val="2CB03B88"/>
    <w:rsid w:val="2CB05936"/>
    <w:rsid w:val="2CB10963"/>
    <w:rsid w:val="2CB1338F"/>
    <w:rsid w:val="2CB216AE"/>
    <w:rsid w:val="2CB230DE"/>
    <w:rsid w:val="2CB2481F"/>
    <w:rsid w:val="2CB308BF"/>
    <w:rsid w:val="2CB417D6"/>
    <w:rsid w:val="2CB4367B"/>
    <w:rsid w:val="2CB4713F"/>
    <w:rsid w:val="2CB52F4D"/>
    <w:rsid w:val="2CB64630"/>
    <w:rsid w:val="2CB71FE8"/>
    <w:rsid w:val="2CB73169"/>
    <w:rsid w:val="2CB73C72"/>
    <w:rsid w:val="2CB74404"/>
    <w:rsid w:val="2CB74F17"/>
    <w:rsid w:val="2CB768A9"/>
    <w:rsid w:val="2CB76CC5"/>
    <w:rsid w:val="2CB82A3D"/>
    <w:rsid w:val="2CB847EB"/>
    <w:rsid w:val="2CB9454E"/>
    <w:rsid w:val="2CB966E5"/>
    <w:rsid w:val="2CB9711D"/>
    <w:rsid w:val="2CBA5C99"/>
    <w:rsid w:val="2CBA6005"/>
    <w:rsid w:val="2CBB4441"/>
    <w:rsid w:val="2CBC077F"/>
    <w:rsid w:val="2CBC252D"/>
    <w:rsid w:val="2CBC6D61"/>
    <w:rsid w:val="2CBC7C58"/>
    <w:rsid w:val="2CBD0053"/>
    <w:rsid w:val="2CBE44F7"/>
    <w:rsid w:val="2CBE5362"/>
    <w:rsid w:val="2CBE62A5"/>
    <w:rsid w:val="2CBF4252"/>
    <w:rsid w:val="2CC0621B"/>
    <w:rsid w:val="2CC118F2"/>
    <w:rsid w:val="2CC11E40"/>
    <w:rsid w:val="2CC12570"/>
    <w:rsid w:val="2CC15D7F"/>
    <w:rsid w:val="2CC2106A"/>
    <w:rsid w:val="2CC31B0E"/>
    <w:rsid w:val="2CC338BC"/>
    <w:rsid w:val="2CC42844"/>
    <w:rsid w:val="2CC43190"/>
    <w:rsid w:val="2CC45C10"/>
    <w:rsid w:val="2CC47634"/>
    <w:rsid w:val="2CC500C4"/>
    <w:rsid w:val="2CC55886"/>
    <w:rsid w:val="2CC61554"/>
    <w:rsid w:val="2CC633AC"/>
    <w:rsid w:val="2CC64058"/>
    <w:rsid w:val="2CC80B4D"/>
    <w:rsid w:val="2CC80D03"/>
    <w:rsid w:val="2CC909E5"/>
    <w:rsid w:val="2CC94C4A"/>
    <w:rsid w:val="2CC9573A"/>
    <w:rsid w:val="2CCC3634"/>
    <w:rsid w:val="2CCC6551"/>
    <w:rsid w:val="2CCC7F97"/>
    <w:rsid w:val="2CCD0296"/>
    <w:rsid w:val="2CCD3F5D"/>
    <w:rsid w:val="2CCD64E8"/>
    <w:rsid w:val="2CCE2069"/>
    <w:rsid w:val="2CCE28B7"/>
    <w:rsid w:val="2CCF04B2"/>
    <w:rsid w:val="2CCF4549"/>
    <w:rsid w:val="2CD051D7"/>
    <w:rsid w:val="2CD07D87"/>
    <w:rsid w:val="2CD16541"/>
    <w:rsid w:val="2CD21D51"/>
    <w:rsid w:val="2CD233DA"/>
    <w:rsid w:val="2CD26976"/>
    <w:rsid w:val="2CD33A67"/>
    <w:rsid w:val="2CD45AC9"/>
    <w:rsid w:val="2CD47303"/>
    <w:rsid w:val="2CD50A22"/>
    <w:rsid w:val="2CD51E00"/>
    <w:rsid w:val="2CD5539D"/>
    <w:rsid w:val="2CD61610"/>
    <w:rsid w:val="2CD625CB"/>
    <w:rsid w:val="2CD62D84"/>
    <w:rsid w:val="2CD63A00"/>
    <w:rsid w:val="2CD65314"/>
    <w:rsid w:val="2CD661B4"/>
    <w:rsid w:val="2CD7257D"/>
    <w:rsid w:val="2CD72A9E"/>
    <w:rsid w:val="2CD7662B"/>
    <w:rsid w:val="2CD77367"/>
    <w:rsid w:val="2CD81589"/>
    <w:rsid w:val="2CD8161B"/>
    <w:rsid w:val="2CD8175D"/>
    <w:rsid w:val="2CD817D0"/>
    <w:rsid w:val="2CD94E8D"/>
    <w:rsid w:val="2CD969A7"/>
    <w:rsid w:val="2CD979CA"/>
    <w:rsid w:val="2CDA18B2"/>
    <w:rsid w:val="2CDA2092"/>
    <w:rsid w:val="2CDA6697"/>
    <w:rsid w:val="2CDA68C9"/>
    <w:rsid w:val="2CDA6E57"/>
    <w:rsid w:val="2CDB5A84"/>
    <w:rsid w:val="2CDC497D"/>
    <w:rsid w:val="2CDC6693"/>
    <w:rsid w:val="2CDC7515"/>
    <w:rsid w:val="2CDD05EA"/>
    <w:rsid w:val="2CDD5D11"/>
    <w:rsid w:val="2CDD77DB"/>
    <w:rsid w:val="2CDE06F5"/>
    <w:rsid w:val="2CDE5DA4"/>
    <w:rsid w:val="2CDE6075"/>
    <w:rsid w:val="2CDE6947"/>
    <w:rsid w:val="2CDF2696"/>
    <w:rsid w:val="2CDF7925"/>
    <w:rsid w:val="2CE03C9B"/>
    <w:rsid w:val="2CE101E6"/>
    <w:rsid w:val="2CE10D2D"/>
    <w:rsid w:val="2CE11F94"/>
    <w:rsid w:val="2CE126D5"/>
    <w:rsid w:val="2CE13D42"/>
    <w:rsid w:val="2CE37ABA"/>
    <w:rsid w:val="2CE43832"/>
    <w:rsid w:val="2CE55431"/>
    <w:rsid w:val="2CE55D84"/>
    <w:rsid w:val="2CE55F6D"/>
    <w:rsid w:val="2CE61358"/>
    <w:rsid w:val="2CE675AA"/>
    <w:rsid w:val="2CEA5DBE"/>
    <w:rsid w:val="2CEA709A"/>
    <w:rsid w:val="2CEB1D0A"/>
    <w:rsid w:val="2CEB4BC0"/>
    <w:rsid w:val="2CEB68D9"/>
    <w:rsid w:val="2CEC25AB"/>
    <w:rsid w:val="2CEC326F"/>
    <w:rsid w:val="2CEC5E40"/>
    <w:rsid w:val="2CED26E7"/>
    <w:rsid w:val="2CED6B8B"/>
    <w:rsid w:val="2CED72D0"/>
    <w:rsid w:val="2CEE2673"/>
    <w:rsid w:val="2CEE645F"/>
    <w:rsid w:val="2CEF2903"/>
    <w:rsid w:val="2CEF46B1"/>
    <w:rsid w:val="2CF0667B"/>
    <w:rsid w:val="2CF0745D"/>
    <w:rsid w:val="2CF12665"/>
    <w:rsid w:val="2CF20571"/>
    <w:rsid w:val="2CF241A1"/>
    <w:rsid w:val="2CF25F4F"/>
    <w:rsid w:val="2CF2743D"/>
    <w:rsid w:val="2CF33A75"/>
    <w:rsid w:val="2CF40CE2"/>
    <w:rsid w:val="2CF560B4"/>
    <w:rsid w:val="2CF6241F"/>
    <w:rsid w:val="2CF64B4B"/>
    <w:rsid w:val="2CF717B7"/>
    <w:rsid w:val="2CF75313"/>
    <w:rsid w:val="2CF77343"/>
    <w:rsid w:val="2CF9108B"/>
    <w:rsid w:val="2CF95B7D"/>
    <w:rsid w:val="2CF97199"/>
    <w:rsid w:val="2CFC0B7C"/>
    <w:rsid w:val="2CFC4EA2"/>
    <w:rsid w:val="2CFC5020"/>
    <w:rsid w:val="2CFC5935"/>
    <w:rsid w:val="2CFC6DCE"/>
    <w:rsid w:val="2CFD3C77"/>
    <w:rsid w:val="2CFD572A"/>
    <w:rsid w:val="2CFF16E5"/>
    <w:rsid w:val="2D012636"/>
    <w:rsid w:val="2D01290C"/>
    <w:rsid w:val="2D01296F"/>
    <w:rsid w:val="2D022756"/>
    <w:rsid w:val="2D03015C"/>
    <w:rsid w:val="2D031F0A"/>
    <w:rsid w:val="2D0353F2"/>
    <w:rsid w:val="2D035FCE"/>
    <w:rsid w:val="2D0363AE"/>
    <w:rsid w:val="2D0447DA"/>
    <w:rsid w:val="2D053ED4"/>
    <w:rsid w:val="2D055B85"/>
    <w:rsid w:val="2D06162C"/>
    <w:rsid w:val="2D0637A8"/>
    <w:rsid w:val="2D0668E8"/>
    <w:rsid w:val="2D067C4C"/>
    <w:rsid w:val="2D07409C"/>
    <w:rsid w:val="2D080D9B"/>
    <w:rsid w:val="2D0839C4"/>
    <w:rsid w:val="2D095368"/>
    <w:rsid w:val="2D0A3299"/>
    <w:rsid w:val="2D0A773C"/>
    <w:rsid w:val="2D0B0DBF"/>
    <w:rsid w:val="2D0B5EFD"/>
    <w:rsid w:val="2D0B6E55"/>
    <w:rsid w:val="2D0D4B37"/>
    <w:rsid w:val="2D0D5178"/>
    <w:rsid w:val="2D0F11D9"/>
    <w:rsid w:val="2D0F16AB"/>
    <w:rsid w:val="2D0F40E5"/>
    <w:rsid w:val="2D102879"/>
    <w:rsid w:val="2D104627"/>
    <w:rsid w:val="2D11636C"/>
    <w:rsid w:val="2D121EBA"/>
    <w:rsid w:val="2D1401E3"/>
    <w:rsid w:val="2D140C99"/>
    <w:rsid w:val="2D142369"/>
    <w:rsid w:val="2D1445BF"/>
    <w:rsid w:val="2D145EC5"/>
    <w:rsid w:val="2D157E8F"/>
    <w:rsid w:val="2D164CD3"/>
    <w:rsid w:val="2D173C07"/>
    <w:rsid w:val="2D177764"/>
    <w:rsid w:val="2D17796B"/>
    <w:rsid w:val="2D197980"/>
    <w:rsid w:val="2D1A4A9B"/>
    <w:rsid w:val="2D1B2221"/>
    <w:rsid w:val="2D1B234D"/>
    <w:rsid w:val="2D1C121E"/>
    <w:rsid w:val="2D1C1D90"/>
    <w:rsid w:val="2D1C7470"/>
    <w:rsid w:val="2D1E0AF2"/>
    <w:rsid w:val="2D1E2558"/>
    <w:rsid w:val="2D1F071D"/>
    <w:rsid w:val="2D1F0CCE"/>
    <w:rsid w:val="2D1F0EDE"/>
    <w:rsid w:val="2D1F486A"/>
    <w:rsid w:val="2D1F6963"/>
    <w:rsid w:val="2D1F6B19"/>
    <w:rsid w:val="2D200D0E"/>
    <w:rsid w:val="2D202ABC"/>
    <w:rsid w:val="2D205F0B"/>
    <w:rsid w:val="2D206FF2"/>
    <w:rsid w:val="2D2105E2"/>
    <w:rsid w:val="2D2325AC"/>
    <w:rsid w:val="2D236108"/>
    <w:rsid w:val="2D241E80"/>
    <w:rsid w:val="2D256324"/>
    <w:rsid w:val="2D261C60"/>
    <w:rsid w:val="2D26209C"/>
    <w:rsid w:val="2D265FD0"/>
    <w:rsid w:val="2D272D50"/>
    <w:rsid w:val="2D274CAE"/>
    <w:rsid w:val="2D277543"/>
    <w:rsid w:val="2D281D80"/>
    <w:rsid w:val="2D285E15"/>
    <w:rsid w:val="2D2873E5"/>
    <w:rsid w:val="2D291501"/>
    <w:rsid w:val="2D2A393B"/>
    <w:rsid w:val="2D2A78CE"/>
    <w:rsid w:val="2D2B1461"/>
    <w:rsid w:val="2D2B320F"/>
    <w:rsid w:val="2D2C76B3"/>
    <w:rsid w:val="2D2D6F87"/>
    <w:rsid w:val="2D2E0C20"/>
    <w:rsid w:val="2D2E3032"/>
    <w:rsid w:val="2D2E4048"/>
    <w:rsid w:val="2D2F2CFF"/>
    <w:rsid w:val="2D306A77"/>
    <w:rsid w:val="2D3140DB"/>
    <w:rsid w:val="2D316C87"/>
    <w:rsid w:val="2D320A41"/>
    <w:rsid w:val="2D3211F6"/>
    <w:rsid w:val="2D324B37"/>
    <w:rsid w:val="2D327875"/>
    <w:rsid w:val="2D3305D4"/>
    <w:rsid w:val="2D341A64"/>
    <w:rsid w:val="2D3447B9"/>
    <w:rsid w:val="2D345480"/>
    <w:rsid w:val="2D35534D"/>
    <w:rsid w:val="2D355E3C"/>
    <w:rsid w:val="2D3619B4"/>
    <w:rsid w:val="2D361C3F"/>
    <w:rsid w:val="2D3622E0"/>
    <w:rsid w:val="2D3673DA"/>
    <w:rsid w:val="2D371BB4"/>
    <w:rsid w:val="2D375814"/>
    <w:rsid w:val="2D376058"/>
    <w:rsid w:val="2D377E06"/>
    <w:rsid w:val="2D3922B9"/>
    <w:rsid w:val="2D39592C"/>
    <w:rsid w:val="2D3A4195"/>
    <w:rsid w:val="2D3C729B"/>
    <w:rsid w:val="2D3D0D54"/>
    <w:rsid w:val="2D3D1686"/>
    <w:rsid w:val="2D3E0E1B"/>
    <w:rsid w:val="2D3E2F42"/>
    <w:rsid w:val="2D3E73E6"/>
    <w:rsid w:val="2D3F2A7E"/>
    <w:rsid w:val="2D3F67FA"/>
    <w:rsid w:val="2D3F6827"/>
    <w:rsid w:val="2D402BD8"/>
    <w:rsid w:val="2D40315E"/>
    <w:rsid w:val="2D404F0C"/>
    <w:rsid w:val="2D404FA8"/>
    <w:rsid w:val="2D412A32"/>
    <w:rsid w:val="2D4246BC"/>
    <w:rsid w:val="2D426ED6"/>
    <w:rsid w:val="2D430559"/>
    <w:rsid w:val="2D4349FC"/>
    <w:rsid w:val="2D4367AA"/>
    <w:rsid w:val="2D440E77"/>
    <w:rsid w:val="2D444BF9"/>
    <w:rsid w:val="2D447E18"/>
    <w:rsid w:val="2D453D9E"/>
    <w:rsid w:val="2D4542D1"/>
    <w:rsid w:val="2D460196"/>
    <w:rsid w:val="2D4652DE"/>
    <w:rsid w:val="2D46629B"/>
    <w:rsid w:val="2D471421"/>
    <w:rsid w:val="2D4744ED"/>
    <w:rsid w:val="2D474536"/>
    <w:rsid w:val="2D475E7D"/>
    <w:rsid w:val="2D485B6F"/>
    <w:rsid w:val="2D4A53CB"/>
    <w:rsid w:val="2D4A5D8B"/>
    <w:rsid w:val="2D4A7B39"/>
    <w:rsid w:val="2D4B00AA"/>
    <w:rsid w:val="2D4B16D2"/>
    <w:rsid w:val="2D4B38B1"/>
    <w:rsid w:val="2D4B5198"/>
    <w:rsid w:val="2D4B534E"/>
    <w:rsid w:val="2D4B565F"/>
    <w:rsid w:val="2D4B5A24"/>
    <w:rsid w:val="2D4C032D"/>
    <w:rsid w:val="2D4C1B03"/>
    <w:rsid w:val="2D4C7CEB"/>
    <w:rsid w:val="2D4D0FE3"/>
    <w:rsid w:val="2D4D13D7"/>
    <w:rsid w:val="2D4D260B"/>
    <w:rsid w:val="2D4D587B"/>
    <w:rsid w:val="2D4D7A01"/>
    <w:rsid w:val="2D4E3A9B"/>
    <w:rsid w:val="2D4F514F"/>
    <w:rsid w:val="2D4F5ACD"/>
    <w:rsid w:val="2D4F666C"/>
    <w:rsid w:val="2D4F6EFD"/>
    <w:rsid w:val="2D502C75"/>
    <w:rsid w:val="2D507AFC"/>
    <w:rsid w:val="2D510EC7"/>
    <w:rsid w:val="2D513C5E"/>
    <w:rsid w:val="2D522E91"/>
    <w:rsid w:val="2D522E92"/>
    <w:rsid w:val="2D5324D5"/>
    <w:rsid w:val="2D53647D"/>
    <w:rsid w:val="2D5473F4"/>
    <w:rsid w:val="2D5524DE"/>
    <w:rsid w:val="2D560DCD"/>
    <w:rsid w:val="2D561B9B"/>
    <w:rsid w:val="2D5664DE"/>
    <w:rsid w:val="2D567E83"/>
    <w:rsid w:val="2D5704A8"/>
    <w:rsid w:val="2D572256"/>
    <w:rsid w:val="2D575ADC"/>
    <w:rsid w:val="2D5775CB"/>
    <w:rsid w:val="2D583F5E"/>
    <w:rsid w:val="2D58628E"/>
    <w:rsid w:val="2D59056D"/>
    <w:rsid w:val="2D5908D8"/>
    <w:rsid w:val="2D595FCE"/>
    <w:rsid w:val="2D597D7C"/>
    <w:rsid w:val="2D5A34AE"/>
    <w:rsid w:val="2D5A377F"/>
    <w:rsid w:val="2D5A4A33"/>
    <w:rsid w:val="2D5A70E9"/>
    <w:rsid w:val="2D5B1D46"/>
    <w:rsid w:val="2D5B3AF4"/>
    <w:rsid w:val="2D5B4FFC"/>
    <w:rsid w:val="2D5B7F98"/>
    <w:rsid w:val="2D5C5ABE"/>
    <w:rsid w:val="2D5D50E6"/>
    <w:rsid w:val="2D5E1836"/>
    <w:rsid w:val="2D5E5392"/>
    <w:rsid w:val="2D5E5B3B"/>
    <w:rsid w:val="2D5F089D"/>
    <w:rsid w:val="2D5F4233"/>
    <w:rsid w:val="2D600851"/>
    <w:rsid w:val="2D60110A"/>
    <w:rsid w:val="2D6012D0"/>
    <w:rsid w:val="2D6055AE"/>
    <w:rsid w:val="2D60735C"/>
    <w:rsid w:val="2D614E83"/>
    <w:rsid w:val="2D621327"/>
    <w:rsid w:val="2D621DCA"/>
    <w:rsid w:val="2D6230D5"/>
    <w:rsid w:val="2D630BFB"/>
    <w:rsid w:val="2D63143F"/>
    <w:rsid w:val="2D634A07"/>
    <w:rsid w:val="2D652BC5"/>
    <w:rsid w:val="2D656721"/>
    <w:rsid w:val="2D664671"/>
    <w:rsid w:val="2D666D38"/>
    <w:rsid w:val="2D671A9D"/>
    <w:rsid w:val="2D672D4A"/>
    <w:rsid w:val="2D6746CD"/>
    <w:rsid w:val="2D6818FA"/>
    <w:rsid w:val="2D681A05"/>
    <w:rsid w:val="2D681A7C"/>
    <w:rsid w:val="2D68334E"/>
    <w:rsid w:val="2D686211"/>
    <w:rsid w:val="2D690695"/>
    <w:rsid w:val="2D6A01DB"/>
    <w:rsid w:val="2D6A2651"/>
    <w:rsid w:val="2D6A3D37"/>
    <w:rsid w:val="2D6A5D92"/>
    <w:rsid w:val="2D6B4704"/>
    <w:rsid w:val="2D6B72D5"/>
    <w:rsid w:val="2D6B7AAF"/>
    <w:rsid w:val="2D6C314B"/>
    <w:rsid w:val="2D6C3F53"/>
    <w:rsid w:val="2D6D1A79"/>
    <w:rsid w:val="2D6D1BF5"/>
    <w:rsid w:val="2D6D29C6"/>
    <w:rsid w:val="2D6D3827"/>
    <w:rsid w:val="2D6E6CFC"/>
    <w:rsid w:val="2D6F066D"/>
    <w:rsid w:val="2D6F08EB"/>
    <w:rsid w:val="2D6F5821"/>
    <w:rsid w:val="2D6F75A0"/>
    <w:rsid w:val="2D713318"/>
    <w:rsid w:val="2D715AEE"/>
    <w:rsid w:val="2D725241"/>
    <w:rsid w:val="2D7352E2"/>
    <w:rsid w:val="2D744BB6"/>
    <w:rsid w:val="2D746EF7"/>
    <w:rsid w:val="2D7503AA"/>
    <w:rsid w:val="2D766B80"/>
    <w:rsid w:val="2D773EEE"/>
    <w:rsid w:val="2D7745C4"/>
    <w:rsid w:val="2D7746A6"/>
    <w:rsid w:val="2D7770E6"/>
    <w:rsid w:val="2D7824C2"/>
    <w:rsid w:val="2D7828F8"/>
    <w:rsid w:val="2D783141"/>
    <w:rsid w:val="2D783662"/>
    <w:rsid w:val="2D796490"/>
    <w:rsid w:val="2D7A21B6"/>
    <w:rsid w:val="2D7A2D69"/>
    <w:rsid w:val="2D7A5DEE"/>
    <w:rsid w:val="2D7B207C"/>
    <w:rsid w:val="2D7B23E8"/>
    <w:rsid w:val="2D7B3BC0"/>
    <w:rsid w:val="2D7B45B3"/>
    <w:rsid w:val="2D7B527C"/>
    <w:rsid w:val="2D7B7CF2"/>
    <w:rsid w:val="2D7C1F5D"/>
    <w:rsid w:val="2D7D0027"/>
    <w:rsid w:val="2D7E77E3"/>
    <w:rsid w:val="2D802DA0"/>
    <w:rsid w:val="2D81006B"/>
    <w:rsid w:val="2D816D41"/>
    <w:rsid w:val="2D825525"/>
    <w:rsid w:val="2D82773D"/>
    <w:rsid w:val="2D83129D"/>
    <w:rsid w:val="2D8350FA"/>
    <w:rsid w:val="2D853E99"/>
    <w:rsid w:val="2D85445E"/>
    <w:rsid w:val="2D8561F1"/>
    <w:rsid w:val="2D863EDD"/>
    <w:rsid w:val="2D866360"/>
    <w:rsid w:val="2D872B3B"/>
    <w:rsid w:val="2D8748E9"/>
    <w:rsid w:val="2D875092"/>
    <w:rsid w:val="2D88240F"/>
    <w:rsid w:val="2D89528C"/>
    <w:rsid w:val="2D8974E3"/>
    <w:rsid w:val="2D897EC5"/>
    <w:rsid w:val="2D8A6187"/>
    <w:rsid w:val="2D8C1F00"/>
    <w:rsid w:val="2D8C3A3D"/>
    <w:rsid w:val="2D8C5D59"/>
    <w:rsid w:val="2D8D5C78"/>
    <w:rsid w:val="2D8D7A26"/>
    <w:rsid w:val="2D8E211C"/>
    <w:rsid w:val="2D8F5E37"/>
    <w:rsid w:val="2D8F7C42"/>
    <w:rsid w:val="2D91314B"/>
    <w:rsid w:val="2D9139BA"/>
    <w:rsid w:val="2D91417C"/>
    <w:rsid w:val="2D915768"/>
    <w:rsid w:val="2D91641F"/>
    <w:rsid w:val="2D917516"/>
    <w:rsid w:val="2D9214E0"/>
    <w:rsid w:val="2D922480"/>
    <w:rsid w:val="2D931E0B"/>
    <w:rsid w:val="2D9371D9"/>
    <w:rsid w:val="2D940DB4"/>
    <w:rsid w:val="2D951134"/>
    <w:rsid w:val="2D9576BA"/>
    <w:rsid w:val="2D957BDB"/>
    <w:rsid w:val="2D960FD0"/>
    <w:rsid w:val="2D964B2C"/>
    <w:rsid w:val="2D967B74"/>
    <w:rsid w:val="2D972291"/>
    <w:rsid w:val="2D981A9F"/>
    <w:rsid w:val="2D99286E"/>
    <w:rsid w:val="2D9A3BB6"/>
    <w:rsid w:val="2D9B0395"/>
    <w:rsid w:val="2D9B20A2"/>
    <w:rsid w:val="2D9B3372"/>
    <w:rsid w:val="2D9C5EBB"/>
    <w:rsid w:val="2D9D235F"/>
    <w:rsid w:val="2D9E04B7"/>
    <w:rsid w:val="2D9E23B4"/>
    <w:rsid w:val="2D9E56F5"/>
    <w:rsid w:val="2D9E60D7"/>
    <w:rsid w:val="2D9E7E85"/>
    <w:rsid w:val="2D9F35F4"/>
    <w:rsid w:val="2DA0486D"/>
    <w:rsid w:val="2DA0671C"/>
    <w:rsid w:val="2DA136E7"/>
    <w:rsid w:val="2DA273A4"/>
    <w:rsid w:val="2DA27975"/>
    <w:rsid w:val="2DA32181"/>
    <w:rsid w:val="2DA336ED"/>
    <w:rsid w:val="2DA3549B"/>
    <w:rsid w:val="2DA37249"/>
    <w:rsid w:val="2DA41267"/>
    <w:rsid w:val="2DA428D7"/>
    <w:rsid w:val="2DA437FC"/>
    <w:rsid w:val="2DA51213"/>
    <w:rsid w:val="2DA54B7A"/>
    <w:rsid w:val="2DA57465"/>
    <w:rsid w:val="2DA60101"/>
    <w:rsid w:val="2DA60AE7"/>
    <w:rsid w:val="2DA6685F"/>
    <w:rsid w:val="2DA671B5"/>
    <w:rsid w:val="2DA74F8B"/>
    <w:rsid w:val="2DA82AB1"/>
    <w:rsid w:val="2DA83E6E"/>
    <w:rsid w:val="2DA90CEA"/>
    <w:rsid w:val="2DA95DA3"/>
    <w:rsid w:val="2DAA0707"/>
    <w:rsid w:val="2DAA4A7C"/>
    <w:rsid w:val="2DAA6FC6"/>
    <w:rsid w:val="2DAB007F"/>
    <w:rsid w:val="2DAC0A59"/>
    <w:rsid w:val="2DAC25A2"/>
    <w:rsid w:val="2DAC4350"/>
    <w:rsid w:val="2DAC5190"/>
    <w:rsid w:val="2DAD00C8"/>
    <w:rsid w:val="2DAD6F38"/>
    <w:rsid w:val="2DAE4EAB"/>
    <w:rsid w:val="2DAE631A"/>
    <w:rsid w:val="2DAF2092"/>
    <w:rsid w:val="2DAF3E40"/>
    <w:rsid w:val="2DAF7048"/>
    <w:rsid w:val="2DB10E80"/>
    <w:rsid w:val="2DB140EA"/>
    <w:rsid w:val="2DB142C8"/>
    <w:rsid w:val="2DB17BB8"/>
    <w:rsid w:val="2DB17EA9"/>
    <w:rsid w:val="2DB40604"/>
    <w:rsid w:val="2DB41456"/>
    <w:rsid w:val="2DB43204"/>
    <w:rsid w:val="2DB476A8"/>
    <w:rsid w:val="2DB50D63"/>
    <w:rsid w:val="2DB53DA3"/>
    <w:rsid w:val="2DB63420"/>
    <w:rsid w:val="2DB651CE"/>
    <w:rsid w:val="2DB72CF5"/>
    <w:rsid w:val="2DB72D0B"/>
    <w:rsid w:val="2DB815CA"/>
    <w:rsid w:val="2DB87747"/>
    <w:rsid w:val="2DB91AFF"/>
    <w:rsid w:val="2DBA2DA2"/>
    <w:rsid w:val="2DBB0A37"/>
    <w:rsid w:val="2DBB17C1"/>
    <w:rsid w:val="2DBB4593"/>
    <w:rsid w:val="2DBD12AA"/>
    <w:rsid w:val="2DBD3FAC"/>
    <w:rsid w:val="2DBD47AF"/>
    <w:rsid w:val="2DBE22D5"/>
    <w:rsid w:val="2DBE4083"/>
    <w:rsid w:val="2DBF07F5"/>
    <w:rsid w:val="2DBF7AA3"/>
    <w:rsid w:val="2DC00AAC"/>
    <w:rsid w:val="2DC01BA9"/>
    <w:rsid w:val="2DC0604D"/>
    <w:rsid w:val="2DC06E51"/>
    <w:rsid w:val="2DC071FE"/>
    <w:rsid w:val="2DC14D1F"/>
    <w:rsid w:val="2DC21DC5"/>
    <w:rsid w:val="2DC32046"/>
    <w:rsid w:val="2DC378EB"/>
    <w:rsid w:val="2DC518B5"/>
    <w:rsid w:val="2DC55411"/>
    <w:rsid w:val="2DC7118A"/>
    <w:rsid w:val="2DC8386C"/>
    <w:rsid w:val="2DC83ECC"/>
    <w:rsid w:val="2DC84F02"/>
    <w:rsid w:val="2DC86721"/>
    <w:rsid w:val="2DC93154"/>
    <w:rsid w:val="2DCA28B6"/>
    <w:rsid w:val="2DCB1872"/>
    <w:rsid w:val="2DCB7A40"/>
    <w:rsid w:val="2DCC054E"/>
    <w:rsid w:val="2DCC49F2"/>
    <w:rsid w:val="2DCC67A0"/>
    <w:rsid w:val="2DCD42C6"/>
    <w:rsid w:val="2DCE076A"/>
    <w:rsid w:val="2DCE144A"/>
    <w:rsid w:val="2DCE23DB"/>
    <w:rsid w:val="2DCE2518"/>
    <w:rsid w:val="2DCF1479"/>
    <w:rsid w:val="2DCF214E"/>
    <w:rsid w:val="2DD00881"/>
    <w:rsid w:val="2DD1025A"/>
    <w:rsid w:val="2DD12008"/>
    <w:rsid w:val="2DD129E0"/>
    <w:rsid w:val="2DD218DC"/>
    <w:rsid w:val="2DD271C5"/>
    <w:rsid w:val="2DD3439A"/>
    <w:rsid w:val="2DD35D80"/>
    <w:rsid w:val="2DD373BE"/>
    <w:rsid w:val="2DD44F6C"/>
    <w:rsid w:val="2DD47145"/>
    <w:rsid w:val="2DD613CD"/>
    <w:rsid w:val="2DD64B53"/>
    <w:rsid w:val="2DD66294"/>
    <w:rsid w:val="2DD6761F"/>
    <w:rsid w:val="2DD70448"/>
    <w:rsid w:val="2DD83785"/>
    <w:rsid w:val="2DD85145"/>
    <w:rsid w:val="2DD92C6B"/>
    <w:rsid w:val="2DD9710F"/>
    <w:rsid w:val="2DDA1463"/>
    <w:rsid w:val="2DDA2FFB"/>
    <w:rsid w:val="2DDB6F5B"/>
    <w:rsid w:val="2DDC2106"/>
    <w:rsid w:val="2DDC3596"/>
    <w:rsid w:val="2DDC667A"/>
    <w:rsid w:val="2DDD09AD"/>
    <w:rsid w:val="2DDD275B"/>
    <w:rsid w:val="2DDD44E2"/>
    <w:rsid w:val="2DDD45F4"/>
    <w:rsid w:val="2DDE08F0"/>
    <w:rsid w:val="2DDE509E"/>
    <w:rsid w:val="2DDF4725"/>
    <w:rsid w:val="2DDF621F"/>
    <w:rsid w:val="2DE00249"/>
    <w:rsid w:val="2DE0224B"/>
    <w:rsid w:val="2DE03FF9"/>
    <w:rsid w:val="2DE133A7"/>
    <w:rsid w:val="2DE14B3C"/>
    <w:rsid w:val="2DE2190A"/>
    <w:rsid w:val="2DE25FC3"/>
    <w:rsid w:val="2DE27D71"/>
    <w:rsid w:val="2DE33AEA"/>
    <w:rsid w:val="2DE42613"/>
    <w:rsid w:val="2DE47F8D"/>
    <w:rsid w:val="2DE52846"/>
    <w:rsid w:val="2DE53D06"/>
    <w:rsid w:val="2DE57862"/>
    <w:rsid w:val="2DE64648"/>
    <w:rsid w:val="2DE6567B"/>
    <w:rsid w:val="2DE6608C"/>
    <w:rsid w:val="2DE666CE"/>
    <w:rsid w:val="2DE735DA"/>
    <w:rsid w:val="2DE81100"/>
    <w:rsid w:val="2DE87ADA"/>
    <w:rsid w:val="2DE97352"/>
    <w:rsid w:val="2DEA30CA"/>
    <w:rsid w:val="2DEA5ED6"/>
    <w:rsid w:val="2DEA720D"/>
    <w:rsid w:val="2DEC6E42"/>
    <w:rsid w:val="2DED6716"/>
    <w:rsid w:val="2DEF248E"/>
    <w:rsid w:val="2DEF7CBC"/>
    <w:rsid w:val="2DF002CB"/>
    <w:rsid w:val="2DF06932"/>
    <w:rsid w:val="2DF07709"/>
    <w:rsid w:val="2DF1175B"/>
    <w:rsid w:val="2DF14458"/>
    <w:rsid w:val="2DF16206"/>
    <w:rsid w:val="2DF31F7F"/>
    <w:rsid w:val="2DF34BF7"/>
    <w:rsid w:val="2DF4181D"/>
    <w:rsid w:val="2DF53F49"/>
    <w:rsid w:val="2DF66ED3"/>
    <w:rsid w:val="2DF67AEE"/>
    <w:rsid w:val="2DF75FBB"/>
    <w:rsid w:val="2DF8162E"/>
    <w:rsid w:val="2DF969B7"/>
    <w:rsid w:val="2DFA06EF"/>
    <w:rsid w:val="2DFA155F"/>
    <w:rsid w:val="2DFA568F"/>
    <w:rsid w:val="2DFA64EA"/>
    <w:rsid w:val="2DFA7B20"/>
    <w:rsid w:val="2DFB0E33"/>
    <w:rsid w:val="2DFB52D7"/>
    <w:rsid w:val="2DFD104F"/>
    <w:rsid w:val="2DFE053D"/>
    <w:rsid w:val="2DFE54A0"/>
    <w:rsid w:val="2DFF3137"/>
    <w:rsid w:val="2DFF3D5F"/>
    <w:rsid w:val="2DFF6B75"/>
    <w:rsid w:val="2DFF7816"/>
    <w:rsid w:val="2E0028ED"/>
    <w:rsid w:val="2E0039CE"/>
    <w:rsid w:val="2E00469C"/>
    <w:rsid w:val="2E00644A"/>
    <w:rsid w:val="2E0107CF"/>
    <w:rsid w:val="2E01601C"/>
    <w:rsid w:val="2E023E21"/>
    <w:rsid w:val="2E0251FF"/>
    <w:rsid w:val="2E0260BC"/>
    <w:rsid w:val="2E026666"/>
    <w:rsid w:val="2E033B70"/>
    <w:rsid w:val="2E04693E"/>
    <w:rsid w:val="2E047BD1"/>
    <w:rsid w:val="2E05015C"/>
    <w:rsid w:val="2E050274"/>
    <w:rsid w:val="2E063C32"/>
    <w:rsid w:val="2E070A5D"/>
    <w:rsid w:val="2E0750C2"/>
    <w:rsid w:val="2E080987"/>
    <w:rsid w:val="2E081123"/>
    <w:rsid w:val="2E083758"/>
    <w:rsid w:val="2E083AC3"/>
    <w:rsid w:val="2E090642"/>
    <w:rsid w:val="2E097DCD"/>
    <w:rsid w:val="2E0A0E72"/>
    <w:rsid w:val="2E0A1244"/>
    <w:rsid w:val="2E0A283D"/>
    <w:rsid w:val="2E0A3A43"/>
    <w:rsid w:val="2E0B0FB2"/>
    <w:rsid w:val="2E0B376C"/>
    <w:rsid w:val="2E0C15CD"/>
    <w:rsid w:val="2E0C3D03"/>
    <w:rsid w:val="2E0C4019"/>
    <w:rsid w:val="2E0C4DEE"/>
    <w:rsid w:val="2E0C6363"/>
    <w:rsid w:val="2E0C7D1E"/>
    <w:rsid w:val="2E0D15C1"/>
    <w:rsid w:val="2E0E0B44"/>
    <w:rsid w:val="2E0E0B66"/>
    <w:rsid w:val="2E0F2550"/>
    <w:rsid w:val="2E0F2B31"/>
    <w:rsid w:val="2E0F314B"/>
    <w:rsid w:val="2E1078B5"/>
    <w:rsid w:val="2E110657"/>
    <w:rsid w:val="2E110D45"/>
    <w:rsid w:val="2E112405"/>
    <w:rsid w:val="2E112A84"/>
    <w:rsid w:val="2E113916"/>
    <w:rsid w:val="2E124F9C"/>
    <w:rsid w:val="2E126FD1"/>
    <w:rsid w:val="2E1275C8"/>
    <w:rsid w:val="2E132DD0"/>
    <w:rsid w:val="2E1343CF"/>
    <w:rsid w:val="2E1534AC"/>
    <w:rsid w:val="2E155912"/>
    <w:rsid w:val="2E156399"/>
    <w:rsid w:val="2E163EB3"/>
    <w:rsid w:val="2E165C6D"/>
    <w:rsid w:val="2E166CE2"/>
    <w:rsid w:val="2E170655"/>
    <w:rsid w:val="2E170B66"/>
    <w:rsid w:val="2E174BB7"/>
    <w:rsid w:val="2E175765"/>
    <w:rsid w:val="2E177684"/>
    <w:rsid w:val="2E1819E5"/>
    <w:rsid w:val="2E187C37"/>
    <w:rsid w:val="2E190E69"/>
    <w:rsid w:val="2E191030"/>
    <w:rsid w:val="2E19210D"/>
    <w:rsid w:val="2E1948B2"/>
    <w:rsid w:val="2E19750B"/>
    <w:rsid w:val="2E1A39AF"/>
    <w:rsid w:val="2E1A7FBC"/>
    <w:rsid w:val="2E1B0E28"/>
    <w:rsid w:val="2E1C02E9"/>
    <w:rsid w:val="2E1C5E58"/>
    <w:rsid w:val="2E1D349F"/>
    <w:rsid w:val="2E1D524D"/>
    <w:rsid w:val="2E1E2BF0"/>
    <w:rsid w:val="2E1E4B22"/>
    <w:rsid w:val="2E1F0FC6"/>
    <w:rsid w:val="2E20089A"/>
    <w:rsid w:val="2E2073AA"/>
    <w:rsid w:val="2E21434E"/>
    <w:rsid w:val="2E222864"/>
    <w:rsid w:val="2E2229CD"/>
    <w:rsid w:val="2E224612"/>
    <w:rsid w:val="2E232138"/>
    <w:rsid w:val="2E2365E2"/>
    <w:rsid w:val="2E24038A"/>
    <w:rsid w:val="2E242D4E"/>
    <w:rsid w:val="2E24482E"/>
    <w:rsid w:val="2E2465DC"/>
    <w:rsid w:val="2E251DDB"/>
    <w:rsid w:val="2E253775"/>
    <w:rsid w:val="2E262354"/>
    <w:rsid w:val="2E27171A"/>
    <w:rsid w:val="2E277E7A"/>
    <w:rsid w:val="2E283D2E"/>
    <w:rsid w:val="2E2A216B"/>
    <w:rsid w:val="2E2A34C6"/>
    <w:rsid w:val="2E2B00F2"/>
    <w:rsid w:val="2E2B4900"/>
    <w:rsid w:val="2E2B796A"/>
    <w:rsid w:val="2E2C36E3"/>
    <w:rsid w:val="2E2C471E"/>
    <w:rsid w:val="2E2C5491"/>
    <w:rsid w:val="2E2C69E4"/>
    <w:rsid w:val="2E2D6DDD"/>
    <w:rsid w:val="2E2E026D"/>
    <w:rsid w:val="2E2E745B"/>
    <w:rsid w:val="2E2F0AFB"/>
    <w:rsid w:val="2E2F1EB8"/>
    <w:rsid w:val="2E3014D6"/>
    <w:rsid w:val="2E3021C0"/>
    <w:rsid w:val="2E304F81"/>
    <w:rsid w:val="2E30543D"/>
    <w:rsid w:val="2E312AA7"/>
    <w:rsid w:val="2E332BCE"/>
    <w:rsid w:val="2E33325B"/>
    <w:rsid w:val="2E33339C"/>
    <w:rsid w:val="2E334A71"/>
    <w:rsid w:val="2E341F8D"/>
    <w:rsid w:val="2E344345"/>
    <w:rsid w:val="2E351396"/>
    <w:rsid w:val="2E3536B4"/>
    <w:rsid w:val="2E3569FF"/>
    <w:rsid w:val="2E362909"/>
    <w:rsid w:val="2E36630F"/>
    <w:rsid w:val="2E370443"/>
    <w:rsid w:val="2E375BFF"/>
    <w:rsid w:val="2E383E35"/>
    <w:rsid w:val="2E385BE3"/>
    <w:rsid w:val="2E386AC1"/>
    <w:rsid w:val="2E395380"/>
    <w:rsid w:val="2E397F51"/>
    <w:rsid w:val="2E3A0F5A"/>
    <w:rsid w:val="2E3A7BAD"/>
    <w:rsid w:val="2E3B03E6"/>
    <w:rsid w:val="2E3B1AF8"/>
    <w:rsid w:val="2E3B3926"/>
    <w:rsid w:val="2E3B3FB2"/>
    <w:rsid w:val="2E3B4A4B"/>
    <w:rsid w:val="2E3B56D4"/>
    <w:rsid w:val="2E3C1B78"/>
    <w:rsid w:val="2E3D0B3B"/>
    <w:rsid w:val="2E3D31FA"/>
    <w:rsid w:val="2E3D58F0"/>
    <w:rsid w:val="2E3E7D62"/>
    <w:rsid w:val="2E405367"/>
    <w:rsid w:val="2E406C74"/>
    <w:rsid w:val="2E406FC4"/>
    <w:rsid w:val="2E4166E3"/>
    <w:rsid w:val="2E41718E"/>
    <w:rsid w:val="2E4251AC"/>
    <w:rsid w:val="2E425361"/>
    <w:rsid w:val="2E425517"/>
    <w:rsid w:val="2E426A62"/>
    <w:rsid w:val="2E4270DC"/>
    <w:rsid w:val="2E440A2C"/>
    <w:rsid w:val="2E4427DA"/>
    <w:rsid w:val="2E443652"/>
    <w:rsid w:val="2E450300"/>
    <w:rsid w:val="2E451217"/>
    <w:rsid w:val="2E456552"/>
    <w:rsid w:val="2E472555"/>
    <w:rsid w:val="2E474078"/>
    <w:rsid w:val="2E487287"/>
    <w:rsid w:val="2E491B76"/>
    <w:rsid w:val="2E494294"/>
    <w:rsid w:val="2E497A46"/>
    <w:rsid w:val="2E497DF1"/>
    <w:rsid w:val="2E4A4A48"/>
    <w:rsid w:val="2E4B1DBB"/>
    <w:rsid w:val="2E4B3B69"/>
    <w:rsid w:val="2E4B55E7"/>
    <w:rsid w:val="2E4B60D3"/>
    <w:rsid w:val="2E4C168F"/>
    <w:rsid w:val="2E4C3337"/>
    <w:rsid w:val="2E4D1205"/>
    <w:rsid w:val="2E4D2436"/>
    <w:rsid w:val="2E4E18AB"/>
    <w:rsid w:val="2E4F0C77"/>
    <w:rsid w:val="2E50117F"/>
    <w:rsid w:val="2E505623"/>
    <w:rsid w:val="2E5073D1"/>
    <w:rsid w:val="2E507CF4"/>
    <w:rsid w:val="2E514EF7"/>
    <w:rsid w:val="2E5165A0"/>
    <w:rsid w:val="2E516CA5"/>
    <w:rsid w:val="2E525AC4"/>
    <w:rsid w:val="2E531039"/>
    <w:rsid w:val="2E532A1D"/>
    <w:rsid w:val="2E544421"/>
    <w:rsid w:val="2E55156F"/>
    <w:rsid w:val="2E5549E7"/>
    <w:rsid w:val="2E5642BC"/>
    <w:rsid w:val="2E5759EC"/>
    <w:rsid w:val="2E5844D8"/>
    <w:rsid w:val="2E586286"/>
    <w:rsid w:val="2E5A0250"/>
    <w:rsid w:val="2E5A2323"/>
    <w:rsid w:val="2E5A2AFC"/>
    <w:rsid w:val="2E5A3356"/>
    <w:rsid w:val="2E5A3DAC"/>
    <w:rsid w:val="2E5A5DFA"/>
    <w:rsid w:val="2E5C028C"/>
    <w:rsid w:val="2E5C32EB"/>
    <w:rsid w:val="2E5C3FC8"/>
    <w:rsid w:val="2E5D1AEE"/>
    <w:rsid w:val="2E5D389C"/>
    <w:rsid w:val="2E5D564A"/>
    <w:rsid w:val="2E5D5EBC"/>
    <w:rsid w:val="2E5E5829"/>
    <w:rsid w:val="2E5E6788"/>
    <w:rsid w:val="2E5F5866"/>
    <w:rsid w:val="2E603672"/>
    <w:rsid w:val="2E60513A"/>
    <w:rsid w:val="2E6115DE"/>
    <w:rsid w:val="2E6136A4"/>
    <w:rsid w:val="2E6160E2"/>
    <w:rsid w:val="2E625356"/>
    <w:rsid w:val="2E632B62"/>
    <w:rsid w:val="2E6372C7"/>
    <w:rsid w:val="2E641740"/>
    <w:rsid w:val="2E641A7D"/>
    <w:rsid w:val="2E6609A2"/>
    <w:rsid w:val="2E667F96"/>
    <w:rsid w:val="2E671B3F"/>
    <w:rsid w:val="2E67296D"/>
    <w:rsid w:val="2E6764C9"/>
    <w:rsid w:val="2E680D39"/>
    <w:rsid w:val="2E682FCF"/>
    <w:rsid w:val="2E6855C0"/>
    <w:rsid w:val="2E686B35"/>
    <w:rsid w:val="2E690493"/>
    <w:rsid w:val="2E692241"/>
    <w:rsid w:val="2E6A5E0B"/>
    <w:rsid w:val="2E6A6B71"/>
    <w:rsid w:val="2E6B3C1B"/>
    <w:rsid w:val="2E6B420B"/>
    <w:rsid w:val="2E6B51F8"/>
    <w:rsid w:val="2E6B5FB9"/>
    <w:rsid w:val="2E6C2CAC"/>
    <w:rsid w:val="2E6C3ADF"/>
    <w:rsid w:val="2E6D2EEE"/>
    <w:rsid w:val="2E6E02D1"/>
    <w:rsid w:val="2E6E426D"/>
    <w:rsid w:val="2E6E4F3A"/>
    <w:rsid w:val="2E6E5AA9"/>
    <w:rsid w:val="2E6E5D20"/>
    <w:rsid w:val="2E6E6F1B"/>
    <w:rsid w:val="2E6E7857"/>
    <w:rsid w:val="2E6F0090"/>
    <w:rsid w:val="2E701821"/>
    <w:rsid w:val="2E704B63"/>
    <w:rsid w:val="2E711609"/>
    <w:rsid w:val="2E725599"/>
    <w:rsid w:val="2E732119"/>
    <w:rsid w:val="2E732266"/>
    <w:rsid w:val="2E7330BF"/>
    <w:rsid w:val="2E734E6D"/>
    <w:rsid w:val="2E743721"/>
    <w:rsid w:val="2E744143"/>
    <w:rsid w:val="2E750BE6"/>
    <w:rsid w:val="2E755089"/>
    <w:rsid w:val="2E756E38"/>
    <w:rsid w:val="2E76495E"/>
    <w:rsid w:val="2E76670C"/>
    <w:rsid w:val="2E7806D6"/>
    <w:rsid w:val="2E782484"/>
    <w:rsid w:val="2E786212"/>
    <w:rsid w:val="2E7926D4"/>
    <w:rsid w:val="2E7A032A"/>
    <w:rsid w:val="2E7A09AB"/>
    <w:rsid w:val="2E7A2285"/>
    <w:rsid w:val="2E7A26A0"/>
    <w:rsid w:val="2E7A444E"/>
    <w:rsid w:val="2E7A61FC"/>
    <w:rsid w:val="2E7B1445"/>
    <w:rsid w:val="2E7B3D22"/>
    <w:rsid w:val="2E7B3FD5"/>
    <w:rsid w:val="2E7C01C6"/>
    <w:rsid w:val="2E7C6418"/>
    <w:rsid w:val="2E7D3F3E"/>
    <w:rsid w:val="2E7D5CEC"/>
    <w:rsid w:val="2E7D7A9A"/>
    <w:rsid w:val="2E7F1A64"/>
    <w:rsid w:val="2E7F28DE"/>
    <w:rsid w:val="2E7F3812"/>
    <w:rsid w:val="2E8004B6"/>
    <w:rsid w:val="2E801B53"/>
    <w:rsid w:val="2E81758A"/>
    <w:rsid w:val="2E82058A"/>
    <w:rsid w:val="2E8226AB"/>
    <w:rsid w:val="2E825342"/>
    <w:rsid w:val="2E84707B"/>
    <w:rsid w:val="2E852ACB"/>
    <w:rsid w:val="2E860562"/>
    <w:rsid w:val="2E864AC3"/>
    <w:rsid w:val="2E864E16"/>
    <w:rsid w:val="2E866E58"/>
    <w:rsid w:val="2E867079"/>
    <w:rsid w:val="2E876B6B"/>
    <w:rsid w:val="2E877FD3"/>
    <w:rsid w:val="2E88182C"/>
    <w:rsid w:val="2E885157"/>
    <w:rsid w:val="2E894691"/>
    <w:rsid w:val="2E8A625D"/>
    <w:rsid w:val="2E8A65F4"/>
    <w:rsid w:val="2E8B0409"/>
    <w:rsid w:val="2E8B492A"/>
    <w:rsid w:val="2E8C52BD"/>
    <w:rsid w:val="2E8C7DA4"/>
    <w:rsid w:val="2E8D1A3A"/>
    <w:rsid w:val="2E8D23D3"/>
    <w:rsid w:val="2E8D6C6B"/>
    <w:rsid w:val="2E8E1CA7"/>
    <w:rsid w:val="2E8E1CFD"/>
    <w:rsid w:val="2E8E2F3C"/>
    <w:rsid w:val="2E8E43E9"/>
    <w:rsid w:val="2E8E67A4"/>
    <w:rsid w:val="2E903C71"/>
    <w:rsid w:val="2E905A1F"/>
    <w:rsid w:val="2E90642E"/>
    <w:rsid w:val="2E9077CD"/>
    <w:rsid w:val="2E911F29"/>
    <w:rsid w:val="2E916437"/>
    <w:rsid w:val="2E920577"/>
    <w:rsid w:val="2E92321D"/>
    <w:rsid w:val="2E9276CB"/>
    <w:rsid w:val="2E933762"/>
    <w:rsid w:val="2E935F8A"/>
    <w:rsid w:val="2E936831"/>
    <w:rsid w:val="2E9418B2"/>
    <w:rsid w:val="2E941D53"/>
    <w:rsid w:val="2E955F8E"/>
    <w:rsid w:val="2E956C58"/>
    <w:rsid w:val="2E9574DA"/>
    <w:rsid w:val="2E961766"/>
    <w:rsid w:val="2E96490B"/>
    <w:rsid w:val="2E975000"/>
    <w:rsid w:val="2E980D78"/>
    <w:rsid w:val="2E991DFC"/>
    <w:rsid w:val="2E9934E3"/>
    <w:rsid w:val="2E9949CD"/>
    <w:rsid w:val="2E9A4EC7"/>
    <w:rsid w:val="2E9A689E"/>
    <w:rsid w:val="2E9B1989"/>
    <w:rsid w:val="2E9B41D5"/>
    <w:rsid w:val="2E9B6172"/>
    <w:rsid w:val="2E9C00D3"/>
    <w:rsid w:val="2E9C077D"/>
    <w:rsid w:val="2E9D1EEA"/>
    <w:rsid w:val="2E9D2040"/>
    <w:rsid w:val="2E9E4BC5"/>
    <w:rsid w:val="2E9E5ADC"/>
    <w:rsid w:val="2E9F2106"/>
    <w:rsid w:val="2E9F2F97"/>
    <w:rsid w:val="2E9F3EB4"/>
    <w:rsid w:val="2E9F5C62"/>
    <w:rsid w:val="2EA046D5"/>
    <w:rsid w:val="2EA07949"/>
    <w:rsid w:val="2EA119DB"/>
    <w:rsid w:val="2EA15273"/>
    <w:rsid w:val="2EA15402"/>
    <w:rsid w:val="2EA17C2D"/>
    <w:rsid w:val="2EA22E28"/>
    <w:rsid w:val="2EA22EAE"/>
    <w:rsid w:val="2EA25753"/>
    <w:rsid w:val="2EA31C38"/>
    <w:rsid w:val="2EA31C61"/>
    <w:rsid w:val="2EA43A7F"/>
    <w:rsid w:val="2EA5368B"/>
    <w:rsid w:val="2EA65243"/>
    <w:rsid w:val="2EA9088F"/>
    <w:rsid w:val="2EA94167"/>
    <w:rsid w:val="2EA94D33"/>
    <w:rsid w:val="2EAB0AAB"/>
    <w:rsid w:val="2EAB2859"/>
    <w:rsid w:val="2EAC037F"/>
    <w:rsid w:val="2EAD65D1"/>
    <w:rsid w:val="2EAE5EA6"/>
    <w:rsid w:val="2EAF23C7"/>
    <w:rsid w:val="2EAF7625"/>
    <w:rsid w:val="2EB00083"/>
    <w:rsid w:val="2EB018DF"/>
    <w:rsid w:val="2EB054B2"/>
    <w:rsid w:val="2EB05CFA"/>
    <w:rsid w:val="2EB0638F"/>
    <w:rsid w:val="2EB06BEE"/>
    <w:rsid w:val="2EB103E3"/>
    <w:rsid w:val="2EB1745E"/>
    <w:rsid w:val="2EB20AE4"/>
    <w:rsid w:val="2EB35574"/>
    <w:rsid w:val="2EB37960"/>
    <w:rsid w:val="2EB45BB2"/>
    <w:rsid w:val="2EB55486"/>
    <w:rsid w:val="2EB57234"/>
    <w:rsid w:val="2EB57C15"/>
    <w:rsid w:val="2EB711FE"/>
    <w:rsid w:val="2EB77821"/>
    <w:rsid w:val="2EB846F2"/>
    <w:rsid w:val="2EB84F76"/>
    <w:rsid w:val="2EB8626D"/>
    <w:rsid w:val="2EB86815"/>
    <w:rsid w:val="2EB931C8"/>
    <w:rsid w:val="2EB97B04"/>
    <w:rsid w:val="2EBA0CEE"/>
    <w:rsid w:val="2EBA2A9C"/>
    <w:rsid w:val="2EBA484A"/>
    <w:rsid w:val="2EBA4998"/>
    <w:rsid w:val="2EBA6F40"/>
    <w:rsid w:val="2EBA75FC"/>
    <w:rsid w:val="2EBB1CE1"/>
    <w:rsid w:val="2EBC4413"/>
    <w:rsid w:val="2EBC49F7"/>
    <w:rsid w:val="2EBC4A66"/>
    <w:rsid w:val="2EBC7D67"/>
    <w:rsid w:val="2EBD5070"/>
    <w:rsid w:val="2EBF00B3"/>
    <w:rsid w:val="2EBF2337"/>
    <w:rsid w:val="2EBF51B3"/>
    <w:rsid w:val="2EBF6305"/>
    <w:rsid w:val="2EC076DC"/>
    <w:rsid w:val="2EC10E03"/>
    <w:rsid w:val="2EC14298"/>
    <w:rsid w:val="2EC21951"/>
    <w:rsid w:val="2EC30562"/>
    <w:rsid w:val="2EC35DF5"/>
    <w:rsid w:val="2EC41B6D"/>
    <w:rsid w:val="2EC4391B"/>
    <w:rsid w:val="2EC60895"/>
    <w:rsid w:val="2EC612D6"/>
    <w:rsid w:val="2EC6148C"/>
    <w:rsid w:val="2EC624F3"/>
    <w:rsid w:val="2EC701BE"/>
    <w:rsid w:val="2EC81296"/>
    <w:rsid w:val="2EC91B24"/>
    <w:rsid w:val="2EC92CDF"/>
    <w:rsid w:val="2EC97183"/>
    <w:rsid w:val="2EC97664"/>
    <w:rsid w:val="2ECB20BA"/>
    <w:rsid w:val="2ECB2EFB"/>
    <w:rsid w:val="2ECB4CA9"/>
    <w:rsid w:val="2ECB4EE9"/>
    <w:rsid w:val="2ECC4926"/>
    <w:rsid w:val="2ECD0A22"/>
    <w:rsid w:val="2ECD6C74"/>
    <w:rsid w:val="2ECE1A46"/>
    <w:rsid w:val="2ECE479A"/>
    <w:rsid w:val="2ECE6548"/>
    <w:rsid w:val="2ECF7239"/>
    <w:rsid w:val="2ED00E83"/>
    <w:rsid w:val="2ED022C0"/>
    <w:rsid w:val="2ED02A4B"/>
    <w:rsid w:val="2ED0406E"/>
    <w:rsid w:val="2ED1039E"/>
    <w:rsid w:val="2ED22A51"/>
    <w:rsid w:val="2ED2428A"/>
    <w:rsid w:val="2ED2436C"/>
    <w:rsid w:val="2ED26038"/>
    <w:rsid w:val="2ED26F43"/>
    <w:rsid w:val="2ED27DE6"/>
    <w:rsid w:val="2ED40002"/>
    <w:rsid w:val="2ED473AF"/>
    <w:rsid w:val="2ED52E31"/>
    <w:rsid w:val="2ED55B28"/>
    <w:rsid w:val="2ED601EC"/>
    <w:rsid w:val="2ED7408B"/>
    <w:rsid w:val="2ED81174"/>
    <w:rsid w:val="2ED95618"/>
    <w:rsid w:val="2ED962FD"/>
    <w:rsid w:val="2EDA313F"/>
    <w:rsid w:val="2EDA4EED"/>
    <w:rsid w:val="2EDA6C9B"/>
    <w:rsid w:val="2EDA6E9C"/>
    <w:rsid w:val="2EDB55F1"/>
    <w:rsid w:val="2EDC0C65"/>
    <w:rsid w:val="2EDC2A13"/>
    <w:rsid w:val="2EDC5C10"/>
    <w:rsid w:val="2EDF0755"/>
    <w:rsid w:val="2EDF2503"/>
    <w:rsid w:val="2EDF6121"/>
    <w:rsid w:val="2EE05A21"/>
    <w:rsid w:val="2EE26290"/>
    <w:rsid w:val="2EE26446"/>
    <w:rsid w:val="2EE2676D"/>
    <w:rsid w:val="2EE30245"/>
    <w:rsid w:val="2EE32AF4"/>
    <w:rsid w:val="2EE43FBD"/>
    <w:rsid w:val="2EE464E1"/>
    <w:rsid w:val="2EE46F73"/>
    <w:rsid w:val="2EE61AE3"/>
    <w:rsid w:val="2EE713B8"/>
    <w:rsid w:val="2EE726BB"/>
    <w:rsid w:val="2EE813AC"/>
    <w:rsid w:val="2EE8585B"/>
    <w:rsid w:val="2EE85B84"/>
    <w:rsid w:val="2EE86288"/>
    <w:rsid w:val="2EE90574"/>
    <w:rsid w:val="2EEA097D"/>
    <w:rsid w:val="2EEA2FD1"/>
    <w:rsid w:val="2EEA4A0A"/>
    <w:rsid w:val="2EEB2B34"/>
    <w:rsid w:val="2EEB70FA"/>
    <w:rsid w:val="2EEB7BCD"/>
    <w:rsid w:val="2EED10C4"/>
    <w:rsid w:val="2EED2E72"/>
    <w:rsid w:val="2EED3A57"/>
    <w:rsid w:val="2EED4C20"/>
    <w:rsid w:val="2EEE0998"/>
    <w:rsid w:val="2EEE20AD"/>
    <w:rsid w:val="2EEF14B5"/>
    <w:rsid w:val="2EEF4086"/>
    <w:rsid w:val="2EEF6BEA"/>
    <w:rsid w:val="2EF0097D"/>
    <w:rsid w:val="2EF0181A"/>
    <w:rsid w:val="2EF01B85"/>
    <w:rsid w:val="2EF042BF"/>
    <w:rsid w:val="2EF05D1A"/>
    <w:rsid w:val="2EF10397"/>
    <w:rsid w:val="2EF17737"/>
    <w:rsid w:val="2EF252D4"/>
    <w:rsid w:val="2EF30CD1"/>
    <w:rsid w:val="2EF31870"/>
    <w:rsid w:val="2EF32A07"/>
    <w:rsid w:val="2EF37D5C"/>
    <w:rsid w:val="2EF410E7"/>
    <w:rsid w:val="2EF44200"/>
    <w:rsid w:val="2EF51D26"/>
    <w:rsid w:val="2EF55327"/>
    <w:rsid w:val="2EF63054"/>
    <w:rsid w:val="2EF637C3"/>
    <w:rsid w:val="2EF73CF0"/>
    <w:rsid w:val="2EF74361"/>
    <w:rsid w:val="2EF7461E"/>
    <w:rsid w:val="2EF75A9F"/>
    <w:rsid w:val="2EF75F75"/>
    <w:rsid w:val="2EF7784D"/>
    <w:rsid w:val="2EF91817"/>
    <w:rsid w:val="2EF95138"/>
    <w:rsid w:val="2EFA558F"/>
    <w:rsid w:val="2EFA62B4"/>
    <w:rsid w:val="2EFB1474"/>
    <w:rsid w:val="2EFB6E53"/>
    <w:rsid w:val="2EFE507F"/>
    <w:rsid w:val="2EFF0FA5"/>
    <w:rsid w:val="2EFF2BA5"/>
    <w:rsid w:val="2EFF4F92"/>
    <w:rsid w:val="2EFF6222"/>
    <w:rsid w:val="2F002B74"/>
    <w:rsid w:val="2F01691D"/>
    <w:rsid w:val="2F0303B5"/>
    <w:rsid w:val="2F0332C3"/>
    <w:rsid w:val="2F0361F1"/>
    <w:rsid w:val="2F0370D8"/>
    <w:rsid w:val="2F041F69"/>
    <w:rsid w:val="2F046C9B"/>
    <w:rsid w:val="2F051008"/>
    <w:rsid w:val="2F05640D"/>
    <w:rsid w:val="2F063F34"/>
    <w:rsid w:val="2F0672B1"/>
    <w:rsid w:val="2F070BCC"/>
    <w:rsid w:val="2F077B1A"/>
    <w:rsid w:val="2F081A5A"/>
    <w:rsid w:val="2F087CAC"/>
    <w:rsid w:val="2F0957D2"/>
    <w:rsid w:val="2F0A16EA"/>
    <w:rsid w:val="2F0A3A24"/>
    <w:rsid w:val="2F0B211E"/>
    <w:rsid w:val="2F0B754D"/>
    <w:rsid w:val="2F0B779C"/>
    <w:rsid w:val="2F0C2517"/>
    <w:rsid w:val="2F0C5073"/>
    <w:rsid w:val="2F0D52C2"/>
    <w:rsid w:val="2F0E4B96"/>
    <w:rsid w:val="2F0E79C8"/>
    <w:rsid w:val="2F0F0CF5"/>
    <w:rsid w:val="2F104DB2"/>
    <w:rsid w:val="2F106B60"/>
    <w:rsid w:val="2F1133A9"/>
    <w:rsid w:val="2F1176A4"/>
    <w:rsid w:val="2F121B6F"/>
    <w:rsid w:val="2F1228D8"/>
    <w:rsid w:val="2F124686"/>
    <w:rsid w:val="2F13270B"/>
    <w:rsid w:val="2F146650"/>
    <w:rsid w:val="2F150EA6"/>
    <w:rsid w:val="2F154177"/>
    <w:rsid w:val="2F154D99"/>
    <w:rsid w:val="2F1553F6"/>
    <w:rsid w:val="2F157C93"/>
    <w:rsid w:val="2F1657D9"/>
    <w:rsid w:val="2F171C9D"/>
    <w:rsid w:val="2F177EEF"/>
    <w:rsid w:val="2F1877C3"/>
    <w:rsid w:val="2F191EB9"/>
    <w:rsid w:val="2F195A15"/>
    <w:rsid w:val="2F1A0783"/>
    <w:rsid w:val="2F1A0A62"/>
    <w:rsid w:val="2F1A178D"/>
    <w:rsid w:val="2F1A79DF"/>
    <w:rsid w:val="2F1C1962"/>
    <w:rsid w:val="2F1C5505"/>
    <w:rsid w:val="2F1C6F70"/>
    <w:rsid w:val="2F1D4533"/>
    <w:rsid w:val="2F1D70ED"/>
    <w:rsid w:val="2F1E789B"/>
    <w:rsid w:val="2F1F0594"/>
    <w:rsid w:val="2F1F6DA3"/>
    <w:rsid w:val="2F204FF5"/>
    <w:rsid w:val="2F210D6D"/>
    <w:rsid w:val="2F22019F"/>
    <w:rsid w:val="2F230642"/>
    <w:rsid w:val="2F2345B2"/>
    <w:rsid w:val="2F234AE5"/>
    <w:rsid w:val="2F235C78"/>
    <w:rsid w:val="2F2443BA"/>
    <w:rsid w:val="2F245971"/>
    <w:rsid w:val="2F252CC5"/>
    <w:rsid w:val="2F255896"/>
    <w:rsid w:val="2F266384"/>
    <w:rsid w:val="2F273126"/>
    <w:rsid w:val="2F2820FC"/>
    <w:rsid w:val="2F283EAA"/>
    <w:rsid w:val="2F2919D0"/>
    <w:rsid w:val="2F294217"/>
    <w:rsid w:val="2F2A5E74"/>
    <w:rsid w:val="2F2A7C22"/>
    <w:rsid w:val="2F2B74F6"/>
    <w:rsid w:val="2F2C3B52"/>
    <w:rsid w:val="2F2D14C0"/>
    <w:rsid w:val="2F2D326E"/>
    <w:rsid w:val="2F2D7712"/>
    <w:rsid w:val="2F2E0FAB"/>
    <w:rsid w:val="2F2E3CA3"/>
    <w:rsid w:val="2F2F348A"/>
    <w:rsid w:val="2F2F6C22"/>
    <w:rsid w:val="2F30174E"/>
    <w:rsid w:val="2F3129E5"/>
    <w:rsid w:val="2F314B37"/>
    <w:rsid w:val="2F315310"/>
    <w:rsid w:val="2F320885"/>
    <w:rsid w:val="2F326AD7"/>
    <w:rsid w:val="2F340224"/>
    <w:rsid w:val="2F340AA1"/>
    <w:rsid w:val="2F3445FD"/>
    <w:rsid w:val="2F3565C7"/>
    <w:rsid w:val="2F362FA2"/>
    <w:rsid w:val="2F366C16"/>
    <w:rsid w:val="2F370591"/>
    <w:rsid w:val="2F3740ED"/>
    <w:rsid w:val="2F3829F8"/>
    <w:rsid w:val="2F38552A"/>
    <w:rsid w:val="2F391C13"/>
    <w:rsid w:val="2F395009"/>
    <w:rsid w:val="2F39519C"/>
    <w:rsid w:val="2F3953A6"/>
    <w:rsid w:val="2F3960B7"/>
    <w:rsid w:val="2F3C1703"/>
    <w:rsid w:val="2F3C4122"/>
    <w:rsid w:val="2F3C5BA7"/>
    <w:rsid w:val="2F3D52F6"/>
    <w:rsid w:val="2F3D7961"/>
    <w:rsid w:val="2F3E04FF"/>
    <w:rsid w:val="2F3E75DC"/>
    <w:rsid w:val="2F3F11F4"/>
    <w:rsid w:val="2F3F2FA2"/>
    <w:rsid w:val="2F3F46AE"/>
    <w:rsid w:val="2F401C3D"/>
    <w:rsid w:val="2F405247"/>
    <w:rsid w:val="2F407445"/>
    <w:rsid w:val="2F4131BE"/>
    <w:rsid w:val="2F414F6C"/>
    <w:rsid w:val="2F416D1A"/>
    <w:rsid w:val="2F4221ED"/>
    <w:rsid w:val="2F434BA1"/>
    <w:rsid w:val="2F436F36"/>
    <w:rsid w:val="2F4405B8"/>
    <w:rsid w:val="2F454A5C"/>
    <w:rsid w:val="2F45680A"/>
    <w:rsid w:val="2F462582"/>
    <w:rsid w:val="2F466846"/>
    <w:rsid w:val="2F467300"/>
    <w:rsid w:val="2F4676D6"/>
    <w:rsid w:val="2F47799C"/>
    <w:rsid w:val="2F484A6E"/>
    <w:rsid w:val="2F4862FA"/>
    <w:rsid w:val="2F490FA2"/>
    <w:rsid w:val="2F4A02C4"/>
    <w:rsid w:val="2F4A2072"/>
    <w:rsid w:val="2F4A3550"/>
    <w:rsid w:val="2F4A4785"/>
    <w:rsid w:val="2F4A686A"/>
    <w:rsid w:val="2F4B1946"/>
    <w:rsid w:val="2F4B5DEA"/>
    <w:rsid w:val="2F4C78C7"/>
    <w:rsid w:val="2F4D0F29"/>
    <w:rsid w:val="2F4D1B62"/>
    <w:rsid w:val="2F4D332A"/>
    <w:rsid w:val="2F4D56BE"/>
    <w:rsid w:val="2F4E4AA2"/>
    <w:rsid w:val="2F4E7309"/>
    <w:rsid w:val="2F4F1437"/>
    <w:rsid w:val="2F4F2815"/>
    <w:rsid w:val="2F4F4B8D"/>
    <w:rsid w:val="2F4F58DB"/>
    <w:rsid w:val="2F5051AF"/>
    <w:rsid w:val="2F514F27"/>
    <w:rsid w:val="2F520F27"/>
    <w:rsid w:val="2F522CD5"/>
    <w:rsid w:val="2F530772"/>
    <w:rsid w:val="2F542EF1"/>
    <w:rsid w:val="2F560A17"/>
    <w:rsid w:val="2F561FC3"/>
    <w:rsid w:val="2F5702EB"/>
    <w:rsid w:val="2F5729E1"/>
    <w:rsid w:val="2F587A28"/>
    <w:rsid w:val="2F594063"/>
    <w:rsid w:val="2F5A10A4"/>
    <w:rsid w:val="2F5A40B6"/>
    <w:rsid w:val="2F5B427F"/>
    <w:rsid w:val="2F5B44D5"/>
    <w:rsid w:val="2F5B602D"/>
    <w:rsid w:val="2F5C0D08"/>
    <w:rsid w:val="2F5C1DA5"/>
    <w:rsid w:val="2F5C3B54"/>
    <w:rsid w:val="2F5C4DC3"/>
    <w:rsid w:val="2F5E167A"/>
    <w:rsid w:val="2F5E78CC"/>
    <w:rsid w:val="2F5F11F5"/>
    <w:rsid w:val="2F5F4493"/>
    <w:rsid w:val="2F61116A"/>
    <w:rsid w:val="2F6173BC"/>
    <w:rsid w:val="2F634EE2"/>
    <w:rsid w:val="2F635B17"/>
    <w:rsid w:val="2F650C5A"/>
    <w:rsid w:val="2F6519E0"/>
    <w:rsid w:val="2F662726"/>
    <w:rsid w:val="2F662C24"/>
    <w:rsid w:val="2F68074A"/>
    <w:rsid w:val="2F6824F8"/>
    <w:rsid w:val="2F6836A0"/>
    <w:rsid w:val="2F68699C"/>
    <w:rsid w:val="2F6871D8"/>
    <w:rsid w:val="2F69783B"/>
    <w:rsid w:val="2F6A2714"/>
    <w:rsid w:val="2F6A5B9E"/>
    <w:rsid w:val="2F6A6270"/>
    <w:rsid w:val="2F6B1FE9"/>
    <w:rsid w:val="2F6B545A"/>
    <w:rsid w:val="2F6C023B"/>
    <w:rsid w:val="2F6C3E8A"/>
    <w:rsid w:val="2F6D3FB3"/>
    <w:rsid w:val="2F6D5D61"/>
    <w:rsid w:val="2F6D778C"/>
    <w:rsid w:val="2F6D7874"/>
    <w:rsid w:val="2F6E1A69"/>
    <w:rsid w:val="2F6E1EDF"/>
    <w:rsid w:val="2F6E3407"/>
    <w:rsid w:val="2F6E3453"/>
    <w:rsid w:val="2F6F1AD9"/>
    <w:rsid w:val="2F6F4B44"/>
    <w:rsid w:val="2F6F5915"/>
    <w:rsid w:val="2F6F7D2B"/>
    <w:rsid w:val="2F7013AD"/>
    <w:rsid w:val="2F70455C"/>
    <w:rsid w:val="2F7075FF"/>
    <w:rsid w:val="2F713AA3"/>
    <w:rsid w:val="2F7215C9"/>
    <w:rsid w:val="2F723377"/>
    <w:rsid w:val="2F725125"/>
    <w:rsid w:val="2F7377FA"/>
    <w:rsid w:val="2F737E55"/>
    <w:rsid w:val="2F744949"/>
    <w:rsid w:val="2F74507C"/>
    <w:rsid w:val="2F750BAF"/>
    <w:rsid w:val="2F7619B8"/>
    <w:rsid w:val="2F762E67"/>
    <w:rsid w:val="2F77098D"/>
    <w:rsid w:val="2F782E8B"/>
    <w:rsid w:val="2F783620"/>
    <w:rsid w:val="2F790014"/>
    <w:rsid w:val="2F794705"/>
    <w:rsid w:val="2F7B222C"/>
    <w:rsid w:val="2F7B66D0"/>
    <w:rsid w:val="2F7C5FA4"/>
    <w:rsid w:val="2F7C651B"/>
    <w:rsid w:val="2F7D0465"/>
    <w:rsid w:val="2F7E576D"/>
    <w:rsid w:val="2F7F38D0"/>
    <w:rsid w:val="2F80344C"/>
    <w:rsid w:val="2F803CE6"/>
    <w:rsid w:val="2F812156"/>
    <w:rsid w:val="2F8134C8"/>
    <w:rsid w:val="2F8135BA"/>
    <w:rsid w:val="2F817AD6"/>
    <w:rsid w:val="2F827A5E"/>
    <w:rsid w:val="2F8337D6"/>
    <w:rsid w:val="2F833B0B"/>
    <w:rsid w:val="2F835584"/>
    <w:rsid w:val="2F8371C0"/>
    <w:rsid w:val="2F84625D"/>
    <w:rsid w:val="2F846413"/>
    <w:rsid w:val="2F8465C8"/>
    <w:rsid w:val="2F8530AA"/>
    <w:rsid w:val="2F854E58"/>
    <w:rsid w:val="2F862782"/>
    <w:rsid w:val="2F86523C"/>
    <w:rsid w:val="2F874C33"/>
    <w:rsid w:val="2F882B9B"/>
    <w:rsid w:val="2F8960A9"/>
    <w:rsid w:val="2F8A08CC"/>
    <w:rsid w:val="2F8A09E3"/>
    <w:rsid w:val="2F8B3FC6"/>
    <w:rsid w:val="2F8B61E7"/>
    <w:rsid w:val="2F8C051A"/>
    <w:rsid w:val="2F8C2FD6"/>
    <w:rsid w:val="2F8C4439"/>
    <w:rsid w:val="2F8C4583"/>
    <w:rsid w:val="2F8C5051"/>
    <w:rsid w:val="2F8D01B1"/>
    <w:rsid w:val="2F8D6403"/>
    <w:rsid w:val="2F8E07F4"/>
    <w:rsid w:val="2F8E3C04"/>
    <w:rsid w:val="2F8F217B"/>
    <w:rsid w:val="2F8F5286"/>
    <w:rsid w:val="2F8F5CD7"/>
    <w:rsid w:val="2F9108B6"/>
    <w:rsid w:val="2F911A4F"/>
    <w:rsid w:val="2F9131D1"/>
    <w:rsid w:val="2F921D46"/>
    <w:rsid w:val="2F9257C7"/>
    <w:rsid w:val="2F927AAF"/>
    <w:rsid w:val="2F94153F"/>
    <w:rsid w:val="2F963509"/>
    <w:rsid w:val="2F965A84"/>
    <w:rsid w:val="2F967065"/>
    <w:rsid w:val="2F971030"/>
    <w:rsid w:val="2F9724A4"/>
    <w:rsid w:val="2F972DDE"/>
    <w:rsid w:val="2F97461F"/>
    <w:rsid w:val="2F98559B"/>
    <w:rsid w:val="2F985BC0"/>
    <w:rsid w:val="2F990904"/>
    <w:rsid w:val="2F99381C"/>
    <w:rsid w:val="2F996B56"/>
    <w:rsid w:val="2F9B0B20"/>
    <w:rsid w:val="2F9B467C"/>
    <w:rsid w:val="2F9B65C3"/>
    <w:rsid w:val="2F9C03F4"/>
    <w:rsid w:val="2F9C21A2"/>
    <w:rsid w:val="2F9C59C9"/>
    <w:rsid w:val="2F9C6646"/>
    <w:rsid w:val="2F9D5718"/>
    <w:rsid w:val="2F9E229D"/>
    <w:rsid w:val="2F9E546E"/>
    <w:rsid w:val="2F9E6293"/>
    <w:rsid w:val="2F9E6952"/>
    <w:rsid w:val="2FA01C92"/>
    <w:rsid w:val="2FA06136"/>
    <w:rsid w:val="2FA07EE4"/>
    <w:rsid w:val="2FA12EAC"/>
    <w:rsid w:val="2FA14DEA"/>
    <w:rsid w:val="2FA15A0A"/>
    <w:rsid w:val="2FA31782"/>
    <w:rsid w:val="2FA379D4"/>
    <w:rsid w:val="2FA501BC"/>
    <w:rsid w:val="2FA5374C"/>
    <w:rsid w:val="2FA554FB"/>
    <w:rsid w:val="2FA57A8F"/>
    <w:rsid w:val="2FA6164C"/>
    <w:rsid w:val="2FA63021"/>
    <w:rsid w:val="2FA664BF"/>
    <w:rsid w:val="2FA72ADC"/>
    <w:rsid w:val="2FA774C5"/>
    <w:rsid w:val="2FA84FEB"/>
    <w:rsid w:val="2FA863D9"/>
    <w:rsid w:val="2FA86D99"/>
    <w:rsid w:val="2FAA0D63"/>
    <w:rsid w:val="2FAA2B11"/>
    <w:rsid w:val="2FAA48BF"/>
    <w:rsid w:val="2FAA7EAA"/>
    <w:rsid w:val="2FAB0637"/>
    <w:rsid w:val="2FAC28ED"/>
    <w:rsid w:val="2FAD2601"/>
    <w:rsid w:val="2FAE3268"/>
    <w:rsid w:val="2FAE6E78"/>
    <w:rsid w:val="2FAE7296"/>
    <w:rsid w:val="2FAE7398"/>
    <w:rsid w:val="2FAF0127"/>
    <w:rsid w:val="2FAF6353"/>
    <w:rsid w:val="2FAF6379"/>
    <w:rsid w:val="2FB10756"/>
    <w:rsid w:val="2FB15C4D"/>
    <w:rsid w:val="2FB161AC"/>
    <w:rsid w:val="2FB35E69"/>
    <w:rsid w:val="2FB474EF"/>
    <w:rsid w:val="2FB53218"/>
    <w:rsid w:val="2FB54C7F"/>
    <w:rsid w:val="2FB55F74"/>
    <w:rsid w:val="2FB56845"/>
    <w:rsid w:val="2FB61560"/>
    <w:rsid w:val="2FB67708"/>
    <w:rsid w:val="2FB710FA"/>
    <w:rsid w:val="2FB7522E"/>
    <w:rsid w:val="2FB75265"/>
    <w:rsid w:val="2FB83480"/>
    <w:rsid w:val="2FB90FA6"/>
    <w:rsid w:val="2FBA57F4"/>
    <w:rsid w:val="2FBB2F70"/>
    <w:rsid w:val="2FBB4D1E"/>
    <w:rsid w:val="2FBC057E"/>
    <w:rsid w:val="2FBC6268"/>
    <w:rsid w:val="2FBD0A96"/>
    <w:rsid w:val="2FBE480E"/>
    <w:rsid w:val="2FBE648A"/>
    <w:rsid w:val="2FBE65BC"/>
    <w:rsid w:val="2FBE7790"/>
    <w:rsid w:val="2FBF7985"/>
    <w:rsid w:val="2FC07BC7"/>
    <w:rsid w:val="2FC17E5A"/>
    <w:rsid w:val="2FC260AC"/>
    <w:rsid w:val="2FC31E25"/>
    <w:rsid w:val="2FC328B6"/>
    <w:rsid w:val="2FC34BE3"/>
    <w:rsid w:val="2FC35981"/>
    <w:rsid w:val="2FC40205"/>
    <w:rsid w:val="2FC40BB7"/>
    <w:rsid w:val="2FC41B03"/>
    <w:rsid w:val="2FC45995"/>
    <w:rsid w:val="2FC516F9"/>
    <w:rsid w:val="2FC521A6"/>
    <w:rsid w:val="2FC53494"/>
    <w:rsid w:val="2FC5794B"/>
    <w:rsid w:val="2FC71915"/>
    <w:rsid w:val="2FC75471"/>
    <w:rsid w:val="2FC77D9B"/>
    <w:rsid w:val="2FC811E9"/>
    <w:rsid w:val="2FC82F97"/>
    <w:rsid w:val="2FC949E6"/>
    <w:rsid w:val="2FCA31B3"/>
    <w:rsid w:val="2FCA419D"/>
    <w:rsid w:val="2FCA46BE"/>
    <w:rsid w:val="2FCA6D0F"/>
    <w:rsid w:val="2FCB323B"/>
    <w:rsid w:val="2FCB3C7C"/>
    <w:rsid w:val="2FCC0CD9"/>
    <w:rsid w:val="2FCC2A87"/>
    <w:rsid w:val="2FCD0572"/>
    <w:rsid w:val="2FCD313F"/>
    <w:rsid w:val="2FCD5CFE"/>
    <w:rsid w:val="2FCD67FF"/>
    <w:rsid w:val="2FCE2A51"/>
    <w:rsid w:val="2FCE2B17"/>
    <w:rsid w:val="2FCF07C9"/>
    <w:rsid w:val="2FCF1F3F"/>
    <w:rsid w:val="2FCF2577"/>
    <w:rsid w:val="2FCF4325"/>
    <w:rsid w:val="2FD01CE8"/>
    <w:rsid w:val="2FD065E6"/>
    <w:rsid w:val="2FD1009E"/>
    <w:rsid w:val="2FD13178"/>
    <w:rsid w:val="2FD14541"/>
    <w:rsid w:val="2FD22068"/>
    <w:rsid w:val="2FD30076"/>
    <w:rsid w:val="2FD45DE0"/>
    <w:rsid w:val="2FD47B8E"/>
    <w:rsid w:val="2FD52F89"/>
    <w:rsid w:val="2FD61797"/>
    <w:rsid w:val="2FD70E5E"/>
    <w:rsid w:val="2FD74709"/>
    <w:rsid w:val="2FD8190A"/>
    <w:rsid w:val="2FD858D0"/>
    <w:rsid w:val="2FD8767E"/>
    <w:rsid w:val="2FD91648"/>
    <w:rsid w:val="2FD944DB"/>
    <w:rsid w:val="2FD951A4"/>
    <w:rsid w:val="2FD96870"/>
    <w:rsid w:val="2FDA68F6"/>
    <w:rsid w:val="2FDB0AF5"/>
    <w:rsid w:val="2FDB716E"/>
    <w:rsid w:val="2FDC0125"/>
    <w:rsid w:val="2FDC028B"/>
    <w:rsid w:val="2FDC6090"/>
    <w:rsid w:val="2FDD4C94"/>
    <w:rsid w:val="2FDE0A0C"/>
    <w:rsid w:val="2FDE27BA"/>
    <w:rsid w:val="2FDE59E0"/>
    <w:rsid w:val="2FE029D7"/>
    <w:rsid w:val="2FE04F08"/>
    <w:rsid w:val="2FE06533"/>
    <w:rsid w:val="2FE10AA2"/>
    <w:rsid w:val="2FE140FD"/>
    <w:rsid w:val="2FE222AB"/>
    <w:rsid w:val="2FE25872"/>
    <w:rsid w:val="2FE36023"/>
    <w:rsid w:val="2FE53B49"/>
    <w:rsid w:val="2FE57FED"/>
    <w:rsid w:val="2FE63DAE"/>
    <w:rsid w:val="2FE64428"/>
    <w:rsid w:val="2FE64E2F"/>
    <w:rsid w:val="2FE7235E"/>
    <w:rsid w:val="2FE75D7A"/>
    <w:rsid w:val="2FE778C1"/>
    <w:rsid w:val="2FE83639"/>
    <w:rsid w:val="2FE9188B"/>
    <w:rsid w:val="2FE94AE6"/>
    <w:rsid w:val="2FE9673B"/>
    <w:rsid w:val="2FEA115F"/>
    <w:rsid w:val="2FEA5460"/>
    <w:rsid w:val="2FEA62EE"/>
    <w:rsid w:val="2FEB65FA"/>
    <w:rsid w:val="2FEB68F0"/>
    <w:rsid w:val="2FEC09B7"/>
    <w:rsid w:val="2FEC1EDB"/>
    <w:rsid w:val="2FEC6169"/>
    <w:rsid w:val="2FEC7D80"/>
    <w:rsid w:val="2FED3DE1"/>
    <w:rsid w:val="2FEF06E4"/>
    <w:rsid w:val="2FEF1F17"/>
    <w:rsid w:val="2FEF49C8"/>
    <w:rsid w:val="2FEF7B42"/>
    <w:rsid w:val="2FF013A7"/>
    <w:rsid w:val="2FF02762"/>
    <w:rsid w:val="2FF124EE"/>
    <w:rsid w:val="2FF16992"/>
    <w:rsid w:val="2FF21E67"/>
    <w:rsid w:val="2FF252ED"/>
    <w:rsid w:val="2FF37D4D"/>
    <w:rsid w:val="2FF41FDE"/>
    <w:rsid w:val="2FF4352E"/>
    <w:rsid w:val="2FF53F42"/>
    <w:rsid w:val="2FF62D3D"/>
    <w:rsid w:val="2FF62EF3"/>
    <w:rsid w:val="2FF635B8"/>
    <w:rsid w:val="2FF635C9"/>
    <w:rsid w:val="2FF63FA8"/>
    <w:rsid w:val="2FF67B04"/>
    <w:rsid w:val="2FF7387C"/>
    <w:rsid w:val="2FF81ACE"/>
    <w:rsid w:val="2FF95846"/>
    <w:rsid w:val="2FFB15BE"/>
    <w:rsid w:val="2FFB28E0"/>
    <w:rsid w:val="2FFB4CA4"/>
    <w:rsid w:val="2FFB7875"/>
    <w:rsid w:val="2FFD7EE2"/>
    <w:rsid w:val="2FFE3624"/>
    <w:rsid w:val="2FFF10AF"/>
    <w:rsid w:val="2FFF61F5"/>
    <w:rsid w:val="2FFF73B7"/>
    <w:rsid w:val="30000983"/>
    <w:rsid w:val="30004E27"/>
    <w:rsid w:val="30006436"/>
    <w:rsid w:val="30006BD5"/>
    <w:rsid w:val="30007611"/>
    <w:rsid w:val="30011BB8"/>
    <w:rsid w:val="30017308"/>
    <w:rsid w:val="3002294D"/>
    <w:rsid w:val="300246FB"/>
    <w:rsid w:val="30024B76"/>
    <w:rsid w:val="30024EB4"/>
    <w:rsid w:val="30027398"/>
    <w:rsid w:val="30032221"/>
    <w:rsid w:val="300429F3"/>
    <w:rsid w:val="300456D0"/>
    <w:rsid w:val="300466C5"/>
    <w:rsid w:val="3004710A"/>
    <w:rsid w:val="30052067"/>
    <w:rsid w:val="3005243D"/>
    <w:rsid w:val="30054AD9"/>
    <w:rsid w:val="30054FF9"/>
    <w:rsid w:val="30055F99"/>
    <w:rsid w:val="30057B38"/>
    <w:rsid w:val="30063D65"/>
    <w:rsid w:val="30064966"/>
    <w:rsid w:val="30073ABF"/>
    <w:rsid w:val="300A0177"/>
    <w:rsid w:val="300A573E"/>
    <w:rsid w:val="300A79CB"/>
    <w:rsid w:val="300B7369"/>
    <w:rsid w:val="300B7A9E"/>
    <w:rsid w:val="300C557A"/>
    <w:rsid w:val="300F45A9"/>
    <w:rsid w:val="300F6E18"/>
    <w:rsid w:val="30101ED4"/>
    <w:rsid w:val="30110965"/>
    <w:rsid w:val="30110DE2"/>
    <w:rsid w:val="30112447"/>
    <w:rsid w:val="30112B90"/>
    <w:rsid w:val="3011493E"/>
    <w:rsid w:val="30122F2A"/>
    <w:rsid w:val="30130218"/>
    <w:rsid w:val="301306B6"/>
    <w:rsid w:val="301343BA"/>
    <w:rsid w:val="30134B5A"/>
    <w:rsid w:val="30136908"/>
    <w:rsid w:val="301377D6"/>
    <w:rsid w:val="3014442E"/>
    <w:rsid w:val="30146116"/>
    <w:rsid w:val="30146874"/>
    <w:rsid w:val="30155C7D"/>
    <w:rsid w:val="30161F54"/>
    <w:rsid w:val="3016447C"/>
    <w:rsid w:val="301663F8"/>
    <w:rsid w:val="30182170"/>
    <w:rsid w:val="30195BFF"/>
    <w:rsid w:val="301A4A3C"/>
    <w:rsid w:val="301A6FA0"/>
    <w:rsid w:val="301B0160"/>
    <w:rsid w:val="301B0C53"/>
    <w:rsid w:val="301B3A0F"/>
    <w:rsid w:val="301B428D"/>
    <w:rsid w:val="301B57BD"/>
    <w:rsid w:val="301D1345"/>
    <w:rsid w:val="301D7787"/>
    <w:rsid w:val="301E5640"/>
    <w:rsid w:val="301E705B"/>
    <w:rsid w:val="301F52AD"/>
    <w:rsid w:val="3021158F"/>
    <w:rsid w:val="302124D4"/>
    <w:rsid w:val="302176DD"/>
    <w:rsid w:val="302208F9"/>
    <w:rsid w:val="30221572"/>
    <w:rsid w:val="30226B4B"/>
    <w:rsid w:val="302307C5"/>
    <w:rsid w:val="30232222"/>
    <w:rsid w:val="30232D39"/>
    <w:rsid w:val="302428C3"/>
    <w:rsid w:val="302467A6"/>
    <w:rsid w:val="302503E9"/>
    <w:rsid w:val="30251A30"/>
    <w:rsid w:val="30254242"/>
    <w:rsid w:val="3025488D"/>
    <w:rsid w:val="302567CF"/>
    <w:rsid w:val="302723B3"/>
    <w:rsid w:val="30272830"/>
    <w:rsid w:val="30274161"/>
    <w:rsid w:val="30275FC0"/>
    <w:rsid w:val="3028271B"/>
    <w:rsid w:val="30282A57"/>
    <w:rsid w:val="302A0383"/>
    <w:rsid w:val="302A11B1"/>
    <w:rsid w:val="302A1EA4"/>
    <w:rsid w:val="302A3D0E"/>
    <w:rsid w:val="302B4255"/>
    <w:rsid w:val="302C79CA"/>
    <w:rsid w:val="302E2159"/>
    <w:rsid w:val="302E3742"/>
    <w:rsid w:val="302E54F0"/>
    <w:rsid w:val="302E6A35"/>
    <w:rsid w:val="302F3016"/>
    <w:rsid w:val="30304791"/>
    <w:rsid w:val="30316D8E"/>
    <w:rsid w:val="3031741A"/>
    <w:rsid w:val="30322561"/>
    <w:rsid w:val="30331386"/>
    <w:rsid w:val="30335083"/>
    <w:rsid w:val="30336FAA"/>
    <w:rsid w:val="30343E6A"/>
    <w:rsid w:val="30344E34"/>
    <w:rsid w:val="30350F73"/>
    <w:rsid w:val="303625F7"/>
    <w:rsid w:val="3038011D"/>
    <w:rsid w:val="303845C1"/>
    <w:rsid w:val="30395C43"/>
    <w:rsid w:val="303960D5"/>
    <w:rsid w:val="30396A95"/>
    <w:rsid w:val="3039737E"/>
    <w:rsid w:val="303B19BB"/>
    <w:rsid w:val="303B6620"/>
    <w:rsid w:val="303C2CD7"/>
    <w:rsid w:val="303C2E9C"/>
    <w:rsid w:val="303D1BD7"/>
    <w:rsid w:val="303D5733"/>
    <w:rsid w:val="303E30AB"/>
    <w:rsid w:val="303F594F"/>
    <w:rsid w:val="303F6A4D"/>
    <w:rsid w:val="303F76FD"/>
    <w:rsid w:val="30405F11"/>
    <w:rsid w:val="30406F38"/>
    <w:rsid w:val="304149D3"/>
    <w:rsid w:val="30422D49"/>
    <w:rsid w:val="30426B0F"/>
    <w:rsid w:val="304271ED"/>
    <w:rsid w:val="30442F65"/>
    <w:rsid w:val="30444D13"/>
    <w:rsid w:val="30450A8C"/>
    <w:rsid w:val="30466CDD"/>
    <w:rsid w:val="304706D9"/>
    <w:rsid w:val="30471D07"/>
    <w:rsid w:val="30473BBB"/>
    <w:rsid w:val="30474804"/>
    <w:rsid w:val="3048309B"/>
    <w:rsid w:val="30483AE8"/>
    <w:rsid w:val="30492B1F"/>
    <w:rsid w:val="304940D8"/>
    <w:rsid w:val="30495BCA"/>
    <w:rsid w:val="304A1A07"/>
    <w:rsid w:val="304A60A2"/>
    <w:rsid w:val="304A7E50"/>
    <w:rsid w:val="304B52D4"/>
    <w:rsid w:val="304C1E1A"/>
    <w:rsid w:val="304C3909"/>
    <w:rsid w:val="304C3BC8"/>
    <w:rsid w:val="304C5C8C"/>
    <w:rsid w:val="304D1595"/>
    <w:rsid w:val="304E02C8"/>
    <w:rsid w:val="304E13A5"/>
    <w:rsid w:val="304E7940"/>
    <w:rsid w:val="304F2A04"/>
    <w:rsid w:val="304F36B8"/>
    <w:rsid w:val="304F5466"/>
    <w:rsid w:val="304F71B0"/>
    <w:rsid w:val="304F751B"/>
    <w:rsid w:val="3050190A"/>
    <w:rsid w:val="30501E56"/>
    <w:rsid w:val="30502ECC"/>
    <w:rsid w:val="30504491"/>
    <w:rsid w:val="30515682"/>
    <w:rsid w:val="305273C9"/>
    <w:rsid w:val="30534F57"/>
    <w:rsid w:val="30536D05"/>
    <w:rsid w:val="30550CCF"/>
    <w:rsid w:val="30557AA8"/>
    <w:rsid w:val="30557BC6"/>
    <w:rsid w:val="30562C99"/>
    <w:rsid w:val="30564A8F"/>
    <w:rsid w:val="3056624A"/>
    <w:rsid w:val="30566EA7"/>
    <w:rsid w:val="305742C4"/>
    <w:rsid w:val="305807BF"/>
    <w:rsid w:val="30580BC9"/>
    <w:rsid w:val="30590093"/>
    <w:rsid w:val="30590237"/>
    <w:rsid w:val="3059120D"/>
    <w:rsid w:val="305A4537"/>
    <w:rsid w:val="305B02AF"/>
    <w:rsid w:val="305B205D"/>
    <w:rsid w:val="305B22B4"/>
    <w:rsid w:val="305B3E0B"/>
    <w:rsid w:val="305B5C79"/>
    <w:rsid w:val="305C2BB0"/>
    <w:rsid w:val="305C61F9"/>
    <w:rsid w:val="305C6C64"/>
    <w:rsid w:val="305C7217"/>
    <w:rsid w:val="305D0959"/>
    <w:rsid w:val="305D2584"/>
    <w:rsid w:val="305D4027"/>
    <w:rsid w:val="305D7B83"/>
    <w:rsid w:val="305E12B6"/>
    <w:rsid w:val="305E54D0"/>
    <w:rsid w:val="305E56A9"/>
    <w:rsid w:val="305F1B4D"/>
    <w:rsid w:val="305F38FB"/>
    <w:rsid w:val="306014DD"/>
    <w:rsid w:val="30605945"/>
    <w:rsid w:val="30605B09"/>
    <w:rsid w:val="30607673"/>
    <w:rsid w:val="306141D7"/>
    <w:rsid w:val="30625155"/>
    <w:rsid w:val="30625E2E"/>
    <w:rsid w:val="30625E69"/>
    <w:rsid w:val="30626A22"/>
    <w:rsid w:val="30627B94"/>
    <w:rsid w:val="30635C28"/>
    <w:rsid w:val="30643F13"/>
    <w:rsid w:val="30647164"/>
    <w:rsid w:val="30651DA8"/>
    <w:rsid w:val="30656A38"/>
    <w:rsid w:val="306573B4"/>
    <w:rsid w:val="30661B74"/>
    <w:rsid w:val="30670A02"/>
    <w:rsid w:val="30672894"/>
    <w:rsid w:val="306759C0"/>
    <w:rsid w:val="3068219C"/>
    <w:rsid w:val="306929CC"/>
    <w:rsid w:val="30694209"/>
    <w:rsid w:val="3069477A"/>
    <w:rsid w:val="30696528"/>
    <w:rsid w:val="306966A1"/>
    <w:rsid w:val="30696929"/>
    <w:rsid w:val="306A22A0"/>
    <w:rsid w:val="306A6644"/>
    <w:rsid w:val="306B04F2"/>
    <w:rsid w:val="306C1F7A"/>
    <w:rsid w:val="306C3891"/>
    <w:rsid w:val="306C431F"/>
    <w:rsid w:val="306C5FDC"/>
    <w:rsid w:val="306C6018"/>
    <w:rsid w:val="306C7DC6"/>
    <w:rsid w:val="306D3653"/>
    <w:rsid w:val="306D3B35"/>
    <w:rsid w:val="306D4751"/>
    <w:rsid w:val="306D65D3"/>
    <w:rsid w:val="306E7B96"/>
    <w:rsid w:val="306E7FE2"/>
    <w:rsid w:val="306F3DB8"/>
    <w:rsid w:val="30707DAF"/>
    <w:rsid w:val="30713946"/>
    <w:rsid w:val="30731155"/>
    <w:rsid w:val="307440EA"/>
    <w:rsid w:val="30744ECD"/>
    <w:rsid w:val="30746CE7"/>
    <w:rsid w:val="30752D67"/>
    <w:rsid w:val="307534F5"/>
    <w:rsid w:val="3076246C"/>
    <w:rsid w:val="30766E97"/>
    <w:rsid w:val="307732E2"/>
    <w:rsid w:val="307849BD"/>
    <w:rsid w:val="3078676B"/>
    <w:rsid w:val="307902EB"/>
    <w:rsid w:val="307A3E50"/>
    <w:rsid w:val="307A753E"/>
    <w:rsid w:val="307B44AD"/>
    <w:rsid w:val="307C1EC9"/>
    <w:rsid w:val="307C26FF"/>
    <w:rsid w:val="307C7D42"/>
    <w:rsid w:val="307D1FD3"/>
    <w:rsid w:val="307D41D1"/>
    <w:rsid w:val="307D4ABA"/>
    <w:rsid w:val="307D5BA0"/>
    <w:rsid w:val="307D6477"/>
    <w:rsid w:val="307F0B1B"/>
    <w:rsid w:val="307F3F9D"/>
    <w:rsid w:val="307F7AFA"/>
    <w:rsid w:val="308001FB"/>
    <w:rsid w:val="3080086A"/>
    <w:rsid w:val="30803872"/>
    <w:rsid w:val="30813657"/>
    <w:rsid w:val="30817D16"/>
    <w:rsid w:val="30823A8E"/>
    <w:rsid w:val="308275EA"/>
    <w:rsid w:val="30830840"/>
    <w:rsid w:val="308415B4"/>
    <w:rsid w:val="3084391F"/>
    <w:rsid w:val="308570DA"/>
    <w:rsid w:val="30862AAB"/>
    <w:rsid w:val="308710A4"/>
    <w:rsid w:val="3087288E"/>
    <w:rsid w:val="30872E52"/>
    <w:rsid w:val="3088073D"/>
    <w:rsid w:val="30883D4D"/>
    <w:rsid w:val="30894E1C"/>
    <w:rsid w:val="308A06D2"/>
    <w:rsid w:val="308B70BE"/>
    <w:rsid w:val="308C66BA"/>
    <w:rsid w:val="308E2E6E"/>
    <w:rsid w:val="308E41E1"/>
    <w:rsid w:val="308F5E84"/>
    <w:rsid w:val="30900AAA"/>
    <w:rsid w:val="30911F89"/>
    <w:rsid w:val="30913CD1"/>
    <w:rsid w:val="309147F1"/>
    <w:rsid w:val="30915A7F"/>
    <w:rsid w:val="3092154C"/>
    <w:rsid w:val="3092492F"/>
    <w:rsid w:val="30937A49"/>
    <w:rsid w:val="309537C1"/>
    <w:rsid w:val="3095556F"/>
    <w:rsid w:val="309636FF"/>
    <w:rsid w:val="3096674E"/>
    <w:rsid w:val="30970FCD"/>
    <w:rsid w:val="309754BA"/>
    <w:rsid w:val="30980F3B"/>
    <w:rsid w:val="30982634"/>
    <w:rsid w:val="3098505F"/>
    <w:rsid w:val="30992412"/>
    <w:rsid w:val="30994CB6"/>
    <w:rsid w:val="309A02D0"/>
    <w:rsid w:val="309A0B18"/>
    <w:rsid w:val="309A0DD7"/>
    <w:rsid w:val="309A4933"/>
    <w:rsid w:val="309B06AC"/>
    <w:rsid w:val="309B65A4"/>
    <w:rsid w:val="309C0043"/>
    <w:rsid w:val="309C36E1"/>
    <w:rsid w:val="309C4B4F"/>
    <w:rsid w:val="309C68FD"/>
    <w:rsid w:val="309C7250"/>
    <w:rsid w:val="309C7451"/>
    <w:rsid w:val="309D12E0"/>
    <w:rsid w:val="309D14D3"/>
    <w:rsid w:val="309D20B2"/>
    <w:rsid w:val="309D3F50"/>
    <w:rsid w:val="309D4424"/>
    <w:rsid w:val="309E05B5"/>
    <w:rsid w:val="309E71DE"/>
    <w:rsid w:val="309F019C"/>
    <w:rsid w:val="309F63EE"/>
    <w:rsid w:val="309F69C4"/>
    <w:rsid w:val="309F77D5"/>
    <w:rsid w:val="30A01D96"/>
    <w:rsid w:val="30A02245"/>
    <w:rsid w:val="30A046BE"/>
    <w:rsid w:val="30A05CC2"/>
    <w:rsid w:val="30A109B9"/>
    <w:rsid w:val="30A12A25"/>
    <w:rsid w:val="30A135C3"/>
    <w:rsid w:val="30A13F14"/>
    <w:rsid w:val="30A14CB5"/>
    <w:rsid w:val="30A23EB5"/>
    <w:rsid w:val="30A33B4F"/>
    <w:rsid w:val="30A471F6"/>
    <w:rsid w:val="30A5056A"/>
    <w:rsid w:val="30A6681A"/>
    <w:rsid w:val="30A6777C"/>
    <w:rsid w:val="30A762CB"/>
    <w:rsid w:val="30A803D6"/>
    <w:rsid w:val="30A82FC8"/>
    <w:rsid w:val="30A841A9"/>
    <w:rsid w:val="30A85D06"/>
    <w:rsid w:val="30A9101A"/>
    <w:rsid w:val="30A92647"/>
    <w:rsid w:val="30A92DC8"/>
    <w:rsid w:val="30A9726C"/>
    <w:rsid w:val="30AA3DBF"/>
    <w:rsid w:val="30AA495D"/>
    <w:rsid w:val="30AA595F"/>
    <w:rsid w:val="30AB1064"/>
    <w:rsid w:val="30AB66A8"/>
    <w:rsid w:val="30AB6B41"/>
    <w:rsid w:val="30AC6D0F"/>
    <w:rsid w:val="30AD0B0B"/>
    <w:rsid w:val="30AE03DF"/>
    <w:rsid w:val="30AE4883"/>
    <w:rsid w:val="30AE6631"/>
    <w:rsid w:val="30AF75A6"/>
    <w:rsid w:val="30B139AA"/>
    <w:rsid w:val="30B17ECF"/>
    <w:rsid w:val="30B20B79"/>
    <w:rsid w:val="30B22105"/>
    <w:rsid w:val="30B26121"/>
    <w:rsid w:val="30B30B1C"/>
    <w:rsid w:val="30B359F5"/>
    <w:rsid w:val="30B44047"/>
    <w:rsid w:val="30B5041B"/>
    <w:rsid w:val="30B63D3E"/>
    <w:rsid w:val="30B71989"/>
    <w:rsid w:val="30B73737"/>
    <w:rsid w:val="30B874AF"/>
    <w:rsid w:val="30B9213C"/>
    <w:rsid w:val="30B96527"/>
    <w:rsid w:val="30BA1051"/>
    <w:rsid w:val="30BA3228"/>
    <w:rsid w:val="30BA6D84"/>
    <w:rsid w:val="30BA6DF9"/>
    <w:rsid w:val="30BB2AFC"/>
    <w:rsid w:val="30BC0D4E"/>
    <w:rsid w:val="30BC6FA0"/>
    <w:rsid w:val="30BD4AC6"/>
    <w:rsid w:val="30BE58FC"/>
    <w:rsid w:val="30BF083E"/>
    <w:rsid w:val="30BF25EC"/>
    <w:rsid w:val="30BF34AF"/>
    <w:rsid w:val="30BF439A"/>
    <w:rsid w:val="30C121D3"/>
    <w:rsid w:val="30C17E43"/>
    <w:rsid w:val="30C22B15"/>
    <w:rsid w:val="30C23E8A"/>
    <w:rsid w:val="30C26109"/>
    <w:rsid w:val="30C32657"/>
    <w:rsid w:val="30C331EE"/>
    <w:rsid w:val="30C34AEF"/>
    <w:rsid w:val="30C34F8E"/>
    <w:rsid w:val="30C47C02"/>
    <w:rsid w:val="30C506DF"/>
    <w:rsid w:val="30C61284"/>
    <w:rsid w:val="30C9346B"/>
    <w:rsid w:val="30C966BB"/>
    <w:rsid w:val="30C96FC7"/>
    <w:rsid w:val="30CA20A8"/>
    <w:rsid w:val="30CB2D3F"/>
    <w:rsid w:val="30CB35D2"/>
    <w:rsid w:val="30CB71E3"/>
    <w:rsid w:val="30CC6AB7"/>
    <w:rsid w:val="30CD0FAE"/>
    <w:rsid w:val="30CD18C2"/>
    <w:rsid w:val="30CD2F5B"/>
    <w:rsid w:val="30CD6A24"/>
    <w:rsid w:val="30CE6CD3"/>
    <w:rsid w:val="30CF3133"/>
    <w:rsid w:val="30D047F9"/>
    <w:rsid w:val="30D07FA5"/>
    <w:rsid w:val="30D103C3"/>
    <w:rsid w:val="30D140CD"/>
    <w:rsid w:val="30D15C78"/>
    <w:rsid w:val="30D20571"/>
    <w:rsid w:val="30D21853"/>
    <w:rsid w:val="30D2231F"/>
    <w:rsid w:val="30D246B8"/>
    <w:rsid w:val="30D36097"/>
    <w:rsid w:val="30D42EC7"/>
    <w:rsid w:val="30D53BBD"/>
    <w:rsid w:val="30D73E8A"/>
    <w:rsid w:val="30D74EFB"/>
    <w:rsid w:val="30D75B88"/>
    <w:rsid w:val="30D81900"/>
    <w:rsid w:val="30D81E04"/>
    <w:rsid w:val="30D836AE"/>
    <w:rsid w:val="30D93AC1"/>
    <w:rsid w:val="30DA0F89"/>
    <w:rsid w:val="30DB6CFA"/>
    <w:rsid w:val="30DC13F0"/>
    <w:rsid w:val="30DC6CDB"/>
    <w:rsid w:val="30DD6F16"/>
    <w:rsid w:val="30DD75CF"/>
    <w:rsid w:val="30DF1CD2"/>
    <w:rsid w:val="30DF2C8E"/>
    <w:rsid w:val="30DF3E57"/>
    <w:rsid w:val="30DF4A3C"/>
    <w:rsid w:val="30DF797C"/>
    <w:rsid w:val="30E10156"/>
    <w:rsid w:val="30E12562"/>
    <w:rsid w:val="30E16A06"/>
    <w:rsid w:val="30E20088"/>
    <w:rsid w:val="30E21348"/>
    <w:rsid w:val="30E23AE3"/>
    <w:rsid w:val="30E245F6"/>
    <w:rsid w:val="30E33C68"/>
    <w:rsid w:val="30E449B8"/>
    <w:rsid w:val="30E450F8"/>
    <w:rsid w:val="30E4619D"/>
    <w:rsid w:val="30E63ACC"/>
    <w:rsid w:val="30E7123C"/>
    <w:rsid w:val="30E738F1"/>
    <w:rsid w:val="30E804DA"/>
    <w:rsid w:val="30E85E03"/>
    <w:rsid w:val="30E8664A"/>
    <w:rsid w:val="30E87D95"/>
    <w:rsid w:val="30E958BB"/>
    <w:rsid w:val="30EB1633"/>
    <w:rsid w:val="30EB33E1"/>
    <w:rsid w:val="30EC0F07"/>
    <w:rsid w:val="30EC388A"/>
    <w:rsid w:val="30EC5F1D"/>
    <w:rsid w:val="30ED387E"/>
    <w:rsid w:val="30ED4D1A"/>
    <w:rsid w:val="30EE1123"/>
    <w:rsid w:val="30EE4C7F"/>
    <w:rsid w:val="30EF505A"/>
    <w:rsid w:val="30EF69E4"/>
    <w:rsid w:val="30F009F7"/>
    <w:rsid w:val="30F027A5"/>
    <w:rsid w:val="30F037CF"/>
    <w:rsid w:val="30F06DF4"/>
    <w:rsid w:val="30F1045C"/>
    <w:rsid w:val="30F10AFB"/>
    <w:rsid w:val="30F25897"/>
    <w:rsid w:val="30F304E8"/>
    <w:rsid w:val="30F3057A"/>
    <w:rsid w:val="30F312A6"/>
    <w:rsid w:val="30F32296"/>
    <w:rsid w:val="30F524B2"/>
    <w:rsid w:val="30F54260"/>
    <w:rsid w:val="30F70250"/>
    <w:rsid w:val="30F717EE"/>
    <w:rsid w:val="30F73BB2"/>
    <w:rsid w:val="30F74A1B"/>
    <w:rsid w:val="30F878AC"/>
    <w:rsid w:val="30FA42EA"/>
    <w:rsid w:val="30FA57D5"/>
    <w:rsid w:val="30FB4519"/>
    <w:rsid w:val="30FC114A"/>
    <w:rsid w:val="30FC4AEC"/>
    <w:rsid w:val="30FC4CA2"/>
    <w:rsid w:val="30FD3114"/>
    <w:rsid w:val="30FD5F50"/>
    <w:rsid w:val="30FF50DE"/>
    <w:rsid w:val="30FF6475"/>
    <w:rsid w:val="31001F7C"/>
    <w:rsid w:val="31003190"/>
    <w:rsid w:val="31003887"/>
    <w:rsid w:val="31012C04"/>
    <w:rsid w:val="310145EA"/>
    <w:rsid w:val="3102072B"/>
    <w:rsid w:val="31021DE0"/>
    <w:rsid w:val="3103697D"/>
    <w:rsid w:val="310444A3"/>
    <w:rsid w:val="31046251"/>
    <w:rsid w:val="31050537"/>
    <w:rsid w:val="3106021B"/>
    <w:rsid w:val="31064CF3"/>
    <w:rsid w:val="3106646D"/>
    <w:rsid w:val="310736B2"/>
    <w:rsid w:val="310821E5"/>
    <w:rsid w:val="31083F93"/>
    <w:rsid w:val="310913B4"/>
    <w:rsid w:val="31091BCD"/>
    <w:rsid w:val="31096990"/>
    <w:rsid w:val="31097D0B"/>
    <w:rsid w:val="310A38D5"/>
    <w:rsid w:val="310A6874"/>
    <w:rsid w:val="310B02A3"/>
    <w:rsid w:val="310B41F5"/>
    <w:rsid w:val="310B4802"/>
    <w:rsid w:val="310B5831"/>
    <w:rsid w:val="310B651C"/>
    <w:rsid w:val="310C55BA"/>
    <w:rsid w:val="310C5C90"/>
    <w:rsid w:val="310D0FEF"/>
    <w:rsid w:val="310E0535"/>
    <w:rsid w:val="310E0E7D"/>
    <w:rsid w:val="310E64A8"/>
    <w:rsid w:val="310E70CF"/>
    <w:rsid w:val="310F3573"/>
    <w:rsid w:val="31102E48"/>
    <w:rsid w:val="31103685"/>
    <w:rsid w:val="31103C8F"/>
    <w:rsid w:val="31104BF6"/>
    <w:rsid w:val="31115C4D"/>
    <w:rsid w:val="31126BC0"/>
    <w:rsid w:val="31132938"/>
    <w:rsid w:val="311346E6"/>
    <w:rsid w:val="311361B9"/>
    <w:rsid w:val="31137423"/>
    <w:rsid w:val="31140B8A"/>
    <w:rsid w:val="3115045E"/>
    <w:rsid w:val="3115220C"/>
    <w:rsid w:val="311741D6"/>
    <w:rsid w:val="31181417"/>
    <w:rsid w:val="31182682"/>
    <w:rsid w:val="31182B58"/>
    <w:rsid w:val="31183FE8"/>
    <w:rsid w:val="311851D5"/>
    <w:rsid w:val="31194D95"/>
    <w:rsid w:val="311961A0"/>
    <w:rsid w:val="311979E0"/>
    <w:rsid w:val="311A098E"/>
    <w:rsid w:val="311B0E2A"/>
    <w:rsid w:val="311B2A6A"/>
    <w:rsid w:val="311C17EC"/>
    <w:rsid w:val="311C7A3E"/>
    <w:rsid w:val="311D3DF9"/>
    <w:rsid w:val="311D7312"/>
    <w:rsid w:val="311D7B96"/>
    <w:rsid w:val="311E2ED7"/>
    <w:rsid w:val="311E67FD"/>
    <w:rsid w:val="3120438A"/>
    <w:rsid w:val="31210BB1"/>
    <w:rsid w:val="312132A7"/>
    <w:rsid w:val="312227A7"/>
    <w:rsid w:val="31226852"/>
    <w:rsid w:val="31230DCD"/>
    <w:rsid w:val="312318B9"/>
    <w:rsid w:val="3124258B"/>
    <w:rsid w:val="312468F3"/>
    <w:rsid w:val="312501F0"/>
    <w:rsid w:val="312608BD"/>
    <w:rsid w:val="31271F3F"/>
    <w:rsid w:val="31280191"/>
    <w:rsid w:val="312863E3"/>
    <w:rsid w:val="31286945"/>
    <w:rsid w:val="3129250A"/>
    <w:rsid w:val="31295CB7"/>
    <w:rsid w:val="312A215B"/>
    <w:rsid w:val="312C00A2"/>
    <w:rsid w:val="312C76E2"/>
    <w:rsid w:val="312D0FE4"/>
    <w:rsid w:val="312D39F9"/>
    <w:rsid w:val="312D589B"/>
    <w:rsid w:val="312E1520"/>
    <w:rsid w:val="312E32CE"/>
    <w:rsid w:val="312F0DDF"/>
    <w:rsid w:val="312F5DB4"/>
    <w:rsid w:val="312F769E"/>
    <w:rsid w:val="312F7772"/>
    <w:rsid w:val="313079E4"/>
    <w:rsid w:val="31314EFB"/>
    <w:rsid w:val="31321010"/>
    <w:rsid w:val="31322DBE"/>
    <w:rsid w:val="313236A5"/>
    <w:rsid w:val="31324B8F"/>
    <w:rsid w:val="313264F4"/>
    <w:rsid w:val="313308E4"/>
    <w:rsid w:val="31342FDA"/>
    <w:rsid w:val="3134418D"/>
    <w:rsid w:val="313474AF"/>
    <w:rsid w:val="3135023F"/>
    <w:rsid w:val="3135465C"/>
    <w:rsid w:val="31356A60"/>
    <w:rsid w:val="3136601F"/>
    <w:rsid w:val="313660E1"/>
    <w:rsid w:val="31374878"/>
    <w:rsid w:val="3138368B"/>
    <w:rsid w:val="3139239E"/>
    <w:rsid w:val="31394A62"/>
    <w:rsid w:val="313A5EF2"/>
    <w:rsid w:val="313A6116"/>
    <w:rsid w:val="313B2616"/>
    <w:rsid w:val="313B43E4"/>
    <w:rsid w:val="313C6B70"/>
    <w:rsid w:val="313D33E3"/>
    <w:rsid w:val="313E1763"/>
    <w:rsid w:val="313E3551"/>
    <w:rsid w:val="313F54DB"/>
    <w:rsid w:val="3140197F"/>
    <w:rsid w:val="31401C08"/>
    <w:rsid w:val="31410976"/>
    <w:rsid w:val="31411253"/>
    <w:rsid w:val="31411AB3"/>
    <w:rsid w:val="31413001"/>
    <w:rsid w:val="31424559"/>
    <w:rsid w:val="314246DE"/>
    <w:rsid w:val="31427CF9"/>
    <w:rsid w:val="31436D79"/>
    <w:rsid w:val="3145159C"/>
    <w:rsid w:val="31452654"/>
    <w:rsid w:val="31464ABB"/>
    <w:rsid w:val="31476D45"/>
    <w:rsid w:val="314814EC"/>
    <w:rsid w:val="3148438F"/>
    <w:rsid w:val="31490108"/>
    <w:rsid w:val="31491D16"/>
    <w:rsid w:val="31496359"/>
    <w:rsid w:val="314A45AB"/>
    <w:rsid w:val="314B0324"/>
    <w:rsid w:val="314B3E80"/>
    <w:rsid w:val="314C0307"/>
    <w:rsid w:val="314C12D1"/>
    <w:rsid w:val="314C7BB2"/>
    <w:rsid w:val="314D1797"/>
    <w:rsid w:val="314D409C"/>
    <w:rsid w:val="314D7BF8"/>
    <w:rsid w:val="314E0D97"/>
    <w:rsid w:val="314E5F8F"/>
    <w:rsid w:val="314F3970"/>
    <w:rsid w:val="314F40B7"/>
    <w:rsid w:val="31500118"/>
    <w:rsid w:val="3150593A"/>
    <w:rsid w:val="315076E8"/>
    <w:rsid w:val="31510416"/>
    <w:rsid w:val="3152520E"/>
    <w:rsid w:val="31532D34"/>
    <w:rsid w:val="31533344"/>
    <w:rsid w:val="3154713B"/>
    <w:rsid w:val="315502D8"/>
    <w:rsid w:val="315519F8"/>
    <w:rsid w:val="31552F50"/>
    <w:rsid w:val="31553916"/>
    <w:rsid w:val="31556AAC"/>
    <w:rsid w:val="315619EE"/>
    <w:rsid w:val="315673CB"/>
    <w:rsid w:val="315868AA"/>
    <w:rsid w:val="315947EF"/>
    <w:rsid w:val="315A0567"/>
    <w:rsid w:val="315C449C"/>
    <w:rsid w:val="315C50D9"/>
    <w:rsid w:val="315E0057"/>
    <w:rsid w:val="315E3BB3"/>
    <w:rsid w:val="315F3BE2"/>
    <w:rsid w:val="31605B7D"/>
    <w:rsid w:val="316072EA"/>
    <w:rsid w:val="31610B78"/>
    <w:rsid w:val="3161109D"/>
    <w:rsid w:val="316118F5"/>
    <w:rsid w:val="316136A3"/>
    <w:rsid w:val="3161596C"/>
    <w:rsid w:val="31623B36"/>
    <w:rsid w:val="31626C84"/>
    <w:rsid w:val="3163106C"/>
    <w:rsid w:val="316311C9"/>
    <w:rsid w:val="316339BD"/>
    <w:rsid w:val="3163417D"/>
    <w:rsid w:val="3163741B"/>
    <w:rsid w:val="31644F41"/>
    <w:rsid w:val="31647841"/>
    <w:rsid w:val="31650708"/>
    <w:rsid w:val="316513E5"/>
    <w:rsid w:val="31660CB9"/>
    <w:rsid w:val="316731F7"/>
    <w:rsid w:val="31681A0B"/>
    <w:rsid w:val="31682603"/>
    <w:rsid w:val="31682C84"/>
    <w:rsid w:val="3168639F"/>
    <w:rsid w:val="316867E0"/>
    <w:rsid w:val="31691234"/>
    <w:rsid w:val="316925B3"/>
    <w:rsid w:val="316A07AA"/>
    <w:rsid w:val="316A0CBF"/>
    <w:rsid w:val="316A69FC"/>
    <w:rsid w:val="316B4376"/>
    <w:rsid w:val="316B4522"/>
    <w:rsid w:val="316B46AA"/>
    <w:rsid w:val="316B62D0"/>
    <w:rsid w:val="316C35DE"/>
    <w:rsid w:val="316D029A"/>
    <w:rsid w:val="316E2211"/>
    <w:rsid w:val="316E658F"/>
    <w:rsid w:val="316E7488"/>
    <w:rsid w:val="316E7B6E"/>
    <w:rsid w:val="316F39B0"/>
    <w:rsid w:val="316F3B7B"/>
    <w:rsid w:val="31701A99"/>
    <w:rsid w:val="31701B38"/>
    <w:rsid w:val="31704D75"/>
    <w:rsid w:val="31716284"/>
    <w:rsid w:val="31717D8A"/>
    <w:rsid w:val="31723B02"/>
    <w:rsid w:val="3172765E"/>
    <w:rsid w:val="31734402"/>
    <w:rsid w:val="317367A8"/>
    <w:rsid w:val="31737E9A"/>
    <w:rsid w:val="31745184"/>
    <w:rsid w:val="31750EFD"/>
    <w:rsid w:val="317523A0"/>
    <w:rsid w:val="31772EC7"/>
    <w:rsid w:val="317830B1"/>
    <w:rsid w:val="31785E93"/>
    <w:rsid w:val="3179279B"/>
    <w:rsid w:val="31794E91"/>
    <w:rsid w:val="31796C3F"/>
    <w:rsid w:val="317A4765"/>
    <w:rsid w:val="317C04DD"/>
    <w:rsid w:val="317C228B"/>
    <w:rsid w:val="317C7BCE"/>
    <w:rsid w:val="317E05C4"/>
    <w:rsid w:val="317E4255"/>
    <w:rsid w:val="317E5853"/>
    <w:rsid w:val="317E6003"/>
    <w:rsid w:val="317F0E37"/>
    <w:rsid w:val="317F19C3"/>
    <w:rsid w:val="317F3195"/>
    <w:rsid w:val="318006F6"/>
    <w:rsid w:val="31800D3D"/>
    <w:rsid w:val="31810426"/>
    <w:rsid w:val="31817949"/>
    <w:rsid w:val="31830E79"/>
    <w:rsid w:val="31833AED"/>
    <w:rsid w:val="31837ABD"/>
    <w:rsid w:val="31842AEB"/>
    <w:rsid w:val="318457F6"/>
    <w:rsid w:val="318556EF"/>
    <w:rsid w:val="31857392"/>
    <w:rsid w:val="31862DC4"/>
    <w:rsid w:val="3186310A"/>
    <w:rsid w:val="31864EB8"/>
    <w:rsid w:val="31876ED9"/>
    <w:rsid w:val="318850D4"/>
    <w:rsid w:val="31895C4A"/>
    <w:rsid w:val="318A10D1"/>
    <w:rsid w:val="318A1738"/>
    <w:rsid w:val="318A49A8"/>
    <w:rsid w:val="318B1C16"/>
    <w:rsid w:val="318B24CE"/>
    <w:rsid w:val="318B4309"/>
    <w:rsid w:val="318B5BFC"/>
    <w:rsid w:val="318B64F9"/>
    <w:rsid w:val="318B6972"/>
    <w:rsid w:val="318C4058"/>
    <w:rsid w:val="318C6106"/>
    <w:rsid w:val="318D4498"/>
    <w:rsid w:val="318D5F0C"/>
    <w:rsid w:val="318F1FBE"/>
    <w:rsid w:val="318F2126"/>
    <w:rsid w:val="318F27FC"/>
    <w:rsid w:val="318F411A"/>
    <w:rsid w:val="318F6462"/>
    <w:rsid w:val="31905D36"/>
    <w:rsid w:val="31910988"/>
    <w:rsid w:val="31921AAF"/>
    <w:rsid w:val="31927D00"/>
    <w:rsid w:val="31932A9B"/>
    <w:rsid w:val="319475D5"/>
    <w:rsid w:val="319553BB"/>
    <w:rsid w:val="31960A4C"/>
    <w:rsid w:val="31960C8F"/>
    <w:rsid w:val="3196159F"/>
    <w:rsid w:val="319677F1"/>
    <w:rsid w:val="31967CDB"/>
    <w:rsid w:val="31973569"/>
    <w:rsid w:val="31974C94"/>
    <w:rsid w:val="31975317"/>
    <w:rsid w:val="319770C5"/>
    <w:rsid w:val="31983E65"/>
    <w:rsid w:val="31985442"/>
    <w:rsid w:val="31992E3D"/>
    <w:rsid w:val="31994BEB"/>
    <w:rsid w:val="319A0963"/>
    <w:rsid w:val="319B3596"/>
    <w:rsid w:val="319B4E07"/>
    <w:rsid w:val="319B6CE9"/>
    <w:rsid w:val="319C0B7F"/>
    <w:rsid w:val="319C292D"/>
    <w:rsid w:val="319C3D99"/>
    <w:rsid w:val="319C4ECE"/>
    <w:rsid w:val="319C5F3C"/>
    <w:rsid w:val="319C6AD0"/>
    <w:rsid w:val="319C79E8"/>
    <w:rsid w:val="319D2E1A"/>
    <w:rsid w:val="319D378E"/>
    <w:rsid w:val="319D78B0"/>
    <w:rsid w:val="319E0453"/>
    <w:rsid w:val="319E41A3"/>
    <w:rsid w:val="319E48F7"/>
    <w:rsid w:val="319E7BAE"/>
    <w:rsid w:val="319F23D5"/>
    <w:rsid w:val="31A041CB"/>
    <w:rsid w:val="31A1395E"/>
    <w:rsid w:val="31A17F44"/>
    <w:rsid w:val="31A203EF"/>
    <w:rsid w:val="31A25F76"/>
    <w:rsid w:val="31A279BF"/>
    <w:rsid w:val="31A33CBC"/>
    <w:rsid w:val="31A35A6A"/>
    <w:rsid w:val="31A415D4"/>
    <w:rsid w:val="31A43590"/>
    <w:rsid w:val="31A46AC1"/>
    <w:rsid w:val="31A517E2"/>
    <w:rsid w:val="31A52A82"/>
    <w:rsid w:val="31A551E2"/>
    <w:rsid w:val="31A6555A"/>
    <w:rsid w:val="31A659BD"/>
    <w:rsid w:val="31A67308"/>
    <w:rsid w:val="31A677D0"/>
    <w:rsid w:val="31A737AC"/>
    <w:rsid w:val="31A83080"/>
    <w:rsid w:val="31A83831"/>
    <w:rsid w:val="31AA05EE"/>
    <w:rsid w:val="31AA504A"/>
    <w:rsid w:val="31AA7E5A"/>
    <w:rsid w:val="31AB0C25"/>
    <w:rsid w:val="31AB21B2"/>
    <w:rsid w:val="31AB491E"/>
    <w:rsid w:val="31AC77B7"/>
    <w:rsid w:val="31AD298A"/>
    <w:rsid w:val="31AD4AD2"/>
    <w:rsid w:val="31AD4B3A"/>
    <w:rsid w:val="31AD722B"/>
    <w:rsid w:val="31AE34DE"/>
    <w:rsid w:val="31AF08B2"/>
    <w:rsid w:val="31AF2660"/>
    <w:rsid w:val="31B00187"/>
    <w:rsid w:val="31B1462B"/>
    <w:rsid w:val="31B163D9"/>
    <w:rsid w:val="31B23EFF"/>
    <w:rsid w:val="31B27796"/>
    <w:rsid w:val="31B37593"/>
    <w:rsid w:val="31B41A25"/>
    <w:rsid w:val="31B47C77"/>
    <w:rsid w:val="31B53264"/>
    <w:rsid w:val="31B57D1D"/>
    <w:rsid w:val="31B61C41"/>
    <w:rsid w:val="31B639EF"/>
    <w:rsid w:val="31B64018"/>
    <w:rsid w:val="31B646F4"/>
    <w:rsid w:val="31B64987"/>
    <w:rsid w:val="31B70755"/>
    <w:rsid w:val="31B707A4"/>
    <w:rsid w:val="31B72085"/>
    <w:rsid w:val="31B7224A"/>
    <w:rsid w:val="31B77767"/>
    <w:rsid w:val="31B82709"/>
    <w:rsid w:val="31B859B9"/>
    <w:rsid w:val="31B922FA"/>
    <w:rsid w:val="31B934DF"/>
    <w:rsid w:val="31B9703B"/>
    <w:rsid w:val="31BA1F94"/>
    <w:rsid w:val="31BA3EA9"/>
    <w:rsid w:val="31BC2143"/>
    <w:rsid w:val="31BC6B2B"/>
    <w:rsid w:val="31BD1DE4"/>
    <w:rsid w:val="31BE361A"/>
    <w:rsid w:val="31BE6C8E"/>
    <w:rsid w:val="31BF7E3F"/>
    <w:rsid w:val="31C00DA6"/>
    <w:rsid w:val="31C0661C"/>
    <w:rsid w:val="31C11945"/>
    <w:rsid w:val="31C143D8"/>
    <w:rsid w:val="31C26A29"/>
    <w:rsid w:val="31C26FA9"/>
    <w:rsid w:val="31C30F10"/>
    <w:rsid w:val="31C3207A"/>
    <w:rsid w:val="31C32EBE"/>
    <w:rsid w:val="31C3435E"/>
    <w:rsid w:val="31C3610C"/>
    <w:rsid w:val="31C411E8"/>
    <w:rsid w:val="31C413F6"/>
    <w:rsid w:val="31C52D59"/>
    <w:rsid w:val="31C53C32"/>
    <w:rsid w:val="31C53C6E"/>
    <w:rsid w:val="31C559E0"/>
    <w:rsid w:val="31C6463A"/>
    <w:rsid w:val="31C64FAA"/>
    <w:rsid w:val="31C65DC6"/>
    <w:rsid w:val="31C66DBA"/>
    <w:rsid w:val="31C7431E"/>
    <w:rsid w:val="31C7551E"/>
    <w:rsid w:val="31C75A3E"/>
    <w:rsid w:val="31C75BFC"/>
    <w:rsid w:val="31C81974"/>
    <w:rsid w:val="31C83722"/>
    <w:rsid w:val="31C93B7A"/>
    <w:rsid w:val="31C942AB"/>
    <w:rsid w:val="31CA14BD"/>
    <w:rsid w:val="31CB0156"/>
    <w:rsid w:val="31CB6D6E"/>
    <w:rsid w:val="31CC0F36"/>
    <w:rsid w:val="31CC3212"/>
    <w:rsid w:val="31CC4FC0"/>
    <w:rsid w:val="31CD2AE7"/>
    <w:rsid w:val="31CE41BF"/>
    <w:rsid w:val="31CE4510"/>
    <w:rsid w:val="31CF0AB2"/>
    <w:rsid w:val="31CF2D03"/>
    <w:rsid w:val="31CF4AB1"/>
    <w:rsid w:val="31CF4F58"/>
    <w:rsid w:val="31CF685F"/>
    <w:rsid w:val="31CF6C2F"/>
    <w:rsid w:val="31D04385"/>
    <w:rsid w:val="31D04895"/>
    <w:rsid w:val="31D05482"/>
    <w:rsid w:val="31D066C5"/>
    <w:rsid w:val="31D112FC"/>
    <w:rsid w:val="31D245A1"/>
    <w:rsid w:val="31D2535D"/>
    <w:rsid w:val="31D26425"/>
    <w:rsid w:val="31D369AC"/>
    <w:rsid w:val="31D36B80"/>
    <w:rsid w:val="31D47C7D"/>
    <w:rsid w:val="31D52D9E"/>
    <w:rsid w:val="31D71BB7"/>
    <w:rsid w:val="31D723CF"/>
    <w:rsid w:val="31D73965"/>
    <w:rsid w:val="31D77D3F"/>
    <w:rsid w:val="31D82201"/>
    <w:rsid w:val="31D85915"/>
    <w:rsid w:val="31D861A1"/>
    <w:rsid w:val="31D976DD"/>
    <w:rsid w:val="31DB5204"/>
    <w:rsid w:val="31DD3C68"/>
    <w:rsid w:val="31DD4234"/>
    <w:rsid w:val="31DD48DC"/>
    <w:rsid w:val="31DD5420"/>
    <w:rsid w:val="31DE2F46"/>
    <w:rsid w:val="31DE66E1"/>
    <w:rsid w:val="31DE6AA2"/>
    <w:rsid w:val="31E00A6C"/>
    <w:rsid w:val="31E0281A"/>
    <w:rsid w:val="31E05065"/>
    <w:rsid w:val="31E061FA"/>
    <w:rsid w:val="31E10DF1"/>
    <w:rsid w:val="31E22281"/>
    <w:rsid w:val="31E247E4"/>
    <w:rsid w:val="31E3055C"/>
    <w:rsid w:val="31E3230A"/>
    <w:rsid w:val="31E340B8"/>
    <w:rsid w:val="31E34CB5"/>
    <w:rsid w:val="31E367AE"/>
    <w:rsid w:val="31E36CC5"/>
    <w:rsid w:val="31E37D58"/>
    <w:rsid w:val="31E50C02"/>
    <w:rsid w:val="31E5120A"/>
    <w:rsid w:val="31E53A14"/>
    <w:rsid w:val="31E542D4"/>
    <w:rsid w:val="31E57E30"/>
    <w:rsid w:val="31E60B34"/>
    <w:rsid w:val="31E63BA8"/>
    <w:rsid w:val="31E7004C"/>
    <w:rsid w:val="31E701E4"/>
    <w:rsid w:val="31E74AD6"/>
    <w:rsid w:val="31E866CA"/>
    <w:rsid w:val="31E867DB"/>
    <w:rsid w:val="31E87920"/>
    <w:rsid w:val="31E9258D"/>
    <w:rsid w:val="31E97824"/>
    <w:rsid w:val="31EA0E78"/>
    <w:rsid w:val="31EA242F"/>
    <w:rsid w:val="31EA3699"/>
    <w:rsid w:val="31EA7770"/>
    <w:rsid w:val="31EB31CE"/>
    <w:rsid w:val="31EC0AD5"/>
    <w:rsid w:val="31EC4EB5"/>
    <w:rsid w:val="31EC5663"/>
    <w:rsid w:val="31EC7411"/>
    <w:rsid w:val="31EE0F96"/>
    <w:rsid w:val="31EE2735"/>
    <w:rsid w:val="31EE4B36"/>
    <w:rsid w:val="31EF0C25"/>
    <w:rsid w:val="31EF0CAF"/>
    <w:rsid w:val="31EF5FC6"/>
    <w:rsid w:val="31EF6F67"/>
    <w:rsid w:val="31F0593E"/>
    <w:rsid w:val="31F061D4"/>
    <w:rsid w:val="31F12C79"/>
    <w:rsid w:val="31F2254D"/>
    <w:rsid w:val="31F26CC9"/>
    <w:rsid w:val="31F33F08"/>
    <w:rsid w:val="31F35F89"/>
    <w:rsid w:val="31F369F1"/>
    <w:rsid w:val="31F42769"/>
    <w:rsid w:val="31F44517"/>
    <w:rsid w:val="31F45779"/>
    <w:rsid w:val="31F512D3"/>
    <w:rsid w:val="31F6028F"/>
    <w:rsid w:val="31F618CA"/>
    <w:rsid w:val="31F6203D"/>
    <w:rsid w:val="31F664E1"/>
    <w:rsid w:val="31F67A47"/>
    <w:rsid w:val="31F72911"/>
    <w:rsid w:val="31F72A76"/>
    <w:rsid w:val="31F73C5C"/>
    <w:rsid w:val="31F75BE8"/>
    <w:rsid w:val="31F75DB5"/>
    <w:rsid w:val="31F91698"/>
    <w:rsid w:val="31F938DC"/>
    <w:rsid w:val="31F95EC1"/>
    <w:rsid w:val="31FB3F58"/>
    <w:rsid w:val="31FB4882"/>
    <w:rsid w:val="31FB58A6"/>
    <w:rsid w:val="31FB7654"/>
    <w:rsid w:val="31FC33CC"/>
    <w:rsid w:val="31FD1A5A"/>
    <w:rsid w:val="31FD7191"/>
    <w:rsid w:val="31FD7870"/>
    <w:rsid w:val="31FE5396"/>
    <w:rsid w:val="31FF437A"/>
    <w:rsid w:val="31FF5E8B"/>
    <w:rsid w:val="3200110E"/>
    <w:rsid w:val="32002568"/>
    <w:rsid w:val="3200317A"/>
    <w:rsid w:val="32004C6A"/>
    <w:rsid w:val="3200779C"/>
    <w:rsid w:val="32012140"/>
    <w:rsid w:val="32024E86"/>
    <w:rsid w:val="320257F1"/>
    <w:rsid w:val="32026A50"/>
    <w:rsid w:val="320329AC"/>
    <w:rsid w:val="3203475A"/>
    <w:rsid w:val="32035983"/>
    <w:rsid w:val="32044B8C"/>
    <w:rsid w:val="320504D2"/>
    <w:rsid w:val="32052DBD"/>
    <w:rsid w:val="32063566"/>
    <w:rsid w:val="320725CE"/>
    <w:rsid w:val="3207424B"/>
    <w:rsid w:val="320756DD"/>
    <w:rsid w:val="32075FF9"/>
    <w:rsid w:val="320825BB"/>
    <w:rsid w:val="32085CA7"/>
    <w:rsid w:val="32087FC3"/>
    <w:rsid w:val="320A3502"/>
    <w:rsid w:val="320A3D3B"/>
    <w:rsid w:val="320A5DBA"/>
    <w:rsid w:val="320A705C"/>
    <w:rsid w:val="320A7897"/>
    <w:rsid w:val="320C35BC"/>
    <w:rsid w:val="320C7AB3"/>
    <w:rsid w:val="320D55D9"/>
    <w:rsid w:val="320D6A2E"/>
    <w:rsid w:val="320E382B"/>
    <w:rsid w:val="320F30FF"/>
    <w:rsid w:val="320F3497"/>
    <w:rsid w:val="320F6A40"/>
    <w:rsid w:val="320F737A"/>
    <w:rsid w:val="320F75A3"/>
    <w:rsid w:val="32110C25"/>
    <w:rsid w:val="32116E77"/>
    <w:rsid w:val="3212499D"/>
    <w:rsid w:val="32126C92"/>
    <w:rsid w:val="32130E41"/>
    <w:rsid w:val="32146851"/>
    <w:rsid w:val="32146967"/>
    <w:rsid w:val="32154879"/>
    <w:rsid w:val="32170B1C"/>
    <w:rsid w:val="32173A91"/>
    <w:rsid w:val="321751D2"/>
    <w:rsid w:val="321754AA"/>
    <w:rsid w:val="32176B57"/>
    <w:rsid w:val="32197AF2"/>
    <w:rsid w:val="321A4940"/>
    <w:rsid w:val="321A5E0E"/>
    <w:rsid w:val="321B00AA"/>
    <w:rsid w:val="321B34DF"/>
    <w:rsid w:val="321B4FE3"/>
    <w:rsid w:val="321B52CD"/>
    <w:rsid w:val="321C4B57"/>
    <w:rsid w:val="321D289C"/>
    <w:rsid w:val="321D3A6E"/>
    <w:rsid w:val="321D71C3"/>
    <w:rsid w:val="321E1594"/>
    <w:rsid w:val="321E3320"/>
    <w:rsid w:val="321E38C7"/>
    <w:rsid w:val="32200700"/>
    <w:rsid w:val="32202C29"/>
    <w:rsid w:val="322070BA"/>
    <w:rsid w:val="322077C0"/>
    <w:rsid w:val="32216284"/>
    <w:rsid w:val="3222062F"/>
    <w:rsid w:val="32221084"/>
    <w:rsid w:val="32222E32"/>
    <w:rsid w:val="32224478"/>
    <w:rsid w:val="3222482B"/>
    <w:rsid w:val="32225ABD"/>
    <w:rsid w:val="322304C7"/>
    <w:rsid w:val="32232E66"/>
    <w:rsid w:val="32244C05"/>
    <w:rsid w:val="32244DFC"/>
    <w:rsid w:val="32246AED"/>
    <w:rsid w:val="322575D1"/>
    <w:rsid w:val="32265BE1"/>
    <w:rsid w:val="322748ED"/>
    <w:rsid w:val="3227587A"/>
    <w:rsid w:val="3227669B"/>
    <w:rsid w:val="32285F6F"/>
    <w:rsid w:val="32286DC6"/>
    <w:rsid w:val="32290665"/>
    <w:rsid w:val="322941B2"/>
    <w:rsid w:val="322B021E"/>
    <w:rsid w:val="322B5D49"/>
    <w:rsid w:val="322C1F03"/>
    <w:rsid w:val="322C31D0"/>
    <w:rsid w:val="322C3CB1"/>
    <w:rsid w:val="322C52E9"/>
    <w:rsid w:val="322C5A5F"/>
    <w:rsid w:val="322D08BA"/>
    <w:rsid w:val="322D61E8"/>
    <w:rsid w:val="322E0888"/>
    <w:rsid w:val="322E538E"/>
    <w:rsid w:val="322F37A1"/>
    <w:rsid w:val="323112C7"/>
    <w:rsid w:val="32313075"/>
    <w:rsid w:val="32322B12"/>
    <w:rsid w:val="323239AE"/>
    <w:rsid w:val="3232786A"/>
    <w:rsid w:val="32333815"/>
    <w:rsid w:val="32340DB8"/>
    <w:rsid w:val="32342B66"/>
    <w:rsid w:val="3234700A"/>
    <w:rsid w:val="32347436"/>
    <w:rsid w:val="323627F9"/>
    <w:rsid w:val="32370698"/>
    <w:rsid w:val="3237307B"/>
    <w:rsid w:val="32382656"/>
    <w:rsid w:val="32384404"/>
    <w:rsid w:val="323848C8"/>
    <w:rsid w:val="32395CFF"/>
    <w:rsid w:val="323B2146"/>
    <w:rsid w:val="323C78AD"/>
    <w:rsid w:val="323D431C"/>
    <w:rsid w:val="323D558B"/>
    <w:rsid w:val="323D57AC"/>
    <w:rsid w:val="323D5EBE"/>
    <w:rsid w:val="323D6EED"/>
    <w:rsid w:val="323E39E4"/>
    <w:rsid w:val="323E59E8"/>
    <w:rsid w:val="323F180D"/>
    <w:rsid w:val="323F1C36"/>
    <w:rsid w:val="32400B34"/>
    <w:rsid w:val="324058B0"/>
    <w:rsid w:val="32406EF5"/>
    <w:rsid w:val="3240775C"/>
    <w:rsid w:val="32422F3F"/>
    <w:rsid w:val="32430FFB"/>
    <w:rsid w:val="32432DA9"/>
    <w:rsid w:val="324414AA"/>
    <w:rsid w:val="32442C2B"/>
    <w:rsid w:val="3244724D"/>
    <w:rsid w:val="32450250"/>
    <w:rsid w:val="32451A16"/>
    <w:rsid w:val="324524DA"/>
    <w:rsid w:val="32452FC5"/>
    <w:rsid w:val="32454D73"/>
    <w:rsid w:val="3245567F"/>
    <w:rsid w:val="32466B0F"/>
    <w:rsid w:val="32476D3D"/>
    <w:rsid w:val="3249294D"/>
    <w:rsid w:val="32494863"/>
    <w:rsid w:val="324A4DC8"/>
    <w:rsid w:val="324A62BC"/>
    <w:rsid w:val="324A6858"/>
    <w:rsid w:val="324C4353"/>
    <w:rsid w:val="324D0B11"/>
    <w:rsid w:val="324E4D0D"/>
    <w:rsid w:val="324F174E"/>
    <w:rsid w:val="3251196A"/>
    <w:rsid w:val="32513718"/>
    <w:rsid w:val="325148E1"/>
    <w:rsid w:val="325154C6"/>
    <w:rsid w:val="32523601"/>
    <w:rsid w:val="32524849"/>
    <w:rsid w:val="3253123E"/>
    <w:rsid w:val="32534AFB"/>
    <w:rsid w:val="32543208"/>
    <w:rsid w:val="32544FB6"/>
    <w:rsid w:val="3255145A"/>
    <w:rsid w:val="32552DB4"/>
    <w:rsid w:val="32556E94"/>
    <w:rsid w:val="32560D2E"/>
    <w:rsid w:val="32562ADC"/>
    <w:rsid w:val="32566F80"/>
    <w:rsid w:val="32567530"/>
    <w:rsid w:val="32572665"/>
    <w:rsid w:val="32580A73"/>
    <w:rsid w:val="32586854"/>
    <w:rsid w:val="325902CC"/>
    <w:rsid w:val="325913F9"/>
    <w:rsid w:val="32594BD2"/>
    <w:rsid w:val="325A081E"/>
    <w:rsid w:val="325A6415"/>
    <w:rsid w:val="325A6A70"/>
    <w:rsid w:val="325B1E67"/>
    <w:rsid w:val="325B2481"/>
    <w:rsid w:val="325C64B0"/>
    <w:rsid w:val="325D030E"/>
    <w:rsid w:val="325D7685"/>
    <w:rsid w:val="325E7BE3"/>
    <w:rsid w:val="325F76B6"/>
    <w:rsid w:val="32601BAD"/>
    <w:rsid w:val="3260773E"/>
    <w:rsid w:val="32607DFF"/>
    <w:rsid w:val="32621481"/>
    <w:rsid w:val="32625925"/>
    <w:rsid w:val="32630425"/>
    <w:rsid w:val="32635E29"/>
    <w:rsid w:val="32636A39"/>
    <w:rsid w:val="32637A6C"/>
    <w:rsid w:val="326400E9"/>
    <w:rsid w:val="3264169D"/>
    <w:rsid w:val="32641FB1"/>
    <w:rsid w:val="32650F71"/>
    <w:rsid w:val="3266322E"/>
    <w:rsid w:val="32674CE9"/>
    <w:rsid w:val="32675B10"/>
    <w:rsid w:val="32676A97"/>
    <w:rsid w:val="32677589"/>
    <w:rsid w:val="326912FF"/>
    <w:rsid w:val="32693339"/>
    <w:rsid w:val="32695856"/>
    <w:rsid w:val="32696CB3"/>
    <w:rsid w:val="326A2139"/>
    <w:rsid w:val="326A358E"/>
    <w:rsid w:val="326A3A8A"/>
    <w:rsid w:val="326A47D9"/>
    <w:rsid w:val="326A6587"/>
    <w:rsid w:val="326B676C"/>
    <w:rsid w:val="326B739A"/>
    <w:rsid w:val="326B7C1E"/>
    <w:rsid w:val="326C2EB2"/>
    <w:rsid w:val="326C64C7"/>
    <w:rsid w:val="326C67A3"/>
    <w:rsid w:val="326D0AD1"/>
    <w:rsid w:val="326E6078"/>
    <w:rsid w:val="326F08EC"/>
    <w:rsid w:val="326F71AB"/>
    <w:rsid w:val="327079CE"/>
    <w:rsid w:val="32735F94"/>
    <w:rsid w:val="327411B4"/>
    <w:rsid w:val="32747406"/>
    <w:rsid w:val="3276317E"/>
    <w:rsid w:val="32766A06"/>
    <w:rsid w:val="3277039E"/>
    <w:rsid w:val="32780350"/>
    <w:rsid w:val="3278199E"/>
    <w:rsid w:val="32782F5D"/>
    <w:rsid w:val="32785148"/>
    <w:rsid w:val="327A1B53"/>
    <w:rsid w:val="327A2C6E"/>
    <w:rsid w:val="327A42BE"/>
    <w:rsid w:val="327A5292"/>
    <w:rsid w:val="327B2096"/>
    <w:rsid w:val="327B4ED8"/>
    <w:rsid w:val="327B69E7"/>
    <w:rsid w:val="327C3C6D"/>
    <w:rsid w:val="327C4008"/>
    <w:rsid w:val="327D1B2D"/>
    <w:rsid w:val="327D450D"/>
    <w:rsid w:val="327D62BB"/>
    <w:rsid w:val="327E4372"/>
    <w:rsid w:val="327E5810"/>
    <w:rsid w:val="32803FFD"/>
    <w:rsid w:val="32805DAB"/>
    <w:rsid w:val="32806CE5"/>
    <w:rsid w:val="3281224F"/>
    <w:rsid w:val="32814191"/>
    <w:rsid w:val="32816B91"/>
    <w:rsid w:val="328202AF"/>
    <w:rsid w:val="328238D1"/>
    <w:rsid w:val="32825621"/>
    <w:rsid w:val="32825E23"/>
    <w:rsid w:val="32836AB1"/>
    <w:rsid w:val="32843928"/>
    <w:rsid w:val="3284589B"/>
    <w:rsid w:val="32847649"/>
    <w:rsid w:val="32847F41"/>
    <w:rsid w:val="32851613"/>
    <w:rsid w:val="32852B12"/>
    <w:rsid w:val="32855E38"/>
    <w:rsid w:val="328605B7"/>
    <w:rsid w:val="328624F4"/>
    <w:rsid w:val="328626B9"/>
    <w:rsid w:val="32862EB4"/>
    <w:rsid w:val="32870EE7"/>
    <w:rsid w:val="3287311D"/>
    <w:rsid w:val="32881493"/>
    <w:rsid w:val="3289460C"/>
    <w:rsid w:val="328947D0"/>
    <w:rsid w:val="328A0E5E"/>
    <w:rsid w:val="328B5D49"/>
    <w:rsid w:val="328B7EF8"/>
    <w:rsid w:val="328C29A2"/>
    <w:rsid w:val="328E0E65"/>
    <w:rsid w:val="328E75C5"/>
    <w:rsid w:val="328F0391"/>
    <w:rsid w:val="328F5FEE"/>
    <w:rsid w:val="329027F6"/>
    <w:rsid w:val="32904240"/>
    <w:rsid w:val="32911D66"/>
    <w:rsid w:val="32913C86"/>
    <w:rsid w:val="32931F82"/>
    <w:rsid w:val="32935ADE"/>
    <w:rsid w:val="329365A6"/>
    <w:rsid w:val="32940D87"/>
    <w:rsid w:val="32943604"/>
    <w:rsid w:val="32947481"/>
    <w:rsid w:val="32951856"/>
    <w:rsid w:val="32953D1F"/>
    <w:rsid w:val="329540C4"/>
    <w:rsid w:val="329578A1"/>
    <w:rsid w:val="32957AA8"/>
    <w:rsid w:val="329606AC"/>
    <w:rsid w:val="32963A97"/>
    <w:rsid w:val="32974F27"/>
    <w:rsid w:val="32980F88"/>
    <w:rsid w:val="329830F5"/>
    <w:rsid w:val="32990C1B"/>
    <w:rsid w:val="329B0E37"/>
    <w:rsid w:val="329B2BE5"/>
    <w:rsid w:val="329B4CD3"/>
    <w:rsid w:val="329D070B"/>
    <w:rsid w:val="329E0CF6"/>
    <w:rsid w:val="329E1C9C"/>
    <w:rsid w:val="329E6876"/>
    <w:rsid w:val="329F26D5"/>
    <w:rsid w:val="329F628A"/>
    <w:rsid w:val="32A001FB"/>
    <w:rsid w:val="32A01FA9"/>
    <w:rsid w:val="32A027F1"/>
    <w:rsid w:val="32A0644D"/>
    <w:rsid w:val="32A221C5"/>
    <w:rsid w:val="32A25B59"/>
    <w:rsid w:val="32A25D21"/>
    <w:rsid w:val="32A2767F"/>
    <w:rsid w:val="32A45E26"/>
    <w:rsid w:val="32A45F3D"/>
    <w:rsid w:val="32A45FA2"/>
    <w:rsid w:val="32A46BC5"/>
    <w:rsid w:val="32A520FC"/>
    <w:rsid w:val="32A53A6F"/>
    <w:rsid w:val="32A56CEF"/>
    <w:rsid w:val="32A61CB5"/>
    <w:rsid w:val="32A61E4B"/>
    <w:rsid w:val="32A63483"/>
    <w:rsid w:val="32A674A0"/>
    <w:rsid w:val="32A7158A"/>
    <w:rsid w:val="32A72ECD"/>
    <w:rsid w:val="32A8143B"/>
    <w:rsid w:val="32A93A29"/>
    <w:rsid w:val="32AA7CC6"/>
    <w:rsid w:val="32AB45B8"/>
    <w:rsid w:val="32AB482D"/>
    <w:rsid w:val="32AB67EF"/>
    <w:rsid w:val="32AC3044"/>
    <w:rsid w:val="32AC6713"/>
    <w:rsid w:val="32AC6BA0"/>
    <w:rsid w:val="32AD1D1E"/>
    <w:rsid w:val="32AD43F7"/>
    <w:rsid w:val="32AE3F00"/>
    <w:rsid w:val="32AF043E"/>
    <w:rsid w:val="32AF1CB8"/>
    <w:rsid w:val="32B00D43"/>
    <w:rsid w:val="32B06690"/>
    <w:rsid w:val="32B17B2B"/>
    <w:rsid w:val="32B20E8F"/>
    <w:rsid w:val="32B30C0E"/>
    <w:rsid w:val="32B31CDC"/>
    <w:rsid w:val="32B32FBF"/>
    <w:rsid w:val="32B3353C"/>
    <w:rsid w:val="32B35B90"/>
    <w:rsid w:val="32B36180"/>
    <w:rsid w:val="32B36D2C"/>
    <w:rsid w:val="32B41B5E"/>
    <w:rsid w:val="32B47054"/>
    <w:rsid w:val="32B504B0"/>
    <w:rsid w:val="32B51EF8"/>
    <w:rsid w:val="32B6054D"/>
    <w:rsid w:val="32B617CD"/>
    <w:rsid w:val="32B67A1F"/>
    <w:rsid w:val="32B819E9"/>
    <w:rsid w:val="32B840B2"/>
    <w:rsid w:val="32B85545"/>
    <w:rsid w:val="32BA1751"/>
    <w:rsid w:val="32BA306B"/>
    <w:rsid w:val="32BA5E0B"/>
    <w:rsid w:val="32BA756A"/>
    <w:rsid w:val="32BB0DA0"/>
    <w:rsid w:val="32BB5035"/>
    <w:rsid w:val="32BB6DE3"/>
    <w:rsid w:val="32BC31E3"/>
    <w:rsid w:val="32BD0C9C"/>
    <w:rsid w:val="32BD1813"/>
    <w:rsid w:val="32BD2520"/>
    <w:rsid w:val="32BD6FFF"/>
    <w:rsid w:val="32BE2D35"/>
    <w:rsid w:val="32BE51C6"/>
    <w:rsid w:val="32BE68BB"/>
    <w:rsid w:val="32BF0681"/>
    <w:rsid w:val="32BF0EA8"/>
    <w:rsid w:val="32BF2D77"/>
    <w:rsid w:val="32BF4B25"/>
    <w:rsid w:val="32BF68D3"/>
    <w:rsid w:val="32C043F9"/>
    <w:rsid w:val="32C162B8"/>
    <w:rsid w:val="32C16399"/>
    <w:rsid w:val="32C20171"/>
    <w:rsid w:val="32C2525B"/>
    <w:rsid w:val="32C263C3"/>
    <w:rsid w:val="32C27EE3"/>
    <w:rsid w:val="32C33E21"/>
    <w:rsid w:val="32C35685"/>
    <w:rsid w:val="32C4038E"/>
    <w:rsid w:val="32C43EEA"/>
    <w:rsid w:val="32C46B15"/>
    <w:rsid w:val="32C60367"/>
    <w:rsid w:val="32C63541"/>
    <w:rsid w:val="32C6720C"/>
    <w:rsid w:val="32C728C5"/>
    <w:rsid w:val="32C83002"/>
    <w:rsid w:val="32C860E1"/>
    <w:rsid w:val="32C91500"/>
    <w:rsid w:val="32C93808"/>
    <w:rsid w:val="32C93E97"/>
    <w:rsid w:val="32C959A4"/>
    <w:rsid w:val="32C97DB6"/>
    <w:rsid w:val="32CA1246"/>
    <w:rsid w:val="32CB4A39"/>
    <w:rsid w:val="32CB7615"/>
    <w:rsid w:val="32CC3B66"/>
    <w:rsid w:val="32CD1308"/>
    <w:rsid w:val="32CD429B"/>
    <w:rsid w:val="32CD5AE0"/>
    <w:rsid w:val="32CD5C94"/>
    <w:rsid w:val="32CE2BF8"/>
    <w:rsid w:val="32CE2FBA"/>
    <w:rsid w:val="32CE4D68"/>
    <w:rsid w:val="32CF17D2"/>
    <w:rsid w:val="32CF24E7"/>
    <w:rsid w:val="32CF6DE2"/>
    <w:rsid w:val="32CF7506"/>
    <w:rsid w:val="32D0131C"/>
    <w:rsid w:val="32D11FE1"/>
    <w:rsid w:val="32D130BF"/>
    <w:rsid w:val="32D14858"/>
    <w:rsid w:val="32D16607"/>
    <w:rsid w:val="32D22AAA"/>
    <w:rsid w:val="32D22F57"/>
    <w:rsid w:val="32D305D1"/>
    <w:rsid w:val="32D3237F"/>
    <w:rsid w:val="32D3255B"/>
    <w:rsid w:val="32D33460"/>
    <w:rsid w:val="32D43FFF"/>
    <w:rsid w:val="32D44FA8"/>
    <w:rsid w:val="32D4791C"/>
    <w:rsid w:val="32D563FD"/>
    <w:rsid w:val="32D56BAD"/>
    <w:rsid w:val="32D63C1D"/>
    <w:rsid w:val="32D6779A"/>
    <w:rsid w:val="32D80E10"/>
    <w:rsid w:val="32D86AF0"/>
    <w:rsid w:val="32D87995"/>
    <w:rsid w:val="32D970F4"/>
    <w:rsid w:val="32DA0D3B"/>
    <w:rsid w:val="32DA370D"/>
    <w:rsid w:val="32DA54BB"/>
    <w:rsid w:val="32DC18F4"/>
    <w:rsid w:val="32DD1F4F"/>
    <w:rsid w:val="32DD31FD"/>
    <w:rsid w:val="32DD61EF"/>
    <w:rsid w:val="32DD6FC6"/>
    <w:rsid w:val="32DD76BC"/>
    <w:rsid w:val="32DE28AC"/>
    <w:rsid w:val="32DE750E"/>
    <w:rsid w:val="32DF0D23"/>
    <w:rsid w:val="32DF6F75"/>
    <w:rsid w:val="32E03B49"/>
    <w:rsid w:val="32E116A8"/>
    <w:rsid w:val="32E14A9C"/>
    <w:rsid w:val="32E20814"/>
    <w:rsid w:val="32E22735"/>
    <w:rsid w:val="32E3352E"/>
    <w:rsid w:val="32E3401B"/>
    <w:rsid w:val="32E36471"/>
    <w:rsid w:val="32E37F83"/>
    <w:rsid w:val="32E47773"/>
    <w:rsid w:val="32E51998"/>
    <w:rsid w:val="32E55E4E"/>
    <w:rsid w:val="32E56402"/>
    <w:rsid w:val="32E57DDF"/>
    <w:rsid w:val="32E67E3C"/>
    <w:rsid w:val="32E71EAF"/>
    <w:rsid w:val="32E7407C"/>
    <w:rsid w:val="32E91BA2"/>
    <w:rsid w:val="32E92FB9"/>
    <w:rsid w:val="32E93950"/>
    <w:rsid w:val="32E93E5D"/>
    <w:rsid w:val="32E93F5B"/>
    <w:rsid w:val="32E97E28"/>
    <w:rsid w:val="32EA0830"/>
    <w:rsid w:val="32EA3795"/>
    <w:rsid w:val="32EA4287"/>
    <w:rsid w:val="32EB1040"/>
    <w:rsid w:val="32EB46F7"/>
    <w:rsid w:val="32EB591A"/>
    <w:rsid w:val="32EB76C8"/>
    <w:rsid w:val="32EC0D45"/>
    <w:rsid w:val="32EC3440"/>
    <w:rsid w:val="32EC5D21"/>
    <w:rsid w:val="32EC5D5F"/>
    <w:rsid w:val="32ED3E41"/>
    <w:rsid w:val="32ED71B1"/>
    <w:rsid w:val="32EE540A"/>
    <w:rsid w:val="32EE71B8"/>
    <w:rsid w:val="32F056CB"/>
    <w:rsid w:val="32F12805"/>
    <w:rsid w:val="32F15C8E"/>
    <w:rsid w:val="32F2114A"/>
    <w:rsid w:val="32F26CA9"/>
    <w:rsid w:val="32F30451"/>
    <w:rsid w:val="32F42ADE"/>
    <w:rsid w:val="32F444B2"/>
    <w:rsid w:val="32F507E5"/>
    <w:rsid w:val="32F72511"/>
    <w:rsid w:val="32F742BF"/>
    <w:rsid w:val="32F80037"/>
    <w:rsid w:val="32F816F2"/>
    <w:rsid w:val="32F81DE5"/>
    <w:rsid w:val="32F8614D"/>
    <w:rsid w:val="32F933EA"/>
    <w:rsid w:val="32F9612E"/>
    <w:rsid w:val="32FA01E5"/>
    <w:rsid w:val="32FA1CAE"/>
    <w:rsid w:val="32FA2ADB"/>
    <w:rsid w:val="32FA3DAF"/>
    <w:rsid w:val="32FA551B"/>
    <w:rsid w:val="32FA6BE3"/>
    <w:rsid w:val="32FA790B"/>
    <w:rsid w:val="32FB774C"/>
    <w:rsid w:val="32FC1E3E"/>
    <w:rsid w:val="32FD11AA"/>
    <w:rsid w:val="32FD564D"/>
    <w:rsid w:val="32FE11A1"/>
    <w:rsid w:val="32FE236A"/>
    <w:rsid w:val="32FE389F"/>
    <w:rsid w:val="32FE4C3B"/>
    <w:rsid w:val="32FF44D7"/>
    <w:rsid w:val="32FF71D5"/>
    <w:rsid w:val="33000B64"/>
    <w:rsid w:val="3301513E"/>
    <w:rsid w:val="33015626"/>
    <w:rsid w:val="33033A73"/>
    <w:rsid w:val="33044C2E"/>
    <w:rsid w:val="330469DC"/>
    <w:rsid w:val="33053743"/>
    <w:rsid w:val="330574DE"/>
    <w:rsid w:val="3306025E"/>
    <w:rsid w:val="33062754"/>
    <w:rsid w:val="330700D5"/>
    <w:rsid w:val="330842B6"/>
    <w:rsid w:val="3309107A"/>
    <w:rsid w:val="33092244"/>
    <w:rsid w:val="33093FF2"/>
    <w:rsid w:val="3309572B"/>
    <w:rsid w:val="33095DA0"/>
    <w:rsid w:val="33096CA6"/>
    <w:rsid w:val="330B1B18"/>
    <w:rsid w:val="330C5891"/>
    <w:rsid w:val="330C763F"/>
    <w:rsid w:val="330D4DFB"/>
    <w:rsid w:val="330E33B7"/>
    <w:rsid w:val="330E67C6"/>
    <w:rsid w:val="330E684C"/>
    <w:rsid w:val="330E78D5"/>
    <w:rsid w:val="330F71A0"/>
    <w:rsid w:val="330F7BE0"/>
    <w:rsid w:val="33100430"/>
    <w:rsid w:val="331035D3"/>
    <w:rsid w:val="33105381"/>
    <w:rsid w:val="3310712F"/>
    <w:rsid w:val="33107D94"/>
    <w:rsid w:val="33114C55"/>
    <w:rsid w:val="331165AB"/>
    <w:rsid w:val="331210F9"/>
    <w:rsid w:val="33121A98"/>
    <w:rsid w:val="33122EA7"/>
    <w:rsid w:val="33124E6A"/>
    <w:rsid w:val="3312685B"/>
    <w:rsid w:val="33132592"/>
    <w:rsid w:val="33134E71"/>
    <w:rsid w:val="33136C1F"/>
    <w:rsid w:val="33140F80"/>
    <w:rsid w:val="3314235B"/>
    <w:rsid w:val="33144DA4"/>
    <w:rsid w:val="33150BE9"/>
    <w:rsid w:val="33154745"/>
    <w:rsid w:val="331623E5"/>
    <w:rsid w:val="33162FDC"/>
    <w:rsid w:val="33163353"/>
    <w:rsid w:val="33184235"/>
    <w:rsid w:val="33187B35"/>
    <w:rsid w:val="331935FC"/>
    <w:rsid w:val="331A1D5C"/>
    <w:rsid w:val="331A61CD"/>
    <w:rsid w:val="331A61FF"/>
    <w:rsid w:val="331A72C6"/>
    <w:rsid w:val="331B70B3"/>
    <w:rsid w:val="331C585D"/>
    <w:rsid w:val="331D184C"/>
    <w:rsid w:val="331D1F7D"/>
    <w:rsid w:val="331D2CEA"/>
    <w:rsid w:val="331D35FA"/>
    <w:rsid w:val="331E1FD4"/>
    <w:rsid w:val="331E3AFB"/>
    <w:rsid w:val="331E48CA"/>
    <w:rsid w:val="331F277C"/>
    <w:rsid w:val="331F2B0E"/>
    <w:rsid w:val="332134CF"/>
    <w:rsid w:val="3321758E"/>
    <w:rsid w:val="33217727"/>
    <w:rsid w:val="33227530"/>
    <w:rsid w:val="332350B4"/>
    <w:rsid w:val="33244988"/>
    <w:rsid w:val="3324544E"/>
    <w:rsid w:val="33245604"/>
    <w:rsid w:val="33246EBE"/>
    <w:rsid w:val="33250AE4"/>
    <w:rsid w:val="33254F2D"/>
    <w:rsid w:val="33257B0C"/>
    <w:rsid w:val="33260700"/>
    <w:rsid w:val="33264BA4"/>
    <w:rsid w:val="33265EB1"/>
    <w:rsid w:val="33266952"/>
    <w:rsid w:val="33267CB7"/>
    <w:rsid w:val="33270FD5"/>
    <w:rsid w:val="3327131B"/>
    <w:rsid w:val="33272EB3"/>
    <w:rsid w:val="332807D1"/>
    <w:rsid w:val="33281B74"/>
    <w:rsid w:val="33284A4F"/>
    <w:rsid w:val="332901F1"/>
    <w:rsid w:val="33292CF6"/>
    <w:rsid w:val="33294694"/>
    <w:rsid w:val="332A3698"/>
    <w:rsid w:val="332A36B5"/>
    <w:rsid w:val="332A77EC"/>
    <w:rsid w:val="332B10D2"/>
    <w:rsid w:val="332C2451"/>
    <w:rsid w:val="332D4273"/>
    <w:rsid w:val="332D7CE1"/>
    <w:rsid w:val="332E3A59"/>
    <w:rsid w:val="332F6F63"/>
    <w:rsid w:val="333003F3"/>
    <w:rsid w:val="333015F2"/>
    <w:rsid w:val="3330332D"/>
    <w:rsid w:val="33305A23"/>
    <w:rsid w:val="3330669D"/>
    <w:rsid w:val="33307D3C"/>
    <w:rsid w:val="33314DEB"/>
    <w:rsid w:val="3332126F"/>
    <w:rsid w:val="333304B5"/>
    <w:rsid w:val="3333106F"/>
    <w:rsid w:val="33332709"/>
    <w:rsid w:val="333358E4"/>
    <w:rsid w:val="3333739F"/>
    <w:rsid w:val="33337C2B"/>
    <w:rsid w:val="33343135"/>
    <w:rsid w:val="33351BCA"/>
    <w:rsid w:val="33352ABC"/>
    <w:rsid w:val="33353039"/>
    <w:rsid w:val="333702C6"/>
    <w:rsid w:val="33370BEC"/>
    <w:rsid w:val="3337290D"/>
    <w:rsid w:val="33373FBA"/>
    <w:rsid w:val="33381756"/>
    <w:rsid w:val="33382884"/>
    <w:rsid w:val="33385662"/>
    <w:rsid w:val="33395737"/>
    <w:rsid w:val="333A23FE"/>
    <w:rsid w:val="333A41AC"/>
    <w:rsid w:val="333C7F24"/>
    <w:rsid w:val="333D0B2E"/>
    <w:rsid w:val="333D5A4A"/>
    <w:rsid w:val="333E1EEE"/>
    <w:rsid w:val="333E2863"/>
    <w:rsid w:val="333E29F7"/>
    <w:rsid w:val="333F5C66"/>
    <w:rsid w:val="333F7A14"/>
    <w:rsid w:val="33406B99"/>
    <w:rsid w:val="3341378C"/>
    <w:rsid w:val="3341553A"/>
    <w:rsid w:val="3342113B"/>
    <w:rsid w:val="334212B2"/>
    <w:rsid w:val="334371EB"/>
    <w:rsid w:val="3344327C"/>
    <w:rsid w:val="33446DD8"/>
    <w:rsid w:val="33456E75"/>
    <w:rsid w:val="33463D5A"/>
    <w:rsid w:val="33477044"/>
    <w:rsid w:val="33481151"/>
    <w:rsid w:val="334868C9"/>
    <w:rsid w:val="33490893"/>
    <w:rsid w:val="33490B98"/>
    <w:rsid w:val="3349228A"/>
    <w:rsid w:val="33492641"/>
    <w:rsid w:val="334943EF"/>
    <w:rsid w:val="334A0F9A"/>
    <w:rsid w:val="334A15AB"/>
    <w:rsid w:val="334A3B6B"/>
    <w:rsid w:val="334B460B"/>
    <w:rsid w:val="334B4B9F"/>
    <w:rsid w:val="334B4FFB"/>
    <w:rsid w:val="334B6320"/>
    <w:rsid w:val="334B63B9"/>
    <w:rsid w:val="334B6577"/>
    <w:rsid w:val="334D0383"/>
    <w:rsid w:val="334D2131"/>
    <w:rsid w:val="334E0E2C"/>
    <w:rsid w:val="334E7C57"/>
    <w:rsid w:val="334F40FB"/>
    <w:rsid w:val="334F4E0C"/>
    <w:rsid w:val="33500872"/>
    <w:rsid w:val="33501C21"/>
    <w:rsid w:val="335039CF"/>
    <w:rsid w:val="3350577D"/>
    <w:rsid w:val="3351446D"/>
    <w:rsid w:val="33517CAD"/>
    <w:rsid w:val="33524E23"/>
    <w:rsid w:val="33533269"/>
    <w:rsid w:val="3353526D"/>
    <w:rsid w:val="3353635E"/>
    <w:rsid w:val="33541711"/>
    <w:rsid w:val="33550FE6"/>
    <w:rsid w:val="335523F5"/>
    <w:rsid w:val="33552B28"/>
    <w:rsid w:val="33552D94"/>
    <w:rsid w:val="335562D0"/>
    <w:rsid w:val="33557B08"/>
    <w:rsid w:val="33563111"/>
    <w:rsid w:val="33572FB0"/>
    <w:rsid w:val="33574D5E"/>
    <w:rsid w:val="33576B0C"/>
    <w:rsid w:val="33582884"/>
    <w:rsid w:val="335877BC"/>
    <w:rsid w:val="33590AD6"/>
    <w:rsid w:val="335975FF"/>
    <w:rsid w:val="335A2AA0"/>
    <w:rsid w:val="335A484E"/>
    <w:rsid w:val="335B0F66"/>
    <w:rsid w:val="335B16E9"/>
    <w:rsid w:val="335C2374"/>
    <w:rsid w:val="335D041D"/>
    <w:rsid w:val="335D1FE1"/>
    <w:rsid w:val="335E60EC"/>
    <w:rsid w:val="335F00B6"/>
    <w:rsid w:val="335F1E64"/>
    <w:rsid w:val="335F23E7"/>
    <w:rsid w:val="335F3C12"/>
    <w:rsid w:val="33605869"/>
    <w:rsid w:val="3362433B"/>
    <w:rsid w:val="336254B1"/>
    <w:rsid w:val="33641229"/>
    <w:rsid w:val="3364129E"/>
    <w:rsid w:val="336472E3"/>
    <w:rsid w:val="33647CEA"/>
    <w:rsid w:val="336501E4"/>
    <w:rsid w:val="33662A33"/>
    <w:rsid w:val="33670BD0"/>
    <w:rsid w:val="33680D19"/>
    <w:rsid w:val="336851BD"/>
    <w:rsid w:val="33686F6B"/>
    <w:rsid w:val="3369683F"/>
    <w:rsid w:val="336A2CE3"/>
    <w:rsid w:val="336A3155"/>
    <w:rsid w:val="336B2EA4"/>
    <w:rsid w:val="336B6A5B"/>
    <w:rsid w:val="336B78C2"/>
    <w:rsid w:val="336D27D3"/>
    <w:rsid w:val="336D35F0"/>
    <w:rsid w:val="336D4581"/>
    <w:rsid w:val="336D6573"/>
    <w:rsid w:val="336E18D2"/>
    <w:rsid w:val="336E20A7"/>
    <w:rsid w:val="336E3E55"/>
    <w:rsid w:val="336F1825"/>
    <w:rsid w:val="336F4332"/>
    <w:rsid w:val="33705C9F"/>
    <w:rsid w:val="3371744F"/>
    <w:rsid w:val="33727DEA"/>
    <w:rsid w:val="33732D77"/>
    <w:rsid w:val="33734E27"/>
    <w:rsid w:val="337376BE"/>
    <w:rsid w:val="33737CBA"/>
    <w:rsid w:val="33744207"/>
    <w:rsid w:val="33745910"/>
    <w:rsid w:val="33746DD8"/>
    <w:rsid w:val="33751688"/>
    <w:rsid w:val="33753436"/>
    <w:rsid w:val="33772B5B"/>
    <w:rsid w:val="33775400"/>
    <w:rsid w:val="33776620"/>
    <w:rsid w:val="33790079"/>
    <w:rsid w:val="33791178"/>
    <w:rsid w:val="337A0A4C"/>
    <w:rsid w:val="337A6170"/>
    <w:rsid w:val="337A6C9E"/>
    <w:rsid w:val="337A7084"/>
    <w:rsid w:val="337B0E24"/>
    <w:rsid w:val="337B237F"/>
    <w:rsid w:val="337B4EF0"/>
    <w:rsid w:val="337B6B4A"/>
    <w:rsid w:val="337C47C4"/>
    <w:rsid w:val="337D1A76"/>
    <w:rsid w:val="337D2302"/>
    <w:rsid w:val="337D365C"/>
    <w:rsid w:val="337E22EA"/>
    <w:rsid w:val="337F0D7E"/>
    <w:rsid w:val="337F2D3E"/>
    <w:rsid w:val="337F42B4"/>
    <w:rsid w:val="337F468C"/>
    <w:rsid w:val="33811DDB"/>
    <w:rsid w:val="33813B89"/>
    <w:rsid w:val="33814533"/>
    <w:rsid w:val="3381627F"/>
    <w:rsid w:val="33820E0C"/>
    <w:rsid w:val="33826F8A"/>
    <w:rsid w:val="33833DA5"/>
    <w:rsid w:val="338418CB"/>
    <w:rsid w:val="33845A2F"/>
    <w:rsid w:val="33857B1D"/>
    <w:rsid w:val="33863895"/>
    <w:rsid w:val="338666AF"/>
    <w:rsid w:val="338673F1"/>
    <w:rsid w:val="33873FC4"/>
    <w:rsid w:val="338805D3"/>
    <w:rsid w:val="33897B6E"/>
    <w:rsid w:val="338A0FFE"/>
    <w:rsid w:val="338A5133"/>
    <w:rsid w:val="338B1C2A"/>
    <w:rsid w:val="338B4A07"/>
    <w:rsid w:val="338C39C7"/>
    <w:rsid w:val="338C7FA3"/>
    <w:rsid w:val="338D313B"/>
    <w:rsid w:val="338E62A6"/>
    <w:rsid w:val="338F2A83"/>
    <w:rsid w:val="338F44F8"/>
    <w:rsid w:val="33900270"/>
    <w:rsid w:val="33904E70"/>
    <w:rsid w:val="33905E8E"/>
    <w:rsid w:val="339254F2"/>
    <w:rsid w:val="33925D96"/>
    <w:rsid w:val="339421AD"/>
    <w:rsid w:val="339500E4"/>
    <w:rsid w:val="33950C10"/>
    <w:rsid w:val="33953AD8"/>
    <w:rsid w:val="33954864"/>
    <w:rsid w:val="33957634"/>
    <w:rsid w:val="33962A97"/>
    <w:rsid w:val="33972172"/>
    <w:rsid w:val="33973471"/>
    <w:rsid w:val="33984304"/>
    <w:rsid w:val="339972BC"/>
    <w:rsid w:val="339A10EE"/>
    <w:rsid w:val="339A2E9C"/>
    <w:rsid w:val="339A62CE"/>
    <w:rsid w:val="339B5763"/>
    <w:rsid w:val="339B6475"/>
    <w:rsid w:val="339D5FE4"/>
    <w:rsid w:val="339D76A0"/>
    <w:rsid w:val="339D7865"/>
    <w:rsid w:val="339E0BDF"/>
    <w:rsid w:val="339E298D"/>
    <w:rsid w:val="339E453D"/>
    <w:rsid w:val="339E79D3"/>
    <w:rsid w:val="33A04957"/>
    <w:rsid w:val="33A04965"/>
    <w:rsid w:val="33A1247D"/>
    <w:rsid w:val="33A136BD"/>
    <w:rsid w:val="33A15FD9"/>
    <w:rsid w:val="33A21B7D"/>
    <w:rsid w:val="33A27285"/>
    <w:rsid w:val="33A31D65"/>
    <w:rsid w:val="33A34B33"/>
    <w:rsid w:val="33A378C3"/>
    <w:rsid w:val="33A4206B"/>
    <w:rsid w:val="33A42C7A"/>
    <w:rsid w:val="33A503E5"/>
    <w:rsid w:val="33A51F6D"/>
    <w:rsid w:val="33A53D1B"/>
    <w:rsid w:val="33A61841"/>
    <w:rsid w:val="33A6291A"/>
    <w:rsid w:val="33A64922"/>
    <w:rsid w:val="33A67A93"/>
    <w:rsid w:val="33A72326"/>
    <w:rsid w:val="33A81E05"/>
    <w:rsid w:val="33A84B15"/>
    <w:rsid w:val="33A91C24"/>
    <w:rsid w:val="33A95AFC"/>
    <w:rsid w:val="33AA002A"/>
    <w:rsid w:val="33AA0990"/>
    <w:rsid w:val="33AA7583"/>
    <w:rsid w:val="33AA7BD5"/>
    <w:rsid w:val="33AB0337"/>
    <w:rsid w:val="33AB32FB"/>
    <w:rsid w:val="33AB50A9"/>
    <w:rsid w:val="33AB6E58"/>
    <w:rsid w:val="33AC3669"/>
    <w:rsid w:val="33AC399B"/>
    <w:rsid w:val="33AD2BD0"/>
    <w:rsid w:val="33AE06F6"/>
    <w:rsid w:val="33AE4663"/>
    <w:rsid w:val="33AE5828"/>
    <w:rsid w:val="33AE5EE1"/>
    <w:rsid w:val="33AF560F"/>
    <w:rsid w:val="33AF57CA"/>
    <w:rsid w:val="33B04CA2"/>
    <w:rsid w:val="33B201E6"/>
    <w:rsid w:val="33B26438"/>
    <w:rsid w:val="33B34145"/>
    <w:rsid w:val="33B4169A"/>
    <w:rsid w:val="33B43E8F"/>
    <w:rsid w:val="33B45D0C"/>
    <w:rsid w:val="33B556FB"/>
    <w:rsid w:val="33B62074"/>
    <w:rsid w:val="33B6256F"/>
    <w:rsid w:val="33B64277"/>
    <w:rsid w:val="33B64B03"/>
    <w:rsid w:val="33B71BD6"/>
    <w:rsid w:val="33B757FC"/>
    <w:rsid w:val="33B80275"/>
    <w:rsid w:val="33B82C3E"/>
    <w:rsid w:val="33B95F6A"/>
    <w:rsid w:val="33BB353F"/>
    <w:rsid w:val="33BD656E"/>
    <w:rsid w:val="33BE0FB4"/>
    <w:rsid w:val="33BE200F"/>
    <w:rsid w:val="33BE21FC"/>
    <w:rsid w:val="33BE302F"/>
    <w:rsid w:val="33BE4DDD"/>
    <w:rsid w:val="33BF7CED"/>
    <w:rsid w:val="33C10429"/>
    <w:rsid w:val="33C13C9E"/>
    <w:rsid w:val="33C15185"/>
    <w:rsid w:val="33C1667B"/>
    <w:rsid w:val="33C2512E"/>
    <w:rsid w:val="33C323F3"/>
    <w:rsid w:val="33C341A1"/>
    <w:rsid w:val="33C55E5D"/>
    <w:rsid w:val="33C57F19"/>
    <w:rsid w:val="33C66680"/>
    <w:rsid w:val="33C70135"/>
    <w:rsid w:val="33C8166F"/>
    <w:rsid w:val="33C85C5B"/>
    <w:rsid w:val="33C87A09"/>
    <w:rsid w:val="33C92430"/>
    <w:rsid w:val="33CA5530"/>
    <w:rsid w:val="33CB12A8"/>
    <w:rsid w:val="33CD3272"/>
    <w:rsid w:val="33CD6DCE"/>
    <w:rsid w:val="33CF2B46"/>
    <w:rsid w:val="33D04B10"/>
    <w:rsid w:val="33D068BE"/>
    <w:rsid w:val="33D10BF5"/>
    <w:rsid w:val="33D12D62"/>
    <w:rsid w:val="33D13793"/>
    <w:rsid w:val="33D15C38"/>
    <w:rsid w:val="33D22636"/>
    <w:rsid w:val="33D2523D"/>
    <w:rsid w:val="33D2699B"/>
    <w:rsid w:val="33D30C84"/>
    <w:rsid w:val="33D4063A"/>
    <w:rsid w:val="33D44600"/>
    <w:rsid w:val="33D456AF"/>
    <w:rsid w:val="33D47BF8"/>
    <w:rsid w:val="33D47D4F"/>
    <w:rsid w:val="33D51F58"/>
    <w:rsid w:val="33D535A4"/>
    <w:rsid w:val="33D558E6"/>
    <w:rsid w:val="33D5736C"/>
    <w:rsid w:val="33D61841"/>
    <w:rsid w:val="33D64A34"/>
    <w:rsid w:val="33D70368"/>
    <w:rsid w:val="33D739E0"/>
    <w:rsid w:val="33D740F0"/>
    <w:rsid w:val="33D81396"/>
    <w:rsid w:val="33D877C7"/>
    <w:rsid w:val="33D87B9A"/>
    <w:rsid w:val="33D91C17"/>
    <w:rsid w:val="33D934D4"/>
    <w:rsid w:val="33D95773"/>
    <w:rsid w:val="33DA14EB"/>
    <w:rsid w:val="33DA18CA"/>
    <w:rsid w:val="33DB0FA3"/>
    <w:rsid w:val="33DB4845"/>
    <w:rsid w:val="33DB773D"/>
    <w:rsid w:val="33DC34B5"/>
    <w:rsid w:val="33DD0074"/>
    <w:rsid w:val="33DE0FDB"/>
    <w:rsid w:val="33DE4BF8"/>
    <w:rsid w:val="33DE547F"/>
    <w:rsid w:val="33DF336D"/>
    <w:rsid w:val="33DF39D0"/>
    <w:rsid w:val="33DF4FAD"/>
    <w:rsid w:val="33DF6D73"/>
    <w:rsid w:val="33DF7227"/>
    <w:rsid w:val="33E01C7F"/>
    <w:rsid w:val="33E01DF8"/>
    <w:rsid w:val="33E02FA5"/>
    <w:rsid w:val="33E07960"/>
    <w:rsid w:val="33E10ACB"/>
    <w:rsid w:val="33E12879"/>
    <w:rsid w:val="33E31994"/>
    <w:rsid w:val="33E35BA8"/>
    <w:rsid w:val="33E424AA"/>
    <w:rsid w:val="33E52369"/>
    <w:rsid w:val="33E55C8C"/>
    <w:rsid w:val="33E5680D"/>
    <w:rsid w:val="33E5699E"/>
    <w:rsid w:val="33E660E2"/>
    <w:rsid w:val="33E67E90"/>
    <w:rsid w:val="33E74334"/>
    <w:rsid w:val="33E81E5A"/>
    <w:rsid w:val="33E81E86"/>
    <w:rsid w:val="33E83C08"/>
    <w:rsid w:val="33E85C36"/>
    <w:rsid w:val="33E86ECF"/>
    <w:rsid w:val="33E97FDA"/>
    <w:rsid w:val="33EA7980"/>
    <w:rsid w:val="33EB0FE6"/>
    <w:rsid w:val="33EB351B"/>
    <w:rsid w:val="33EB36F8"/>
    <w:rsid w:val="33EB6913"/>
    <w:rsid w:val="33EB6F0B"/>
    <w:rsid w:val="33EC194A"/>
    <w:rsid w:val="33EC1D49"/>
    <w:rsid w:val="33EC6C5A"/>
    <w:rsid w:val="33ED2723"/>
    <w:rsid w:val="33ED32A6"/>
    <w:rsid w:val="33ED56C2"/>
    <w:rsid w:val="33EE7E51"/>
    <w:rsid w:val="33EF31E8"/>
    <w:rsid w:val="33EF414B"/>
    <w:rsid w:val="33F1163C"/>
    <w:rsid w:val="33F121E1"/>
    <w:rsid w:val="33F124EA"/>
    <w:rsid w:val="33F12595"/>
    <w:rsid w:val="33F151B2"/>
    <w:rsid w:val="33F16F60"/>
    <w:rsid w:val="33F227BE"/>
    <w:rsid w:val="33F22ACC"/>
    <w:rsid w:val="33F24171"/>
    <w:rsid w:val="33F24A86"/>
    <w:rsid w:val="33F26834"/>
    <w:rsid w:val="33F32F27"/>
    <w:rsid w:val="33F35B94"/>
    <w:rsid w:val="33F46A50"/>
    <w:rsid w:val="33F46B2D"/>
    <w:rsid w:val="33F50A6A"/>
    <w:rsid w:val="33F510E9"/>
    <w:rsid w:val="33F57FBD"/>
    <w:rsid w:val="33F61A3F"/>
    <w:rsid w:val="33F66A1C"/>
    <w:rsid w:val="33F829BD"/>
    <w:rsid w:val="33F85507"/>
    <w:rsid w:val="33F86541"/>
    <w:rsid w:val="33F95E15"/>
    <w:rsid w:val="33F96BEE"/>
    <w:rsid w:val="33FA0960"/>
    <w:rsid w:val="33FA125E"/>
    <w:rsid w:val="33FA3E2F"/>
    <w:rsid w:val="33FB1C78"/>
    <w:rsid w:val="33FB1FED"/>
    <w:rsid w:val="33FB5B26"/>
    <w:rsid w:val="33FB7A55"/>
    <w:rsid w:val="33FC674F"/>
    <w:rsid w:val="33FD1195"/>
    <w:rsid w:val="33FD1320"/>
    <w:rsid w:val="33FE04A7"/>
    <w:rsid w:val="33FE0D72"/>
    <w:rsid w:val="33FE2F6A"/>
    <w:rsid w:val="33FE58DD"/>
    <w:rsid w:val="33FF032A"/>
    <w:rsid w:val="33FF48DB"/>
    <w:rsid w:val="33FF71DA"/>
    <w:rsid w:val="34006B03"/>
    <w:rsid w:val="340071A3"/>
    <w:rsid w:val="34011131"/>
    <w:rsid w:val="34012F1B"/>
    <w:rsid w:val="34016277"/>
    <w:rsid w:val="34030B27"/>
    <w:rsid w:val="34034EE6"/>
    <w:rsid w:val="34037EE4"/>
    <w:rsid w:val="340439BA"/>
    <w:rsid w:val="34046622"/>
    <w:rsid w:val="34050C5E"/>
    <w:rsid w:val="340547BA"/>
    <w:rsid w:val="34055A10"/>
    <w:rsid w:val="34055C0B"/>
    <w:rsid w:val="34056568"/>
    <w:rsid w:val="34060532"/>
    <w:rsid w:val="340615E9"/>
    <w:rsid w:val="34064F33"/>
    <w:rsid w:val="340708F3"/>
    <w:rsid w:val="34073DB2"/>
    <w:rsid w:val="34076784"/>
    <w:rsid w:val="340775EF"/>
    <w:rsid w:val="34083E9D"/>
    <w:rsid w:val="340842AA"/>
    <w:rsid w:val="34086058"/>
    <w:rsid w:val="340875A4"/>
    <w:rsid w:val="340A1DD0"/>
    <w:rsid w:val="340A2B11"/>
    <w:rsid w:val="340A2E41"/>
    <w:rsid w:val="340A6274"/>
    <w:rsid w:val="340C5B48"/>
    <w:rsid w:val="340C6244"/>
    <w:rsid w:val="340D18C0"/>
    <w:rsid w:val="340D7B12"/>
    <w:rsid w:val="340E07E5"/>
    <w:rsid w:val="340E22A5"/>
    <w:rsid w:val="340F388A"/>
    <w:rsid w:val="340F7FB8"/>
    <w:rsid w:val="341113B0"/>
    <w:rsid w:val="34125005"/>
    <w:rsid w:val="34125129"/>
    <w:rsid w:val="341319BD"/>
    <w:rsid w:val="34133C84"/>
    <w:rsid w:val="34140EA1"/>
    <w:rsid w:val="341449FD"/>
    <w:rsid w:val="34160775"/>
    <w:rsid w:val="34161C76"/>
    <w:rsid w:val="34180991"/>
    <w:rsid w:val="3418463A"/>
    <w:rsid w:val="341964B7"/>
    <w:rsid w:val="341A12DB"/>
    <w:rsid w:val="341A4CCF"/>
    <w:rsid w:val="341B05EC"/>
    <w:rsid w:val="341C3168"/>
    <w:rsid w:val="341C4A20"/>
    <w:rsid w:val="341C5D39"/>
    <w:rsid w:val="341D5FA7"/>
    <w:rsid w:val="341D62A5"/>
    <w:rsid w:val="341D7D55"/>
    <w:rsid w:val="341E0659"/>
    <w:rsid w:val="341E27F0"/>
    <w:rsid w:val="341E3ACD"/>
    <w:rsid w:val="341E5E27"/>
    <w:rsid w:val="341E7629"/>
    <w:rsid w:val="341F322A"/>
    <w:rsid w:val="34200213"/>
    <w:rsid w:val="3420278D"/>
    <w:rsid w:val="34207846"/>
    <w:rsid w:val="3421071B"/>
    <w:rsid w:val="34211362"/>
    <w:rsid w:val="3421711A"/>
    <w:rsid w:val="3422536C"/>
    <w:rsid w:val="342271B3"/>
    <w:rsid w:val="34232E92"/>
    <w:rsid w:val="3423303B"/>
    <w:rsid w:val="34235BF7"/>
    <w:rsid w:val="34242C93"/>
    <w:rsid w:val="34244251"/>
    <w:rsid w:val="3424709C"/>
    <w:rsid w:val="342509B8"/>
    <w:rsid w:val="34264730"/>
    <w:rsid w:val="34271F8D"/>
    <w:rsid w:val="34272982"/>
    <w:rsid w:val="34272E4C"/>
    <w:rsid w:val="3427724E"/>
    <w:rsid w:val="34277B2C"/>
    <w:rsid w:val="342804A8"/>
    <w:rsid w:val="34294806"/>
    <w:rsid w:val="34296EAD"/>
    <w:rsid w:val="342A033D"/>
    <w:rsid w:val="342A06C4"/>
    <w:rsid w:val="342A4220"/>
    <w:rsid w:val="342A6B27"/>
    <w:rsid w:val="342B06AB"/>
    <w:rsid w:val="342B5BDF"/>
    <w:rsid w:val="342B6971"/>
    <w:rsid w:val="342C1299"/>
    <w:rsid w:val="342C7F98"/>
    <w:rsid w:val="342D5ABF"/>
    <w:rsid w:val="342E0004"/>
    <w:rsid w:val="342E014E"/>
    <w:rsid w:val="342E1CAF"/>
    <w:rsid w:val="342E2D1F"/>
    <w:rsid w:val="342E3663"/>
    <w:rsid w:val="342F2843"/>
    <w:rsid w:val="342F41AF"/>
    <w:rsid w:val="342F4D8B"/>
    <w:rsid w:val="342F7A89"/>
    <w:rsid w:val="34307C9E"/>
    <w:rsid w:val="34311A53"/>
    <w:rsid w:val="343155AF"/>
    <w:rsid w:val="34321327"/>
    <w:rsid w:val="343230D5"/>
    <w:rsid w:val="34330B43"/>
    <w:rsid w:val="34332B30"/>
    <w:rsid w:val="34335D23"/>
    <w:rsid w:val="3434509F"/>
    <w:rsid w:val="343619EA"/>
    <w:rsid w:val="34362BC5"/>
    <w:rsid w:val="34367069"/>
    <w:rsid w:val="343706EB"/>
    <w:rsid w:val="343713B3"/>
    <w:rsid w:val="34394463"/>
    <w:rsid w:val="34395E2F"/>
    <w:rsid w:val="34396B25"/>
    <w:rsid w:val="343A01EC"/>
    <w:rsid w:val="343B01DB"/>
    <w:rsid w:val="343B467F"/>
    <w:rsid w:val="343C3F54"/>
    <w:rsid w:val="343D55E2"/>
    <w:rsid w:val="343E1A7A"/>
    <w:rsid w:val="343E5F1E"/>
    <w:rsid w:val="343E7CCC"/>
    <w:rsid w:val="34401C96"/>
    <w:rsid w:val="34424C0B"/>
    <w:rsid w:val="344277BC"/>
    <w:rsid w:val="34430750"/>
    <w:rsid w:val="34431811"/>
    <w:rsid w:val="344352E2"/>
    <w:rsid w:val="34443F98"/>
    <w:rsid w:val="3445174E"/>
    <w:rsid w:val="34452E08"/>
    <w:rsid w:val="344563D5"/>
    <w:rsid w:val="344572AC"/>
    <w:rsid w:val="34473024"/>
    <w:rsid w:val="344738E0"/>
    <w:rsid w:val="34476B70"/>
    <w:rsid w:val="34476B80"/>
    <w:rsid w:val="344803B3"/>
    <w:rsid w:val="34480B4A"/>
    <w:rsid w:val="344833BF"/>
    <w:rsid w:val="34485C44"/>
    <w:rsid w:val="34491F87"/>
    <w:rsid w:val="34496D9C"/>
    <w:rsid w:val="344A041F"/>
    <w:rsid w:val="344A1390"/>
    <w:rsid w:val="344A4629"/>
    <w:rsid w:val="344A5327"/>
    <w:rsid w:val="344B2D1B"/>
    <w:rsid w:val="344B5782"/>
    <w:rsid w:val="344C063B"/>
    <w:rsid w:val="344D36C3"/>
    <w:rsid w:val="344D4B67"/>
    <w:rsid w:val="344D7F0F"/>
    <w:rsid w:val="344F0BC8"/>
    <w:rsid w:val="344F3C87"/>
    <w:rsid w:val="34506F8E"/>
    <w:rsid w:val="345117AD"/>
    <w:rsid w:val="345135DD"/>
    <w:rsid w:val="34514203"/>
    <w:rsid w:val="34514978"/>
    <w:rsid w:val="34515D70"/>
    <w:rsid w:val="345223FA"/>
    <w:rsid w:val="3453006F"/>
    <w:rsid w:val="3453266A"/>
    <w:rsid w:val="34533777"/>
    <w:rsid w:val="345366CA"/>
    <w:rsid w:val="3454129D"/>
    <w:rsid w:val="34542B75"/>
    <w:rsid w:val="345444B8"/>
    <w:rsid w:val="34545741"/>
    <w:rsid w:val="345614B9"/>
    <w:rsid w:val="34565015"/>
    <w:rsid w:val="345656C7"/>
    <w:rsid w:val="3456789A"/>
    <w:rsid w:val="345707EA"/>
    <w:rsid w:val="34570F2A"/>
    <w:rsid w:val="345762FD"/>
    <w:rsid w:val="345831E6"/>
    <w:rsid w:val="345833BB"/>
    <w:rsid w:val="3458408E"/>
    <w:rsid w:val="345A1F52"/>
    <w:rsid w:val="345A5CDB"/>
    <w:rsid w:val="345B043C"/>
    <w:rsid w:val="345B087E"/>
    <w:rsid w:val="345B3D5F"/>
    <w:rsid w:val="345B5E77"/>
    <w:rsid w:val="345B6926"/>
    <w:rsid w:val="345B6AD0"/>
    <w:rsid w:val="345D2848"/>
    <w:rsid w:val="345D56DA"/>
    <w:rsid w:val="345E036E"/>
    <w:rsid w:val="345E3ECA"/>
    <w:rsid w:val="345F3BC6"/>
    <w:rsid w:val="345F612E"/>
    <w:rsid w:val="345F7AF4"/>
    <w:rsid w:val="346040E6"/>
    <w:rsid w:val="34607876"/>
    <w:rsid w:val="34607C42"/>
    <w:rsid w:val="34615BAE"/>
    <w:rsid w:val="34620568"/>
    <w:rsid w:val="34621C02"/>
    <w:rsid w:val="3462703E"/>
    <w:rsid w:val="34627E5E"/>
    <w:rsid w:val="3463198D"/>
    <w:rsid w:val="34637732"/>
    <w:rsid w:val="3464452F"/>
    <w:rsid w:val="346450CF"/>
    <w:rsid w:val="346516FC"/>
    <w:rsid w:val="34652D42"/>
    <w:rsid w:val="346534AA"/>
    <w:rsid w:val="346559BF"/>
    <w:rsid w:val="34656A3E"/>
    <w:rsid w:val="3466148E"/>
    <w:rsid w:val="34666905"/>
    <w:rsid w:val="3467128F"/>
    <w:rsid w:val="34675474"/>
    <w:rsid w:val="3467634A"/>
    <w:rsid w:val="34676DC3"/>
    <w:rsid w:val="34677222"/>
    <w:rsid w:val="34677348"/>
    <w:rsid w:val="34684D49"/>
    <w:rsid w:val="34686573"/>
    <w:rsid w:val="3469061B"/>
    <w:rsid w:val="346911EC"/>
    <w:rsid w:val="346A286F"/>
    <w:rsid w:val="346B1830"/>
    <w:rsid w:val="346C120F"/>
    <w:rsid w:val="346C285D"/>
    <w:rsid w:val="346C2A8B"/>
    <w:rsid w:val="346C4839"/>
    <w:rsid w:val="346C65E7"/>
    <w:rsid w:val="346C7B0F"/>
    <w:rsid w:val="346D124D"/>
    <w:rsid w:val="346D4150"/>
    <w:rsid w:val="346E05B1"/>
    <w:rsid w:val="346F4329"/>
    <w:rsid w:val="346F60D7"/>
    <w:rsid w:val="34700396"/>
    <w:rsid w:val="34707F00"/>
    <w:rsid w:val="34713BFD"/>
    <w:rsid w:val="34714624"/>
    <w:rsid w:val="347253F1"/>
    <w:rsid w:val="347308B2"/>
    <w:rsid w:val="347329EC"/>
    <w:rsid w:val="34736881"/>
    <w:rsid w:val="3474193F"/>
    <w:rsid w:val="347436ED"/>
    <w:rsid w:val="34750071"/>
    <w:rsid w:val="34757B91"/>
    <w:rsid w:val="34763909"/>
    <w:rsid w:val="34763D72"/>
    <w:rsid w:val="34763E52"/>
    <w:rsid w:val="34764A62"/>
    <w:rsid w:val="347656B7"/>
    <w:rsid w:val="34766943"/>
    <w:rsid w:val="34767465"/>
    <w:rsid w:val="34776692"/>
    <w:rsid w:val="34781430"/>
    <w:rsid w:val="347823D4"/>
    <w:rsid w:val="347831DE"/>
    <w:rsid w:val="34790D04"/>
    <w:rsid w:val="34796F56"/>
    <w:rsid w:val="347A2B71"/>
    <w:rsid w:val="347A51A8"/>
    <w:rsid w:val="347A6754"/>
    <w:rsid w:val="347B35FE"/>
    <w:rsid w:val="347C304F"/>
    <w:rsid w:val="347D1FF0"/>
    <w:rsid w:val="347D25A2"/>
    <w:rsid w:val="347D2994"/>
    <w:rsid w:val="347D6A46"/>
    <w:rsid w:val="347E456C"/>
    <w:rsid w:val="347E631A"/>
    <w:rsid w:val="347F347E"/>
    <w:rsid w:val="347F56D3"/>
    <w:rsid w:val="347F799D"/>
    <w:rsid w:val="348002E4"/>
    <w:rsid w:val="34805CAB"/>
    <w:rsid w:val="34814E5E"/>
    <w:rsid w:val="348222AE"/>
    <w:rsid w:val="3482405C"/>
    <w:rsid w:val="348245D2"/>
    <w:rsid w:val="34825E0A"/>
    <w:rsid w:val="34831B82"/>
    <w:rsid w:val="34833930"/>
    <w:rsid w:val="34847806"/>
    <w:rsid w:val="34847DD4"/>
    <w:rsid w:val="34853B4C"/>
    <w:rsid w:val="348557E7"/>
    <w:rsid w:val="348558FB"/>
    <w:rsid w:val="348576A9"/>
    <w:rsid w:val="34871673"/>
    <w:rsid w:val="34873421"/>
    <w:rsid w:val="34880F47"/>
    <w:rsid w:val="34884436"/>
    <w:rsid w:val="3489363D"/>
    <w:rsid w:val="348957BF"/>
    <w:rsid w:val="34897FB0"/>
    <w:rsid w:val="348A1163"/>
    <w:rsid w:val="348A3D02"/>
    <w:rsid w:val="348A4CBF"/>
    <w:rsid w:val="348C0A37"/>
    <w:rsid w:val="348D1FF9"/>
    <w:rsid w:val="348D619B"/>
    <w:rsid w:val="348D7152"/>
    <w:rsid w:val="348D7C4B"/>
    <w:rsid w:val="348E0DB0"/>
    <w:rsid w:val="348F0527"/>
    <w:rsid w:val="348F22D5"/>
    <w:rsid w:val="348F6779"/>
    <w:rsid w:val="3490417C"/>
    <w:rsid w:val="34906F65"/>
    <w:rsid w:val="34906FBA"/>
    <w:rsid w:val="3491354B"/>
    <w:rsid w:val="3491604D"/>
    <w:rsid w:val="349166D9"/>
    <w:rsid w:val="349249DB"/>
    <w:rsid w:val="34935457"/>
    <w:rsid w:val="349374D6"/>
    <w:rsid w:val="34943D90"/>
    <w:rsid w:val="3495078B"/>
    <w:rsid w:val="349618B6"/>
    <w:rsid w:val="34963664"/>
    <w:rsid w:val="349669DC"/>
    <w:rsid w:val="3498562E"/>
    <w:rsid w:val="3499059C"/>
    <w:rsid w:val="349A13A6"/>
    <w:rsid w:val="349A75F8"/>
    <w:rsid w:val="349A78E2"/>
    <w:rsid w:val="349B3370"/>
    <w:rsid w:val="349B511E"/>
    <w:rsid w:val="349B6ECC"/>
    <w:rsid w:val="349D0E96"/>
    <w:rsid w:val="349E0F6D"/>
    <w:rsid w:val="349F41D7"/>
    <w:rsid w:val="349F56CD"/>
    <w:rsid w:val="349F69BC"/>
    <w:rsid w:val="34A00986"/>
    <w:rsid w:val="34A02734"/>
    <w:rsid w:val="34A060A7"/>
    <w:rsid w:val="34A07BE8"/>
    <w:rsid w:val="34A244D0"/>
    <w:rsid w:val="34A246FE"/>
    <w:rsid w:val="34A30F22"/>
    <w:rsid w:val="34A32B83"/>
    <w:rsid w:val="34A35D81"/>
    <w:rsid w:val="34A42225"/>
    <w:rsid w:val="34A464B7"/>
    <w:rsid w:val="34A46F77"/>
    <w:rsid w:val="34A522D6"/>
    <w:rsid w:val="34A52E51"/>
    <w:rsid w:val="34A54277"/>
    <w:rsid w:val="34A57D4B"/>
    <w:rsid w:val="34A71D15"/>
    <w:rsid w:val="34A75871"/>
    <w:rsid w:val="34A83397"/>
    <w:rsid w:val="34A86B2E"/>
    <w:rsid w:val="34A90091"/>
    <w:rsid w:val="34A90093"/>
    <w:rsid w:val="34A915E9"/>
    <w:rsid w:val="34A9783B"/>
    <w:rsid w:val="34AA5361"/>
    <w:rsid w:val="34AB35B3"/>
    <w:rsid w:val="34AB4675"/>
    <w:rsid w:val="34AE07E1"/>
    <w:rsid w:val="34AE1C70"/>
    <w:rsid w:val="34AE2A73"/>
    <w:rsid w:val="34AE30A3"/>
    <w:rsid w:val="34AE34DD"/>
    <w:rsid w:val="34AE757B"/>
    <w:rsid w:val="34B00BC9"/>
    <w:rsid w:val="34B10FC1"/>
    <w:rsid w:val="34B113F4"/>
    <w:rsid w:val="34B166F0"/>
    <w:rsid w:val="34B301B1"/>
    <w:rsid w:val="34B32468"/>
    <w:rsid w:val="34B453EB"/>
    <w:rsid w:val="34B468E5"/>
    <w:rsid w:val="34B47F8E"/>
    <w:rsid w:val="34B54432"/>
    <w:rsid w:val="34B57D75"/>
    <w:rsid w:val="34B61F58"/>
    <w:rsid w:val="34B63D06"/>
    <w:rsid w:val="34B72695"/>
    <w:rsid w:val="34B75266"/>
    <w:rsid w:val="34B8139C"/>
    <w:rsid w:val="34B8182C"/>
    <w:rsid w:val="34B85698"/>
    <w:rsid w:val="34BA1A48"/>
    <w:rsid w:val="34BA1BC9"/>
    <w:rsid w:val="34BA2757"/>
    <w:rsid w:val="34BA5036"/>
    <w:rsid w:val="34BB131C"/>
    <w:rsid w:val="34BB24A6"/>
    <w:rsid w:val="34BB3B84"/>
    <w:rsid w:val="34BB756E"/>
    <w:rsid w:val="34BC24A7"/>
    <w:rsid w:val="34BD0DD0"/>
    <w:rsid w:val="34BD32E6"/>
    <w:rsid w:val="34BD5094"/>
    <w:rsid w:val="34BD6E42"/>
    <w:rsid w:val="34BD7997"/>
    <w:rsid w:val="34BD7C58"/>
    <w:rsid w:val="34BF5DF5"/>
    <w:rsid w:val="34BF705E"/>
    <w:rsid w:val="34C04B85"/>
    <w:rsid w:val="34C12DD7"/>
    <w:rsid w:val="34C33809"/>
    <w:rsid w:val="34C46423"/>
    <w:rsid w:val="34C5219B"/>
    <w:rsid w:val="34C603ED"/>
    <w:rsid w:val="34C60CFA"/>
    <w:rsid w:val="34C75A90"/>
    <w:rsid w:val="34C86631"/>
    <w:rsid w:val="34CA56ED"/>
    <w:rsid w:val="34CC29F0"/>
    <w:rsid w:val="34CC3529"/>
    <w:rsid w:val="34CC52D7"/>
    <w:rsid w:val="34CC5FFC"/>
    <w:rsid w:val="34CC6AF3"/>
    <w:rsid w:val="34CC791E"/>
    <w:rsid w:val="34CE091C"/>
    <w:rsid w:val="34CE1095"/>
    <w:rsid w:val="34CE54F3"/>
    <w:rsid w:val="34CF562C"/>
    <w:rsid w:val="34CF642A"/>
    <w:rsid w:val="34D019F5"/>
    <w:rsid w:val="34D0301A"/>
    <w:rsid w:val="34D04DC8"/>
    <w:rsid w:val="34D11B2F"/>
    <w:rsid w:val="34D128EE"/>
    <w:rsid w:val="34D15E0D"/>
    <w:rsid w:val="34D348B8"/>
    <w:rsid w:val="34D4325D"/>
    <w:rsid w:val="34D505CF"/>
    <w:rsid w:val="34D50630"/>
    <w:rsid w:val="34D60D6F"/>
    <w:rsid w:val="34D643A8"/>
    <w:rsid w:val="34D670AE"/>
    <w:rsid w:val="34D67F04"/>
    <w:rsid w:val="34D7310F"/>
    <w:rsid w:val="34D83C7C"/>
    <w:rsid w:val="34D92F01"/>
    <w:rsid w:val="34DA1676"/>
    <w:rsid w:val="34DB140D"/>
    <w:rsid w:val="34DB4661"/>
    <w:rsid w:val="34DB551B"/>
    <w:rsid w:val="34DB5F68"/>
    <w:rsid w:val="34DB719C"/>
    <w:rsid w:val="34DB7DEB"/>
    <w:rsid w:val="34DC2F20"/>
    <w:rsid w:val="34DC3D25"/>
    <w:rsid w:val="34DD0FD0"/>
    <w:rsid w:val="34DD1293"/>
    <w:rsid w:val="34DD3B6D"/>
    <w:rsid w:val="34DD3E47"/>
    <w:rsid w:val="34DD74E5"/>
    <w:rsid w:val="34DF2FE2"/>
    <w:rsid w:val="34DF6FB2"/>
    <w:rsid w:val="34E00D83"/>
    <w:rsid w:val="34E04472"/>
    <w:rsid w:val="34E13990"/>
    <w:rsid w:val="34E141C1"/>
    <w:rsid w:val="34E15813"/>
    <w:rsid w:val="34E21896"/>
    <w:rsid w:val="34E24AFB"/>
    <w:rsid w:val="34E268A9"/>
    <w:rsid w:val="34E46AC5"/>
    <w:rsid w:val="34E57C7E"/>
    <w:rsid w:val="34E61774"/>
    <w:rsid w:val="34E62E83"/>
    <w:rsid w:val="34E70363"/>
    <w:rsid w:val="34E72111"/>
    <w:rsid w:val="34E75607"/>
    <w:rsid w:val="34E846A5"/>
    <w:rsid w:val="34E87F88"/>
    <w:rsid w:val="34E97293"/>
    <w:rsid w:val="34E97C37"/>
    <w:rsid w:val="34EA39B0"/>
    <w:rsid w:val="34EA69B4"/>
    <w:rsid w:val="34EB0CAA"/>
    <w:rsid w:val="34EB1C02"/>
    <w:rsid w:val="34EB6E47"/>
    <w:rsid w:val="34EC3BCC"/>
    <w:rsid w:val="34EC597A"/>
    <w:rsid w:val="34EE34A0"/>
    <w:rsid w:val="34EE3B98"/>
    <w:rsid w:val="34EE524E"/>
    <w:rsid w:val="34EF0674"/>
    <w:rsid w:val="34EF0FC6"/>
    <w:rsid w:val="34F00CBE"/>
    <w:rsid w:val="34F02826"/>
    <w:rsid w:val="34F07218"/>
    <w:rsid w:val="34F12F90"/>
    <w:rsid w:val="34F211E2"/>
    <w:rsid w:val="34F30AB6"/>
    <w:rsid w:val="34F52A80"/>
    <w:rsid w:val="34F5482E"/>
    <w:rsid w:val="34F565DC"/>
    <w:rsid w:val="34F605A6"/>
    <w:rsid w:val="34F62354"/>
    <w:rsid w:val="34F65359"/>
    <w:rsid w:val="34F6637A"/>
    <w:rsid w:val="34F67383"/>
    <w:rsid w:val="34F767F8"/>
    <w:rsid w:val="34F76BD6"/>
    <w:rsid w:val="34F860CC"/>
    <w:rsid w:val="34F901F1"/>
    <w:rsid w:val="34F96FB4"/>
    <w:rsid w:val="34FA1E45"/>
    <w:rsid w:val="34FA369D"/>
    <w:rsid w:val="34FC1F63"/>
    <w:rsid w:val="34FC21B5"/>
    <w:rsid w:val="34FC3E0F"/>
    <w:rsid w:val="34FD36E3"/>
    <w:rsid w:val="34FE7781"/>
    <w:rsid w:val="34FF745B"/>
    <w:rsid w:val="34FF774A"/>
    <w:rsid w:val="3500231B"/>
    <w:rsid w:val="350031D3"/>
    <w:rsid w:val="35004F81"/>
    <w:rsid w:val="350137AB"/>
    <w:rsid w:val="350360CB"/>
    <w:rsid w:val="35040F15"/>
    <w:rsid w:val="350416FB"/>
    <w:rsid w:val="35050B53"/>
    <w:rsid w:val="35050F88"/>
    <w:rsid w:val="3505706B"/>
    <w:rsid w:val="350601DC"/>
    <w:rsid w:val="350606FD"/>
    <w:rsid w:val="35061741"/>
    <w:rsid w:val="35064C8D"/>
    <w:rsid w:val="3506618D"/>
    <w:rsid w:val="350727B3"/>
    <w:rsid w:val="35074561"/>
    <w:rsid w:val="35076310"/>
    <w:rsid w:val="3507761D"/>
    <w:rsid w:val="3508232F"/>
    <w:rsid w:val="350825B2"/>
    <w:rsid w:val="3508662B"/>
    <w:rsid w:val="3509652C"/>
    <w:rsid w:val="350A542A"/>
    <w:rsid w:val="350A6C44"/>
    <w:rsid w:val="350C1B78"/>
    <w:rsid w:val="350C3926"/>
    <w:rsid w:val="350C48B6"/>
    <w:rsid w:val="350D601C"/>
    <w:rsid w:val="350E194B"/>
    <w:rsid w:val="350F0980"/>
    <w:rsid w:val="350F7D29"/>
    <w:rsid w:val="35103416"/>
    <w:rsid w:val="351039AD"/>
    <w:rsid w:val="35103BA2"/>
    <w:rsid w:val="35105ABA"/>
    <w:rsid w:val="351112A6"/>
    <w:rsid w:val="35111390"/>
    <w:rsid w:val="351153E0"/>
    <w:rsid w:val="3511718E"/>
    <w:rsid w:val="35123632"/>
    <w:rsid w:val="35127301"/>
    <w:rsid w:val="351341A7"/>
    <w:rsid w:val="351358FA"/>
    <w:rsid w:val="35150A2C"/>
    <w:rsid w:val="35151F77"/>
    <w:rsid w:val="3515264E"/>
    <w:rsid w:val="35154937"/>
    <w:rsid w:val="35154ED0"/>
    <w:rsid w:val="35156C7E"/>
    <w:rsid w:val="351572A2"/>
    <w:rsid w:val="351647A5"/>
    <w:rsid w:val="35166E8F"/>
    <w:rsid w:val="35167112"/>
    <w:rsid w:val="351732D0"/>
    <w:rsid w:val="351759D1"/>
    <w:rsid w:val="351770D2"/>
    <w:rsid w:val="35177D3B"/>
    <w:rsid w:val="3518051D"/>
    <w:rsid w:val="35180726"/>
    <w:rsid w:val="35192EC2"/>
    <w:rsid w:val="351A5A93"/>
    <w:rsid w:val="351B1DBB"/>
    <w:rsid w:val="351C000D"/>
    <w:rsid w:val="351C24D8"/>
    <w:rsid w:val="351C625F"/>
    <w:rsid w:val="351E2CD3"/>
    <w:rsid w:val="351F18AB"/>
    <w:rsid w:val="351F3659"/>
    <w:rsid w:val="351F3735"/>
    <w:rsid w:val="352053F7"/>
    <w:rsid w:val="352073D1"/>
    <w:rsid w:val="3521215B"/>
    <w:rsid w:val="35212A42"/>
    <w:rsid w:val="35227B1E"/>
    <w:rsid w:val="352354D7"/>
    <w:rsid w:val="35241716"/>
    <w:rsid w:val="35243365"/>
    <w:rsid w:val="352549E8"/>
    <w:rsid w:val="352578A9"/>
    <w:rsid w:val="3526277B"/>
    <w:rsid w:val="35262C3A"/>
    <w:rsid w:val="35266C07"/>
    <w:rsid w:val="352670DE"/>
    <w:rsid w:val="35284C04"/>
    <w:rsid w:val="3529272A"/>
    <w:rsid w:val="352A3AB6"/>
    <w:rsid w:val="352A7494"/>
    <w:rsid w:val="352B294B"/>
    <w:rsid w:val="352B36BE"/>
    <w:rsid w:val="352B52D7"/>
    <w:rsid w:val="352B64A2"/>
    <w:rsid w:val="352C628F"/>
    <w:rsid w:val="352C6EA7"/>
    <w:rsid w:val="352E5399"/>
    <w:rsid w:val="352E5F92"/>
    <w:rsid w:val="352E7D40"/>
    <w:rsid w:val="352F321B"/>
    <w:rsid w:val="352F6829"/>
    <w:rsid w:val="3530094B"/>
    <w:rsid w:val="35300DF6"/>
    <w:rsid w:val="3530432C"/>
    <w:rsid w:val="353170A4"/>
    <w:rsid w:val="35326A11"/>
    <w:rsid w:val="35335357"/>
    <w:rsid w:val="353445AF"/>
    <w:rsid w:val="353510CF"/>
    <w:rsid w:val="353572E4"/>
    <w:rsid w:val="35357321"/>
    <w:rsid w:val="35364E13"/>
    <w:rsid w:val="35374E47"/>
    <w:rsid w:val="35377B8C"/>
    <w:rsid w:val="353A59AA"/>
    <w:rsid w:val="353B3670"/>
    <w:rsid w:val="353B4436"/>
    <w:rsid w:val="353C06AF"/>
    <w:rsid w:val="353C1DCC"/>
    <w:rsid w:val="353C245D"/>
    <w:rsid w:val="353C420B"/>
    <w:rsid w:val="353C6F42"/>
    <w:rsid w:val="353D58FA"/>
    <w:rsid w:val="353E4427"/>
    <w:rsid w:val="353F3CFB"/>
    <w:rsid w:val="353F631E"/>
    <w:rsid w:val="3540655B"/>
    <w:rsid w:val="35411821"/>
    <w:rsid w:val="3541380F"/>
    <w:rsid w:val="35415CC5"/>
    <w:rsid w:val="35417A73"/>
    <w:rsid w:val="354205AF"/>
    <w:rsid w:val="354220CE"/>
    <w:rsid w:val="35422141"/>
    <w:rsid w:val="35426EC6"/>
    <w:rsid w:val="3543078D"/>
    <w:rsid w:val="35441312"/>
    <w:rsid w:val="35447564"/>
    <w:rsid w:val="35453261"/>
    <w:rsid w:val="35463CB0"/>
    <w:rsid w:val="354667C1"/>
    <w:rsid w:val="35466E38"/>
    <w:rsid w:val="3547283A"/>
    <w:rsid w:val="35472BB0"/>
    <w:rsid w:val="354779F6"/>
    <w:rsid w:val="3548261A"/>
    <w:rsid w:val="3548559F"/>
    <w:rsid w:val="35487054"/>
    <w:rsid w:val="3549092A"/>
    <w:rsid w:val="35496928"/>
    <w:rsid w:val="354B26A0"/>
    <w:rsid w:val="354B3DA4"/>
    <w:rsid w:val="354B4447"/>
    <w:rsid w:val="354B444E"/>
    <w:rsid w:val="354C01C6"/>
    <w:rsid w:val="354C6028"/>
    <w:rsid w:val="354D11DF"/>
    <w:rsid w:val="354D71E1"/>
    <w:rsid w:val="354E03E2"/>
    <w:rsid w:val="354E4E4E"/>
    <w:rsid w:val="3550415A"/>
    <w:rsid w:val="35507AD8"/>
    <w:rsid w:val="355131AF"/>
    <w:rsid w:val="35514304"/>
    <w:rsid w:val="35524794"/>
    <w:rsid w:val="35525E18"/>
    <w:rsid w:val="35527ED3"/>
    <w:rsid w:val="35531555"/>
    <w:rsid w:val="35536D91"/>
    <w:rsid w:val="355377A7"/>
    <w:rsid w:val="35543D12"/>
    <w:rsid w:val="35551771"/>
    <w:rsid w:val="355535B9"/>
    <w:rsid w:val="355552CD"/>
    <w:rsid w:val="35576516"/>
    <w:rsid w:val="3558300F"/>
    <w:rsid w:val="35584B44"/>
    <w:rsid w:val="35584DBD"/>
    <w:rsid w:val="35585FE3"/>
    <w:rsid w:val="35586EC5"/>
    <w:rsid w:val="35587139"/>
    <w:rsid w:val="355A0B35"/>
    <w:rsid w:val="355A17E5"/>
    <w:rsid w:val="355C2AFF"/>
    <w:rsid w:val="355C5846"/>
    <w:rsid w:val="355C7026"/>
    <w:rsid w:val="355D635D"/>
    <w:rsid w:val="355D6A34"/>
    <w:rsid w:val="355D6CD6"/>
    <w:rsid w:val="355E2703"/>
    <w:rsid w:val="355F0D2B"/>
    <w:rsid w:val="355F439E"/>
    <w:rsid w:val="355F614C"/>
    <w:rsid w:val="355F7EFA"/>
    <w:rsid w:val="35605657"/>
    <w:rsid w:val="35611EC4"/>
    <w:rsid w:val="35614940"/>
    <w:rsid w:val="35616AE7"/>
    <w:rsid w:val="356216B8"/>
    <w:rsid w:val="3562308C"/>
    <w:rsid w:val="35633E8E"/>
    <w:rsid w:val="35633FD8"/>
    <w:rsid w:val="35640841"/>
    <w:rsid w:val="35643762"/>
    <w:rsid w:val="35646704"/>
    <w:rsid w:val="35650039"/>
    <w:rsid w:val="3565283F"/>
    <w:rsid w:val="3565547E"/>
    <w:rsid w:val="35657300"/>
    <w:rsid w:val="3566192B"/>
    <w:rsid w:val="3566231B"/>
    <w:rsid w:val="3566409A"/>
    <w:rsid w:val="3566572C"/>
    <w:rsid w:val="356674DA"/>
    <w:rsid w:val="35672368"/>
    <w:rsid w:val="35674CCB"/>
    <w:rsid w:val="35675000"/>
    <w:rsid w:val="3567552A"/>
    <w:rsid w:val="356814A4"/>
    <w:rsid w:val="35687F21"/>
    <w:rsid w:val="356924AC"/>
    <w:rsid w:val="35694F44"/>
    <w:rsid w:val="3569521C"/>
    <w:rsid w:val="356A2010"/>
    <w:rsid w:val="356A5862"/>
    <w:rsid w:val="356B21A5"/>
    <w:rsid w:val="356B689E"/>
    <w:rsid w:val="356C03E0"/>
    <w:rsid w:val="356D0868"/>
    <w:rsid w:val="356E16A1"/>
    <w:rsid w:val="356E45E1"/>
    <w:rsid w:val="356F6516"/>
    <w:rsid w:val="35700359"/>
    <w:rsid w:val="357032A7"/>
    <w:rsid w:val="357121E0"/>
    <w:rsid w:val="35715157"/>
    <w:rsid w:val="357240D1"/>
    <w:rsid w:val="35731B67"/>
    <w:rsid w:val="35731BF7"/>
    <w:rsid w:val="3573598C"/>
    <w:rsid w:val="357379B3"/>
    <w:rsid w:val="35747E49"/>
    <w:rsid w:val="3575596F"/>
    <w:rsid w:val="35755CC0"/>
    <w:rsid w:val="3576136C"/>
    <w:rsid w:val="357716E7"/>
    <w:rsid w:val="35793D59"/>
    <w:rsid w:val="357945E5"/>
    <w:rsid w:val="357A2F85"/>
    <w:rsid w:val="357A4A20"/>
    <w:rsid w:val="357A4D33"/>
    <w:rsid w:val="357A7999"/>
    <w:rsid w:val="357C6CFE"/>
    <w:rsid w:val="357C7EED"/>
    <w:rsid w:val="357D65D2"/>
    <w:rsid w:val="357D77FE"/>
    <w:rsid w:val="357E0CC8"/>
    <w:rsid w:val="357E77DB"/>
    <w:rsid w:val="357F19B7"/>
    <w:rsid w:val="358103B9"/>
    <w:rsid w:val="358160C2"/>
    <w:rsid w:val="35824CBB"/>
    <w:rsid w:val="35831E3A"/>
    <w:rsid w:val="35832B89"/>
    <w:rsid w:val="35841031"/>
    <w:rsid w:val="35843E04"/>
    <w:rsid w:val="35844A52"/>
    <w:rsid w:val="35854817"/>
    <w:rsid w:val="35867B7C"/>
    <w:rsid w:val="35872D86"/>
    <w:rsid w:val="358774FC"/>
    <w:rsid w:val="358837D2"/>
    <w:rsid w:val="358856A2"/>
    <w:rsid w:val="35886381"/>
    <w:rsid w:val="35887450"/>
    <w:rsid w:val="3589541E"/>
    <w:rsid w:val="358A08C4"/>
    <w:rsid w:val="358B0CEF"/>
    <w:rsid w:val="358B3826"/>
    <w:rsid w:val="358B5193"/>
    <w:rsid w:val="358C4414"/>
    <w:rsid w:val="358C4DD6"/>
    <w:rsid w:val="358C5DB5"/>
    <w:rsid w:val="358C5FA8"/>
    <w:rsid w:val="358C7ACB"/>
    <w:rsid w:val="358D0F0B"/>
    <w:rsid w:val="358D2CB9"/>
    <w:rsid w:val="358D4A67"/>
    <w:rsid w:val="358E06D5"/>
    <w:rsid w:val="358E07DF"/>
    <w:rsid w:val="358E1BD1"/>
    <w:rsid w:val="358E6A31"/>
    <w:rsid w:val="358F3D6E"/>
    <w:rsid w:val="358F4C83"/>
    <w:rsid w:val="359027A9"/>
    <w:rsid w:val="35913DE2"/>
    <w:rsid w:val="35926521"/>
    <w:rsid w:val="359304E6"/>
    <w:rsid w:val="3593150D"/>
    <w:rsid w:val="35932058"/>
    <w:rsid w:val="35932433"/>
    <w:rsid w:val="359330B7"/>
    <w:rsid w:val="35935DF5"/>
    <w:rsid w:val="35941976"/>
    <w:rsid w:val="35942299"/>
    <w:rsid w:val="35956011"/>
    <w:rsid w:val="35956C35"/>
    <w:rsid w:val="35962570"/>
    <w:rsid w:val="359635F1"/>
    <w:rsid w:val="35977DB1"/>
    <w:rsid w:val="359836FB"/>
    <w:rsid w:val="3599165E"/>
    <w:rsid w:val="35994082"/>
    <w:rsid w:val="359957E8"/>
    <w:rsid w:val="359A3628"/>
    <w:rsid w:val="359C2CD9"/>
    <w:rsid w:val="359D732E"/>
    <w:rsid w:val="359E4EC6"/>
    <w:rsid w:val="359F165A"/>
    <w:rsid w:val="359F29EC"/>
    <w:rsid w:val="359F479A"/>
    <w:rsid w:val="35A04B13"/>
    <w:rsid w:val="35A136FA"/>
    <w:rsid w:val="35A156BB"/>
    <w:rsid w:val="35A21791"/>
    <w:rsid w:val="35A2540A"/>
    <w:rsid w:val="35A26038"/>
    <w:rsid w:val="35A304E4"/>
    <w:rsid w:val="35A3072E"/>
    <w:rsid w:val="35A3146B"/>
    <w:rsid w:val="35A324DC"/>
    <w:rsid w:val="35A3428A"/>
    <w:rsid w:val="35A34E37"/>
    <w:rsid w:val="35A37FDB"/>
    <w:rsid w:val="35A41DB0"/>
    <w:rsid w:val="35A4333B"/>
    <w:rsid w:val="35A4398E"/>
    <w:rsid w:val="35A52744"/>
    <w:rsid w:val="35A54C93"/>
    <w:rsid w:val="35A61FCC"/>
    <w:rsid w:val="35A6206D"/>
    <w:rsid w:val="35A63D7A"/>
    <w:rsid w:val="35A70F55"/>
    <w:rsid w:val="35A72944"/>
    <w:rsid w:val="35A84F3B"/>
    <w:rsid w:val="35A87AF3"/>
    <w:rsid w:val="35AA187C"/>
    <w:rsid w:val="35AA386B"/>
    <w:rsid w:val="35AA546C"/>
    <w:rsid w:val="35AB4885"/>
    <w:rsid w:val="35AB7BFD"/>
    <w:rsid w:val="35AC3B58"/>
    <w:rsid w:val="35AD0DC2"/>
    <w:rsid w:val="35AD3187"/>
    <w:rsid w:val="35AD335B"/>
    <w:rsid w:val="35AD36FE"/>
    <w:rsid w:val="35AD3C5E"/>
    <w:rsid w:val="35AD6EB7"/>
    <w:rsid w:val="35AE2C2F"/>
    <w:rsid w:val="35AF0E81"/>
    <w:rsid w:val="35AF70D3"/>
    <w:rsid w:val="35AF7A0E"/>
    <w:rsid w:val="35B00755"/>
    <w:rsid w:val="35B01D27"/>
    <w:rsid w:val="35B0664A"/>
    <w:rsid w:val="35B069A7"/>
    <w:rsid w:val="35B11A4A"/>
    <w:rsid w:val="35B20971"/>
    <w:rsid w:val="35B2271F"/>
    <w:rsid w:val="35B26B0C"/>
    <w:rsid w:val="35B26B7E"/>
    <w:rsid w:val="35B30245"/>
    <w:rsid w:val="35B30F60"/>
    <w:rsid w:val="35B3528C"/>
    <w:rsid w:val="35B444DF"/>
    <w:rsid w:val="35B4470F"/>
    <w:rsid w:val="35B4484A"/>
    <w:rsid w:val="35B46497"/>
    <w:rsid w:val="35B50293"/>
    <w:rsid w:val="35B52116"/>
    <w:rsid w:val="35B53FBD"/>
    <w:rsid w:val="35B62D04"/>
    <w:rsid w:val="35B63168"/>
    <w:rsid w:val="35B66451"/>
    <w:rsid w:val="35B75F88"/>
    <w:rsid w:val="35B77D36"/>
    <w:rsid w:val="35B92201"/>
    <w:rsid w:val="35BA05F7"/>
    <w:rsid w:val="35BA15D4"/>
    <w:rsid w:val="35BA18E9"/>
    <w:rsid w:val="35BB5A78"/>
    <w:rsid w:val="35BB76F2"/>
    <w:rsid w:val="35BB7B3E"/>
    <w:rsid w:val="35BC18EF"/>
    <w:rsid w:val="35BC3837"/>
    <w:rsid w:val="35BD0021"/>
    <w:rsid w:val="35BD2BA5"/>
    <w:rsid w:val="35BD319C"/>
    <w:rsid w:val="35BE3793"/>
    <w:rsid w:val="35BE5C46"/>
    <w:rsid w:val="35BF0C44"/>
    <w:rsid w:val="35BF4D31"/>
    <w:rsid w:val="35BF6203"/>
    <w:rsid w:val="35C0308E"/>
    <w:rsid w:val="35C04A09"/>
    <w:rsid w:val="35C10BB4"/>
    <w:rsid w:val="35C12B12"/>
    <w:rsid w:val="35C15DF1"/>
    <w:rsid w:val="35C16E06"/>
    <w:rsid w:val="35C275C5"/>
    <w:rsid w:val="35C3679B"/>
    <w:rsid w:val="35C44201"/>
    <w:rsid w:val="35C44C2A"/>
    <w:rsid w:val="35C45F10"/>
    <w:rsid w:val="35C557C9"/>
    <w:rsid w:val="35C6368B"/>
    <w:rsid w:val="35C6441D"/>
    <w:rsid w:val="35C65F46"/>
    <w:rsid w:val="35C661CB"/>
    <w:rsid w:val="35C67F79"/>
    <w:rsid w:val="35C81F43"/>
    <w:rsid w:val="35C869E7"/>
    <w:rsid w:val="35C948C7"/>
    <w:rsid w:val="35C949C1"/>
    <w:rsid w:val="35C97A69"/>
    <w:rsid w:val="35CA73B6"/>
    <w:rsid w:val="35CB37E1"/>
    <w:rsid w:val="35CB558F"/>
    <w:rsid w:val="35CC0677"/>
    <w:rsid w:val="35CC3248"/>
    <w:rsid w:val="35CC386F"/>
    <w:rsid w:val="35CD1307"/>
    <w:rsid w:val="35CD1B07"/>
    <w:rsid w:val="35CE2F97"/>
    <w:rsid w:val="35CE3A94"/>
    <w:rsid w:val="35CE46AE"/>
    <w:rsid w:val="35CE6E2D"/>
    <w:rsid w:val="35CF1523"/>
    <w:rsid w:val="35CF32D1"/>
    <w:rsid w:val="35D0087E"/>
    <w:rsid w:val="35D07049"/>
    <w:rsid w:val="35D0783F"/>
    <w:rsid w:val="35D12C82"/>
    <w:rsid w:val="35D13B50"/>
    <w:rsid w:val="35D14C9F"/>
    <w:rsid w:val="35D15D30"/>
    <w:rsid w:val="35D24B6F"/>
    <w:rsid w:val="35D341FC"/>
    <w:rsid w:val="35D34A37"/>
    <w:rsid w:val="35D35979"/>
    <w:rsid w:val="35D408E8"/>
    <w:rsid w:val="35D703D8"/>
    <w:rsid w:val="35D70C67"/>
    <w:rsid w:val="35D730B7"/>
    <w:rsid w:val="35D73F34"/>
    <w:rsid w:val="35D81E0E"/>
    <w:rsid w:val="35D92C7B"/>
    <w:rsid w:val="35D94150"/>
    <w:rsid w:val="35D94948"/>
    <w:rsid w:val="35D95EFE"/>
    <w:rsid w:val="35D96C9A"/>
    <w:rsid w:val="35D97CAC"/>
    <w:rsid w:val="35DA0754"/>
    <w:rsid w:val="35DA1C76"/>
    <w:rsid w:val="35DA6748"/>
    <w:rsid w:val="35DB2421"/>
    <w:rsid w:val="35DB4887"/>
    <w:rsid w:val="35DB7EC8"/>
    <w:rsid w:val="35DC11D2"/>
    <w:rsid w:val="35DC59EE"/>
    <w:rsid w:val="35DD0E91"/>
    <w:rsid w:val="35DE1766"/>
    <w:rsid w:val="35DE2341"/>
    <w:rsid w:val="35DE4DAB"/>
    <w:rsid w:val="35DF3F1C"/>
    <w:rsid w:val="35DF434D"/>
    <w:rsid w:val="35DF6AED"/>
    <w:rsid w:val="35DF6CD6"/>
    <w:rsid w:val="35E035A0"/>
    <w:rsid w:val="35E054DE"/>
    <w:rsid w:val="35E05789"/>
    <w:rsid w:val="35E0728C"/>
    <w:rsid w:val="35E14DB3"/>
    <w:rsid w:val="35E30B2B"/>
    <w:rsid w:val="35E328D9"/>
    <w:rsid w:val="35E36D7D"/>
    <w:rsid w:val="35E4106E"/>
    <w:rsid w:val="35E414CE"/>
    <w:rsid w:val="35E47D8D"/>
    <w:rsid w:val="35E5121D"/>
    <w:rsid w:val="35E52AF5"/>
    <w:rsid w:val="35E545AB"/>
    <w:rsid w:val="35E548A3"/>
    <w:rsid w:val="35E6061B"/>
    <w:rsid w:val="35E6686D"/>
    <w:rsid w:val="35E7527E"/>
    <w:rsid w:val="35E75790"/>
    <w:rsid w:val="35E825E5"/>
    <w:rsid w:val="35E86141"/>
    <w:rsid w:val="35E8670E"/>
    <w:rsid w:val="35E87EEF"/>
    <w:rsid w:val="35E9112E"/>
    <w:rsid w:val="35E93C67"/>
    <w:rsid w:val="35E94AF3"/>
    <w:rsid w:val="35EA121E"/>
    <w:rsid w:val="35EA1EB9"/>
    <w:rsid w:val="35EA2BEA"/>
    <w:rsid w:val="35EB3E83"/>
    <w:rsid w:val="35EB508F"/>
    <w:rsid w:val="35EB5C31"/>
    <w:rsid w:val="35EB79DF"/>
    <w:rsid w:val="35EB7B5A"/>
    <w:rsid w:val="35EC0748"/>
    <w:rsid w:val="35ED0C03"/>
    <w:rsid w:val="35ED19A9"/>
    <w:rsid w:val="35ED3757"/>
    <w:rsid w:val="35ED3C8B"/>
    <w:rsid w:val="35ED4F29"/>
    <w:rsid w:val="35EE58B4"/>
    <w:rsid w:val="35EE5AAE"/>
    <w:rsid w:val="35EF127D"/>
    <w:rsid w:val="35EF168E"/>
    <w:rsid w:val="35EF3C25"/>
    <w:rsid w:val="35EF48DA"/>
    <w:rsid w:val="35EF5040"/>
    <w:rsid w:val="35EF56A7"/>
    <w:rsid w:val="35EF5721"/>
    <w:rsid w:val="35F04FF6"/>
    <w:rsid w:val="35F05BDE"/>
    <w:rsid w:val="35F1097A"/>
    <w:rsid w:val="35F139FD"/>
    <w:rsid w:val="35F26FC0"/>
    <w:rsid w:val="35F31D2D"/>
    <w:rsid w:val="35F336E7"/>
    <w:rsid w:val="35F42D38"/>
    <w:rsid w:val="35F46C99"/>
    <w:rsid w:val="35F5085E"/>
    <w:rsid w:val="35F5260C"/>
    <w:rsid w:val="35F5305F"/>
    <w:rsid w:val="35F66AB0"/>
    <w:rsid w:val="35F7368F"/>
    <w:rsid w:val="35F76384"/>
    <w:rsid w:val="35F80DD4"/>
    <w:rsid w:val="35F83386"/>
    <w:rsid w:val="35F841E4"/>
    <w:rsid w:val="35F920FC"/>
    <w:rsid w:val="35F93D60"/>
    <w:rsid w:val="35F965A0"/>
    <w:rsid w:val="35FA0B23"/>
    <w:rsid w:val="35FA4AC4"/>
    <w:rsid w:val="35FA5E74"/>
    <w:rsid w:val="35FB1837"/>
    <w:rsid w:val="35FB2318"/>
    <w:rsid w:val="35FB40C6"/>
    <w:rsid w:val="35FC7E3E"/>
    <w:rsid w:val="35FE2075"/>
    <w:rsid w:val="35FE3505"/>
    <w:rsid w:val="35FE5964"/>
    <w:rsid w:val="35FE7719"/>
    <w:rsid w:val="35FF60D6"/>
    <w:rsid w:val="36012235"/>
    <w:rsid w:val="36015455"/>
    <w:rsid w:val="36022ACC"/>
    <w:rsid w:val="36027D14"/>
    <w:rsid w:val="36033316"/>
    <w:rsid w:val="36037335"/>
    <w:rsid w:val="36050AA1"/>
    <w:rsid w:val="360611A8"/>
    <w:rsid w:val="36064819"/>
    <w:rsid w:val="36065151"/>
    <w:rsid w:val="36070CBD"/>
    <w:rsid w:val="36074A7F"/>
    <w:rsid w:val="36075A64"/>
    <w:rsid w:val="3607612F"/>
    <w:rsid w:val="3608663F"/>
    <w:rsid w:val="36086E75"/>
    <w:rsid w:val="360923DB"/>
    <w:rsid w:val="360946F7"/>
    <w:rsid w:val="360A255B"/>
    <w:rsid w:val="360A26CD"/>
    <w:rsid w:val="360A35C3"/>
    <w:rsid w:val="360A4309"/>
    <w:rsid w:val="360A65CB"/>
    <w:rsid w:val="360B10C8"/>
    <w:rsid w:val="360B1E2F"/>
    <w:rsid w:val="360B2B82"/>
    <w:rsid w:val="360C5B09"/>
    <w:rsid w:val="360C62D3"/>
    <w:rsid w:val="360D204B"/>
    <w:rsid w:val="360D3E42"/>
    <w:rsid w:val="360D5BA8"/>
    <w:rsid w:val="360E263D"/>
    <w:rsid w:val="360F36CE"/>
    <w:rsid w:val="360F778D"/>
    <w:rsid w:val="360F7B72"/>
    <w:rsid w:val="360F7FE0"/>
    <w:rsid w:val="36107446"/>
    <w:rsid w:val="361138EA"/>
    <w:rsid w:val="36116DAA"/>
    <w:rsid w:val="36120106"/>
    <w:rsid w:val="361202A3"/>
    <w:rsid w:val="36121410"/>
    <w:rsid w:val="36122DA8"/>
    <w:rsid w:val="3612580E"/>
    <w:rsid w:val="36136DC1"/>
    <w:rsid w:val="36140CE4"/>
    <w:rsid w:val="3614429B"/>
    <w:rsid w:val="36150687"/>
    <w:rsid w:val="36154A5C"/>
    <w:rsid w:val="36156BBB"/>
    <w:rsid w:val="36162CAE"/>
    <w:rsid w:val="361707D4"/>
    <w:rsid w:val="36173CD0"/>
    <w:rsid w:val="36176A26"/>
    <w:rsid w:val="3619454C"/>
    <w:rsid w:val="3619535F"/>
    <w:rsid w:val="361A2073"/>
    <w:rsid w:val="361A650F"/>
    <w:rsid w:val="361A66B0"/>
    <w:rsid w:val="361B3EDC"/>
    <w:rsid w:val="361C228F"/>
    <w:rsid w:val="361D5E32"/>
    <w:rsid w:val="361D76BB"/>
    <w:rsid w:val="361E2AEF"/>
    <w:rsid w:val="361E6007"/>
    <w:rsid w:val="361F713D"/>
    <w:rsid w:val="361F7F47"/>
    <w:rsid w:val="36201D7F"/>
    <w:rsid w:val="36203B2D"/>
    <w:rsid w:val="3620540F"/>
    <w:rsid w:val="362178A5"/>
    <w:rsid w:val="362243D4"/>
    <w:rsid w:val="36227D2F"/>
    <w:rsid w:val="3623361D"/>
    <w:rsid w:val="36237179"/>
    <w:rsid w:val="36243D90"/>
    <w:rsid w:val="36252EF1"/>
    <w:rsid w:val="36266AC6"/>
    <w:rsid w:val="36270733"/>
    <w:rsid w:val="3627098D"/>
    <w:rsid w:val="3627310D"/>
    <w:rsid w:val="36274EBB"/>
    <w:rsid w:val="362829E1"/>
    <w:rsid w:val="36287B3C"/>
    <w:rsid w:val="362A0508"/>
    <w:rsid w:val="362A675A"/>
    <w:rsid w:val="362C0900"/>
    <w:rsid w:val="362C18D5"/>
    <w:rsid w:val="362C4FEE"/>
    <w:rsid w:val="362D624A"/>
    <w:rsid w:val="362E4455"/>
    <w:rsid w:val="362F3D70"/>
    <w:rsid w:val="36301896"/>
    <w:rsid w:val="36310655"/>
    <w:rsid w:val="36317D4A"/>
    <w:rsid w:val="36323860"/>
    <w:rsid w:val="36324949"/>
    <w:rsid w:val="363250B2"/>
    <w:rsid w:val="36335E29"/>
    <w:rsid w:val="36341386"/>
    <w:rsid w:val="36342144"/>
    <w:rsid w:val="363444E1"/>
    <w:rsid w:val="363475D8"/>
    <w:rsid w:val="36370E76"/>
    <w:rsid w:val="36371DF8"/>
    <w:rsid w:val="3637256A"/>
    <w:rsid w:val="36376D1A"/>
    <w:rsid w:val="363804C7"/>
    <w:rsid w:val="363828C4"/>
    <w:rsid w:val="363870C8"/>
    <w:rsid w:val="36387814"/>
    <w:rsid w:val="3639699D"/>
    <w:rsid w:val="363A5F94"/>
    <w:rsid w:val="363B2017"/>
    <w:rsid w:val="363B3ED4"/>
    <w:rsid w:val="363B44C3"/>
    <w:rsid w:val="363C023B"/>
    <w:rsid w:val="363C2E4C"/>
    <w:rsid w:val="363C648D"/>
    <w:rsid w:val="363D4217"/>
    <w:rsid w:val="363D5FAB"/>
    <w:rsid w:val="363E3FB3"/>
    <w:rsid w:val="363E7508"/>
    <w:rsid w:val="363F1E28"/>
    <w:rsid w:val="3640043F"/>
    <w:rsid w:val="36401C22"/>
    <w:rsid w:val="36414748"/>
    <w:rsid w:val="36415851"/>
    <w:rsid w:val="36431B73"/>
    <w:rsid w:val="36432BB5"/>
    <w:rsid w:val="36435A6D"/>
    <w:rsid w:val="3643781B"/>
    <w:rsid w:val="364610BA"/>
    <w:rsid w:val="364660D9"/>
    <w:rsid w:val="36483084"/>
    <w:rsid w:val="364857EE"/>
    <w:rsid w:val="364B01AC"/>
    <w:rsid w:val="364B035D"/>
    <w:rsid w:val="364B03CB"/>
    <w:rsid w:val="364C2B74"/>
    <w:rsid w:val="364C2F9C"/>
    <w:rsid w:val="364C4922"/>
    <w:rsid w:val="364D41F6"/>
    <w:rsid w:val="364D442C"/>
    <w:rsid w:val="364E4316"/>
    <w:rsid w:val="364E7A54"/>
    <w:rsid w:val="364F7A1D"/>
    <w:rsid w:val="364F7F6E"/>
    <w:rsid w:val="36506A27"/>
    <w:rsid w:val="3651018A"/>
    <w:rsid w:val="365173F3"/>
    <w:rsid w:val="36521CB0"/>
    <w:rsid w:val="36522948"/>
    <w:rsid w:val="36527A5E"/>
    <w:rsid w:val="3653029E"/>
    <w:rsid w:val="36536868"/>
    <w:rsid w:val="365442FF"/>
    <w:rsid w:val="3655540E"/>
    <w:rsid w:val="365612FD"/>
    <w:rsid w:val="365657A0"/>
    <w:rsid w:val="3656754F"/>
    <w:rsid w:val="36575075"/>
    <w:rsid w:val="36584922"/>
    <w:rsid w:val="36590DED"/>
    <w:rsid w:val="36592B9B"/>
    <w:rsid w:val="36595432"/>
    <w:rsid w:val="365A0A03"/>
    <w:rsid w:val="365B2DA6"/>
    <w:rsid w:val="365B4B65"/>
    <w:rsid w:val="365B4DB3"/>
    <w:rsid w:val="365B6913"/>
    <w:rsid w:val="365B6DC8"/>
    <w:rsid w:val="365C268B"/>
    <w:rsid w:val="365D1763"/>
    <w:rsid w:val="365D5F63"/>
    <w:rsid w:val="365E28A7"/>
    <w:rsid w:val="365E4655"/>
    <w:rsid w:val="365E6403"/>
    <w:rsid w:val="366003CD"/>
    <w:rsid w:val="36604B7C"/>
    <w:rsid w:val="3661056E"/>
    <w:rsid w:val="36610C19"/>
    <w:rsid w:val="36611223"/>
    <w:rsid w:val="36611AB0"/>
    <w:rsid w:val="36613A9D"/>
    <w:rsid w:val="366213DA"/>
    <w:rsid w:val="36624145"/>
    <w:rsid w:val="36625B87"/>
    <w:rsid w:val="36625EF3"/>
    <w:rsid w:val="366267EE"/>
    <w:rsid w:val="366302C2"/>
    <w:rsid w:val="36631C6B"/>
    <w:rsid w:val="36637EBD"/>
    <w:rsid w:val="36641223"/>
    <w:rsid w:val="366426B3"/>
    <w:rsid w:val="36644ED3"/>
    <w:rsid w:val="36644F27"/>
    <w:rsid w:val="36652BD0"/>
    <w:rsid w:val="36653B43"/>
    <w:rsid w:val="366559E4"/>
    <w:rsid w:val="366652B8"/>
    <w:rsid w:val="3667350A"/>
    <w:rsid w:val="36676C40"/>
    <w:rsid w:val="36677BA4"/>
    <w:rsid w:val="36681030"/>
    <w:rsid w:val="36694DCF"/>
    <w:rsid w:val="366966A1"/>
    <w:rsid w:val="366A124C"/>
    <w:rsid w:val="366B69C6"/>
    <w:rsid w:val="366B79B5"/>
    <w:rsid w:val="366C0B20"/>
    <w:rsid w:val="366C2586"/>
    <w:rsid w:val="366C4FC4"/>
    <w:rsid w:val="366C6D72"/>
    <w:rsid w:val="366D28DC"/>
    <w:rsid w:val="366D4898"/>
    <w:rsid w:val="366E14A3"/>
    <w:rsid w:val="366F0610"/>
    <w:rsid w:val="366F6862"/>
    <w:rsid w:val="3670451D"/>
    <w:rsid w:val="36713827"/>
    <w:rsid w:val="36714707"/>
    <w:rsid w:val="367217D1"/>
    <w:rsid w:val="36721EAF"/>
    <w:rsid w:val="367223C9"/>
    <w:rsid w:val="36723C5D"/>
    <w:rsid w:val="36730100"/>
    <w:rsid w:val="367421A8"/>
    <w:rsid w:val="367479D5"/>
    <w:rsid w:val="36750A67"/>
    <w:rsid w:val="36754F9C"/>
    <w:rsid w:val="3676199F"/>
    <w:rsid w:val="36763CE6"/>
    <w:rsid w:val="36771D9B"/>
    <w:rsid w:val="367774C5"/>
    <w:rsid w:val="36777880"/>
    <w:rsid w:val="36783C59"/>
    <w:rsid w:val="36785717"/>
    <w:rsid w:val="36787E09"/>
    <w:rsid w:val="36794FEB"/>
    <w:rsid w:val="367B0D63"/>
    <w:rsid w:val="367B5207"/>
    <w:rsid w:val="367D2BE9"/>
    <w:rsid w:val="367D2D2D"/>
    <w:rsid w:val="367E0853"/>
    <w:rsid w:val="367E1081"/>
    <w:rsid w:val="367E25EB"/>
    <w:rsid w:val="367E6AA5"/>
    <w:rsid w:val="367F5432"/>
    <w:rsid w:val="367F6AB9"/>
    <w:rsid w:val="3680281D"/>
    <w:rsid w:val="368220F2"/>
    <w:rsid w:val="3683080D"/>
    <w:rsid w:val="368364FC"/>
    <w:rsid w:val="36842149"/>
    <w:rsid w:val="3684230E"/>
    <w:rsid w:val="36843AEE"/>
    <w:rsid w:val="368459B7"/>
    <w:rsid w:val="36850295"/>
    <w:rsid w:val="3685055C"/>
    <w:rsid w:val="368519EA"/>
    <w:rsid w:val="36853990"/>
    <w:rsid w:val="368645BD"/>
    <w:rsid w:val="36873441"/>
    <w:rsid w:val="3687595A"/>
    <w:rsid w:val="36877708"/>
    <w:rsid w:val="36877A44"/>
    <w:rsid w:val="368826A7"/>
    <w:rsid w:val="36883480"/>
    <w:rsid w:val="36883557"/>
    <w:rsid w:val="36897924"/>
    <w:rsid w:val="368A0233"/>
    <w:rsid w:val="368A2F3E"/>
    <w:rsid w:val="368A544A"/>
    <w:rsid w:val="368A5B0F"/>
    <w:rsid w:val="368A71F8"/>
    <w:rsid w:val="368B1149"/>
    <w:rsid w:val="368C11C2"/>
    <w:rsid w:val="368C2F70"/>
    <w:rsid w:val="368C4D1E"/>
    <w:rsid w:val="368D6CE8"/>
    <w:rsid w:val="368E7538"/>
    <w:rsid w:val="368F073C"/>
    <w:rsid w:val="368F2A60"/>
    <w:rsid w:val="368F480F"/>
    <w:rsid w:val="368F6DB0"/>
    <w:rsid w:val="36900C53"/>
    <w:rsid w:val="36910587"/>
    <w:rsid w:val="369116D0"/>
    <w:rsid w:val="369167D9"/>
    <w:rsid w:val="3692250F"/>
    <w:rsid w:val="36923549"/>
    <w:rsid w:val="369242A1"/>
    <w:rsid w:val="369260AD"/>
    <w:rsid w:val="36926A3D"/>
    <w:rsid w:val="369330FD"/>
    <w:rsid w:val="369342FF"/>
    <w:rsid w:val="36937D2C"/>
    <w:rsid w:val="36940077"/>
    <w:rsid w:val="36941E25"/>
    <w:rsid w:val="369462C9"/>
    <w:rsid w:val="36962041"/>
    <w:rsid w:val="369736C3"/>
    <w:rsid w:val="36985DB9"/>
    <w:rsid w:val="36987B67"/>
    <w:rsid w:val="36991E67"/>
    <w:rsid w:val="3699568D"/>
    <w:rsid w:val="3699743B"/>
    <w:rsid w:val="369A06DF"/>
    <w:rsid w:val="369A782E"/>
    <w:rsid w:val="369B3199"/>
    <w:rsid w:val="369B553D"/>
    <w:rsid w:val="369C13BD"/>
    <w:rsid w:val="369C736E"/>
    <w:rsid w:val="369D33CF"/>
    <w:rsid w:val="369D517D"/>
    <w:rsid w:val="369D6F2B"/>
    <w:rsid w:val="369F3CD4"/>
    <w:rsid w:val="369F597F"/>
    <w:rsid w:val="36A027ED"/>
    <w:rsid w:val="36A05E85"/>
    <w:rsid w:val="36A06A1C"/>
    <w:rsid w:val="36A07D35"/>
    <w:rsid w:val="36A15ECD"/>
    <w:rsid w:val="36A1760F"/>
    <w:rsid w:val="36A209E6"/>
    <w:rsid w:val="36A20B88"/>
    <w:rsid w:val="36A22794"/>
    <w:rsid w:val="36A231C8"/>
    <w:rsid w:val="36A24542"/>
    <w:rsid w:val="36A302BA"/>
    <w:rsid w:val="36A31726"/>
    <w:rsid w:val="36A4475E"/>
    <w:rsid w:val="36A44F75"/>
    <w:rsid w:val="36A4654C"/>
    <w:rsid w:val="36A50FB2"/>
    <w:rsid w:val="36A54032"/>
    <w:rsid w:val="36A55DE0"/>
    <w:rsid w:val="36A644F1"/>
    <w:rsid w:val="36A66991"/>
    <w:rsid w:val="36A71B58"/>
    <w:rsid w:val="36A91D74"/>
    <w:rsid w:val="36AA6D39"/>
    <w:rsid w:val="36AA789A"/>
    <w:rsid w:val="36AB4BC9"/>
    <w:rsid w:val="36AC33DB"/>
    <w:rsid w:val="36AC3612"/>
    <w:rsid w:val="36AC53C0"/>
    <w:rsid w:val="36AE0BF8"/>
    <w:rsid w:val="36AF4EB1"/>
    <w:rsid w:val="36B10C29"/>
    <w:rsid w:val="36B129D7"/>
    <w:rsid w:val="36B14785"/>
    <w:rsid w:val="36B15F16"/>
    <w:rsid w:val="36B23ECE"/>
    <w:rsid w:val="36B327DD"/>
    <w:rsid w:val="36B32FEE"/>
    <w:rsid w:val="36B333CD"/>
    <w:rsid w:val="36B33F16"/>
    <w:rsid w:val="36B424C7"/>
    <w:rsid w:val="36B44275"/>
    <w:rsid w:val="36B65E9E"/>
    <w:rsid w:val="36B6623F"/>
    <w:rsid w:val="36B67FED"/>
    <w:rsid w:val="36B757B8"/>
    <w:rsid w:val="36B75FBF"/>
    <w:rsid w:val="36B81FB7"/>
    <w:rsid w:val="36B83D65"/>
    <w:rsid w:val="36B85B13"/>
    <w:rsid w:val="36B9188B"/>
    <w:rsid w:val="36B929EA"/>
    <w:rsid w:val="36B97ADD"/>
    <w:rsid w:val="36BA3E84"/>
    <w:rsid w:val="36BA5987"/>
    <w:rsid w:val="36BA5D2F"/>
    <w:rsid w:val="36BB7C74"/>
    <w:rsid w:val="36BC52CD"/>
    <w:rsid w:val="36BD0C45"/>
    <w:rsid w:val="36BD312A"/>
    <w:rsid w:val="36BD4910"/>
    <w:rsid w:val="36BD4AD5"/>
    <w:rsid w:val="36BE06ED"/>
    <w:rsid w:val="36BE2195"/>
    <w:rsid w:val="36BE50F4"/>
    <w:rsid w:val="36BE54AF"/>
    <w:rsid w:val="36BF3346"/>
    <w:rsid w:val="36C02C1A"/>
    <w:rsid w:val="36C05BDE"/>
    <w:rsid w:val="36C07DED"/>
    <w:rsid w:val="36C15015"/>
    <w:rsid w:val="36C22E36"/>
    <w:rsid w:val="36C24BE4"/>
    <w:rsid w:val="36C26B81"/>
    <w:rsid w:val="36C33C71"/>
    <w:rsid w:val="36C344B8"/>
    <w:rsid w:val="36C4095C"/>
    <w:rsid w:val="36C505FA"/>
    <w:rsid w:val="36C52DB1"/>
    <w:rsid w:val="36C56482"/>
    <w:rsid w:val="36C62E1B"/>
    <w:rsid w:val="36C721FA"/>
    <w:rsid w:val="36C728DA"/>
    <w:rsid w:val="36C77B9B"/>
    <w:rsid w:val="36C80A6B"/>
    <w:rsid w:val="36C80DD6"/>
    <w:rsid w:val="36C91A43"/>
    <w:rsid w:val="36CA1445"/>
    <w:rsid w:val="36CA3A99"/>
    <w:rsid w:val="36CA5204"/>
    <w:rsid w:val="36CA5847"/>
    <w:rsid w:val="36CB6E86"/>
    <w:rsid w:val="36CC1341"/>
    <w:rsid w:val="36CC58C2"/>
    <w:rsid w:val="36CD4BA4"/>
    <w:rsid w:val="36CE17DB"/>
    <w:rsid w:val="36CE5CD3"/>
    <w:rsid w:val="36CF10AF"/>
    <w:rsid w:val="36CF4243"/>
    <w:rsid w:val="36D04845"/>
    <w:rsid w:val="36D056D3"/>
    <w:rsid w:val="36D06DE0"/>
    <w:rsid w:val="36D130B5"/>
    <w:rsid w:val="36D14E27"/>
    <w:rsid w:val="36D17522"/>
    <w:rsid w:val="36D230CA"/>
    <w:rsid w:val="36D267F3"/>
    <w:rsid w:val="36D31483"/>
    <w:rsid w:val="36D3462E"/>
    <w:rsid w:val="36D34EAB"/>
    <w:rsid w:val="36D36DF1"/>
    <w:rsid w:val="36D415B9"/>
    <w:rsid w:val="36D5033D"/>
    <w:rsid w:val="36D52B69"/>
    <w:rsid w:val="36D6243D"/>
    <w:rsid w:val="36D72B72"/>
    <w:rsid w:val="36D822E6"/>
    <w:rsid w:val="36D82651"/>
    <w:rsid w:val="36D861B6"/>
    <w:rsid w:val="36D87F64"/>
    <w:rsid w:val="36D913FC"/>
    <w:rsid w:val="36D93CDC"/>
    <w:rsid w:val="36DA0180"/>
    <w:rsid w:val="36DA1F2E"/>
    <w:rsid w:val="36DA3AA7"/>
    <w:rsid w:val="36DB0AF8"/>
    <w:rsid w:val="36DB5B91"/>
    <w:rsid w:val="36DB7A54"/>
    <w:rsid w:val="36DC1667"/>
    <w:rsid w:val="36DC3407"/>
    <w:rsid w:val="36DC7DD0"/>
    <w:rsid w:val="36DD1A1E"/>
    <w:rsid w:val="36DD2951"/>
    <w:rsid w:val="36DD37CC"/>
    <w:rsid w:val="36DD557A"/>
    <w:rsid w:val="36DD6208"/>
    <w:rsid w:val="36DE7455"/>
    <w:rsid w:val="36DF3D38"/>
    <w:rsid w:val="36E032BC"/>
    <w:rsid w:val="36E0506A"/>
    <w:rsid w:val="36E1348E"/>
    <w:rsid w:val="36E3211C"/>
    <w:rsid w:val="36E326B9"/>
    <w:rsid w:val="36E34B7D"/>
    <w:rsid w:val="36E36908"/>
    <w:rsid w:val="36E44B5A"/>
    <w:rsid w:val="36E47B9D"/>
    <w:rsid w:val="36E508D2"/>
    <w:rsid w:val="36E559F7"/>
    <w:rsid w:val="36E56B24"/>
    <w:rsid w:val="36E7289C"/>
    <w:rsid w:val="36E7464B"/>
    <w:rsid w:val="36E763F9"/>
    <w:rsid w:val="36E83F1F"/>
    <w:rsid w:val="36E9666F"/>
    <w:rsid w:val="36E96AA7"/>
    <w:rsid w:val="36EA58C4"/>
    <w:rsid w:val="36EA5A89"/>
    <w:rsid w:val="36EA5EE9"/>
    <w:rsid w:val="36EA6416"/>
    <w:rsid w:val="36EB29C2"/>
    <w:rsid w:val="36EB413B"/>
    <w:rsid w:val="36EB746F"/>
    <w:rsid w:val="36EC1C61"/>
    <w:rsid w:val="36EC7EB3"/>
    <w:rsid w:val="36EE057B"/>
    <w:rsid w:val="36EE3C2B"/>
    <w:rsid w:val="36EE4E32"/>
    <w:rsid w:val="36EE7787"/>
    <w:rsid w:val="36EF0C5C"/>
    <w:rsid w:val="36EF34FF"/>
    <w:rsid w:val="36EF7BA0"/>
    <w:rsid w:val="36F079A3"/>
    <w:rsid w:val="36F10C48"/>
    <w:rsid w:val="36F143CA"/>
    <w:rsid w:val="36F148E9"/>
    <w:rsid w:val="36F154C9"/>
    <w:rsid w:val="36F2131A"/>
    <w:rsid w:val="36F22C5B"/>
    <w:rsid w:val="36F24934"/>
    <w:rsid w:val="36F30A6D"/>
    <w:rsid w:val="36F30FAF"/>
    <w:rsid w:val="36F31241"/>
    <w:rsid w:val="36F32FEF"/>
    <w:rsid w:val="36F34B22"/>
    <w:rsid w:val="36F421C0"/>
    <w:rsid w:val="36F44ACE"/>
    <w:rsid w:val="36F4760B"/>
    <w:rsid w:val="36F477C1"/>
    <w:rsid w:val="36F47B2C"/>
    <w:rsid w:val="36F47E97"/>
    <w:rsid w:val="36F56A14"/>
    <w:rsid w:val="36F56D67"/>
    <w:rsid w:val="36F60541"/>
    <w:rsid w:val="36F61830"/>
    <w:rsid w:val="36F62FE1"/>
    <w:rsid w:val="36F6488E"/>
    <w:rsid w:val="36F80606"/>
    <w:rsid w:val="36F86858"/>
    <w:rsid w:val="36FA0940"/>
    <w:rsid w:val="36FA7DA2"/>
    <w:rsid w:val="36FB128F"/>
    <w:rsid w:val="36FB4AFA"/>
    <w:rsid w:val="36FB77C2"/>
    <w:rsid w:val="36FC112D"/>
    <w:rsid w:val="36FC2AF0"/>
    <w:rsid w:val="36FD1B1F"/>
    <w:rsid w:val="36FD7AF4"/>
    <w:rsid w:val="36FE4069"/>
    <w:rsid w:val="36FE626B"/>
    <w:rsid w:val="36FF2D71"/>
    <w:rsid w:val="37006FAD"/>
    <w:rsid w:val="37010466"/>
    <w:rsid w:val="370137E2"/>
    <w:rsid w:val="3701395E"/>
    <w:rsid w:val="37021484"/>
    <w:rsid w:val="370270D2"/>
    <w:rsid w:val="370276D6"/>
    <w:rsid w:val="37034F28"/>
    <w:rsid w:val="3703669F"/>
    <w:rsid w:val="37042369"/>
    <w:rsid w:val="37060CFD"/>
    <w:rsid w:val="37060F75"/>
    <w:rsid w:val="37076A9B"/>
    <w:rsid w:val="370773CF"/>
    <w:rsid w:val="3709111D"/>
    <w:rsid w:val="370945C1"/>
    <w:rsid w:val="370962CB"/>
    <w:rsid w:val="370A4123"/>
    <w:rsid w:val="370B658B"/>
    <w:rsid w:val="370B6EF9"/>
    <w:rsid w:val="370C2303"/>
    <w:rsid w:val="370C5E5F"/>
    <w:rsid w:val="370D5A59"/>
    <w:rsid w:val="370E5675"/>
    <w:rsid w:val="370F0532"/>
    <w:rsid w:val="370F0D2E"/>
    <w:rsid w:val="37101C6F"/>
    <w:rsid w:val="371056DD"/>
    <w:rsid w:val="3710594F"/>
    <w:rsid w:val="371069DA"/>
    <w:rsid w:val="371116C7"/>
    <w:rsid w:val="37113BF2"/>
    <w:rsid w:val="3711425A"/>
    <w:rsid w:val="37117919"/>
    <w:rsid w:val="37123AB5"/>
    <w:rsid w:val="37124C3E"/>
    <w:rsid w:val="37127ADF"/>
    <w:rsid w:val="37132051"/>
    <w:rsid w:val="37132C7D"/>
    <w:rsid w:val="3714171B"/>
    <w:rsid w:val="37152849"/>
    <w:rsid w:val="371747F0"/>
    <w:rsid w:val="37180CA8"/>
    <w:rsid w:val="3718179D"/>
    <w:rsid w:val="37184804"/>
    <w:rsid w:val="37194687"/>
    <w:rsid w:val="37195900"/>
    <w:rsid w:val="37196BA5"/>
    <w:rsid w:val="371A2534"/>
    <w:rsid w:val="371A6DBB"/>
    <w:rsid w:val="371B2546"/>
    <w:rsid w:val="371B42F4"/>
    <w:rsid w:val="371B473D"/>
    <w:rsid w:val="371C2EB7"/>
    <w:rsid w:val="371D3054"/>
    <w:rsid w:val="371D3CDA"/>
    <w:rsid w:val="371D5D20"/>
    <w:rsid w:val="371E7D05"/>
    <w:rsid w:val="371F5B92"/>
    <w:rsid w:val="371F65FA"/>
    <w:rsid w:val="371F79AB"/>
    <w:rsid w:val="3720190B"/>
    <w:rsid w:val="372066CC"/>
    <w:rsid w:val="3721397C"/>
    <w:rsid w:val="37232E83"/>
    <w:rsid w:val="372413FB"/>
    <w:rsid w:val="372431A9"/>
    <w:rsid w:val="3724789B"/>
    <w:rsid w:val="372528C9"/>
    <w:rsid w:val="37265173"/>
    <w:rsid w:val="37270EEB"/>
    <w:rsid w:val="37287957"/>
    <w:rsid w:val="37294C63"/>
    <w:rsid w:val="37295573"/>
    <w:rsid w:val="37296A11"/>
    <w:rsid w:val="372A4DA4"/>
    <w:rsid w:val="372B09DB"/>
    <w:rsid w:val="372B4077"/>
    <w:rsid w:val="372B732F"/>
    <w:rsid w:val="372C1969"/>
    <w:rsid w:val="372C6A15"/>
    <w:rsid w:val="372C6F3C"/>
    <w:rsid w:val="372D232C"/>
    <w:rsid w:val="372D7141"/>
    <w:rsid w:val="372E04CB"/>
    <w:rsid w:val="372E0F80"/>
    <w:rsid w:val="372E2279"/>
    <w:rsid w:val="372F7072"/>
    <w:rsid w:val="37307DA0"/>
    <w:rsid w:val="37310A0F"/>
    <w:rsid w:val="37311A62"/>
    <w:rsid w:val="37312B57"/>
    <w:rsid w:val="373158C6"/>
    <w:rsid w:val="37321D6A"/>
    <w:rsid w:val="37335448"/>
    <w:rsid w:val="37336F3B"/>
    <w:rsid w:val="37337890"/>
    <w:rsid w:val="3734577D"/>
    <w:rsid w:val="37351626"/>
    <w:rsid w:val="373553B6"/>
    <w:rsid w:val="37356E6D"/>
    <w:rsid w:val="37357164"/>
    <w:rsid w:val="373579E2"/>
    <w:rsid w:val="3736112E"/>
    <w:rsid w:val="37366A90"/>
    <w:rsid w:val="37377380"/>
    <w:rsid w:val="373830F8"/>
    <w:rsid w:val="373A0C1E"/>
    <w:rsid w:val="373A7C24"/>
    <w:rsid w:val="373B04F2"/>
    <w:rsid w:val="373B6FD4"/>
    <w:rsid w:val="373C1E2F"/>
    <w:rsid w:val="373C2187"/>
    <w:rsid w:val="373C6168"/>
    <w:rsid w:val="373D1B17"/>
    <w:rsid w:val="373D2DFA"/>
    <w:rsid w:val="373D426B"/>
    <w:rsid w:val="373D540C"/>
    <w:rsid w:val="373F3144"/>
    <w:rsid w:val="373F7FE3"/>
    <w:rsid w:val="374025F2"/>
    <w:rsid w:val="37403D5B"/>
    <w:rsid w:val="37411165"/>
    <w:rsid w:val="37411FAD"/>
    <w:rsid w:val="3741493B"/>
    <w:rsid w:val="37422E24"/>
    <w:rsid w:val="3744384B"/>
    <w:rsid w:val="3744712F"/>
    <w:rsid w:val="37450DA6"/>
    <w:rsid w:val="374534D2"/>
    <w:rsid w:val="37461371"/>
    <w:rsid w:val="37464376"/>
    <w:rsid w:val="374676A2"/>
    <w:rsid w:val="374775D7"/>
    <w:rsid w:val="37490126"/>
    <w:rsid w:val="374970B3"/>
    <w:rsid w:val="374A15B6"/>
    <w:rsid w:val="374A38CF"/>
    <w:rsid w:val="374A4272"/>
    <w:rsid w:val="374C2700"/>
    <w:rsid w:val="374D1678"/>
    <w:rsid w:val="374D6BA3"/>
    <w:rsid w:val="374E6478"/>
    <w:rsid w:val="374F11D0"/>
    <w:rsid w:val="374F3F31"/>
    <w:rsid w:val="37500442"/>
    <w:rsid w:val="375021F0"/>
    <w:rsid w:val="37527DC3"/>
    <w:rsid w:val="37531CE0"/>
    <w:rsid w:val="37533A8E"/>
    <w:rsid w:val="37537EE3"/>
    <w:rsid w:val="37541D4C"/>
    <w:rsid w:val="37555A58"/>
    <w:rsid w:val="3756129A"/>
    <w:rsid w:val="37585548"/>
    <w:rsid w:val="37591238"/>
    <w:rsid w:val="375A27EB"/>
    <w:rsid w:val="375A4E1C"/>
    <w:rsid w:val="375B71BD"/>
    <w:rsid w:val="375C0B95"/>
    <w:rsid w:val="375D0863"/>
    <w:rsid w:val="375D2B5F"/>
    <w:rsid w:val="375D4DFA"/>
    <w:rsid w:val="375E0EBB"/>
    <w:rsid w:val="375F0685"/>
    <w:rsid w:val="375F2433"/>
    <w:rsid w:val="375F3A8C"/>
    <w:rsid w:val="37607AED"/>
    <w:rsid w:val="37607F59"/>
    <w:rsid w:val="376143FD"/>
    <w:rsid w:val="376161AB"/>
    <w:rsid w:val="376236C8"/>
    <w:rsid w:val="37632D90"/>
    <w:rsid w:val="3763485E"/>
    <w:rsid w:val="37635933"/>
    <w:rsid w:val="376362A5"/>
    <w:rsid w:val="37637AEF"/>
    <w:rsid w:val="37643EED"/>
    <w:rsid w:val="37644D2D"/>
    <w:rsid w:val="3765289D"/>
    <w:rsid w:val="37652E67"/>
    <w:rsid w:val="376607D3"/>
    <w:rsid w:val="37660D8E"/>
    <w:rsid w:val="376637C1"/>
    <w:rsid w:val="376669AB"/>
    <w:rsid w:val="37671737"/>
    <w:rsid w:val="37677539"/>
    <w:rsid w:val="376815BB"/>
    <w:rsid w:val="376823DC"/>
    <w:rsid w:val="3768627F"/>
    <w:rsid w:val="376A14AC"/>
    <w:rsid w:val="376A3E82"/>
    <w:rsid w:val="376B4C00"/>
    <w:rsid w:val="376B527C"/>
    <w:rsid w:val="376B66BC"/>
    <w:rsid w:val="376C4B50"/>
    <w:rsid w:val="376C68FE"/>
    <w:rsid w:val="376D3072"/>
    <w:rsid w:val="376D507A"/>
    <w:rsid w:val="376D6718"/>
    <w:rsid w:val="376D78E0"/>
    <w:rsid w:val="376D7967"/>
    <w:rsid w:val="376E08C8"/>
    <w:rsid w:val="376E2676"/>
    <w:rsid w:val="376E357F"/>
    <w:rsid w:val="376E3BF6"/>
    <w:rsid w:val="376F6A14"/>
    <w:rsid w:val="37702892"/>
    <w:rsid w:val="37702EFF"/>
    <w:rsid w:val="37704640"/>
    <w:rsid w:val="37704A49"/>
    <w:rsid w:val="37706B2E"/>
    <w:rsid w:val="37712166"/>
    <w:rsid w:val="3772655E"/>
    <w:rsid w:val="37727DE9"/>
    <w:rsid w:val="37732382"/>
    <w:rsid w:val="37734130"/>
    <w:rsid w:val="37735EDE"/>
    <w:rsid w:val="37737C8C"/>
    <w:rsid w:val="3774707D"/>
    <w:rsid w:val="3774714C"/>
    <w:rsid w:val="37753A04"/>
    <w:rsid w:val="37765445"/>
    <w:rsid w:val="37767142"/>
    <w:rsid w:val="37773C20"/>
    <w:rsid w:val="37775226"/>
    <w:rsid w:val="377759CE"/>
    <w:rsid w:val="37781747"/>
    <w:rsid w:val="37782CD4"/>
    <w:rsid w:val="377834F5"/>
    <w:rsid w:val="37785D74"/>
    <w:rsid w:val="377A54BF"/>
    <w:rsid w:val="377B6F0C"/>
    <w:rsid w:val="377B7D18"/>
    <w:rsid w:val="377C08B6"/>
    <w:rsid w:val="377C2FE5"/>
    <w:rsid w:val="377C33B2"/>
    <w:rsid w:val="377C4D93"/>
    <w:rsid w:val="377D0B0B"/>
    <w:rsid w:val="377D1455"/>
    <w:rsid w:val="377D6D5D"/>
    <w:rsid w:val="377E4FAF"/>
    <w:rsid w:val="377F2AD5"/>
    <w:rsid w:val="37800E75"/>
    <w:rsid w:val="378105FB"/>
    <w:rsid w:val="37814FD0"/>
    <w:rsid w:val="37826121"/>
    <w:rsid w:val="378400EB"/>
    <w:rsid w:val="37852D90"/>
    <w:rsid w:val="378557A7"/>
    <w:rsid w:val="378620B5"/>
    <w:rsid w:val="37863E63"/>
    <w:rsid w:val="37865C12"/>
    <w:rsid w:val="3786627E"/>
    <w:rsid w:val="37866B0A"/>
    <w:rsid w:val="378679C0"/>
    <w:rsid w:val="378700C7"/>
    <w:rsid w:val="37873738"/>
    <w:rsid w:val="37884128"/>
    <w:rsid w:val="37892133"/>
    <w:rsid w:val="378923AB"/>
    <w:rsid w:val="378937D6"/>
    <w:rsid w:val="37895A46"/>
    <w:rsid w:val="378974B0"/>
    <w:rsid w:val="378B1619"/>
    <w:rsid w:val="378B3228"/>
    <w:rsid w:val="378B4886"/>
    <w:rsid w:val="378C2AA9"/>
    <w:rsid w:val="378D51F2"/>
    <w:rsid w:val="378E4AC6"/>
    <w:rsid w:val="379028BA"/>
    <w:rsid w:val="3791386B"/>
    <w:rsid w:val="37922808"/>
    <w:rsid w:val="379245B6"/>
    <w:rsid w:val="379257ED"/>
    <w:rsid w:val="3793032E"/>
    <w:rsid w:val="37932094"/>
    <w:rsid w:val="37936580"/>
    <w:rsid w:val="379419E1"/>
    <w:rsid w:val="37946DB0"/>
    <w:rsid w:val="379522F8"/>
    <w:rsid w:val="379540A7"/>
    <w:rsid w:val="3795529C"/>
    <w:rsid w:val="3795638C"/>
    <w:rsid w:val="3797278D"/>
    <w:rsid w:val="37976071"/>
    <w:rsid w:val="37977E1F"/>
    <w:rsid w:val="37983B97"/>
    <w:rsid w:val="37985945"/>
    <w:rsid w:val="379915BD"/>
    <w:rsid w:val="379A16BD"/>
    <w:rsid w:val="379A346B"/>
    <w:rsid w:val="379A790F"/>
    <w:rsid w:val="379B055B"/>
    <w:rsid w:val="379B73A3"/>
    <w:rsid w:val="379B7E94"/>
    <w:rsid w:val="379C5037"/>
    <w:rsid w:val="379C71E3"/>
    <w:rsid w:val="379D2F5B"/>
    <w:rsid w:val="379D57F0"/>
    <w:rsid w:val="379E3BB9"/>
    <w:rsid w:val="379F0A81"/>
    <w:rsid w:val="379F2B4A"/>
    <w:rsid w:val="379F4F25"/>
    <w:rsid w:val="379F77DE"/>
    <w:rsid w:val="37A01099"/>
    <w:rsid w:val="37A023AF"/>
    <w:rsid w:val="37A04D9E"/>
    <w:rsid w:val="37A05420"/>
    <w:rsid w:val="37A20571"/>
    <w:rsid w:val="37A212F8"/>
    <w:rsid w:val="37A23E2F"/>
    <w:rsid w:val="37A24350"/>
    <w:rsid w:val="37A24A9D"/>
    <w:rsid w:val="37A30775"/>
    <w:rsid w:val="37A34A15"/>
    <w:rsid w:val="37A37E89"/>
    <w:rsid w:val="37A4078E"/>
    <w:rsid w:val="37A4617E"/>
    <w:rsid w:val="37A54D91"/>
    <w:rsid w:val="37A56D79"/>
    <w:rsid w:val="37A60062"/>
    <w:rsid w:val="37A662B4"/>
    <w:rsid w:val="37A75B88"/>
    <w:rsid w:val="37A776B1"/>
    <w:rsid w:val="37A92245"/>
    <w:rsid w:val="37A95DA4"/>
    <w:rsid w:val="37AB1B1C"/>
    <w:rsid w:val="37AB38CA"/>
    <w:rsid w:val="37AC319E"/>
    <w:rsid w:val="37AC4F7B"/>
    <w:rsid w:val="37AD13F0"/>
    <w:rsid w:val="37AE4313"/>
    <w:rsid w:val="37AE5168"/>
    <w:rsid w:val="37AE6143"/>
    <w:rsid w:val="37AE6F16"/>
    <w:rsid w:val="37AF7495"/>
    <w:rsid w:val="37B00EE0"/>
    <w:rsid w:val="37B0756F"/>
    <w:rsid w:val="37B16B3D"/>
    <w:rsid w:val="37B26A07"/>
    <w:rsid w:val="37B409D1"/>
    <w:rsid w:val="37B44DFA"/>
    <w:rsid w:val="37B53242"/>
    <w:rsid w:val="37B54749"/>
    <w:rsid w:val="37B66AED"/>
    <w:rsid w:val="37B71EE9"/>
    <w:rsid w:val="37B7401D"/>
    <w:rsid w:val="37BA0DF6"/>
    <w:rsid w:val="37BA1D5F"/>
    <w:rsid w:val="37BA3880"/>
    <w:rsid w:val="37BA3B0D"/>
    <w:rsid w:val="37BA58BB"/>
    <w:rsid w:val="37BA5B27"/>
    <w:rsid w:val="37BB4FA2"/>
    <w:rsid w:val="37BC2654"/>
    <w:rsid w:val="37BC5AD7"/>
    <w:rsid w:val="37BC7885"/>
    <w:rsid w:val="37BD09EA"/>
    <w:rsid w:val="37BD38CC"/>
    <w:rsid w:val="37BE19E1"/>
    <w:rsid w:val="37BE6B2A"/>
    <w:rsid w:val="37BF0DEA"/>
    <w:rsid w:val="37BF1123"/>
    <w:rsid w:val="37BF7375"/>
    <w:rsid w:val="37C01999"/>
    <w:rsid w:val="37C075FB"/>
    <w:rsid w:val="37C11952"/>
    <w:rsid w:val="37C130EE"/>
    <w:rsid w:val="37C1407A"/>
    <w:rsid w:val="37C14E9C"/>
    <w:rsid w:val="37C16C4A"/>
    <w:rsid w:val="37C25749"/>
    <w:rsid w:val="37C269C3"/>
    <w:rsid w:val="37C30C14"/>
    <w:rsid w:val="37C36E66"/>
    <w:rsid w:val="37C404E8"/>
    <w:rsid w:val="37C406D5"/>
    <w:rsid w:val="37C447B8"/>
    <w:rsid w:val="37C4498C"/>
    <w:rsid w:val="37C4673A"/>
    <w:rsid w:val="37C52BDE"/>
    <w:rsid w:val="37C54DDA"/>
    <w:rsid w:val="37C563C7"/>
    <w:rsid w:val="37C63D34"/>
    <w:rsid w:val="37C65BB6"/>
    <w:rsid w:val="37C66DBA"/>
    <w:rsid w:val="37C7730C"/>
    <w:rsid w:val="37C8457A"/>
    <w:rsid w:val="37C8622A"/>
    <w:rsid w:val="37C869EA"/>
    <w:rsid w:val="37C87FD8"/>
    <w:rsid w:val="37CA01F4"/>
    <w:rsid w:val="37CA427B"/>
    <w:rsid w:val="37CA5B07"/>
    <w:rsid w:val="37CB7AC8"/>
    <w:rsid w:val="37CC7F3C"/>
    <w:rsid w:val="37CD285C"/>
    <w:rsid w:val="37CD55EE"/>
    <w:rsid w:val="37CE1367"/>
    <w:rsid w:val="37CE2664"/>
    <w:rsid w:val="37CE3CEC"/>
    <w:rsid w:val="37CF580A"/>
    <w:rsid w:val="37D01397"/>
    <w:rsid w:val="37D01583"/>
    <w:rsid w:val="37D03331"/>
    <w:rsid w:val="37D152E4"/>
    <w:rsid w:val="37D20E57"/>
    <w:rsid w:val="37D2283E"/>
    <w:rsid w:val="37D22C05"/>
    <w:rsid w:val="37D2394E"/>
    <w:rsid w:val="37D270A9"/>
    <w:rsid w:val="37D315C9"/>
    <w:rsid w:val="37D3697D"/>
    <w:rsid w:val="37D44BCF"/>
    <w:rsid w:val="37D44DFA"/>
    <w:rsid w:val="37D47B5E"/>
    <w:rsid w:val="37D5528D"/>
    <w:rsid w:val="37D55923"/>
    <w:rsid w:val="37D60D1C"/>
    <w:rsid w:val="37D63BBF"/>
    <w:rsid w:val="37D70A7F"/>
    <w:rsid w:val="37D72911"/>
    <w:rsid w:val="37D7511F"/>
    <w:rsid w:val="37D807AA"/>
    <w:rsid w:val="37D81C9B"/>
    <w:rsid w:val="37D90437"/>
    <w:rsid w:val="37D92540"/>
    <w:rsid w:val="37DA41AF"/>
    <w:rsid w:val="37DB1C71"/>
    <w:rsid w:val="37DB65A1"/>
    <w:rsid w:val="37DC227F"/>
    <w:rsid w:val="37DC3A83"/>
    <w:rsid w:val="37DD2351"/>
    <w:rsid w:val="37DE07AD"/>
    <w:rsid w:val="37DF13FC"/>
    <w:rsid w:val="37DF4C71"/>
    <w:rsid w:val="37E00298"/>
    <w:rsid w:val="37E003BA"/>
    <w:rsid w:val="37E106E9"/>
    <w:rsid w:val="37E1553E"/>
    <w:rsid w:val="37E17E26"/>
    <w:rsid w:val="37E22DB7"/>
    <w:rsid w:val="37E24032"/>
    <w:rsid w:val="37E24D33"/>
    <w:rsid w:val="37E274F0"/>
    <w:rsid w:val="37E360D2"/>
    <w:rsid w:val="37E42938"/>
    <w:rsid w:val="37E44A52"/>
    <w:rsid w:val="37E44EFE"/>
    <w:rsid w:val="37E50C5D"/>
    <w:rsid w:val="37E55F51"/>
    <w:rsid w:val="37E61F73"/>
    <w:rsid w:val="37E62B54"/>
    <w:rsid w:val="37E65AFD"/>
    <w:rsid w:val="37E666B0"/>
    <w:rsid w:val="37E7200A"/>
    <w:rsid w:val="37E80261"/>
    <w:rsid w:val="37E8067A"/>
    <w:rsid w:val="37E82428"/>
    <w:rsid w:val="37E961A0"/>
    <w:rsid w:val="37EA2644"/>
    <w:rsid w:val="37EB016A"/>
    <w:rsid w:val="37EB1F18"/>
    <w:rsid w:val="37EB3979"/>
    <w:rsid w:val="37EB3CC7"/>
    <w:rsid w:val="37EB4955"/>
    <w:rsid w:val="37EC2930"/>
    <w:rsid w:val="37ED55F8"/>
    <w:rsid w:val="37ED5C91"/>
    <w:rsid w:val="37EE11E1"/>
    <w:rsid w:val="37EE37B7"/>
    <w:rsid w:val="37F039D3"/>
    <w:rsid w:val="37F04A9C"/>
    <w:rsid w:val="37F05781"/>
    <w:rsid w:val="37F05BF6"/>
    <w:rsid w:val="37F12C1A"/>
    <w:rsid w:val="37F2281E"/>
    <w:rsid w:val="37F232A7"/>
    <w:rsid w:val="37F25055"/>
    <w:rsid w:val="37F34577"/>
    <w:rsid w:val="37F41099"/>
    <w:rsid w:val="37F45271"/>
    <w:rsid w:val="37F4701F"/>
    <w:rsid w:val="37F47148"/>
    <w:rsid w:val="37F512E0"/>
    <w:rsid w:val="37F52D97"/>
    <w:rsid w:val="37F54350"/>
    <w:rsid w:val="37F54B45"/>
    <w:rsid w:val="37F708BD"/>
    <w:rsid w:val="37F7266B"/>
    <w:rsid w:val="37F74FB3"/>
    <w:rsid w:val="37F76B0F"/>
    <w:rsid w:val="37F80C39"/>
    <w:rsid w:val="37F82F13"/>
    <w:rsid w:val="37F86DB7"/>
    <w:rsid w:val="37F91B2A"/>
    <w:rsid w:val="37F963E3"/>
    <w:rsid w:val="37FA1570"/>
    <w:rsid w:val="37FA215C"/>
    <w:rsid w:val="37FB060D"/>
    <w:rsid w:val="37FC5ED4"/>
    <w:rsid w:val="37FC67CD"/>
    <w:rsid w:val="37FD3B5B"/>
    <w:rsid w:val="37FD46E7"/>
    <w:rsid w:val="37FE7E9E"/>
    <w:rsid w:val="37FF257D"/>
    <w:rsid w:val="37FF425B"/>
    <w:rsid w:val="380021B7"/>
    <w:rsid w:val="38010C10"/>
    <w:rsid w:val="3801173C"/>
    <w:rsid w:val="380134EA"/>
    <w:rsid w:val="3801798E"/>
    <w:rsid w:val="380238D0"/>
    <w:rsid w:val="38037262"/>
    <w:rsid w:val="3805122C"/>
    <w:rsid w:val="38056671"/>
    <w:rsid w:val="38060B00"/>
    <w:rsid w:val="38061B1B"/>
    <w:rsid w:val="38064FA4"/>
    <w:rsid w:val="38080D1C"/>
    <w:rsid w:val="38082ACA"/>
    <w:rsid w:val="3809239F"/>
    <w:rsid w:val="380A1955"/>
    <w:rsid w:val="380A4A95"/>
    <w:rsid w:val="380A6498"/>
    <w:rsid w:val="380B25BB"/>
    <w:rsid w:val="380B3D15"/>
    <w:rsid w:val="380B4369"/>
    <w:rsid w:val="380B6117"/>
    <w:rsid w:val="380B6635"/>
    <w:rsid w:val="380C477C"/>
    <w:rsid w:val="381015BC"/>
    <w:rsid w:val="3810372D"/>
    <w:rsid w:val="38107BD1"/>
    <w:rsid w:val="38110DF3"/>
    <w:rsid w:val="38111241"/>
    <w:rsid w:val="38117DB1"/>
    <w:rsid w:val="38123949"/>
    <w:rsid w:val="38125917"/>
    <w:rsid w:val="3814146F"/>
    <w:rsid w:val="381422B8"/>
    <w:rsid w:val="3815207F"/>
    <w:rsid w:val="381551E7"/>
    <w:rsid w:val="38156481"/>
    <w:rsid w:val="38157BC2"/>
    <w:rsid w:val="38163439"/>
    <w:rsid w:val="38167642"/>
    <w:rsid w:val="38174ABC"/>
    <w:rsid w:val="38175EC6"/>
    <w:rsid w:val="38185412"/>
    <w:rsid w:val="38192BED"/>
    <w:rsid w:val="38194620"/>
    <w:rsid w:val="38194E02"/>
    <w:rsid w:val="38196A86"/>
    <w:rsid w:val="3819743E"/>
    <w:rsid w:val="381A7803"/>
    <w:rsid w:val="381A7D0E"/>
    <w:rsid w:val="381B0A50"/>
    <w:rsid w:val="381B595F"/>
    <w:rsid w:val="381B5E1E"/>
    <w:rsid w:val="381C0324"/>
    <w:rsid w:val="381C20D2"/>
    <w:rsid w:val="381C6576"/>
    <w:rsid w:val="381E409C"/>
    <w:rsid w:val="381E5657"/>
    <w:rsid w:val="381F1234"/>
    <w:rsid w:val="381F1BC2"/>
    <w:rsid w:val="381F2048"/>
    <w:rsid w:val="38206D35"/>
    <w:rsid w:val="38207E14"/>
    <w:rsid w:val="38214491"/>
    <w:rsid w:val="382221C6"/>
    <w:rsid w:val="382243B8"/>
    <w:rsid w:val="38233460"/>
    <w:rsid w:val="38237904"/>
    <w:rsid w:val="38241F66"/>
    <w:rsid w:val="382471D8"/>
    <w:rsid w:val="38271FD7"/>
    <w:rsid w:val="3828316D"/>
    <w:rsid w:val="38285413"/>
    <w:rsid w:val="382947EF"/>
    <w:rsid w:val="38295D87"/>
    <w:rsid w:val="382A0C93"/>
    <w:rsid w:val="382A2A41"/>
    <w:rsid w:val="382B3573"/>
    <w:rsid w:val="382C4A0B"/>
    <w:rsid w:val="382D3C16"/>
    <w:rsid w:val="382D42DF"/>
    <w:rsid w:val="382D5DC8"/>
    <w:rsid w:val="382D72D9"/>
    <w:rsid w:val="382E0769"/>
    <w:rsid w:val="382E422D"/>
    <w:rsid w:val="382F10B7"/>
    <w:rsid w:val="38301581"/>
    <w:rsid w:val="38303DCF"/>
    <w:rsid w:val="3830537E"/>
    <w:rsid w:val="383053EF"/>
    <w:rsid w:val="38337ED5"/>
    <w:rsid w:val="3834314F"/>
    <w:rsid w:val="38343179"/>
    <w:rsid w:val="383445DB"/>
    <w:rsid w:val="3834566E"/>
    <w:rsid w:val="383513E6"/>
    <w:rsid w:val="38351A5E"/>
    <w:rsid w:val="38356D2C"/>
    <w:rsid w:val="38361600"/>
    <w:rsid w:val="38367638"/>
    <w:rsid w:val="383714B3"/>
    <w:rsid w:val="38371749"/>
    <w:rsid w:val="38371ACC"/>
    <w:rsid w:val="38376F0C"/>
    <w:rsid w:val="3838311F"/>
    <w:rsid w:val="38384551"/>
    <w:rsid w:val="38390ED6"/>
    <w:rsid w:val="38393056"/>
    <w:rsid w:val="3839587C"/>
    <w:rsid w:val="383A0247"/>
    <w:rsid w:val="383A044D"/>
    <w:rsid w:val="383A13B8"/>
    <w:rsid w:val="383A66BA"/>
    <w:rsid w:val="383B18DD"/>
    <w:rsid w:val="383B4C4E"/>
    <w:rsid w:val="383C2774"/>
    <w:rsid w:val="383C4183"/>
    <w:rsid w:val="383C419E"/>
    <w:rsid w:val="383D260F"/>
    <w:rsid w:val="383D41FD"/>
    <w:rsid w:val="383D7325"/>
    <w:rsid w:val="383E029A"/>
    <w:rsid w:val="383E2CC2"/>
    <w:rsid w:val="383E473E"/>
    <w:rsid w:val="383E51B3"/>
    <w:rsid w:val="383E64EC"/>
    <w:rsid w:val="383F6B1D"/>
    <w:rsid w:val="38404012"/>
    <w:rsid w:val="38414E95"/>
    <w:rsid w:val="384161E2"/>
    <w:rsid w:val="38417D8A"/>
    <w:rsid w:val="38427FE8"/>
    <w:rsid w:val="38431D54"/>
    <w:rsid w:val="38433742"/>
    <w:rsid w:val="38433B03"/>
    <w:rsid w:val="384541EB"/>
    <w:rsid w:val="38460FDE"/>
    <w:rsid w:val="38464AED"/>
    <w:rsid w:val="3846585A"/>
    <w:rsid w:val="384669F0"/>
    <w:rsid w:val="3846715C"/>
    <w:rsid w:val="38470F23"/>
    <w:rsid w:val="38482EC7"/>
    <w:rsid w:val="38486485"/>
    <w:rsid w:val="38492DB1"/>
    <w:rsid w:val="384A3934"/>
    <w:rsid w:val="384A4E91"/>
    <w:rsid w:val="384A6C3F"/>
    <w:rsid w:val="384B0C09"/>
    <w:rsid w:val="384B13D2"/>
    <w:rsid w:val="384C18FF"/>
    <w:rsid w:val="384C270B"/>
    <w:rsid w:val="384C5FA8"/>
    <w:rsid w:val="384C6E5B"/>
    <w:rsid w:val="384D2BD3"/>
    <w:rsid w:val="384D4D59"/>
    <w:rsid w:val="384F4255"/>
    <w:rsid w:val="38506AC4"/>
    <w:rsid w:val="38521F98"/>
    <w:rsid w:val="38523D46"/>
    <w:rsid w:val="38526CB0"/>
    <w:rsid w:val="38527945"/>
    <w:rsid w:val="385362AC"/>
    <w:rsid w:val="38545D10"/>
    <w:rsid w:val="385475F5"/>
    <w:rsid w:val="38550D07"/>
    <w:rsid w:val="385664E5"/>
    <w:rsid w:val="38575800"/>
    <w:rsid w:val="385775AE"/>
    <w:rsid w:val="38593326"/>
    <w:rsid w:val="385A0BC9"/>
    <w:rsid w:val="385B53B3"/>
    <w:rsid w:val="385B709E"/>
    <w:rsid w:val="385C0C16"/>
    <w:rsid w:val="385C1AB7"/>
    <w:rsid w:val="385C2357"/>
    <w:rsid w:val="385C4F5E"/>
    <w:rsid w:val="385D0006"/>
    <w:rsid w:val="385D195C"/>
    <w:rsid w:val="385E093C"/>
    <w:rsid w:val="385E26EA"/>
    <w:rsid w:val="385E6B8E"/>
    <w:rsid w:val="385F05A8"/>
    <w:rsid w:val="385F0BFB"/>
    <w:rsid w:val="385F0CD8"/>
    <w:rsid w:val="385F7597"/>
    <w:rsid w:val="3860016D"/>
    <w:rsid w:val="38602906"/>
    <w:rsid w:val="38602B5F"/>
    <w:rsid w:val="38633B64"/>
    <w:rsid w:val="38637D01"/>
    <w:rsid w:val="38651CCB"/>
    <w:rsid w:val="38661397"/>
    <w:rsid w:val="386677F1"/>
    <w:rsid w:val="38673C95"/>
    <w:rsid w:val="3868233C"/>
    <w:rsid w:val="38685317"/>
    <w:rsid w:val="38690EAD"/>
    <w:rsid w:val="386A399A"/>
    <w:rsid w:val="386B1BA5"/>
    <w:rsid w:val="386B4372"/>
    <w:rsid w:val="386B4E07"/>
    <w:rsid w:val="386B727B"/>
    <w:rsid w:val="386C32DC"/>
    <w:rsid w:val="386D476C"/>
    <w:rsid w:val="386D57C3"/>
    <w:rsid w:val="386D6DD1"/>
    <w:rsid w:val="386E2FB9"/>
    <w:rsid w:val="386E3DF2"/>
    <w:rsid w:val="386F3749"/>
    <w:rsid w:val="386F3993"/>
    <w:rsid w:val="386F48F8"/>
    <w:rsid w:val="3871233E"/>
    <w:rsid w:val="387168C2"/>
    <w:rsid w:val="387210AA"/>
    <w:rsid w:val="3872263A"/>
    <w:rsid w:val="387243E8"/>
    <w:rsid w:val="38725D98"/>
    <w:rsid w:val="38726C30"/>
    <w:rsid w:val="387305DE"/>
    <w:rsid w:val="38740160"/>
    <w:rsid w:val="3874040C"/>
    <w:rsid w:val="38741F0E"/>
    <w:rsid w:val="38745F93"/>
    <w:rsid w:val="387463B2"/>
    <w:rsid w:val="38765C86"/>
    <w:rsid w:val="38767769"/>
    <w:rsid w:val="38767A34"/>
    <w:rsid w:val="387719FE"/>
    <w:rsid w:val="3877291F"/>
    <w:rsid w:val="387908F6"/>
    <w:rsid w:val="38792BD0"/>
    <w:rsid w:val="387939C8"/>
    <w:rsid w:val="38795776"/>
    <w:rsid w:val="38796911"/>
    <w:rsid w:val="38797883"/>
    <w:rsid w:val="387A58E0"/>
    <w:rsid w:val="387B329C"/>
    <w:rsid w:val="387B504A"/>
    <w:rsid w:val="387C0200"/>
    <w:rsid w:val="387C0DC3"/>
    <w:rsid w:val="387C1DCC"/>
    <w:rsid w:val="387C3343"/>
    <w:rsid w:val="387C7014"/>
    <w:rsid w:val="387C7715"/>
    <w:rsid w:val="387D4071"/>
    <w:rsid w:val="387D5F26"/>
    <w:rsid w:val="387E18E0"/>
    <w:rsid w:val="387E4B3B"/>
    <w:rsid w:val="387F1219"/>
    <w:rsid w:val="387F228D"/>
    <w:rsid w:val="387F3117"/>
    <w:rsid w:val="38804D57"/>
    <w:rsid w:val="3881462B"/>
    <w:rsid w:val="38821930"/>
    <w:rsid w:val="38822138"/>
    <w:rsid w:val="3882287D"/>
    <w:rsid w:val="38827389"/>
    <w:rsid w:val="38832151"/>
    <w:rsid w:val="388365F5"/>
    <w:rsid w:val="388560F7"/>
    <w:rsid w:val="38877EE4"/>
    <w:rsid w:val="38883C0B"/>
    <w:rsid w:val="38887767"/>
    <w:rsid w:val="3889176D"/>
    <w:rsid w:val="38892362"/>
    <w:rsid w:val="388A34DF"/>
    <w:rsid w:val="388B5228"/>
    <w:rsid w:val="388B569F"/>
    <w:rsid w:val="388B6865"/>
    <w:rsid w:val="388C3F15"/>
    <w:rsid w:val="388D1222"/>
    <w:rsid w:val="388D4D7E"/>
    <w:rsid w:val="388E23D2"/>
    <w:rsid w:val="388F08EF"/>
    <w:rsid w:val="388F3AA5"/>
    <w:rsid w:val="388F4F9A"/>
    <w:rsid w:val="388F6D48"/>
    <w:rsid w:val="38912093"/>
    <w:rsid w:val="389205E6"/>
    <w:rsid w:val="38934961"/>
    <w:rsid w:val="389425B0"/>
    <w:rsid w:val="3894435E"/>
    <w:rsid w:val="3894610C"/>
    <w:rsid w:val="38946AE2"/>
    <w:rsid w:val="389524E8"/>
    <w:rsid w:val="389614E0"/>
    <w:rsid w:val="38961E84"/>
    <w:rsid w:val="38975BFC"/>
    <w:rsid w:val="38983E4E"/>
    <w:rsid w:val="38991974"/>
    <w:rsid w:val="38993922"/>
    <w:rsid w:val="38993FF8"/>
    <w:rsid w:val="38996F5B"/>
    <w:rsid w:val="38997BC6"/>
    <w:rsid w:val="389A274D"/>
    <w:rsid w:val="389A48CE"/>
    <w:rsid w:val="389B1DC8"/>
    <w:rsid w:val="389B2FBA"/>
    <w:rsid w:val="389B3566"/>
    <w:rsid w:val="389B393F"/>
    <w:rsid w:val="389B56ED"/>
    <w:rsid w:val="389B749B"/>
    <w:rsid w:val="389C181C"/>
    <w:rsid w:val="389C4947"/>
    <w:rsid w:val="389D1465"/>
    <w:rsid w:val="389D7539"/>
    <w:rsid w:val="389E521E"/>
    <w:rsid w:val="389F5805"/>
    <w:rsid w:val="389F7928"/>
    <w:rsid w:val="38A00F55"/>
    <w:rsid w:val="38A01D63"/>
    <w:rsid w:val="38A04AB1"/>
    <w:rsid w:val="38A071A7"/>
    <w:rsid w:val="38A10829"/>
    <w:rsid w:val="38A210C6"/>
    <w:rsid w:val="38A24AEC"/>
    <w:rsid w:val="38A27244"/>
    <w:rsid w:val="38A327F3"/>
    <w:rsid w:val="38A359B8"/>
    <w:rsid w:val="38A35AAA"/>
    <w:rsid w:val="38A464C6"/>
    <w:rsid w:val="38A5047E"/>
    <w:rsid w:val="38A547BD"/>
    <w:rsid w:val="38A55CCB"/>
    <w:rsid w:val="38A5656B"/>
    <w:rsid w:val="38A62ACC"/>
    <w:rsid w:val="38A64207"/>
    <w:rsid w:val="38A674B6"/>
    <w:rsid w:val="38A748FD"/>
    <w:rsid w:val="38A8464C"/>
    <w:rsid w:val="38A8605B"/>
    <w:rsid w:val="38AA1B3D"/>
    <w:rsid w:val="38AA3B82"/>
    <w:rsid w:val="38AA5930"/>
    <w:rsid w:val="38AB2D20"/>
    <w:rsid w:val="38AC54BD"/>
    <w:rsid w:val="38AD17EB"/>
    <w:rsid w:val="38AD4365"/>
    <w:rsid w:val="38AD71CE"/>
    <w:rsid w:val="38AE254E"/>
    <w:rsid w:val="38AE308F"/>
    <w:rsid w:val="38AE4E67"/>
    <w:rsid w:val="38AE7A92"/>
    <w:rsid w:val="38AF2F46"/>
    <w:rsid w:val="38AF6970"/>
    <w:rsid w:val="38AF73EA"/>
    <w:rsid w:val="38B14F10"/>
    <w:rsid w:val="38B16CBE"/>
    <w:rsid w:val="38B2192F"/>
    <w:rsid w:val="38B247E4"/>
    <w:rsid w:val="38B302F9"/>
    <w:rsid w:val="38B319EA"/>
    <w:rsid w:val="38B36EDA"/>
    <w:rsid w:val="38B52EC8"/>
    <w:rsid w:val="38B56C50"/>
    <w:rsid w:val="38B60778"/>
    <w:rsid w:val="38B62526"/>
    <w:rsid w:val="38B642DC"/>
    <w:rsid w:val="38B64CF4"/>
    <w:rsid w:val="38B706D0"/>
    <w:rsid w:val="38B7652E"/>
    <w:rsid w:val="38B77A41"/>
    <w:rsid w:val="38B810AA"/>
    <w:rsid w:val="38B844F1"/>
    <w:rsid w:val="38B86D12"/>
    <w:rsid w:val="38B92017"/>
    <w:rsid w:val="38B93DC5"/>
    <w:rsid w:val="38B95B73"/>
    <w:rsid w:val="38B97080"/>
    <w:rsid w:val="38BA471E"/>
    <w:rsid w:val="38BB193F"/>
    <w:rsid w:val="38BB5D8F"/>
    <w:rsid w:val="38BC62FA"/>
    <w:rsid w:val="38BD1B07"/>
    <w:rsid w:val="38BD38B5"/>
    <w:rsid w:val="38BD6A8B"/>
    <w:rsid w:val="38BF587F"/>
    <w:rsid w:val="38C03DBE"/>
    <w:rsid w:val="38C04775"/>
    <w:rsid w:val="38C10DBF"/>
    <w:rsid w:val="38C20ECB"/>
    <w:rsid w:val="38C2711D"/>
    <w:rsid w:val="38C41CCF"/>
    <w:rsid w:val="38C5276A"/>
    <w:rsid w:val="38C56006"/>
    <w:rsid w:val="38C56C0D"/>
    <w:rsid w:val="38C57E86"/>
    <w:rsid w:val="38C61DEC"/>
    <w:rsid w:val="38C62AE5"/>
    <w:rsid w:val="38C63620"/>
    <w:rsid w:val="38C83D60"/>
    <w:rsid w:val="38C85664"/>
    <w:rsid w:val="38C904AC"/>
    <w:rsid w:val="38CA3D43"/>
    <w:rsid w:val="38CA5492"/>
    <w:rsid w:val="38CA7D80"/>
    <w:rsid w:val="38CC3AF8"/>
    <w:rsid w:val="38CD7870"/>
    <w:rsid w:val="38CF1EA3"/>
    <w:rsid w:val="38CF5396"/>
    <w:rsid w:val="38D1110E"/>
    <w:rsid w:val="38D155B2"/>
    <w:rsid w:val="38D2110F"/>
    <w:rsid w:val="38D330D8"/>
    <w:rsid w:val="38D33728"/>
    <w:rsid w:val="38D34E86"/>
    <w:rsid w:val="38D40BFF"/>
    <w:rsid w:val="38D421D8"/>
    <w:rsid w:val="38D46E50"/>
    <w:rsid w:val="38D50A7E"/>
    <w:rsid w:val="38D64977"/>
    <w:rsid w:val="38D70D06"/>
    <w:rsid w:val="38D73208"/>
    <w:rsid w:val="38D832D9"/>
    <w:rsid w:val="38D86941"/>
    <w:rsid w:val="38D94467"/>
    <w:rsid w:val="38D96215"/>
    <w:rsid w:val="38DA2A21"/>
    <w:rsid w:val="38DA604A"/>
    <w:rsid w:val="38DB01DF"/>
    <w:rsid w:val="38DB1F8D"/>
    <w:rsid w:val="38DB3D3B"/>
    <w:rsid w:val="38DC353B"/>
    <w:rsid w:val="38DC4F1C"/>
    <w:rsid w:val="38DD0E00"/>
    <w:rsid w:val="38DD2BEB"/>
    <w:rsid w:val="38DD3F57"/>
    <w:rsid w:val="38DD5D05"/>
    <w:rsid w:val="38DE382B"/>
    <w:rsid w:val="38DE40DD"/>
    <w:rsid w:val="38DF64EF"/>
    <w:rsid w:val="38E07042"/>
    <w:rsid w:val="38E075A3"/>
    <w:rsid w:val="38E07D8C"/>
    <w:rsid w:val="38E27111"/>
    <w:rsid w:val="38E442CF"/>
    <w:rsid w:val="38E452E6"/>
    <w:rsid w:val="38E5105E"/>
    <w:rsid w:val="38E52E0C"/>
    <w:rsid w:val="38E5531F"/>
    <w:rsid w:val="38E63B12"/>
    <w:rsid w:val="38E70932"/>
    <w:rsid w:val="38E71D8F"/>
    <w:rsid w:val="38E726E0"/>
    <w:rsid w:val="38E81ADE"/>
    <w:rsid w:val="38E90848"/>
    <w:rsid w:val="38E93B09"/>
    <w:rsid w:val="38E946AA"/>
    <w:rsid w:val="38E956EF"/>
    <w:rsid w:val="38EA0710"/>
    <w:rsid w:val="38EA0ECE"/>
    <w:rsid w:val="38EA21D0"/>
    <w:rsid w:val="38EA64FC"/>
    <w:rsid w:val="38EA6674"/>
    <w:rsid w:val="38EA77BA"/>
    <w:rsid w:val="38EA7DB7"/>
    <w:rsid w:val="38EB256D"/>
    <w:rsid w:val="38EB5098"/>
    <w:rsid w:val="38EC419A"/>
    <w:rsid w:val="38EC7CF6"/>
    <w:rsid w:val="38ED2397"/>
    <w:rsid w:val="38ED3A6E"/>
    <w:rsid w:val="38EE0521"/>
    <w:rsid w:val="38EE1AB2"/>
    <w:rsid w:val="38EE7F12"/>
    <w:rsid w:val="38EF1B8D"/>
    <w:rsid w:val="38EF3C8A"/>
    <w:rsid w:val="38EF4F48"/>
    <w:rsid w:val="38EF5A38"/>
    <w:rsid w:val="38EF77E6"/>
    <w:rsid w:val="38F01C9C"/>
    <w:rsid w:val="38F026C3"/>
    <w:rsid w:val="38F02E41"/>
    <w:rsid w:val="38F10E1E"/>
    <w:rsid w:val="38F115A1"/>
    <w:rsid w:val="38F12CD3"/>
    <w:rsid w:val="38F1355F"/>
    <w:rsid w:val="38F17A02"/>
    <w:rsid w:val="38F202B5"/>
    <w:rsid w:val="38F2483E"/>
    <w:rsid w:val="38F27D95"/>
    <w:rsid w:val="38F31085"/>
    <w:rsid w:val="38F3323E"/>
    <w:rsid w:val="38F35529"/>
    <w:rsid w:val="38F36F42"/>
    <w:rsid w:val="38F419B2"/>
    <w:rsid w:val="38F4304F"/>
    <w:rsid w:val="38F44DFD"/>
    <w:rsid w:val="38F51FA9"/>
    <w:rsid w:val="38F525A0"/>
    <w:rsid w:val="38F52C52"/>
    <w:rsid w:val="38F61012"/>
    <w:rsid w:val="38F65019"/>
    <w:rsid w:val="38F66DC7"/>
    <w:rsid w:val="38F70143"/>
    <w:rsid w:val="38F80D91"/>
    <w:rsid w:val="38F81903"/>
    <w:rsid w:val="38F82B3F"/>
    <w:rsid w:val="38F8669B"/>
    <w:rsid w:val="38F941A4"/>
    <w:rsid w:val="38F94775"/>
    <w:rsid w:val="38FB1533"/>
    <w:rsid w:val="38FB1695"/>
    <w:rsid w:val="38FB43DD"/>
    <w:rsid w:val="38FC42C4"/>
    <w:rsid w:val="38FD0155"/>
    <w:rsid w:val="38FD1F03"/>
    <w:rsid w:val="38FD4A32"/>
    <w:rsid w:val="38FD5EE2"/>
    <w:rsid w:val="38FE29D9"/>
    <w:rsid w:val="38FE3ED3"/>
    <w:rsid w:val="38FE45EC"/>
    <w:rsid w:val="38FE479C"/>
    <w:rsid w:val="38FE5445"/>
    <w:rsid w:val="38FE5C7B"/>
    <w:rsid w:val="38FF14A6"/>
    <w:rsid w:val="38FF33C3"/>
    <w:rsid w:val="38FF368A"/>
    <w:rsid w:val="38FF6B51"/>
    <w:rsid w:val="38FF6F23"/>
    <w:rsid w:val="39007D65"/>
    <w:rsid w:val="39024DCA"/>
    <w:rsid w:val="390412B7"/>
    <w:rsid w:val="39047736"/>
    <w:rsid w:val="39050DB8"/>
    <w:rsid w:val="3905525C"/>
    <w:rsid w:val="3905700A"/>
    <w:rsid w:val="390810C8"/>
    <w:rsid w:val="390908A8"/>
    <w:rsid w:val="39094D4C"/>
    <w:rsid w:val="39096AFA"/>
    <w:rsid w:val="390A29E6"/>
    <w:rsid w:val="390A553E"/>
    <w:rsid w:val="390A63CE"/>
    <w:rsid w:val="390C0ED9"/>
    <w:rsid w:val="390C261A"/>
    <w:rsid w:val="390C65EA"/>
    <w:rsid w:val="390D68A8"/>
    <w:rsid w:val="390D6920"/>
    <w:rsid w:val="390D6A5E"/>
    <w:rsid w:val="390E521F"/>
    <w:rsid w:val="390E5EBF"/>
    <w:rsid w:val="390F0F9B"/>
    <w:rsid w:val="390F35F2"/>
    <w:rsid w:val="390F4B99"/>
    <w:rsid w:val="391060DB"/>
    <w:rsid w:val="39111E53"/>
    <w:rsid w:val="39112E4E"/>
    <w:rsid w:val="391159AF"/>
    <w:rsid w:val="3911775D"/>
    <w:rsid w:val="39126482"/>
    <w:rsid w:val="39135E71"/>
    <w:rsid w:val="39137979"/>
    <w:rsid w:val="39146ED1"/>
    <w:rsid w:val="391536F1"/>
    <w:rsid w:val="39155B30"/>
    <w:rsid w:val="39156061"/>
    <w:rsid w:val="39157171"/>
    <w:rsid w:val="39161217"/>
    <w:rsid w:val="39165760"/>
    <w:rsid w:val="3916629D"/>
    <w:rsid w:val="39167469"/>
    <w:rsid w:val="39177356"/>
    <w:rsid w:val="39180AEB"/>
    <w:rsid w:val="39184F8F"/>
    <w:rsid w:val="391A05AA"/>
    <w:rsid w:val="391A396D"/>
    <w:rsid w:val="391B05DB"/>
    <w:rsid w:val="391B4045"/>
    <w:rsid w:val="391B682D"/>
    <w:rsid w:val="391C1B64"/>
    <w:rsid w:val="391C3471"/>
    <w:rsid w:val="391C6D42"/>
    <w:rsid w:val="391C7477"/>
    <w:rsid w:val="391D25A6"/>
    <w:rsid w:val="391D3FD9"/>
    <w:rsid w:val="391D4354"/>
    <w:rsid w:val="391E0899"/>
    <w:rsid w:val="391E1E7A"/>
    <w:rsid w:val="391E2A42"/>
    <w:rsid w:val="391E4A2F"/>
    <w:rsid w:val="391F32E1"/>
    <w:rsid w:val="391F631E"/>
    <w:rsid w:val="39202096"/>
    <w:rsid w:val="39202688"/>
    <w:rsid w:val="3920413D"/>
    <w:rsid w:val="392048F2"/>
    <w:rsid w:val="39206B3B"/>
    <w:rsid w:val="39211C6F"/>
    <w:rsid w:val="39215D65"/>
    <w:rsid w:val="3922196A"/>
    <w:rsid w:val="39227BBC"/>
    <w:rsid w:val="39230DE1"/>
    <w:rsid w:val="39235CD0"/>
    <w:rsid w:val="39237490"/>
    <w:rsid w:val="39237EB6"/>
    <w:rsid w:val="39240ADC"/>
    <w:rsid w:val="392755EE"/>
    <w:rsid w:val="392971ED"/>
    <w:rsid w:val="392A30FB"/>
    <w:rsid w:val="392A3BCE"/>
    <w:rsid w:val="392A6A70"/>
    <w:rsid w:val="392B222A"/>
    <w:rsid w:val="392B4CC2"/>
    <w:rsid w:val="392C1EBE"/>
    <w:rsid w:val="392E030F"/>
    <w:rsid w:val="392E6561"/>
    <w:rsid w:val="392F4087"/>
    <w:rsid w:val="392F4273"/>
    <w:rsid w:val="3930052B"/>
    <w:rsid w:val="39316051"/>
    <w:rsid w:val="39325651"/>
    <w:rsid w:val="39337813"/>
    <w:rsid w:val="393618B9"/>
    <w:rsid w:val="39365A48"/>
    <w:rsid w:val="39375E36"/>
    <w:rsid w:val="3938118D"/>
    <w:rsid w:val="39382F3B"/>
    <w:rsid w:val="393848D9"/>
    <w:rsid w:val="39384D83"/>
    <w:rsid w:val="39385E8A"/>
    <w:rsid w:val="393873DF"/>
    <w:rsid w:val="39387BD3"/>
    <w:rsid w:val="393A114C"/>
    <w:rsid w:val="393A17F3"/>
    <w:rsid w:val="393A3157"/>
    <w:rsid w:val="393A4A07"/>
    <w:rsid w:val="393B24CD"/>
    <w:rsid w:val="393B3317"/>
    <w:rsid w:val="393C2C7C"/>
    <w:rsid w:val="393C6ED0"/>
    <w:rsid w:val="393D1F28"/>
    <w:rsid w:val="393D2C48"/>
    <w:rsid w:val="393D49F6"/>
    <w:rsid w:val="393D67A4"/>
    <w:rsid w:val="393E368C"/>
    <w:rsid w:val="393F251C"/>
    <w:rsid w:val="39400042"/>
    <w:rsid w:val="39406294"/>
    <w:rsid w:val="39413DEC"/>
    <w:rsid w:val="39416688"/>
    <w:rsid w:val="394226E9"/>
    <w:rsid w:val="394268F4"/>
    <w:rsid w:val="39440A0C"/>
    <w:rsid w:val="39440BD0"/>
    <w:rsid w:val="39445D84"/>
    <w:rsid w:val="39447B32"/>
    <w:rsid w:val="394566BD"/>
    <w:rsid w:val="39460E50"/>
    <w:rsid w:val="39461AFC"/>
    <w:rsid w:val="39464724"/>
    <w:rsid w:val="3946545D"/>
    <w:rsid w:val="39472B04"/>
    <w:rsid w:val="394750CB"/>
    <w:rsid w:val="39475874"/>
    <w:rsid w:val="39476872"/>
    <w:rsid w:val="39485D2A"/>
    <w:rsid w:val="39487F0F"/>
    <w:rsid w:val="394915ED"/>
    <w:rsid w:val="394925BC"/>
    <w:rsid w:val="39495149"/>
    <w:rsid w:val="394958FD"/>
    <w:rsid w:val="394A0EC1"/>
    <w:rsid w:val="394A2C6F"/>
    <w:rsid w:val="394A507F"/>
    <w:rsid w:val="394A59F5"/>
    <w:rsid w:val="394B0CF1"/>
    <w:rsid w:val="394B1B3A"/>
    <w:rsid w:val="394B4530"/>
    <w:rsid w:val="394C4C39"/>
    <w:rsid w:val="394C69E7"/>
    <w:rsid w:val="394D0F3D"/>
    <w:rsid w:val="394D5FA5"/>
    <w:rsid w:val="394E09B1"/>
    <w:rsid w:val="394E40AC"/>
    <w:rsid w:val="394F46C2"/>
    <w:rsid w:val="394F5740"/>
    <w:rsid w:val="3950198B"/>
    <w:rsid w:val="39501A9A"/>
    <w:rsid w:val="3950297B"/>
    <w:rsid w:val="395064D7"/>
    <w:rsid w:val="395104A1"/>
    <w:rsid w:val="39520DFD"/>
    <w:rsid w:val="39533B20"/>
    <w:rsid w:val="395352D0"/>
    <w:rsid w:val="39535FC7"/>
    <w:rsid w:val="395444FA"/>
    <w:rsid w:val="395446BF"/>
    <w:rsid w:val="39553AED"/>
    <w:rsid w:val="395568D4"/>
    <w:rsid w:val="39557F91"/>
    <w:rsid w:val="39561614"/>
    <w:rsid w:val="3956276E"/>
    <w:rsid w:val="39565AB7"/>
    <w:rsid w:val="39581CBE"/>
    <w:rsid w:val="395A20EA"/>
    <w:rsid w:val="395A3541"/>
    <w:rsid w:val="395A7356"/>
    <w:rsid w:val="395B1104"/>
    <w:rsid w:val="395B4E7C"/>
    <w:rsid w:val="395D0BF4"/>
    <w:rsid w:val="395D283E"/>
    <w:rsid w:val="395D72F1"/>
    <w:rsid w:val="395E1EC2"/>
    <w:rsid w:val="395E3ADD"/>
    <w:rsid w:val="395F6BB3"/>
    <w:rsid w:val="396016E5"/>
    <w:rsid w:val="39602CC7"/>
    <w:rsid w:val="39611B68"/>
    <w:rsid w:val="39612BB1"/>
    <w:rsid w:val="39616936"/>
    <w:rsid w:val="3962620A"/>
    <w:rsid w:val="39633163"/>
    <w:rsid w:val="39641F82"/>
    <w:rsid w:val="39655A83"/>
    <w:rsid w:val="396653E1"/>
    <w:rsid w:val="39677E0A"/>
    <w:rsid w:val="3968435F"/>
    <w:rsid w:val="39691347"/>
    <w:rsid w:val="396957EB"/>
    <w:rsid w:val="39695894"/>
    <w:rsid w:val="396B1563"/>
    <w:rsid w:val="396B3311"/>
    <w:rsid w:val="396C3DF9"/>
    <w:rsid w:val="396C52DB"/>
    <w:rsid w:val="396C606A"/>
    <w:rsid w:val="396D12B4"/>
    <w:rsid w:val="396D17E3"/>
    <w:rsid w:val="396D6D0A"/>
    <w:rsid w:val="396E1053"/>
    <w:rsid w:val="396E4BAF"/>
    <w:rsid w:val="396F2E47"/>
    <w:rsid w:val="39703B43"/>
    <w:rsid w:val="39705A67"/>
    <w:rsid w:val="3971001E"/>
    <w:rsid w:val="39711041"/>
    <w:rsid w:val="3971469F"/>
    <w:rsid w:val="39731517"/>
    <w:rsid w:val="39736669"/>
    <w:rsid w:val="397367C5"/>
    <w:rsid w:val="39742E11"/>
    <w:rsid w:val="39750149"/>
    <w:rsid w:val="397523E2"/>
    <w:rsid w:val="39755342"/>
    <w:rsid w:val="39757219"/>
    <w:rsid w:val="39770A30"/>
    <w:rsid w:val="39771D61"/>
    <w:rsid w:val="39774734"/>
    <w:rsid w:val="39775A94"/>
    <w:rsid w:val="39777209"/>
    <w:rsid w:val="39784EF1"/>
    <w:rsid w:val="39792392"/>
    <w:rsid w:val="397939AF"/>
    <w:rsid w:val="397A06E1"/>
    <w:rsid w:val="397B0F78"/>
    <w:rsid w:val="397B107A"/>
    <w:rsid w:val="397B2DFA"/>
    <w:rsid w:val="397C3770"/>
    <w:rsid w:val="397C3C4B"/>
    <w:rsid w:val="397E363F"/>
    <w:rsid w:val="397F500E"/>
    <w:rsid w:val="3980046D"/>
    <w:rsid w:val="3980268B"/>
    <w:rsid w:val="3981022B"/>
    <w:rsid w:val="3981130E"/>
    <w:rsid w:val="39812B34"/>
    <w:rsid w:val="3982065B"/>
    <w:rsid w:val="39822409"/>
    <w:rsid w:val="39825E89"/>
    <w:rsid w:val="398268AC"/>
    <w:rsid w:val="39836BEC"/>
    <w:rsid w:val="398375FF"/>
    <w:rsid w:val="39842625"/>
    <w:rsid w:val="398556E8"/>
    <w:rsid w:val="3986014B"/>
    <w:rsid w:val="39861EF9"/>
    <w:rsid w:val="3986639D"/>
    <w:rsid w:val="398720B8"/>
    <w:rsid w:val="3987227C"/>
    <w:rsid w:val="39887DDE"/>
    <w:rsid w:val="398919E9"/>
    <w:rsid w:val="3989212F"/>
    <w:rsid w:val="39894E7E"/>
    <w:rsid w:val="39897FED"/>
    <w:rsid w:val="398A0EDF"/>
    <w:rsid w:val="398A24B7"/>
    <w:rsid w:val="398A4394"/>
    <w:rsid w:val="398B779E"/>
    <w:rsid w:val="398C14D9"/>
    <w:rsid w:val="398C3287"/>
    <w:rsid w:val="398C4867"/>
    <w:rsid w:val="398E0DAD"/>
    <w:rsid w:val="398E5251"/>
    <w:rsid w:val="398F0CF0"/>
    <w:rsid w:val="398F38B3"/>
    <w:rsid w:val="39900FC9"/>
    <w:rsid w:val="39902D77"/>
    <w:rsid w:val="3991089E"/>
    <w:rsid w:val="39912EF4"/>
    <w:rsid w:val="39913532"/>
    <w:rsid w:val="39914AA0"/>
    <w:rsid w:val="3992139A"/>
    <w:rsid w:val="39921731"/>
    <w:rsid w:val="399218BB"/>
    <w:rsid w:val="39921A71"/>
    <w:rsid w:val="39924D42"/>
    <w:rsid w:val="39930B01"/>
    <w:rsid w:val="39932516"/>
    <w:rsid w:val="39936F85"/>
    <w:rsid w:val="39941C29"/>
    <w:rsid w:val="3995038E"/>
    <w:rsid w:val="39957769"/>
    <w:rsid w:val="39965EB4"/>
    <w:rsid w:val="399674A1"/>
    <w:rsid w:val="39970BA7"/>
    <w:rsid w:val="39972358"/>
    <w:rsid w:val="399860D0"/>
    <w:rsid w:val="39987E7E"/>
    <w:rsid w:val="399A1E48"/>
    <w:rsid w:val="399B1822"/>
    <w:rsid w:val="399B1938"/>
    <w:rsid w:val="399B34CA"/>
    <w:rsid w:val="399B6884"/>
    <w:rsid w:val="399C796E"/>
    <w:rsid w:val="399D5C99"/>
    <w:rsid w:val="399D7242"/>
    <w:rsid w:val="399D7E49"/>
    <w:rsid w:val="399D7F08"/>
    <w:rsid w:val="399F07E5"/>
    <w:rsid w:val="399F0AF3"/>
    <w:rsid w:val="399F120C"/>
    <w:rsid w:val="399F7036"/>
    <w:rsid w:val="399F745E"/>
    <w:rsid w:val="39A14F85"/>
    <w:rsid w:val="39A22387"/>
    <w:rsid w:val="39A22AAB"/>
    <w:rsid w:val="39A305F6"/>
    <w:rsid w:val="39A60CBB"/>
    <w:rsid w:val="39A64349"/>
    <w:rsid w:val="39A643A6"/>
    <w:rsid w:val="39A86313"/>
    <w:rsid w:val="39A9208B"/>
    <w:rsid w:val="39A93E39"/>
    <w:rsid w:val="39A95BE7"/>
    <w:rsid w:val="39AA3124"/>
    <w:rsid w:val="39AA63D3"/>
    <w:rsid w:val="39AA6524"/>
    <w:rsid w:val="39AB195F"/>
    <w:rsid w:val="39AB5E03"/>
    <w:rsid w:val="39AB7C38"/>
    <w:rsid w:val="39AC5ECA"/>
    <w:rsid w:val="39AD3929"/>
    <w:rsid w:val="39AD3F79"/>
    <w:rsid w:val="39AE31FE"/>
    <w:rsid w:val="39AF6A2B"/>
    <w:rsid w:val="39B0341A"/>
    <w:rsid w:val="39B05199"/>
    <w:rsid w:val="39B06E10"/>
    <w:rsid w:val="39B12CEE"/>
    <w:rsid w:val="39B1408A"/>
    <w:rsid w:val="39B1500F"/>
    <w:rsid w:val="39B2551A"/>
    <w:rsid w:val="39B32F0A"/>
    <w:rsid w:val="39B34CB8"/>
    <w:rsid w:val="39B4617E"/>
    <w:rsid w:val="39B50A30"/>
    <w:rsid w:val="39B527DE"/>
    <w:rsid w:val="39B5458C"/>
    <w:rsid w:val="39B618AE"/>
    <w:rsid w:val="39B76556"/>
    <w:rsid w:val="39BA5379"/>
    <w:rsid w:val="39BA6046"/>
    <w:rsid w:val="39BA7DF4"/>
    <w:rsid w:val="39BB0B52"/>
    <w:rsid w:val="39BB5A95"/>
    <w:rsid w:val="39BB7D0D"/>
    <w:rsid w:val="39BC0B7E"/>
    <w:rsid w:val="39BC1A94"/>
    <w:rsid w:val="39BC4148"/>
    <w:rsid w:val="39BC591B"/>
    <w:rsid w:val="39BD0B31"/>
    <w:rsid w:val="39BD11EE"/>
    <w:rsid w:val="39BD1573"/>
    <w:rsid w:val="39BD55F6"/>
    <w:rsid w:val="39BD78E5"/>
    <w:rsid w:val="39BE068A"/>
    <w:rsid w:val="39BE51FE"/>
    <w:rsid w:val="39BE7705"/>
    <w:rsid w:val="39BE7B72"/>
    <w:rsid w:val="39BF18AF"/>
    <w:rsid w:val="39BF540B"/>
    <w:rsid w:val="39C05D23"/>
    <w:rsid w:val="39C12242"/>
    <w:rsid w:val="39C173D5"/>
    <w:rsid w:val="39C20076"/>
    <w:rsid w:val="39C26CA9"/>
    <w:rsid w:val="39C35FBC"/>
    <w:rsid w:val="39C41DF2"/>
    <w:rsid w:val="39C46EC5"/>
    <w:rsid w:val="39C4712D"/>
    <w:rsid w:val="39C47601"/>
    <w:rsid w:val="39C524CF"/>
    <w:rsid w:val="39C62501"/>
    <w:rsid w:val="39C66799"/>
    <w:rsid w:val="39C71DC5"/>
    <w:rsid w:val="39C72511"/>
    <w:rsid w:val="39C80653"/>
    <w:rsid w:val="39C80763"/>
    <w:rsid w:val="39C90037"/>
    <w:rsid w:val="39C90465"/>
    <w:rsid w:val="39C91483"/>
    <w:rsid w:val="39CA09B8"/>
    <w:rsid w:val="39CA1B5F"/>
    <w:rsid w:val="39CA3163"/>
    <w:rsid w:val="39CA6372"/>
    <w:rsid w:val="39CB0253"/>
    <w:rsid w:val="39CB2002"/>
    <w:rsid w:val="39CB3DB0"/>
    <w:rsid w:val="39CC330E"/>
    <w:rsid w:val="39CC4C69"/>
    <w:rsid w:val="39CC60C1"/>
    <w:rsid w:val="39CD1750"/>
    <w:rsid w:val="39CD1C56"/>
    <w:rsid w:val="39CD3FCC"/>
    <w:rsid w:val="39CE3332"/>
    <w:rsid w:val="39CE35B2"/>
    <w:rsid w:val="39CE38A0"/>
    <w:rsid w:val="39CE51B0"/>
    <w:rsid w:val="39CE6157"/>
    <w:rsid w:val="39CE641A"/>
    <w:rsid w:val="39CF0051"/>
    <w:rsid w:val="39CF0900"/>
    <w:rsid w:val="39CF4A42"/>
    <w:rsid w:val="39CF674E"/>
    <w:rsid w:val="39D02AEE"/>
    <w:rsid w:val="39D0586A"/>
    <w:rsid w:val="39D07618"/>
    <w:rsid w:val="39D10AA3"/>
    <w:rsid w:val="39D15AB0"/>
    <w:rsid w:val="39D23390"/>
    <w:rsid w:val="39D2348A"/>
    <w:rsid w:val="39D26714"/>
    <w:rsid w:val="39D30EB6"/>
    <w:rsid w:val="39D32C64"/>
    <w:rsid w:val="39D332C3"/>
    <w:rsid w:val="39D37108"/>
    <w:rsid w:val="39D4353C"/>
    <w:rsid w:val="39D47424"/>
    <w:rsid w:val="39D52E79"/>
    <w:rsid w:val="39D54C2E"/>
    <w:rsid w:val="39D569DC"/>
    <w:rsid w:val="39D72754"/>
    <w:rsid w:val="39D76BF8"/>
    <w:rsid w:val="39D80669"/>
    <w:rsid w:val="39D81656"/>
    <w:rsid w:val="39D8471E"/>
    <w:rsid w:val="39D853D2"/>
    <w:rsid w:val="39D864CC"/>
    <w:rsid w:val="39D92970"/>
    <w:rsid w:val="39D93139"/>
    <w:rsid w:val="39D96DB9"/>
    <w:rsid w:val="39D97A8A"/>
    <w:rsid w:val="39DA00DA"/>
    <w:rsid w:val="39DA2245"/>
    <w:rsid w:val="39DA5CA1"/>
    <w:rsid w:val="39DB4726"/>
    <w:rsid w:val="39DC5FBD"/>
    <w:rsid w:val="39DC7D6B"/>
    <w:rsid w:val="39DD7891"/>
    <w:rsid w:val="39DF0842"/>
    <w:rsid w:val="39E11825"/>
    <w:rsid w:val="39E15381"/>
    <w:rsid w:val="39E210F9"/>
    <w:rsid w:val="39E21F2D"/>
    <w:rsid w:val="39E32022"/>
    <w:rsid w:val="39E35A89"/>
    <w:rsid w:val="39E37D72"/>
    <w:rsid w:val="39E430C3"/>
    <w:rsid w:val="39E44E71"/>
    <w:rsid w:val="39E60BE9"/>
    <w:rsid w:val="39E61839"/>
    <w:rsid w:val="39E62997"/>
    <w:rsid w:val="39E6508D"/>
    <w:rsid w:val="39E6713C"/>
    <w:rsid w:val="39E7140B"/>
    <w:rsid w:val="39E71554"/>
    <w:rsid w:val="39E71E22"/>
    <w:rsid w:val="39E76710"/>
    <w:rsid w:val="39E77FBF"/>
    <w:rsid w:val="39E82BB3"/>
    <w:rsid w:val="39E84962"/>
    <w:rsid w:val="39E86D2A"/>
    <w:rsid w:val="39E902C9"/>
    <w:rsid w:val="39E92488"/>
    <w:rsid w:val="39E9692C"/>
    <w:rsid w:val="39EB26A4"/>
    <w:rsid w:val="39EB5164"/>
    <w:rsid w:val="39EB6200"/>
    <w:rsid w:val="39ED1F78"/>
    <w:rsid w:val="39ED241F"/>
    <w:rsid w:val="39ED5524"/>
    <w:rsid w:val="39EE11EF"/>
    <w:rsid w:val="39EE2B9C"/>
    <w:rsid w:val="39EE7A9E"/>
    <w:rsid w:val="39EF3F42"/>
    <w:rsid w:val="39F03816"/>
    <w:rsid w:val="39F13B65"/>
    <w:rsid w:val="39F15101"/>
    <w:rsid w:val="39F1794B"/>
    <w:rsid w:val="39F257E0"/>
    <w:rsid w:val="39F2758E"/>
    <w:rsid w:val="39F32256"/>
    <w:rsid w:val="39F33306"/>
    <w:rsid w:val="39F33E3D"/>
    <w:rsid w:val="39F350B4"/>
    <w:rsid w:val="39F41558"/>
    <w:rsid w:val="39F50E2C"/>
    <w:rsid w:val="39F540DE"/>
    <w:rsid w:val="39F57E9E"/>
    <w:rsid w:val="39F63A08"/>
    <w:rsid w:val="39F7221A"/>
    <w:rsid w:val="39F728F0"/>
    <w:rsid w:val="39F72DF7"/>
    <w:rsid w:val="39F72FC6"/>
    <w:rsid w:val="39F730C0"/>
    <w:rsid w:val="39F73E89"/>
    <w:rsid w:val="39F808BA"/>
    <w:rsid w:val="39F8091D"/>
    <w:rsid w:val="39F81CF9"/>
    <w:rsid w:val="39F96B6F"/>
    <w:rsid w:val="39F97CAF"/>
    <w:rsid w:val="39FA1197"/>
    <w:rsid w:val="39FA28E7"/>
    <w:rsid w:val="39FA2C45"/>
    <w:rsid w:val="39FA3916"/>
    <w:rsid w:val="39FA4695"/>
    <w:rsid w:val="39FA5C2B"/>
    <w:rsid w:val="39FB5DC3"/>
    <w:rsid w:val="39FC6630"/>
    <w:rsid w:val="39FE3361"/>
    <w:rsid w:val="39FE37F5"/>
    <w:rsid w:val="39FE4185"/>
    <w:rsid w:val="39FE6A55"/>
    <w:rsid w:val="39FF7EFD"/>
    <w:rsid w:val="3A00614F"/>
    <w:rsid w:val="3A0160AE"/>
    <w:rsid w:val="3A034BAE"/>
    <w:rsid w:val="3A0379ED"/>
    <w:rsid w:val="3A0461E5"/>
    <w:rsid w:val="3A053765"/>
    <w:rsid w:val="3A053B9B"/>
    <w:rsid w:val="3A055CB2"/>
    <w:rsid w:val="3A056ACA"/>
    <w:rsid w:val="3A06303A"/>
    <w:rsid w:val="3A064C8C"/>
    <w:rsid w:val="3A064DE8"/>
    <w:rsid w:val="3A064F18"/>
    <w:rsid w:val="3A071F33"/>
    <w:rsid w:val="3A080B60"/>
    <w:rsid w:val="3A0A0C34"/>
    <w:rsid w:val="3A0B0E2F"/>
    <w:rsid w:val="3A0B20C4"/>
    <w:rsid w:val="3A0B4AF4"/>
    <w:rsid w:val="3A0C0AEA"/>
    <w:rsid w:val="3A0C3554"/>
    <w:rsid w:val="3A0D15D1"/>
    <w:rsid w:val="3A0E1EEE"/>
    <w:rsid w:val="3A0E57D7"/>
    <w:rsid w:val="3A0E643C"/>
    <w:rsid w:val="3A0F3616"/>
    <w:rsid w:val="3A0F3F57"/>
    <w:rsid w:val="3A0F6392"/>
    <w:rsid w:val="3A10210A"/>
    <w:rsid w:val="3A105C66"/>
    <w:rsid w:val="3A1131BC"/>
    <w:rsid w:val="3A1204A1"/>
    <w:rsid w:val="3A1219DE"/>
    <w:rsid w:val="3A13080D"/>
    <w:rsid w:val="3A137505"/>
    <w:rsid w:val="3A14701E"/>
    <w:rsid w:val="3A147C15"/>
    <w:rsid w:val="3A1514CF"/>
    <w:rsid w:val="3A156272"/>
    <w:rsid w:val="3A157721"/>
    <w:rsid w:val="3A1671D7"/>
    <w:rsid w:val="3A1840A9"/>
    <w:rsid w:val="3A192D6D"/>
    <w:rsid w:val="3A1950AA"/>
    <w:rsid w:val="3A195B58"/>
    <w:rsid w:val="3A197544"/>
    <w:rsid w:val="3A1A0893"/>
    <w:rsid w:val="3A1A306A"/>
    <w:rsid w:val="3A1A3C89"/>
    <w:rsid w:val="3A1A4D37"/>
    <w:rsid w:val="3A1A57B0"/>
    <w:rsid w:val="3A1B478A"/>
    <w:rsid w:val="3A1C6AA9"/>
    <w:rsid w:val="3A1D0A28"/>
    <w:rsid w:val="3A1D4E99"/>
    <w:rsid w:val="3A1E0635"/>
    <w:rsid w:val="3A1E52DD"/>
    <w:rsid w:val="3A1F1284"/>
    <w:rsid w:val="3A1F234D"/>
    <w:rsid w:val="3A20459B"/>
    <w:rsid w:val="3A211C22"/>
    <w:rsid w:val="3A215A2B"/>
    <w:rsid w:val="3A221A8C"/>
    <w:rsid w:val="3A22275E"/>
    <w:rsid w:val="3A223DCB"/>
    <w:rsid w:val="3A26548A"/>
    <w:rsid w:val="3A273038"/>
    <w:rsid w:val="3A28018A"/>
    <w:rsid w:val="3A282FB0"/>
    <w:rsid w:val="3A286DE1"/>
    <w:rsid w:val="3A286E66"/>
    <w:rsid w:val="3A2937CE"/>
    <w:rsid w:val="3A2A2A67"/>
    <w:rsid w:val="3A2B0CF2"/>
    <w:rsid w:val="3A2B22D6"/>
    <w:rsid w:val="3A2B2AA0"/>
    <w:rsid w:val="3A2D05C6"/>
    <w:rsid w:val="3A2D4A6A"/>
    <w:rsid w:val="3A2D6B9F"/>
    <w:rsid w:val="3A2E433E"/>
    <w:rsid w:val="3A2E59CB"/>
    <w:rsid w:val="3A2F07E2"/>
    <w:rsid w:val="3A304090"/>
    <w:rsid w:val="3A30455A"/>
    <w:rsid w:val="3A304A1A"/>
    <w:rsid w:val="3A3052A6"/>
    <w:rsid w:val="3A306308"/>
    <w:rsid w:val="3A306505"/>
    <w:rsid w:val="3A30671E"/>
    <w:rsid w:val="3A306958"/>
    <w:rsid w:val="3A317B94"/>
    <w:rsid w:val="3A322081"/>
    <w:rsid w:val="3A323E2F"/>
    <w:rsid w:val="3A325BDD"/>
    <w:rsid w:val="3A327E40"/>
    <w:rsid w:val="3A331955"/>
    <w:rsid w:val="3A332736"/>
    <w:rsid w:val="3A332A11"/>
    <w:rsid w:val="3A3335F1"/>
    <w:rsid w:val="3A343EA1"/>
    <w:rsid w:val="3A345DF9"/>
    <w:rsid w:val="3A3556CD"/>
    <w:rsid w:val="3A363870"/>
    <w:rsid w:val="3A382090"/>
    <w:rsid w:val="3A385D4C"/>
    <w:rsid w:val="3A3951BD"/>
    <w:rsid w:val="3A3978DF"/>
    <w:rsid w:val="3A3A2CE3"/>
    <w:rsid w:val="3A3B04DE"/>
    <w:rsid w:val="3A3B7187"/>
    <w:rsid w:val="3A3B7A62"/>
    <w:rsid w:val="3A3C6A5B"/>
    <w:rsid w:val="3A3D10A8"/>
    <w:rsid w:val="3A3E0A25"/>
    <w:rsid w:val="3A3F02FA"/>
    <w:rsid w:val="3A3F53F0"/>
    <w:rsid w:val="3A3F654C"/>
    <w:rsid w:val="3A3F7042"/>
    <w:rsid w:val="3A402444"/>
    <w:rsid w:val="3A405F2A"/>
    <w:rsid w:val="3A410516"/>
    <w:rsid w:val="3A410B00"/>
    <w:rsid w:val="3A4161E0"/>
    <w:rsid w:val="3A4263EC"/>
    <w:rsid w:val="3A43428E"/>
    <w:rsid w:val="3A43603C"/>
    <w:rsid w:val="3A4361F4"/>
    <w:rsid w:val="3A437B35"/>
    <w:rsid w:val="3A442255"/>
    <w:rsid w:val="3A444C6B"/>
    <w:rsid w:val="3A451DB4"/>
    <w:rsid w:val="3A454E26"/>
    <w:rsid w:val="3A461688"/>
    <w:rsid w:val="3A464B75"/>
    <w:rsid w:val="3A4650EF"/>
    <w:rsid w:val="3A465B2C"/>
    <w:rsid w:val="3A4678DA"/>
    <w:rsid w:val="3A4818A4"/>
    <w:rsid w:val="3A4860DA"/>
    <w:rsid w:val="3A490B50"/>
    <w:rsid w:val="3A491F6E"/>
    <w:rsid w:val="3A494C37"/>
    <w:rsid w:val="3A4975C0"/>
    <w:rsid w:val="3A4A561C"/>
    <w:rsid w:val="3A4B2127"/>
    <w:rsid w:val="3A4B4EF0"/>
    <w:rsid w:val="3A4C35B7"/>
    <w:rsid w:val="3A4D0C68"/>
    <w:rsid w:val="3A4D2A17"/>
    <w:rsid w:val="3A4D6EBA"/>
    <w:rsid w:val="3A4E08BC"/>
    <w:rsid w:val="3A4E12FE"/>
    <w:rsid w:val="3A4E56E7"/>
    <w:rsid w:val="3A4E6726"/>
    <w:rsid w:val="3A4E714F"/>
    <w:rsid w:val="3A4F216D"/>
    <w:rsid w:val="3A4F678F"/>
    <w:rsid w:val="3A502764"/>
    <w:rsid w:val="3A513352"/>
    <w:rsid w:val="3A522A38"/>
    <w:rsid w:val="3A5256AC"/>
    <w:rsid w:val="3A5308B9"/>
    <w:rsid w:val="3A537178"/>
    <w:rsid w:val="3A540249"/>
    <w:rsid w:val="3A541472"/>
    <w:rsid w:val="3A541FF7"/>
    <w:rsid w:val="3A55571C"/>
    <w:rsid w:val="3A5568D6"/>
    <w:rsid w:val="3A56156C"/>
    <w:rsid w:val="3A5626EB"/>
    <w:rsid w:val="3A564669"/>
    <w:rsid w:val="3A566165"/>
    <w:rsid w:val="3A566323"/>
    <w:rsid w:val="3A56723A"/>
    <w:rsid w:val="3A5706CA"/>
    <w:rsid w:val="3A570783"/>
    <w:rsid w:val="3A571AE7"/>
    <w:rsid w:val="3A574D58"/>
    <w:rsid w:val="3A575643"/>
    <w:rsid w:val="3A577D39"/>
    <w:rsid w:val="3A58191A"/>
    <w:rsid w:val="3A5913BB"/>
    <w:rsid w:val="3A592FEA"/>
    <w:rsid w:val="3A59760D"/>
    <w:rsid w:val="3A5A15ED"/>
    <w:rsid w:val="3A5B15D7"/>
    <w:rsid w:val="3A5C12C2"/>
    <w:rsid w:val="3A5C30AC"/>
    <w:rsid w:val="3A5C35BA"/>
    <w:rsid w:val="3A5C70FE"/>
    <w:rsid w:val="3A5D1DDC"/>
    <w:rsid w:val="3A5D2EE4"/>
    <w:rsid w:val="3A5E1C16"/>
    <w:rsid w:val="3A5E1F81"/>
    <w:rsid w:val="3A5E69D2"/>
    <w:rsid w:val="3A5F274A"/>
    <w:rsid w:val="3A5F6E5C"/>
    <w:rsid w:val="3A60121D"/>
    <w:rsid w:val="3A61177C"/>
    <w:rsid w:val="3A62434D"/>
    <w:rsid w:val="3A63223A"/>
    <w:rsid w:val="3A6340C3"/>
    <w:rsid w:val="3A642682"/>
    <w:rsid w:val="3A644BEC"/>
    <w:rsid w:val="3A663AD8"/>
    <w:rsid w:val="3A667F7C"/>
    <w:rsid w:val="3A683CF4"/>
    <w:rsid w:val="3A684F38"/>
    <w:rsid w:val="3A6854CC"/>
    <w:rsid w:val="3A695377"/>
    <w:rsid w:val="3A6B10EF"/>
    <w:rsid w:val="3A6B5DE4"/>
    <w:rsid w:val="3A6B7341"/>
    <w:rsid w:val="3A6C5593"/>
    <w:rsid w:val="3A6C709A"/>
    <w:rsid w:val="3A6C7B8C"/>
    <w:rsid w:val="3A6C7FD0"/>
    <w:rsid w:val="3A6D130B"/>
    <w:rsid w:val="3A6D30B9"/>
    <w:rsid w:val="3A6D4E67"/>
    <w:rsid w:val="3A6E3D80"/>
    <w:rsid w:val="3A6F0BDF"/>
    <w:rsid w:val="3A6F435C"/>
    <w:rsid w:val="3A7043E9"/>
    <w:rsid w:val="3A707DE1"/>
    <w:rsid w:val="3A71139F"/>
    <w:rsid w:val="3A712BA9"/>
    <w:rsid w:val="3A7158D5"/>
    <w:rsid w:val="3A716B25"/>
    <w:rsid w:val="3A71749A"/>
    <w:rsid w:val="3A721810"/>
    <w:rsid w:val="3A722701"/>
    <w:rsid w:val="3A744447"/>
    <w:rsid w:val="3A7461F5"/>
    <w:rsid w:val="3A770790"/>
    <w:rsid w:val="3A7750E3"/>
    <w:rsid w:val="3A783242"/>
    <w:rsid w:val="3A790209"/>
    <w:rsid w:val="3A791A5E"/>
    <w:rsid w:val="3A79380C"/>
    <w:rsid w:val="3A7A3A64"/>
    <w:rsid w:val="3A7A70F1"/>
    <w:rsid w:val="3A7B4EF4"/>
    <w:rsid w:val="3A7B57D6"/>
    <w:rsid w:val="3A7B6635"/>
    <w:rsid w:val="3A7B77C8"/>
    <w:rsid w:val="3A7C148B"/>
    <w:rsid w:val="3A7C2238"/>
    <w:rsid w:val="3A7C32FC"/>
    <w:rsid w:val="3A7C61F8"/>
    <w:rsid w:val="3A7C6384"/>
    <w:rsid w:val="3A7D08EB"/>
    <w:rsid w:val="3A7D77A0"/>
    <w:rsid w:val="3A7E3226"/>
    <w:rsid w:val="3A7E4FB6"/>
    <w:rsid w:val="3A7E52C6"/>
    <w:rsid w:val="3A7E7074"/>
    <w:rsid w:val="3A80103E"/>
    <w:rsid w:val="3A801C24"/>
    <w:rsid w:val="3A804B9A"/>
    <w:rsid w:val="3A806A7C"/>
    <w:rsid w:val="3A8075F8"/>
    <w:rsid w:val="3A8078D6"/>
    <w:rsid w:val="3A810912"/>
    <w:rsid w:val="3A816B64"/>
    <w:rsid w:val="3A830B2E"/>
    <w:rsid w:val="3A83468A"/>
    <w:rsid w:val="3A836438"/>
    <w:rsid w:val="3A843095"/>
    <w:rsid w:val="3A851C76"/>
    <w:rsid w:val="3A8521B0"/>
    <w:rsid w:val="3A8522B8"/>
    <w:rsid w:val="3A8532BF"/>
    <w:rsid w:val="3A853686"/>
    <w:rsid w:val="3A8537FB"/>
    <w:rsid w:val="3A8538B6"/>
    <w:rsid w:val="3A853F4A"/>
    <w:rsid w:val="3A8618C8"/>
    <w:rsid w:val="3A86202B"/>
    <w:rsid w:val="3A86417A"/>
    <w:rsid w:val="3A866326"/>
    <w:rsid w:val="3A866D46"/>
    <w:rsid w:val="3A8723CC"/>
    <w:rsid w:val="3A872856"/>
    <w:rsid w:val="3A8778FF"/>
    <w:rsid w:val="3A8846BF"/>
    <w:rsid w:val="3A886145"/>
    <w:rsid w:val="3A890988"/>
    <w:rsid w:val="3A8B06D0"/>
    <w:rsid w:val="3A8B1822"/>
    <w:rsid w:val="3A8B353F"/>
    <w:rsid w:val="3A8D0913"/>
    <w:rsid w:val="3A8D1539"/>
    <w:rsid w:val="3A8D72B7"/>
    <w:rsid w:val="3A8F0916"/>
    <w:rsid w:val="3A900B55"/>
    <w:rsid w:val="3A913739"/>
    <w:rsid w:val="3A914FF9"/>
    <w:rsid w:val="3A916DA7"/>
    <w:rsid w:val="3A92014F"/>
    <w:rsid w:val="3A922B1F"/>
    <w:rsid w:val="3A9248BC"/>
    <w:rsid w:val="3A9248CD"/>
    <w:rsid w:val="3A930FF1"/>
    <w:rsid w:val="3A940DB8"/>
    <w:rsid w:val="3A944AE9"/>
    <w:rsid w:val="3A9471DC"/>
    <w:rsid w:val="3A95066C"/>
    <w:rsid w:val="3A960861"/>
    <w:rsid w:val="3A96260F"/>
    <w:rsid w:val="3A963940"/>
    <w:rsid w:val="3A970136"/>
    <w:rsid w:val="3A98381F"/>
    <w:rsid w:val="3A986FED"/>
    <w:rsid w:val="3A9935DC"/>
    <w:rsid w:val="3A993EAE"/>
    <w:rsid w:val="3A9940A2"/>
    <w:rsid w:val="3A99452A"/>
    <w:rsid w:val="3A995C5C"/>
    <w:rsid w:val="3A9B2C1B"/>
    <w:rsid w:val="3A9C053F"/>
    <w:rsid w:val="3A9C6D9A"/>
    <w:rsid w:val="3A9D19CF"/>
    <w:rsid w:val="3A9D6C49"/>
    <w:rsid w:val="3A9E028E"/>
    <w:rsid w:val="3A9E14C4"/>
    <w:rsid w:val="3A9E3272"/>
    <w:rsid w:val="3AA040F2"/>
    <w:rsid w:val="3AA0523C"/>
    <w:rsid w:val="3AA0577F"/>
    <w:rsid w:val="3AA06EC0"/>
    <w:rsid w:val="3AA20FB4"/>
    <w:rsid w:val="3AA217E0"/>
    <w:rsid w:val="3AA21F1A"/>
    <w:rsid w:val="3AA27206"/>
    <w:rsid w:val="3AA30DA5"/>
    <w:rsid w:val="3AA4022C"/>
    <w:rsid w:val="3AA479A0"/>
    <w:rsid w:val="3AA54601"/>
    <w:rsid w:val="3AA641C2"/>
    <w:rsid w:val="3AA73F57"/>
    <w:rsid w:val="3AA94D74"/>
    <w:rsid w:val="3AA97F72"/>
    <w:rsid w:val="3AAA2B43"/>
    <w:rsid w:val="3AAC4791"/>
    <w:rsid w:val="3AAD68F3"/>
    <w:rsid w:val="3AAD713E"/>
    <w:rsid w:val="3AAD7959"/>
    <w:rsid w:val="3AAF1923"/>
    <w:rsid w:val="3AAF372C"/>
    <w:rsid w:val="3AAF547F"/>
    <w:rsid w:val="3AAF722D"/>
    <w:rsid w:val="3AB02213"/>
    <w:rsid w:val="3AB122F7"/>
    <w:rsid w:val="3AB17449"/>
    <w:rsid w:val="3AB224E9"/>
    <w:rsid w:val="3AB31810"/>
    <w:rsid w:val="3AB363F2"/>
    <w:rsid w:val="3AB41065"/>
    <w:rsid w:val="3AB42A96"/>
    <w:rsid w:val="3AB51CCF"/>
    <w:rsid w:val="3AB56AD6"/>
    <w:rsid w:val="3AB720DE"/>
    <w:rsid w:val="3AB7473B"/>
    <w:rsid w:val="3AB75147"/>
    <w:rsid w:val="3AB900AC"/>
    <w:rsid w:val="3AB92D48"/>
    <w:rsid w:val="3AB94550"/>
    <w:rsid w:val="3AB962FE"/>
    <w:rsid w:val="3AB9696C"/>
    <w:rsid w:val="3ABA038B"/>
    <w:rsid w:val="3ABA6401"/>
    <w:rsid w:val="3ABB02C8"/>
    <w:rsid w:val="3ABB2076"/>
    <w:rsid w:val="3ABC194A"/>
    <w:rsid w:val="3ABD5E67"/>
    <w:rsid w:val="3ABE1B66"/>
    <w:rsid w:val="3ABE2B9A"/>
    <w:rsid w:val="3ABE3914"/>
    <w:rsid w:val="3ABE3C74"/>
    <w:rsid w:val="3ABF2198"/>
    <w:rsid w:val="3ABF721B"/>
    <w:rsid w:val="3AC03C6C"/>
    <w:rsid w:val="3AC132AF"/>
    <w:rsid w:val="3AC151B3"/>
    <w:rsid w:val="3AC21656"/>
    <w:rsid w:val="3AC328E0"/>
    <w:rsid w:val="3AC33A6E"/>
    <w:rsid w:val="3AC42054"/>
    <w:rsid w:val="3AC428AC"/>
    <w:rsid w:val="3AC44B7A"/>
    <w:rsid w:val="3AC51E9F"/>
    <w:rsid w:val="3AC54CA3"/>
    <w:rsid w:val="3AC60DE9"/>
    <w:rsid w:val="3AC643D8"/>
    <w:rsid w:val="3AC6636C"/>
    <w:rsid w:val="3AC727C9"/>
    <w:rsid w:val="3AC86541"/>
    <w:rsid w:val="3AC9755C"/>
    <w:rsid w:val="3ACA050B"/>
    <w:rsid w:val="3ACA22B9"/>
    <w:rsid w:val="3ACA6CA9"/>
    <w:rsid w:val="3ACB7183"/>
    <w:rsid w:val="3ACC0DB7"/>
    <w:rsid w:val="3ACC6031"/>
    <w:rsid w:val="3ACC7DDF"/>
    <w:rsid w:val="3ACD1DA9"/>
    <w:rsid w:val="3ACE7FFB"/>
    <w:rsid w:val="3ACF5B21"/>
    <w:rsid w:val="3ACF7F42"/>
    <w:rsid w:val="3AD259C0"/>
    <w:rsid w:val="3AD273C0"/>
    <w:rsid w:val="3AD4138A"/>
    <w:rsid w:val="3AD4275C"/>
    <w:rsid w:val="3AD46C94"/>
    <w:rsid w:val="3AD476B3"/>
    <w:rsid w:val="3AD54849"/>
    <w:rsid w:val="3AD60C5E"/>
    <w:rsid w:val="3AD62A0C"/>
    <w:rsid w:val="3AD63690"/>
    <w:rsid w:val="3AD762C0"/>
    <w:rsid w:val="3AD76784"/>
    <w:rsid w:val="3AD82C28"/>
    <w:rsid w:val="3AD9074E"/>
    <w:rsid w:val="3AD9756D"/>
    <w:rsid w:val="3ADA7C45"/>
    <w:rsid w:val="3ADB6274"/>
    <w:rsid w:val="3ADB7DF8"/>
    <w:rsid w:val="3ADC2E01"/>
    <w:rsid w:val="3ADC4558"/>
    <w:rsid w:val="3ADD023E"/>
    <w:rsid w:val="3ADD1FEC"/>
    <w:rsid w:val="3ADD3456"/>
    <w:rsid w:val="3ADE02F2"/>
    <w:rsid w:val="3ADE0C5F"/>
    <w:rsid w:val="3ADE3FB6"/>
    <w:rsid w:val="3ADE5D64"/>
    <w:rsid w:val="3ADF0647"/>
    <w:rsid w:val="3ADF35F4"/>
    <w:rsid w:val="3ADF4097"/>
    <w:rsid w:val="3AE07D2F"/>
    <w:rsid w:val="3AE07D71"/>
    <w:rsid w:val="3AE07DBB"/>
    <w:rsid w:val="3AE113B1"/>
    <w:rsid w:val="3AE140A2"/>
    <w:rsid w:val="3AE30103"/>
    <w:rsid w:val="3AE34D2F"/>
    <w:rsid w:val="3AE35129"/>
    <w:rsid w:val="3AE44164"/>
    <w:rsid w:val="3AE5032B"/>
    <w:rsid w:val="3AE710BD"/>
    <w:rsid w:val="3AE72E6B"/>
    <w:rsid w:val="3AE74C19"/>
    <w:rsid w:val="3AE75DBA"/>
    <w:rsid w:val="3AE8273F"/>
    <w:rsid w:val="3AE871A3"/>
    <w:rsid w:val="3AE956F7"/>
    <w:rsid w:val="3AE968F3"/>
    <w:rsid w:val="3AE96BE3"/>
    <w:rsid w:val="3AEA4709"/>
    <w:rsid w:val="3AEA64B7"/>
    <w:rsid w:val="3AEA6A92"/>
    <w:rsid w:val="3AEB4A96"/>
    <w:rsid w:val="3AEC082A"/>
    <w:rsid w:val="3AED0BAA"/>
    <w:rsid w:val="3AED5FA8"/>
    <w:rsid w:val="3AEF2CC1"/>
    <w:rsid w:val="3AEF66A6"/>
    <w:rsid w:val="3AEF7F72"/>
    <w:rsid w:val="3AF104C1"/>
    <w:rsid w:val="3AF15A98"/>
    <w:rsid w:val="3AF173D4"/>
    <w:rsid w:val="3AF17846"/>
    <w:rsid w:val="3AF235BE"/>
    <w:rsid w:val="3AF25027"/>
    <w:rsid w:val="3AF31F03"/>
    <w:rsid w:val="3AF3544D"/>
    <w:rsid w:val="3AF52C22"/>
    <w:rsid w:val="3AF537FF"/>
    <w:rsid w:val="3AF550E9"/>
    <w:rsid w:val="3AF606FF"/>
    <w:rsid w:val="3AF61300"/>
    <w:rsid w:val="3AF64E5C"/>
    <w:rsid w:val="3AF67A8F"/>
    <w:rsid w:val="3AF86E26"/>
    <w:rsid w:val="3AF9494C"/>
    <w:rsid w:val="3AF955BF"/>
    <w:rsid w:val="3AFA0868"/>
    <w:rsid w:val="3AFA0DF0"/>
    <w:rsid w:val="3AFA37B9"/>
    <w:rsid w:val="3AFA638A"/>
    <w:rsid w:val="3AFB6916"/>
    <w:rsid w:val="3AFC6E4E"/>
    <w:rsid w:val="3AFD387B"/>
    <w:rsid w:val="3AFD44E9"/>
    <w:rsid w:val="3AFE01B5"/>
    <w:rsid w:val="3AFE6646"/>
    <w:rsid w:val="3AFF2DE4"/>
    <w:rsid w:val="3AFF711C"/>
    <w:rsid w:val="3AFF762B"/>
    <w:rsid w:val="3B021A53"/>
    <w:rsid w:val="3B025502"/>
    <w:rsid w:val="3B026D8D"/>
    <w:rsid w:val="3B027CA5"/>
    <w:rsid w:val="3B0317FE"/>
    <w:rsid w:val="3B037579"/>
    <w:rsid w:val="3B04200D"/>
    <w:rsid w:val="3B0532F1"/>
    <w:rsid w:val="3B053FA5"/>
    <w:rsid w:val="3B0564C4"/>
    <w:rsid w:val="3B06174E"/>
    <w:rsid w:val="3B0678CC"/>
    <w:rsid w:val="3B07350D"/>
    <w:rsid w:val="3B0752BB"/>
    <w:rsid w:val="3B082DE1"/>
    <w:rsid w:val="3B0847B6"/>
    <w:rsid w:val="3B084B8F"/>
    <w:rsid w:val="3B0964BB"/>
    <w:rsid w:val="3B096B87"/>
    <w:rsid w:val="3B0A0908"/>
    <w:rsid w:val="3B0A210E"/>
    <w:rsid w:val="3B0A6B5A"/>
    <w:rsid w:val="3B0B2D7C"/>
    <w:rsid w:val="3B0C5D64"/>
    <w:rsid w:val="3B0C5F1A"/>
    <w:rsid w:val="3B0D21A6"/>
    <w:rsid w:val="3B0D74E4"/>
    <w:rsid w:val="3B0D76DD"/>
    <w:rsid w:val="3B0D786A"/>
    <w:rsid w:val="3B0F1D51"/>
    <w:rsid w:val="3B0F229E"/>
    <w:rsid w:val="3B0F23C2"/>
    <w:rsid w:val="3B0F34C1"/>
    <w:rsid w:val="3B0F5F1E"/>
    <w:rsid w:val="3B113817"/>
    <w:rsid w:val="3B1148ED"/>
    <w:rsid w:val="3B11613A"/>
    <w:rsid w:val="3B117333"/>
    <w:rsid w:val="3B124BCB"/>
    <w:rsid w:val="3B131EB2"/>
    <w:rsid w:val="3B133C60"/>
    <w:rsid w:val="3B141786"/>
    <w:rsid w:val="3B143534"/>
    <w:rsid w:val="3B145AF3"/>
    <w:rsid w:val="3B146F31"/>
    <w:rsid w:val="3B1479D8"/>
    <w:rsid w:val="3B163750"/>
    <w:rsid w:val="3B173953"/>
    <w:rsid w:val="3B176AC7"/>
    <w:rsid w:val="3B181276"/>
    <w:rsid w:val="3B181913"/>
    <w:rsid w:val="3B183024"/>
    <w:rsid w:val="3B1874C8"/>
    <w:rsid w:val="3B190FB1"/>
    <w:rsid w:val="3B192AA3"/>
    <w:rsid w:val="3B1A26B0"/>
    <w:rsid w:val="3B1A3241"/>
    <w:rsid w:val="3B1A5B78"/>
    <w:rsid w:val="3B1B0D67"/>
    <w:rsid w:val="3B1B48C3"/>
    <w:rsid w:val="3B1D688D"/>
    <w:rsid w:val="3B1E2BB4"/>
    <w:rsid w:val="3B1E4879"/>
    <w:rsid w:val="3B1E51EE"/>
    <w:rsid w:val="3B1F0857"/>
    <w:rsid w:val="3B1F1C02"/>
    <w:rsid w:val="3B20012B"/>
    <w:rsid w:val="3B216E1F"/>
    <w:rsid w:val="3B2220F5"/>
    <w:rsid w:val="3B226650"/>
    <w:rsid w:val="3B227097"/>
    <w:rsid w:val="3B227CE0"/>
    <w:rsid w:val="3B2319C9"/>
    <w:rsid w:val="3B23214B"/>
    <w:rsid w:val="3B242A68"/>
    <w:rsid w:val="3B245E6D"/>
    <w:rsid w:val="3B247C1B"/>
    <w:rsid w:val="3B2512FF"/>
    <w:rsid w:val="3B251346"/>
    <w:rsid w:val="3B253993"/>
    <w:rsid w:val="3B255741"/>
    <w:rsid w:val="3B2628A9"/>
    <w:rsid w:val="3B26759C"/>
    <w:rsid w:val="3B27680A"/>
    <w:rsid w:val="3B286837"/>
    <w:rsid w:val="3B286FE0"/>
    <w:rsid w:val="3B293484"/>
    <w:rsid w:val="3B295232"/>
    <w:rsid w:val="3B2A2D58"/>
    <w:rsid w:val="3B2A4BC4"/>
    <w:rsid w:val="3B2A71FC"/>
    <w:rsid w:val="3B2B74FF"/>
    <w:rsid w:val="3B2C2488"/>
    <w:rsid w:val="3B2C4D22"/>
    <w:rsid w:val="3B2D1219"/>
    <w:rsid w:val="3B2E0A9A"/>
    <w:rsid w:val="3B2E4F1D"/>
    <w:rsid w:val="3B2E4FD7"/>
    <w:rsid w:val="3B2F036E"/>
    <w:rsid w:val="3B2F3B39"/>
    <w:rsid w:val="3B2F65C0"/>
    <w:rsid w:val="3B2F6933"/>
    <w:rsid w:val="3B302256"/>
    <w:rsid w:val="3B302653"/>
    <w:rsid w:val="3B304812"/>
    <w:rsid w:val="3B3140E6"/>
    <w:rsid w:val="3B316DAA"/>
    <w:rsid w:val="3B317DFE"/>
    <w:rsid w:val="3B32181A"/>
    <w:rsid w:val="3B3230A5"/>
    <w:rsid w:val="3B3231D0"/>
    <w:rsid w:val="3B331C0C"/>
    <w:rsid w:val="3B337998"/>
    <w:rsid w:val="3B346BE2"/>
    <w:rsid w:val="3B351E28"/>
    <w:rsid w:val="3B365BA1"/>
    <w:rsid w:val="3B37375B"/>
    <w:rsid w:val="3B375028"/>
    <w:rsid w:val="3B3763D1"/>
    <w:rsid w:val="3B3911ED"/>
    <w:rsid w:val="3B392F9B"/>
    <w:rsid w:val="3B39673A"/>
    <w:rsid w:val="3B3A0C4C"/>
    <w:rsid w:val="3B3A303A"/>
    <w:rsid w:val="3B3A4FD5"/>
    <w:rsid w:val="3B3B31B7"/>
    <w:rsid w:val="3B3D1547"/>
    <w:rsid w:val="3B3D2A8B"/>
    <w:rsid w:val="3B3D6F2F"/>
    <w:rsid w:val="3B3D71F1"/>
    <w:rsid w:val="3B3E219E"/>
    <w:rsid w:val="3B3E3D9B"/>
    <w:rsid w:val="3B3F2CA7"/>
    <w:rsid w:val="3B3F4A55"/>
    <w:rsid w:val="3B3F6BB2"/>
    <w:rsid w:val="3B4017A0"/>
    <w:rsid w:val="3B404329"/>
    <w:rsid w:val="3B410B1F"/>
    <w:rsid w:val="3B4200A1"/>
    <w:rsid w:val="3B424B80"/>
    <w:rsid w:val="3B43343F"/>
    <w:rsid w:val="3B4402BD"/>
    <w:rsid w:val="3B44115B"/>
    <w:rsid w:val="3B4419E7"/>
    <w:rsid w:val="3B44206B"/>
    <w:rsid w:val="3B444BB7"/>
    <w:rsid w:val="3B4554A0"/>
    <w:rsid w:val="3B47390A"/>
    <w:rsid w:val="3B475023"/>
    <w:rsid w:val="3B4756B8"/>
    <w:rsid w:val="3B4879B9"/>
    <w:rsid w:val="3B49037B"/>
    <w:rsid w:val="3B4904B8"/>
    <w:rsid w:val="3B49541D"/>
    <w:rsid w:val="3B4958D4"/>
    <w:rsid w:val="3B497682"/>
    <w:rsid w:val="3B4A0741"/>
    <w:rsid w:val="3B4A236B"/>
    <w:rsid w:val="3B4B1892"/>
    <w:rsid w:val="3B4C5C32"/>
    <w:rsid w:val="3B4D2659"/>
    <w:rsid w:val="3B4D7963"/>
    <w:rsid w:val="3B4E0552"/>
    <w:rsid w:val="3B4E14F1"/>
    <w:rsid w:val="3B4E2EEA"/>
    <w:rsid w:val="3B4E4C98"/>
    <w:rsid w:val="3B4E6A46"/>
    <w:rsid w:val="3B4F0A10"/>
    <w:rsid w:val="3B4F0C23"/>
    <w:rsid w:val="3B4F19E2"/>
    <w:rsid w:val="3B4F45B3"/>
    <w:rsid w:val="3B4F7A07"/>
    <w:rsid w:val="3B506C62"/>
    <w:rsid w:val="3B51485B"/>
    <w:rsid w:val="3B51769C"/>
    <w:rsid w:val="3B530501"/>
    <w:rsid w:val="3B532F34"/>
    <w:rsid w:val="3B547DD5"/>
    <w:rsid w:val="3B5511CE"/>
    <w:rsid w:val="3B55139D"/>
    <w:rsid w:val="3B554279"/>
    <w:rsid w:val="3B561D9F"/>
    <w:rsid w:val="3B563B4D"/>
    <w:rsid w:val="3B5702B3"/>
    <w:rsid w:val="3B572D45"/>
    <w:rsid w:val="3B581673"/>
    <w:rsid w:val="3B5823DA"/>
    <w:rsid w:val="3B583D69"/>
    <w:rsid w:val="3B591E8F"/>
    <w:rsid w:val="3B5969BE"/>
    <w:rsid w:val="3B5A5FC6"/>
    <w:rsid w:val="3B5A6F24"/>
    <w:rsid w:val="3B5A7399"/>
    <w:rsid w:val="3B5B1995"/>
    <w:rsid w:val="3B5C0433"/>
    <w:rsid w:val="3B5C1857"/>
    <w:rsid w:val="3B5D258A"/>
    <w:rsid w:val="3B5D312D"/>
    <w:rsid w:val="3B5D4EDB"/>
    <w:rsid w:val="3B5E0507"/>
    <w:rsid w:val="3B5F6EA5"/>
    <w:rsid w:val="3B602967"/>
    <w:rsid w:val="3B6049CB"/>
    <w:rsid w:val="3B605538"/>
    <w:rsid w:val="3B605CFC"/>
    <w:rsid w:val="3B6169C8"/>
    <w:rsid w:val="3B620744"/>
    <w:rsid w:val="3B6224F2"/>
    <w:rsid w:val="3B62551E"/>
    <w:rsid w:val="3B626996"/>
    <w:rsid w:val="3B627E64"/>
    <w:rsid w:val="3B6312E8"/>
    <w:rsid w:val="3B632A29"/>
    <w:rsid w:val="3B632BD4"/>
    <w:rsid w:val="3B6410EC"/>
    <w:rsid w:val="3B64270E"/>
    <w:rsid w:val="3B643EB9"/>
    <w:rsid w:val="3B64626A"/>
    <w:rsid w:val="3B647543"/>
    <w:rsid w:val="3B651746"/>
    <w:rsid w:val="3B653D90"/>
    <w:rsid w:val="3B660234"/>
    <w:rsid w:val="3B67283A"/>
    <w:rsid w:val="3B677B08"/>
    <w:rsid w:val="3B68697A"/>
    <w:rsid w:val="3B6A75F8"/>
    <w:rsid w:val="3B6A7640"/>
    <w:rsid w:val="3B6B584A"/>
    <w:rsid w:val="3B6C15C2"/>
    <w:rsid w:val="3B6C3ADB"/>
    <w:rsid w:val="3B6C511E"/>
    <w:rsid w:val="3B6D76D3"/>
    <w:rsid w:val="3B6E0E96"/>
    <w:rsid w:val="3B6E70E8"/>
    <w:rsid w:val="3B6F0FCC"/>
    <w:rsid w:val="3B6F4C0F"/>
    <w:rsid w:val="3B7007FB"/>
    <w:rsid w:val="3B7010B2"/>
    <w:rsid w:val="3B702E61"/>
    <w:rsid w:val="3B710987"/>
    <w:rsid w:val="3B714A0E"/>
    <w:rsid w:val="3B714E2B"/>
    <w:rsid w:val="3B7164BD"/>
    <w:rsid w:val="3B717625"/>
    <w:rsid w:val="3B7364AD"/>
    <w:rsid w:val="3B742225"/>
    <w:rsid w:val="3B75491E"/>
    <w:rsid w:val="3B7562CE"/>
    <w:rsid w:val="3B762441"/>
    <w:rsid w:val="3B781D15"/>
    <w:rsid w:val="3B783658"/>
    <w:rsid w:val="3B7837BF"/>
    <w:rsid w:val="3B783AC3"/>
    <w:rsid w:val="3B787F67"/>
    <w:rsid w:val="3B790731"/>
    <w:rsid w:val="3B7A0CB0"/>
    <w:rsid w:val="3B7A3CDF"/>
    <w:rsid w:val="3B7A513D"/>
    <w:rsid w:val="3B7A5A8D"/>
    <w:rsid w:val="3B7C62E4"/>
    <w:rsid w:val="3B7C7A57"/>
    <w:rsid w:val="3B7D0374"/>
    <w:rsid w:val="3B7D37CF"/>
    <w:rsid w:val="3B7D557D"/>
    <w:rsid w:val="3B7D732B"/>
    <w:rsid w:val="3B7F12F6"/>
    <w:rsid w:val="3B7F2E75"/>
    <w:rsid w:val="3B7F30A4"/>
    <w:rsid w:val="3B7F5446"/>
    <w:rsid w:val="3B7F67AB"/>
    <w:rsid w:val="3B80097F"/>
    <w:rsid w:val="3B800BCA"/>
    <w:rsid w:val="3B806E1C"/>
    <w:rsid w:val="3B81185E"/>
    <w:rsid w:val="3B81506E"/>
    <w:rsid w:val="3B827006"/>
    <w:rsid w:val="3B840582"/>
    <w:rsid w:val="3B844B5E"/>
    <w:rsid w:val="3B8526FD"/>
    <w:rsid w:val="3B8531F2"/>
    <w:rsid w:val="3B854432"/>
    <w:rsid w:val="3B867253"/>
    <w:rsid w:val="3B8701AA"/>
    <w:rsid w:val="3B872146"/>
    <w:rsid w:val="3B8745B7"/>
    <w:rsid w:val="3B87524F"/>
    <w:rsid w:val="3B8763FC"/>
    <w:rsid w:val="3B880A2E"/>
    <w:rsid w:val="3B885D5C"/>
    <w:rsid w:val="3B8941BE"/>
    <w:rsid w:val="3B895CD0"/>
    <w:rsid w:val="3B8962EF"/>
    <w:rsid w:val="3B8A37F6"/>
    <w:rsid w:val="3B8A5833"/>
    <w:rsid w:val="3B8A5BD4"/>
    <w:rsid w:val="3B8A6325"/>
    <w:rsid w:val="3B8B1A65"/>
    <w:rsid w:val="3B8B7C9A"/>
    <w:rsid w:val="3B8C4421"/>
    <w:rsid w:val="3B8C61B4"/>
    <w:rsid w:val="3B8C756F"/>
    <w:rsid w:val="3B8E3118"/>
    <w:rsid w:val="3B8E32E7"/>
    <w:rsid w:val="3B8F6E75"/>
    <w:rsid w:val="3B902ED6"/>
    <w:rsid w:val="3B903503"/>
    <w:rsid w:val="3B90705F"/>
    <w:rsid w:val="3B911029"/>
    <w:rsid w:val="3B911BA5"/>
    <w:rsid w:val="3B914B85"/>
    <w:rsid w:val="3B915AA7"/>
    <w:rsid w:val="3B922EDF"/>
    <w:rsid w:val="3B9308FD"/>
    <w:rsid w:val="3B95163B"/>
    <w:rsid w:val="3B9603ED"/>
    <w:rsid w:val="3B96663F"/>
    <w:rsid w:val="3B9701D8"/>
    <w:rsid w:val="3B981668"/>
    <w:rsid w:val="3B982409"/>
    <w:rsid w:val="3B9A612F"/>
    <w:rsid w:val="3B9A7EDD"/>
    <w:rsid w:val="3B9B1061"/>
    <w:rsid w:val="3B9B7FE9"/>
    <w:rsid w:val="3B9C1EA7"/>
    <w:rsid w:val="3B9C3C56"/>
    <w:rsid w:val="3B9D404A"/>
    <w:rsid w:val="3B9D79CE"/>
    <w:rsid w:val="3B9E00B5"/>
    <w:rsid w:val="3B9E249A"/>
    <w:rsid w:val="3B9F3746"/>
    <w:rsid w:val="3B9F54F4"/>
    <w:rsid w:val="3B9F696A"/>
    <w:rsid w:val="3BA0301A"/>
    <w:rsid w:val="3BA24FE4"/>
    <w:rsid w:val="3BA252EB"/>
    <w:rsid w:val="3BA26367"/>
    <w:rsid w:val="3BA40D5C"/>
    <w:rsid w:val="3BA4134C"/>
    <w:rsid w:val="3BA448B8"/>
    <w:rsid w:val="3BA50630"/>
    <w:rsid w:val="3BA7084C"/>
    <w:rsid w:val="3BA743A8"/>
    <w:rsid w:val="3BA77F59"/>
    <w:rsid w:val="3BA925ED"/>
    <w:rsid w:val="3BA951BE"/>
    <w:rsid w:val="3BAA0D12"/>
    <w:rsid w:val="3BAA122E"/>
    <w:rsid w:val="3BAA3A7D"/>
    <w:rsid w:val="3BAA3D8F"/>
    <w:rsid w:val="3BAA3FB1"/>
    <w:rsid w:val="3BAA5C47"/>
    <w:rsid w:val="3BAB20EB"/>
    <w:rsid w:val="3BAB2C44"/>
    <w:rsid w:val="3BAB4433"/>
    <w:rsid w:val="3BAB4D14"/>
    <w:rsid w:val="3BAC552A"/>
    <w:rsid w:val="3BAD7E08"/>
    <w:rsid w:val="3BAE2878"/>
    <w:rsid w:val="3BAF0E16"/>
    <w:rsid w:val="3BAF3466"/>
    <w:rsid w:val="3BB0325D"/>
    <w:rsid w:val="3BB30F9F"/>
    <w:rsid w:val="3BB31AE1"/>
    <w:rsid w:val="3BB31D50"/>
    <w:rsid w:val="3BB32D4D"/>
    <w:rsid w:val="3BB32E97"/>
    <w:rsid w:val="3BB3520E"/>
    <w:rsid w:val="3BB422D1"/>
    <w:rsid w:val="3BB44EF0"/>
    <w:rsid w:val="3BB47700"/>
    <w:rsid w:val="3BB55FAD"/>
    <w:rsid w:val="3BB56AC5"/>
    <w:rsid w:val="3BB645EB"/>
    <w:rsid w:val="3BB6700C"/>
    <w:rsid w:val="3BB70A8F"/>
    <w:rsid w:val="3BB77BFA"/>
    <w:rsid w:val="3BB80364"/>
    <w:rsid w:val="3BB84807"/>
    <w:rsid w:val="3BB865B6"/>
    <w:rsid w:val="3BB9280A"/>
    <w:rsid w:val="3BB93A0B"/>
    <w:rsid w:val="3BB9498E"/>
    <w:rsid w:val="3BBA232E"/>
    <w:rsid w:val="3BBA2AA9"/>
    <w:rsid w:val="3BBB7E54"/>
    <w:rsid w:val="3BBD2CCA"/>
    <w:rsid w:val="3BBE3A81"/>
    <w:rsid w:val="3BBF5B96"/>
    <w:rsid w:val="3BC1190E"/>
    <w:rsid w:val="3BC15DB8"/>
    <w:rsid w:val="3BC27434"/>
    <w:rsid w:val="3BC44F5A"/>
    <w:rsid w:val="3BC46D08"/>
    <w:rsid w:val="3BC60CD2"/>
    <w:rsid w:val="3BC74A4B"/>
    <w:rsid w:val="3BC907C3"/>
    <w:rsid w:val="3BC92571"/>
    <w:rsid w:val="3BC9468F"/>
    <w:rsid w:val="3BCA31CC"/>
    <w:rsid w:val="3BCA3F69"/>
    <w:rsid w:val="3BCA7C0B"/>
    <w:rsid w:val="3BCB0097"/>
    <w:rsid w:val="3BCB411B"/>
    <w:rsid w:val="3BCB453B"/>
    <w:rsid w:val="3BCB572D"/>
    <w:rsid w:val="3BCB70C7"/>
    <w:rsid w:val="3BCC0557"/>
    <w:rsid w:val="3BCC3553"/>
    <w:rsid w:val="3BCE1CA5"/>
    <w:rsid w:val="3BCE3934"/>
    <w:rsid w:val="3BCE477F"/>
    <w:rsid w:val="3BCE5A48"/>
    <w:rsid w:val="3BCE5DD9"/>
    <w:rsid w:val="3BCE6C1F"/>
    <w:rsid w:val="3BCE7B87"/>
    <w:rsid w:val="3BD056AD"/>
    <w:rsid w:val="3BD11425"/>
    <w:rsid w:val="3BD17677"/>
    <w:rsid w:val="3BD17932"/>
    <w:rsid w:val="3BD2044D"/>
    <w:rsid w:val="3BD3519D"/>
    <w:rsid w:val="3BD50F16"/>
    <w:rsid w:val="3BD553B9"/>
    <w:rsid w:val="3BD57ACD"/>
    <w:rsid w:val="3BD609C6"/>
    <w:rsid w:val="3BD648D2"/>
    <w:rsid w:val="3BD66A3C"/>
    <w:rsid w:val="3BD74824"/>
    <w:rsid w:val="3BD74C8E"/>
    <w:rsid w:val="3BD80A06"/>
    <w:rsid w:val="3BDA29D0"/>
    <w:rsid w:val="3BDA3C6A"/>
    <w:rsid w:val="3BDA3FEB"/>
    <w:rsid w:val="3BDB0B27"/>
    <w:rsid w:val="3BDB4052"/>
    <w:rsid w:val="3BDB547B"/>
    <w:rsid w:val="3BDC59AB"/>
    <w:rsid w:val="3BDC7ACA"/>
    <w:rsid w:val="3BDD601C"/>
    <w:rsid w:val="3BDD7DCA"/>
    <w:rsid w:val="3BDE728E"/>
    <w:rsid w:val="3BDF1D94"/>
    <w:rsid w:val="3BDF3B42"/>
    <w:rsid w:val="3BDF7FE6"/>
    <w:rsid w:val="3BE07E5D"/>
    <w:rsid w:val="3BE1036C"/>
    <w:rsid w:val="3BE11F26"/>
    <w:rsid w:val="3BE14825"/>
    <w:rsid w:val="3BE15B0C"/>
    <w:rsid w:val="3BE178BA"/>
    <w:rsid w:val="3BE253E0"/>
    <w:rsid w:val="3BE35CEF"/>
    <w:rsid w:val="3BE36892"/>
    <w:rsid w:val="3BE402BD"/>
    <w:rsid w:val="3BE40F41"/>
    <w:rsid w:val="3BE41159"/>
    <w:rsid w:val="3BE43358"/>
    <w:rsid w:val="3BE43C9D"/>
    <w:rsid w:val="3BE4509D"/>
    <w:rsid w:val="3BE47317"/>
    <w:rsid w:val="3BE5007A"/>
    <w:rsid w:val="3BE51ED5"/>
    <w:rsid w:val="3BE610FE"/>
    <w:rsid w:val="3BE61375"/>
    <w:rsid w:val="3BE63123"/>
    <w:rsid w:val="3BE70C49"/>
    <w:rsid w:val="3BE8106B"/>
    <w:rsid w:val="3BE949C1"/>
    <w:rsid w:val="3BE97E3F"/>
    <w:rsid w:val="3BEB24E7"/>
    <w:rsid w:val="3BEC28F8"/>
    <w:rsid w:val="3BEC625F"/>
    <w:rsid w:val="3BED061E"/>
    <w:rsid w:val="3BED44B1"/>
    <w:rsid w:val="3BED7890"/>
    <w:rsid w:val="3BEE351A"/>
    <w:rsid w:val="3BEF7222"/>
    <w:rsid w:val="3BEF7DFD"/>
    <w:rsid w:val="3BF01A06"/>
    <w:rsid w:val="3BF138C7"/>
    <w:rsid w:val="3BF21AC7"/>
    <w:rsid w:val="3BF252E5"/>
    <w:rsid w:val="3BF34BD3"/>
    <w:rsid w:val="3BF35840"/>
    <w:rsid w:val="3BF375EE"/>
    <w:rsid w:val="3BF444FD"/>
    <w:rsid w:val="3BF515B8"/>
    <w:rsid w:val="3BF55114"/>
    <w:rsid w:val="3BF56022"/>
    <w:rsid w:val="3BF5780A"/>
    <w:rsid w:val="3BF62083"/>
    <w:rsid w:val="3BF65ED8"/>
    <w:rsid w:val="3BF70E8C"/>
    <w:rsid w:val="3BF771B7"/>
    <w:rsid w:val="3BF84C04"/>
    <w:rsid w:val="3BF96496"/>
    <w:rsid w:val="3BF97574"/>
    <w:rsid w:val="3BFA4E20"/>
    <w:rsid w:val="3BFA6BCE"/>
    <w:rsid w:val="3BFB4A65"/>
    <w:rsid w:val="3BFE66BE"/>
    <w:rsid w:val="3BFF2436"/>
    <w:rsid w:val="3C015002"/>
    <w:rsid w:val="3C015345"/>
    <w:rsid w:val="3C0161AE"/>
    <w:rsid w:val="3C017C3C"/>
    <w:rsid w:val="3C017F5D"/>
    <w:rsid w:val="3C021D67"/>
    <w:rsid w:val="3C025A83"/>
    <w:rsid w:val="3C033CD5"/>
    <w:rsid w:val="3C0356A1"/>
    <w:rsid w:val="3C0417FB"/>
    <w:rsid w:val="3C044687"/>
    <w:rsid w:val="3C0468F4"/>
    <w:rsid w:val="3C046A24"/>
    <w:rsid w:val="3C047A4D"/>
    <w:rsid w:val="3C053113"/>
    <w:rsid w:val="3C057788"/>
    <w:rsid w:val="3C060031"/>
    <w:rsid w:val="3C0623AC"/>
    <w:rsid w:val="3C0637C5"/>
    <w:rsid w:val="3C073099"/>
    <w:rsid w:val="3C07563A"/>
    <w:rsid w:val="3C075A28"/>
    <w:rsid w:val="3C07638F"/>
    <w:rsid w:val="3C080772"/>
    <w:rsid w:val="3C081184"/>
    <w:rsid w:val="3C0812EB"/>
    <w:rsid w:val="3C08753D"/>
    <w:rsid w:val="3C091D72"/>
    <w:rsid w:val="3C096E11"/>
    <w:rsid w:val="3C0A203F"/>
    <w:rsid w:val="3C0A2369"/>
    <w:rsid w:val="3C0B2B89"/>
    <w:rsid w:val="3C0B2F57"/>
    <w:rsid w:val="3C0B4937"/>
    <w:rsid w:val="3C0C6C9A"/>
    <w:rsid w:val="3C0D06AF"/>
    <w:rsid w:val="3C0D22BA"/>
    <w:rsid w:val="3C0D6F1B"/>
    <w:rsid w:val="3C0F436B"/>
    <w:rsid w:val="3C102F41"/>
    <w:rsid w:val="3C116C8B"/>
    <w:rsid w:val="3C123F18"/>
    <w:rsid w:val="3C1302F9"/>
    <w:rsid w:val="3C1315AB"/>
    <w:rsid w:val="3C131855"/>
    <w:rsid w:val="3C14417C"/>
    <w:rsid w:val="3C1501DD"/>
    <w:rsid w:val="3C153A08"/>
    <w:rsid w:val="3C1557B6"/>
    <w:rsid w:val="3C157564"/>
    <w:rsid w:val="3C17152E"/>
    <w:rsid w:val="3C181C96"/>
    <w:rsid w:val="3C187054"/>
    <w:rsid w:val="3C18727C"/>
    <w:rsid w:val="3C19541D"/>
    <w:rsid w:val="3C1A68AD"/>
    <w:rsid w:val="3C1A7270"/>
    <w:rsid w:val="3C1C2863"/>
    <w:rsid w:val="3C1C4D96"/>
    <w:rsid w:val="3C1C6B2D"/>
    <w:rsid w:val="3C1C6B44"/>
    <w:rsid w:val="3C1D466B"/>
    <w:rsid w:val="3C1E11FA"/>
    <w:rsid w:val="3C1F128F"/>
    <w:rsid w:val="3C1F3929"/>
    <w:rsid w:val="3C1F6635"/>
    <w:rsid w:val="3C20271F"/>
    <w:rsid w:val="3C20321B"/>
    <w:rsid w:val="3C2052F0"/>
    <w:rsid w:val="3C2123AD"/>
    <w:rsid w:val="3C213DBA"/>
    <w:rsid w:val="3C215F09"/>
    <w:rsid w:val="3C221C81"/>
    <w:rsid w:val="3C223652"/>
    <w:rsid w:val="3C231F5C"/>
    <w:rsid w:val="3C233945"/>
    <w:rsid w:val="3C24191D"/>
    <w:rsid w:val="3C243C4B"/>
    <w:rsid w:val="3C245C23"/>
    <w:rsid w:val="3C2520AD"/>
    <w:rsid w:val="3C257D24"/>
    <w:rsid w:val="3C2725F2"/>
    <w:rsid w:val="3C277297"/>
    <w:rsid w:val="3C28373B"/>
    <w:rsid w:val="3C291261"/>
    <w:rsid w:val="3C29300F"/>
    <w:rsid w:val="3C294C58"/>
    <w:rsid w:val="3C2974B3"/>
    <w:rsid w:val="3C2B322B"/>
    <w:rsid w:val="3C2B4FD9"/>
    <w:rsid w:val="3C2B6440"/>
    <w:rsid w:val="3C2C1307"/>
    <w:rsid w:val="3C2C3893"/>
    <w:rsid w:val="3C2C4054"/>
    <w:rsid w:val="3C2C72C9"/>
    <w:rsid w:val="3C2D4520"/>
    <w:rsid w:val="3C2D6B47"/>
    <w:rsid w:val="3C2E4FEE"/>
    <w:rsid w:val="3C2E672C"/>
    <w:rsid w:val="3C2E7C93"/>
    <w:rsid w:val="3C2F4762"/>
    <w:rsid w:val="3C2F6E1E"/>
    <w:rsid w:val="3C300842"/>
    <w:rsid w:val="3C30182C"/>
    <w:rsid w:val="3C301D17"/>
    <w:rsid w:val="3C312712"/>
    <w:rsid w:val="3C3228C7"/>
    <w:rsid w:val="3C3255C3"/>
    <w:rsid w:val="3C3345E3"/>
    <w:rsid w:val="3C334D10"/>
    <w:rsid w:val="3C335C3C"/>
    <w:rsid w:val="3C336BF6"/>
    <w:rsid w:val="3C342025"/>
    <w:rsid w:val="3C3519B4"/>
    <w:rsid w:val="3C351E3D"/>
    <w:rsid w:val="3C371BD0"/>
    <w:rsid w:val="3C372946"/>
    <w:rsid w:val="3C37397E"/>
    <w:rsid w:val="3C37572C"/>
    <w:rsid w:val="3C395185"/>
    <w:rsid w:val="3C395948"/>
    <w:rsid w:val="3C3A1C27"/>
    <w:rsid w:val="3C3A346E"/>
    <w:rsid w:val="3C3A6FCB"/>
    <w:rsid w:val="3C3B14C0"/>
    <w:rsid w:val="3C3B16E8"/>
    <w:rsid w:val="3C3B62F2"/>
    <w:rsid w:val="3C3B7168"/>
    <w:rsid w:val="3C3B7327"/>
    <w:rsid w:val="3C3C0F95"/>
    <w:rsid w:val="3C3C2D43"/>
    <w:rsid w:val="3C3C71E7"/>
    <w:rsid w:val="3C3D1806"/>
    <w:rsid w:val="3C3D4818"/>
    <w:rsid w:val="3C3E10BB"/>
    <w:rsid w:val="3C3F0A85"/>
    <w:rsid w:val="3C3F2833"/>
    <w:rsid w:val="3C402663"/>
    <w:rsid w:val="3C406CD7"/>
    <w:rsid w:val="3C410359"/>
    <w:rsid w:val="3C4147FD"/>
    <w:rsid w:val="3C415D6A"/>
    <w:rsid w:val="3C4165AB"/>
    <w:rsid w:val="3C423D71"/>
    <w:rsid w:val="3C430575"/>
    <w:rsid w:val="3C43717E"/>
    <w:rsid w:val="3C4446EB"/>
    <w:rsid w:val="3C444FF1"/>
    <w:rsid w:val="3C4467E5"/>
    <w:rsid w:val="3C452DA8"/>
    <w:rsid w:val="3C452FAA"/>
    <w:rsid w:val="3C4542ED"/>
    <w:rsid w:val="3C456A27"/>
    <w:rsid w:val="3C461576"/>
    <w:rsid w:val="3C4615DB"/>
    <w:rsid w:val="3C461E13"/>
    <w:rsid w:val="3C463BC1"/>
    <w:rsid w:val="3C4675C6"/>
    <w:rsid w:val="3C473AD0"/>
    <w:rsid w:val="3C476B9C"/>
    <w:rsid w:val="3C48192B"/>
    <w:rsid w:val="3C48306C"/>
    <w:rsid w:val="3C485C31"/>
    <w:rsid w:val="3C487939"/>
    <w:rsid w:val="3C495460"/>
    <w:rsid w:val="3C4A1903"/>
    <w:rsid w:val="3C4A28EC"/>
    <w:rsid w:val="3C4A342B"/>
    <w:rsid w:val="3C4A424B"/>
    <w:rsid w:val="3C4B215E"/>
    <w:rsid w:val="3C4B3CAF"/>
    <w:rsid w:val="3C4C0B25"/>
    <w:rsid w:val="3C4C2E7D"/>
    <w:rsid w:val="3C4D13F4"/>
    <w:rsid w:val="3C4E0CC8"/>
    <w:rsid w:val="3C4E2F2E"/>
    <w:rsid w:val="3C4E579D"/>
    <w:rsid w:val="3C4F64BA"/>
    <w:rsid w:val="3C504A40"/>
    <w:rsid w:val="3C5067EE"/>
    <w:rsid w:val="3C513BCE"/>
    <w:rsid w:val="3C53008C"/>
    <w:rsid w:val="3C541725"/>
    <w:rsid w:val="3C544530"/>
    <w:rsid w:val="3C5462DE"/>
    <w:rsid w:val="3C552A59"/>
    <w:rsid w:val="3C553E04"/>
    <w:rsid w:val="3C563F2F"/>
    <w:rsid w:val="3C56451E"/>
    <w:rsid w:val="3C565103"/>
    <w:rsid w:val="3C571DBF"/>
    <w:rsid w:val="3C5753BF"/>
    <w:rsid w:val="3C575DCE"/>
    <w:rsid w:val="3C585C08"/>
    <w:rsid w:val="3C592124"/>
    <w:rsid w:val="3C5938F5"/>
    <w:rsid w:val="3C597D99"/>
    <w:rsid w:val="3C5A141B"/>
    <w:rsid w:val="3C5A2522"/>
    <w:rsid w:val="3C5A3D43"/>
    <w:rsid w:val="3C5A59E2"/>
    <w:rsid w:val="3C5A766D"/>
    <w:rsid w:val="3C5B40BF"/>
    <w:rsid w:val="3C5B6745"/>
    <w:rsid w:val="3C5C33E5"/>
    <w:rsid w:val="3C5D39E3"/>
    <w:rsid w:val="3C5E00ED"/>
    <w:rsid w:val="3C5E0F0B"/>
    <w:rsid w:val="3C5E7036"/>
    <w:rsid w:val="3C601127"/>
    <w:rsid w:val="3C607499"/>
    <w:rsid w:val="3C613C13"/>
    <w:rsid w:val="3C622294"/>
    <w:rsid w:val="3C623EED"/>
    <w:rsid w:val="3C624382"/>
    <w:rsid w:val="3C6348C7"/>
    <w:rsid w:val="3C644A43"/>
    <w:rsid w:val="3C6504EB"/>
    <w:rsid w:val="3C652594"/>
    <w:rsid w:val="3C65673D"/>
    <w:rsid w:val="3C6621D8"/>
    <w:rsid w:val="3C666012"/>
    <w:rsid w:val="3C666EF7"/>
    <w:rsid w:val="3C67406A"/>
    <w:rsid w:val="3C681D8A"/>
    <w:rsid w:val="3C687FDC"/>
    <w:rsid w:val="3C6912F4"/>
    <w:rsid w:val="3C69234F"/>
    <w:rsid w:val="3C696B7A"/>
    <w:rsid w:val="3C6978B0"/>
    <w:rsid w:val="3C6B232C"/>
    <w:rsid w:val="3C6B3628"/>
    <w:rsid w:val="3C6B4CC5"/>
    <w:rsid w:val="3C6C6155"/>
    <w:rsid w:val="3C6D114E"/>
    <w:rsid w:val="3C6D55F2"/>
    <w:rsid w:val="3C6E4499"/>
    <w:rsid w:val="3C6E4EC6"/>
    <w:rsid w:val="3C6F136A"/>
    <w:rsid w:val="3C7076A7"/>
    <w:rsid w:val="3C722C08"/>
    <w:rsid w:val="3C724604"/>
    <w:rsid w:val="3C726340"/>
    <w:rsid w:val="3C7274CC"/>
    <w:rsid w:val="3C7324DC"/>
    <w:rsid w:val="3C746980"/>
    <w:rsid w:val="3C750673"/>
    <w:rsid w:val="3C756255"/>
    <w:rsid w:val="3C757998"/>
    <w:rsid w:val="3C762181"/>
    <w:rsid w:val="3C763519"/>
    <w:rsid w:val="3C77306C"/>
    <w:rsid w:val="3C775E39"/>
    <w:rsid w:val="3C795D45"/>
    <w:rsid w:val="3C7A1ABD"/>
    <w:rsid w:val="3C7A799D"/>
    <w:rsid w:val="3C7B47BA"/>
    <w:rsid w:val="3C7B7D0F"/>
    <w:rsid w:val="3C7C1E6B"/>
    <w:rsid w:val="3C7D1A3B"/>
    <w:rsid w:val="3C7D20E9"/>
    <w:rsid w:val="3C7D7481"/>
    <w:rsid w:val="3C7E0174"/>
    <w:rsid w:val="3C7F0E81"/>
    <w:rsid w:val="3C7F5D0C"/>
    <w:rsid w:val="3C7F70D3"/>
    <w:rsid w:val="3C8035CE"/>
    <w:rsid w:val="3C805325"/>
    <w:rsid w:val="3C806697"/>
    <w:rsid w:val="3C81062C"/>
    <w:rsid w:val="3C8146EE"/>
    <w:rsid w:val="3C814BF9"/>
    <w:rsid w:val="3C814E94"/>
    <w:rsid w:val="3C827C14"/>
    <w:rsid w:val="3C830028"/>
    <w:rsid w:val="3C830972"/>
    <w:rsid w:val="3C831164"/>
    <w:rsid w:val="3C83241C"/>
    <w:rsid w:val="3C833CE0"/>
    <w:rsid w:val="3C8343DC"/>
    <w:rsid w:val="3C83677D"/>
    <w:rsid w:val="3C840096"/>
    <w:rsid w:val="3C841135"/>
    <w:rsid w:val="3C8446EA"/>
    <w:rsid w:val="3C8447A8"/>
    <w:rsid w:val="3C846F7C"/>
    <w:rsid w:val="3C846FAD"/>
    <w:rsid w:val="3C847405"/>
    <w:rsid w:val="3C85043D"/>
    <w:rsid w:val="3C850B8E"/>
    <w:rsid w:val="3C860462"/>
    <w:rsid w:val="3C862210"/>
    <w:rsid w:val="3C87220D"/>
    <w:rsid w:val="3C874411"/>
    <w:rsid w:val="3C87592E"/>
    <w:rsid w:val="3C87698F"/>
    <w:rsid w:val="3C887535"/>
    <w:rsid w:val="3C890A88"/>
    <w:rsid w:val="3C891A50"/>
    <w:rsid w:val="3C8A1488"/>
    <w:rsid w:val="3C8A16DE"/>
    <w:rsid w:val="3C8A1D00"/>
    <w:rsid w:val="3C8A7C0A"/>
    <w:rsid w:val="3C8B191C"/>
    <w:rsid w:val="3C8B3CCA"/>
    <w:rsid w:val="3C8B637F"/>
    <w:rsid w:val="3C8B6398"/>
    <w:rsid w:val="3C8B7826"/>
    <w:rsid w:val="3C8C04BC"/>
    <w:rsid w:val="3C8C056C"/>
    <w:rsid w:val="3C8C1F1C"/>
    <w:rsid w:val="3C8D17F0"/>
    <w:rsid w:val="3C8E2C30"/>
    <w:rsid w:val="3C8E444E"/>
    <w:rsid w:val="3C8F37BA"/>
    <w:rsid w:val="3C8F5568"/>
    <w:rsid w:val="3C8F7316"/>
    <w:rsid w:val="3C900121"/>
    <w:rsid w:val="3C9012E0"/>
    <w:rsid w:val="3C90308E"/>
    <w:rsid w:val="3C920BB5"/>
    <w:rsid w:val="3C922A41"/>
    <w:rsid w:val="3C93202E"/>
    <w:rsid w:val="3C942B7F"/>
    <w:rsid w:val="3C945583"/>
    <w:rsid w:val="3C954311"/>
    <w:rsid w:val="3C954D55"/>
    <w:rsid w:val="3C961678"/>
    <w:rsid w:val="3C964B49"/>
    <w:rsid w:val="3C9859BB"/>
    <w:rsid w:val="3C990195"/>
    <w:rsid w:val="3C990CD3"/>
    <w:rsid w:val="3C991F43"/>
    <w:rsid w:val="3C99353E"/>
    <w:rsid w:val="3C995610"/>
    <w:rsid w:val="3C9963E7"/>
    <w:rsid w:val="3C9A2914"/>
    <w:rsid w:val="3C9A5CBB"/>
    <w:rsid w:val="3C9B0E79"/>
    <w:rsid w:val="3C9B1590"/>
    <w:rsid w:val="3C9B3F0D"/>
    <w:rsid w:val="3C9C1A33"/>
    <w:rsid w:val="3C9C346F"/>
    <w:rsid w:val="3C9C5ED7"/>
    <w:rsid w:val="3C9C64EF"/>
    <w:rsid w:val="3C9E1C4F"/>
    <w:rsid w:val="3C9E3284"/>
    <w:rsid w:val="3C9E39FD"/>
    <w:rsid w:val="3C9F32D2"/>
    <w:rsid w:val="3CA01523"/>
    <w:rsid w:val="3CA07775"/>
    <w:rsid w:val="3CA07C16"/>
    <w:rsid w:val="3CA1529C"/>
    <w:rsid w:val="3CA31014"/>
    <w:rsid w:val="3CA336DA"/>
    <w:rsid w:val="3CA37533"/>
    <w:rsid w:val="3CA4693B"/>
    <w:rsid w:val="3CA52FDE"/>
    <w:rsid w:val="3CA577DA"/>
    <w:rsid w:val="3CA60B04"/>
    <w:rsid w:val="3CA64660"/>
    <w:rsid w:val="3CA658F9"/>
    <w:rsid w:val="3CA65DAF"/>
    <w:rsid w:val="3CA7361B"/>
    <w:rsid w:val="3CA803D8"/>
    <w:rsid w:val="3CA85407"/>
    <w:rsid w:val="3CA874EC"/>
    <w:rsid w:val="3CAA05F4"/>
    <w:rsid w:val="3CAA0C2A"/>
    <w:rsid w:val="3CAA5E26"/>
    <w:rsid w:val="3CAB2158"/>
    <w:rsid w:val="3CAC419E"/>
    <w:rsid w:val="3CAC536B"/>
    <w:rsid w:val="3CAC650D"/>
    <w:rsid w:val="3CAC71A6"/>
    <w:rsid w:val="3CAD1E92"/>
    <w:rsid w:val="3CAD3C40"/>
    <w:rsid w:val="3CAE0E3A"/>
    <w:rsid w:val="3CAE19DC"/>
    <w:rsid w:val="3CAF0AE0"/>
    <w:rsid w:val="3CAF1767"/>
    <w:rsid w:val="3CAF1F69"/>
    <w:rsid w:val="3CAF36AA"/>
    <w:rsid w:val="3CAF5060"/>
    <w:rsid w:val="3CB054DF"/>
    <w:rsid w:val="3CB071A0"/>
    <w:rsid w:val="3CB110F8"/>
    <w:rsid w:val="3CB13731"/>
    <w:rsid w:val="3CB15A22"/>
    <w:rsid w:val="3CB21166"/>
    <w:rsid w:val="3CB23005"/>
    <w:rsid w:val="3CB25229"/>
    <w:rsid w:val="3CB274A9"/>
    <w:rsid w:val="3CB31E1F"/>
    <w:rsid w:val="3CB32642"/>
    <w:rsid w:val="3CB33A92"/>
    <w:rsid w:val="3CB43221"/>
    <w:rsid w:val="3CB46D7D"/>
    <w:rsid w:val="3CB5751C"/>
    <w:rsid w:val="3CB609AC"/>
    <w:rsid w:val="3CB63888"/>
    <w:rsid w:val="3CB7061B"/>
    <w:rsid w:val="3CB72D11"/>
    <w:rsid w:val="3CB74ABF"/>
    <w:rsid w:val="3CB7686D"/>
    <w:rsid w:val="3CB925E5"/>
    <w:rsid w:val="3CB974E5"/>
    <w:rsid w:val="3CBA010B"/>
    <w:rsid w:val="3CBA0619"/>
    <w:rsid w:val="3CBB00F6"/>
    <w:rsid w:val="3CBB0420"/>
    <w:rsid w:val="3CBB3370"/>
    <w:rsid w:val="3CBE19AA"/>
    <w:rsid w:val="3CBE5E4E"/>
    <w:rsid w:val="3CBE7BFC"/>
    <w:rsid w:val="3CBF08B8"/>
    <w:rsid w:val="3CBF0DD4"/>
    <w:rsid w:val="3CBF1A5E"/>
    <w:rsid w:val="3CBF23F0"/>
    <w:rsid w:val="3CBF4A61"/>
    <w:rsid w:val="3CBF4F2E"/>
    <w:rsid w:val="3CBF5058"/>
    <w:rsid w:val="3CBF5605"/>
    <w:rsid w:val="3CC03974"/>
    <w:rsid w:val="3CC03FCC"/>
    <w:rsid w:val="3CC04181"/>
    <w:rsid w:val="3CC1149A"/>
    <w:rsid w:val="3CC15ABF"/>
    <w:rsid w:val="3CC176EC"/>
    <w:rsid w:val="3CC3186F"/>
    <w:rsid w:val="3CC35212"/>
    <w:rsid w:val="3CC50F8A"/>
    <w:rsid w:val="3CC526FB"/>
    <w:rsid w:val="3CC571DC"/>
    <w:rsid w:val="3CC66AB0"/>
    <w:rsid w:val="3CC72DC1"/>
    <w:rsid w:val="3CC72F54"/>
    <w:rsid w:val="3CC74517"/>
    <w:rsid w:val="3CC83ACC"/>
    <w:rsid w:val="3CC86A50"/>
    <w:rsid w:val="3CC9460F"/>
    <w:rsid w:val="3CC96E22"/>
    <w:rsid w:val="3CCA034E"/>
    <w:rsid w:val="3CCA47F2"/>
    <w:rsid w:val="3CCA66FD"/>
    <w:rsid w:val="3CCB0A1D"/>
    <w:rsid w:val="3CCB2319"/>
    <w:rsid w:val="3CCC056A"/>
    <w:rsid w:val="3CCC0854"/>
    <w:rsid w:val="3CCC4058"/>
    <w:rsid w:val="3CCC41E8"/>
    <w:rsid w:val="3CCD42E3"/>
    <w:rsid w:val="3CCD54F2"/>
    <w:rsid w:val="3CCD7E3F"/>
    <w:rsid w:val="3CCE7EFD"/>
    <w:rsid w:val="3CCF005B"/>
    <w:rsid w:val="3CCF19C8"/>
    <w:rsid w:val="3CCF1E09"/>
    <w:rsid w:val="3CD0762F"/>
    <w:rsid w:val="3CD105A0"/>
    <w:rsid w:val="3CD15B81"/>
    <w:rsid w:val="3CD218F9"/>
    <w:rsid w:val="3CD21B48"/>
    <w:rsid w:val="3CD23510"/>
    <w:rsid w:val="3CD236A7"/>
    <w:rsid w:val="3CD45671"/>
    <w:rsid w:val="3CD46B0A"/>
    <w:rsid w:val="3CD47F8A"/>
    <w:rsid w:val="3CD502DC"/>
    <w:rsid w:val="3CD52FB0"/>
    <w:rsid w:val="3CD553C5"/>
    <w:rsid w:val="3CD613E9"/>
    <w:rsid w:val="3CD70CBD"/>
    <w:rsid w:val="3CD76F0F"/>
    <w:rsid w:val="3CD7777B"/>
    <w:rsid w:val="3CD81175"/>
    <w:rsid w:val="3CD86B2B"/>
    <w:rsid w:val="3CD92C87"/>
    <w:rsid w:val="3CD92F92"/>
    <w:rsid w:val="3CD94326"/>
    <w:rsid w:val="3CDA245A"/>
    <w:rsid w:val="3CDB07AE"/>
    <w:rsid w:val="3CDB16BD"/>
    <w:rsid w:val="3CDC47AF"/>
    <w:rsid w:val="3CDD2778"/>
    <w:rsid w:val="3CDE029E"/>
    <w:rsid w:val="3CDE4D15"/>
    <w:rsid w:val="3CDF414C"/>
    <w:rsid w:val="3CE024D8"/>
    <w:rsid w:val="3CE11036"/>
    <w:rsid w:val="3CE12250"/>
    <w:rsid w:val="3CE16539"/>
    <w:rsid w:val="3CE23983"/>
    <w:rsid w:val="3CE27D8E"/>
    <w:rsid w:val="3CE27DA1"/>
    <w:rsid w:val="3CE30A12"/>
    <w:rsid w:val="3CE32852"/>
    <w:rsid w:val="3CE33B06"/>
    <w:rsid w:val="3CE358B4"/>
    <w:rsid w:val="3CE37662"/>
    <w:rsid w:val="3CE47104"/>
    <w:rsid w:val="3CE5153F"/>
    <w:rsid w:val="3CE533DA"/>
    <w:rsid w:val="3CE53F8F"/>
    <w:rsid w:val="3CE566F8"/>
    <w:rsid w:val="3CE60CB4"/>
    <w:rsid w:val="3CE745E5"/>
    <w:rsid w:val="3CE8111C"/>
    <w:rsid w:val="3CE94CCB"/>
    <w:rsid w:val="3CEA20BC"/>
    <w:rsid w:val="3CEA6C43"/>
    <w:rsid w:val="3CEB6517"/>
    <w:rsid w:val="3CEC2290"/>
    <w:rsid w:val="3CEC4769"/>
    <w:rsid w:val="3CED04E1"/>
    <w:rsid w:val="3CED4ADC"/>
    <w:rsid w:val="3CED6733"/>
    <w:rsid w:val="3CEE1B2A"/>
    <w:rsid w:val="3CEE2CB0"/>
    <w:rsid w:val="3CEE7C23"/>
    <w:rsid w:val="3CEF384F"/>
    <w:rsid w:val="3CEF4259"/>
    <w:rsid w:val="3CEF73FC"/>
    <w:rsid w:val="3CF03B2D"/>
    <w:rsid w:val="3CF1267B"/>
    <w:rsid w:val="3CF15B86"/>
    <w:rsid w:val="3CF274BE"/>
    <w:rsid w:val="3CF3657F"/>
    <w:rsid w:val="3CF4361D"/>
    <w:rsid w:val="3CF47AC1"/>
    <w:rsid w:val="3CF47EC8"/>
    <w:rsid w:val="3CF516DA"/>
    <w:rsid w:val="3CF5326E"/>
    <w:rsid w:val="3CF5395D"/>
    <w:rsid w:val="3CF60293"/>
    <w:rsid w:val="3CF60C42"/>
    <w:rsid w:val="3CF63839"/>
    <w:rsid w:val="3CF64CC4"/>
    <w:rsid w:val="3CF67395"/>
    <w:rsid w:val="3CF6759D"/>
    <w:rsid w:val="3CF73323"/>
    <w:rsid w:val="3CF752BA"/>
    <w:rsid w:val="3CF75992"/>
    <w:rsid w:val="3CF76A47"/>
    <w:rsid w:val="3CF8135F"/>
    <w:rsid w:val="3CF86667"/>
    <w:rsid w:val="3CF90C34"/>
    <w:rsid w:val="3CF950D8"/>
    <w:rsid w:val="3CF96982"/>
    <w:rsid w:val="3CFA4F70"/>
    <w:rsid w:val="3CFA586A"/>
    <w:rsid w:val="3CFA5D8B"/>
    <w:rsid w:val="3CFA6240"/>
    <w:rsid w:val="3CFB0E50"/>
    <w:rsid w:val="3CFB49AC"/>
    <w:rsid w:val="3CFC24D2"/>
    <w:rsid w:val="3CFD4BC8"/>
    <w:rsid w:val="3CFD7132"/>
    <w:rsid w:val="3CFE19FD"/>
    <w:rsid w:val="3CFE2E90"/>
    <w:rsid w:val="3CFE624A"/>
    <w:rsid w:val="3D000381"/>
    <w:rsid w:val="3D001FC2"/>
    <w:rsid w:val="3D0057EF"/>
    <w:rsid w:val="3D0106F2"/>
    <w:rsid w:val="3D015651"/>
    <w:rsid w:val="3D031AB2"/>
    <w:rsid w:val="3D037D04"/>
    <w:rsid w:val="3D040192"/>
    <w:rsid w:val="3D0418D3"/>
    <w:rsid w:val="3D051007"/>
    <w:rsid w:val="3D052D63"/>
    <w:rsid w:val="3D0715A3"/>
    <w:rsid w:val="3D073351"/>
    <w:rsid w:val="3D0803B2"/>
    <w:rsid w:val="3D08531B"/>
    <w:rsid w:val="3D09356D"/>
    <w:rsid w:val="3D096A38"/>
    <w:rsid w:val="3D0A0688"/>
    <w:rsid w:val="3D0A1093"/>
    <w:rsid w:val="3D0A4004"/>
    <w:rsid w:val="3D0A4BEF"/>
    <w:rsid w:val="3D0A5745"/>
    <w:rsid w:val="3D0B1D9E"/>
    <w:rsid w:val="3D0B7CC9"/>
    <w:rsid w:val="3D0E228D"/>
    <w:rsid w:val="3D0E59F4"/>
    <w:rsid w:val="3D0E7C0B"/>
    <w:rsid w:val="3D0F2205"/>
    <w:rsid w:val="3D0F48FB"/>
    <w:rsid w:val="3D0F5FEB"/>
    <w:rsid w:val="3D0F7E6D"/>
    <w:rsid w:val="3D107E76"/>
    <w:rsid w:val="3D111052"/>
    <w:rsid w:val="3D1141CF"/>
    <w:rsid w:val="3D1200D9"/>
    <w:rsid w:val="3D121CF5"/>
    <w:rsid w:val="3D141F11"/>
    <w:rsid w:val="3D163594"/>
    <w:rsid w:val="3D163CE8"/>
    <w:rsid w:val="3D166A6D"/>
    <w:rsid w:val="3D167A38"/>
    <w:rsid w:val="3D170FAE"/>
    <w:rsid w:val="3D17277E"/>
    <w:rsid w:val="3D1729DA"/>
    <w:rsid w:val="3D17730C"/>
    <w:rsid w:val="3D177D49"/>
    <w:rsid w:val="3D1837B0"/>
    <w:rsid w:val="3D1864F5"/>
    <w:rsid w:val="3D1873F2"/>
    <w:rsid w:val="3D1912D6"/>
    <w:rsid w:val="3D197528"/>
    <w:rsid w:val="3D1A1BE7"/>
    <w:rsid w:val="3D1A2F01"/>
    <w:rsid w:val="3D1B32A0"/>
    <w:rsid w:val="3D1B4F89"/>
    <w:rsid w:val="3D1B66CA"/>
    <w:rsid w:val="3D1B6DFC"/>
    <w:rsid w:val="3D1C7B5A"/>
    <w:rsid w:val="3D1D0DC6"/>
    <w:rsid w:val="3D1D0FEA"/>
    <w:rsid w:val="3D1D247A"/>
    <w:rsid w:val="3D1D29D8"/>
    <w:rsid w:val="3D1D644F"/>
    <w:rsid w:val="3D1E06B7"/>
    <w:rsid w:val="3D2016B3"/>
    <w:rsid w:val="3D202664"/>
    <w:rsid w:val="3D20796B"/>
    <w:rsid w:val="3D2213FF"/>
    <w:rsid w:val="3D232155"/>
    <w:rsid w:val="3D23425F"/>
    <w:rsid w:val="3D235CB1"/>
    <w:rsid w:val="3D245973"/>
    <w:rsid w:val="3D245BF8"/>
    <w:rsid w:val="3D246484"/>
    <w:rsid w:val="3D24777C"/>
    <w:rsid w:val="3D251A29"/>
    <w:rsid w:val="3D254AFD"/>
    <w:rsid w:val="3D26209C"/>
    <w:rsid w:val="3D263EE9"/>
    <w:rsid w:val="3D266634"/>
    <w:rsid w:val="3D2832C7"/>
    <w:rsid w:val="3D2900C8"/>
    <w:rsid w:val="3D292927"/>
    <w:rsid w:val="3D29776B"/>
    <w:rsid w:val="3D2A01A9"/>
    <w:rsid w:val="3D2A287E"/>
    <w:rsid w:val="3D2A5291"/>
    <w:rsid w:val="3D2C1009"/>
    <w:rsid w:val="3D2C2DB7"/>
    <w:rsid w:val="3D2D0B07"/>
    <w:rsid w:val="3D2D4C12"/>
    <w:rsid w:val="3D2D5ADC"/>
    <w:rsid w:val="3D2D739E"/>
    <w:rsid w:val="3D2E33FF"/>
    <w:rsid w:val="3D2E696D"/>
    <w:rsid w:val="3D2F28A7"/>
    <w:rsid w:val="3D301235"/>
    <w:rsid w:val="3D3035F9"/>
    <w:rsid w:val="3D307460"/>
    <w:rsid w:val="3D314198"/>
    <w:rsid w:val="3D31661F"/>
    <w:rsid w:val="3D332398"/>
    <w:rsid w:val="3D33448E"/>
    <w:rsid w:val="3D342227"/>
    <w:rsid w:val="3D344362"/>
    <w:rsid w:val="3D3446A0"/>
    <w:rsid w:val="3D346110"/>
    <w:rsid w:val="3D347EBE"/>
    <w:rsid w:val="3D3561A5"/>
    <w:rsid w:val="3D3605C8"/>
    <w:rsid w:val="3D361B91"/>
    <w:rsid w:val="3D361E88"/>
    <w:rsid w:val="3D363C36"/>
    <w:rsid w:val="3D3673FA"/>
    <w:rsid w:val="3D3710D2"/>
    <w:rsid w:val="3D37175C"/>
    <w:rsid w:val="3D375A4A"/>
    <w:rsid w:val="3D3872AB"/>
    <w:rsid w:val="3D3879AE"/>
    <w:rsid w:val="3D393726"/>
    <w:rsid w:val="3D3954D4"/>
    <w:rsid w:val="3D3A1160"/>
    <w:rsid w:val="3D3A1DB0"/>
    <w:rsid w:val="3D3B3C1C"/>
    <w:rsid w:val="3D3B749E"/>
    <w:rsid w:val="3D3C7891"/>
    <w:rsid w:val="3D3D3216"/>
    <w:rsid w:val="3D3D4FC4"/>
    <w:rsid w:val="3D3D6D72"/>
    <w:rsid w:val="3D3D6E92"/>
    <w:rsid w:val="3D3E2AEA"/>
    <w:rsid w:val="3D3E40B3"/>
    <w:rsid w:val="3D3F4383"/>
    <w:rsid w:val="3D3F6F8E"/>
    <w:rsid w:val="3D402D06"/>
    <w:rsid w:val="3D402EF0"/>
    <w:rsid w:val="3D410621"/>
    <w:rsid w:val="3D416CA3"/>
    <w:rsid w:val="3D421A9A"/>
    <w:rsid w:val="3D4222A2"/>
    <w:rsid w:val="3D4225DB"/>
    <w:rsid w:val="3D425B19"/>
    <w:rsid w:val="3D430101"/>
    <w:rsid w:val="3D436353"/>
    <w:rsid w:val="3D437041"/>
    <w:rsid w:val="3D4445A5"/>
    <w:rsid w:val="3D45031D"/>
    <w:rsid w:val="3D453E79"/>
    <w:rsid w:val="3D462271"/>
    <w:rsid w:val="3D464256"/>
    <w:rsid w:val="3D47147C"/>
    <w:rsid w:val="3D485234"/>
    <w:rsid w:val="3D491BBB"/>
    <w:rsid w:val="3D4A148F"/>
    <w:rsid w:val="3D4A5933"/>
    <w:rsid w:val="3D4A708F"/>
    <w:rsid w:val="3D4A76E1"/>
    <w:rsid w:val="3D4B2926"/>
    <w:rsid w:val="3D4B39A9"/>
    <w:rsid w:val="3D4C5207"/>
    <w:rsid w:val="3D4C54F7"/>
    <w:rsid w:val="3D4D2D2E"/>
    <w:rsid w:val="3D4D47C3"/>
    <w:rsid w:val="3D4E5423"/>
    <w:rsid w:val="3D4E6FF1"/>
    <w:rsid w:val="3D4E71D1"/>
    <w:rsid w:val="3D4F6AA6"/>
    <w:rsid w:val="3D510A70"/>
    <w:rsid w:val="3D513BA1"/>
    <w:rsid w:val="3D513D57"/>
    <w:rsid w:val="3D5228D4"/>
    <w:rsid w:val="3D532A3A"/>
    <w:rsid w:val="3D5347E8"/>
    <w:rsid w:val="3D5523C6"/>
    <w:rsid w:val="3D556267"/>
    <w:rsid w:val="3D5642D8"/>
    <w:rsid w:val="3D57260A"/>
    <w:rsid w:val="3D576935"/>
    <w:rsid w:val="3D58666B"/>
    <w:rsid w:val="3D594F2A"/>
    <w:rsid w:val="3D595B76"/>
    <w:rsid w:val="3D5B18EE"/>
    <w:rsid w:val="3D5B241B"/>
    <w:rsid w:val="3D5D7415"/>
    <w:rsid w:val="3D5D7EA8"/>
    <w:rsid w:val="3D5E2799"/>
    <w:rsid w:val="3D5E712B"/>
    <w:rsid w:val="3D5F13DF"/>
    <w:rsid w:val="3D5F3C0A"/>
    <w:rsid w:val="3D5F3F3D"/>
    <w:rsid w:val="3D5F689F"/>
    <w:rsid w:val="3D5F6FEC"/>
    <w:rsid w:val="3D600CB3"/>
    <w:rsid w:val="3D606F05"/>
    <w:rsid w:val="3D607332"/>
    <w:rsid w:val="3D614792"/>
    <w:rsid w:val="3D61628D"/>
    <w:rsid w:val="3D617264"/>
    <w:rsid w:val="3D620DFE"/>
    <w:rsid w:val="3D622C7D"/>
    <w:rsid w:val="3D6267D9"/>
    <w:rsid w:val="3D63193E"/>
    <w:rsid w:val="3D63377E"/>
    <w:rsid w:val="3D64203D"/>
    <w:rsid w:val="3D644C0E"/>
    <w:rsid w:val="3D6469F5"/>
    <w:rsid w:val="3D651D55"/>
    <w:rsid w:val="3D65276D"/>
    <w:rsid w:val="3D65451B"/>
    <w:rsid w:val="3D6546FF"/>
    <w:rsid w:val="3D6600F0"/>
    <w:rsid w:val="3D6619A1"/>
    <w:rsid w:val="3D670293"/>
    <w:rsid w:val="3D673DEF"/>
    <w:rsid w:val="3D6764E5"/>
    <w:rsid w:val="3D685499"/>
    <w:rsid w:val="3D685BBC"/>
    <w:rsid w:val="3D686160"/>
    <w:rsid w:val="3D693030"/>
    <w:rsid w:val="3D6A10A8"/>
    <w:rsid w:val="3D6A3FA4"/>
    <w:rsid w:val="3D6A7D83"/>
    <w:rsid w:val="3D6C0C94"/>
    <w:rsid w:val="3D6C50EF"/>
    <w:rsid w:val="3D6C7658"/>
    <w:rsid w:val="3D6D3ECD"/>
    <w:rsid w:val="3D6E1622"/>
    <w:rsid w:val="3D6E2208"/>
    <w:rsid w:val="3D6E255B"/>
    <w:rsid w:val="3D6E33D0"/>
    <w:rsid w:val="3D6E5E6A"/>
    <w:rsid w:val="3D6F6661"/>
    <w:rsid w:val="3D7048F2"/>
    <w:rsid w:val="3D70539A"/>
    <w:rsid w:val="3D705671"/>
    <w:rsid w:val="3D712EC0"/>
    <w:rsid w:val="3D72372C"/>
    <w:rsid w:val="3D7306A2"/>
    <w:rsid w:val="3D7309E6"/>
    <w:rsid w:val="3D732FA8"/>
    <w:rsid w:val="3D736C38"/>
    <w:rsid w:val="3D7378FA"/>
    <w:rsid w:val="3D751B83"/>
    <w:rsid w:val="3D7529B0"/>
    <w:rsid w:val="3D7563E3"/>
    <w:rsid w:val="3D767023"/>
    <w:rsid w:val="3D7A1C4F"/>
    <w:rsid w:val="3D7A386A"/>
    <w:rsid w:val="3D7A7FC6"/>
    <w:rsid w:val="3D7B2612"/>
    <w:rsid w:val="3D7B429B"/>
    <w:rsid w:val="3D7B490A"/>
    <w:rsid w:val="3D7C157C"/>
    <w:rsid w:val="3D7C7C4C"/>
    <w:rsid w:val="3D7D2741"/>
    <w:rsid w:val="3D7D3613"/>
    <w:rsid w:val="3D7D6E0E"/>
    <w:rsid w:val="3D7F382F"/>
    <w:rsid w:val="3D8011F0"/>
    <w:rsid w:val="3D8034B1"/>
    <w:rsid w:val="3D804EB1"/>
    <w:rsid w:val="3D817C2E"/>
    <w:rsid w:val="3D820C29"/>
    <w:rsid w:val="3D822FCE"/>
    <w:rsid w:val="3D8250CD"/>
    <w:rsid w:val="3D826E7B"/>
    <w:rsid w:val="3D842BF3"/>
    <w:rsid w:val="3D850719"/>
    <w:rsid w:val="3D853F47"/>
    <w:rsid w:val="3D865C16"/>
    <w:rsid w:val="3D883E24"/>
    <w:rsid w:val="3D884009"/>
    <w:rsid w:val="3D89020A"/>
    <w:rsid w:val="3D890A02"/>
    <w:rsid w:val="3D8928EB"/>
    <w:rsid w:val="3D8A539D"/>
    <w:rsid w:val="3D8B21D4"/>
    <w:rsid w:val="3D8C44DD"/>
    <w:rsid w:val="3D8C5F4C"/>
    <w:rsid w:val="3D8C7CFA"/>
    <w:rsid w:val="3D8E5117"/>
    <w:rsid w:val="3D8F5D05"/>
    <w:rsid w:val="3D901AFF"/>
    <w:rsid w:val="3D90279B"/>
    <w:rsid w:val="3D90528D"/>
    <w:rsid w:val="3D9077EA"/>
    <w:rsid w:val="3D914A71"/>
    <w:rsid w:val="3D915310"/>
    <w:rsid w:val="3D9250BB"/>
    <w:rsid w:val="3D9265F3"/>
    <w:rsid w:val="3D927C8C"/>
    <w:rsid w:val="3D931304"/>
    <w:rsid w:val="3D93195B"/>
    <w:rsid w:val="3D932E36"/>
    <w:rsid w:val="3D93394A"/>
    <w:rsid w:val="3D94095C"/>
    <w:rsid w:val="3D950546"/>
    <w:rsid w:val="3D954E00"/>
    <w:rsid w:val="3D957813"/>
    <w:rsid w:val="3D96372E"/>
    <w:rsid w:val="3D9646D4"/>
    <w:rsid w:val="3D973D25"/>
    <w:rsid w:val="3D975DA7"/>
    <w:rsid w:val="3D99013D"/>
    <w:rsid w:val="3D9917FC"/>
    <w:rsid w:val="3D992CD3"/>
    <w:rsid w:val="3D99367E"/>
    <w:rsid w:val="3D995F73"/>
    <w:rsid w:val="3D9A1DF3"/>
    <w:rsid w:val="3D9A41C5"/>
    <w:rsid w:val="3D9A55FD"/>
    <w:rsid w:val="3D9A6B04"/>
    <w:rsid w:val="3D9B1966"/>
    <w:rsid w:val="3D9B48B5"/>
    <w:rsid w:val="3D9B618F"/>
    <w:rsid w:val="3D9D1F07"/>
    <w:rsid w:val="3D9D5A63"/>
    <w:rsid w:val="3D9E4D9F"/>
    <w:rsid w:val="3D9F78E8"/>
    <w:rsid w:val="3D9F7A2D"/>
    <w:rsid w:val="3DA00FC1"/>
    <w:rsid w:val="3DA07301"/>
    <w:rsid w:val="3DA23079"/>
    <w:rsid w:val="3DA2404D"/>
    <w:rsid w:val="3DA2415D"/>
    <w:rsid w:val="3DA2751D"/>
    <w:rsid w:val="3DA27E04"/>
    <w:rsid w:val="3DA419B6"/>
    <w:rsid w:val="3DA47651"/>
    <w:rsid w:val="3DA53531"/>
    <w:rsid w:val="3DA57E9B"/>
    <w:rsid w:val="3DA60DBB"/>
    <w:rsid w:val="3DA70690"/>
    <w:rsid w:val="3DA72C85"/>
    <w:rsid w:val="3DA7335C"/>
    <w:rsid w:val="3DA77E60"/>
    <w:rsid w:val="3DA81D23"/>
    <w:rsid w:val="3DA86637"/>
    <w:rsid w:val="3DA87AD9"/>
    <w:rsid w:val="3DA908AC"/>
    <w:rsid w:val="3DA93FA0"/>
    <w:rsid w:val="3DA97FFD"/>
    <w:rsid w:val="3DAA06EA"/>
    <w:rsid w:val="3DAB4624"/>
    <w:rsid w:val="3DAB55B5"/>
    <w:rsid w:val="3DAB63D2"/>
    <w:rsid w:val="3DAC677A"/>
    <w:rsid w:val="3DAD4894"/>
    <w:rsid w:val="3DAE129E"/>
    <w:rsid w:val="3DAE1A1E"/>
    <w:rsid w:val="3DAE3124"/>
    <w:rsid w:val="3DAE7C70"/>
    <w:rsid w:val="3DAF0DB3"/>
    <w:rsid w:val="3DAF360B"/>
    <w:rsid w:val="3DAF5796"/>
    <w:rsid w:val="3DAF596C"/>
    <w:rsid w:val="3DB01C3A"/>
    <w:rsid w:val="3DB01D85"/>
    <w:rsid w:val="3DB11C57"/>
    <w:rsid w:val="3DB159B2"/>
    <w:rsid w:val="3DB30706"/>
    <w:rsid w:val="3DB3668A"/>
    <w:rsid w:val="3DB36BC6"/>
    <w:rsid w:val="3DB37D73"/>
    <w:rsid w:val="3DB42DAD"/>
    <w:rsid w:val="3DB64D77"/>
    <w:rsid w:val="3DB64F42"/>
    <w:rsid w:val="3DB65977"/>
    <w:rsid w:val="3DB66B25"/>
    <w:rsid w:val="3DB72FC9"/>
    <w:rsid w:val="3DB73753"/>
    <w:rsid w:val="3DB80AEF"/>
    <w:rsid w:val="3DB8289D"/>
    <w:rsid w:val="3DB83D68"/>
    <w:rsid w:val="3DB86D41"/>
    <w:rsid w:val="3DB878CA"/>
    <w:rsid w:val="3DB95F52"/>
    <w:rsid w:val="3DBA09D4"/>
    <w:rsid w:val="3DBA184C"/>
    <w:rsid w:val="3DBA4867"/>
    <w:rsid w:val="3DBA5A08"/>
    <w:rsid w:val="3DBA6615"/>
    <w:rsid w:val="3DBA7475"/>
    <w:rsid w:val="3DBB413B"/>
    <w:rsid w:val="3DBB57DA"/>
    <w:rsid w:val="3DBD4357"/>
    <w:rsid w:val="3DBD5FF0"/>
    <w:rsid w:val="3DBD6105"/>
    <w:rsid w:val="3DBE0E38"/>
    <w:rsid w:val="3DBE2C48"/>
    <w:rsid w:val="3DBE3AF9"/>
    <w:rsid w:val="3DBE515F"/>
    <w:rsid w:val="3DBE6D4D"/>
    <w:rsid w:val="3DBE7606"/>
    <w:rsid w:val="3DBF1E7D"/>
    <w:rsid w:val="3DC02545"/>
    <w:rsid w:val="3DC0466A"/>
    <w:rsid w:val="3DC07568"/>
    <w:rsid w:val="3DC079A3"/>
    <w:rsid w:val="3DC2196D"/>
    <w:rsid w:val="3DC254CA"/>
    <w:rsid w:val="3DC2567B"/>
    <w:rsid w:val="3DC261B3"/>
    <w:rsid w:val="3DC274FE"/>
    <w:rsid w:val="3DC27AF5"/>
    <w:rsid w:val="3DC41242"/>
    <w:rsid w:val="3DC45134"/>
    <w:rsid w:val="3DC456E6"/>
    <w:rsid w:val="3DC46ABA"/>
    <w:rsid w:val="3DC47494"/>
    <w:rsid w:val="3DC56607"/>
    <w:rsid w:val="3DC56D68"/>
    <w:rsid w:val="3DC6320C"/>
    <w:rsid w:val="3DC70D32"/>
    <w:rsid w:val="3DC712D0"/>
    <w:rsid w:val="3DC72AE0"/>
    <w:rsid w:val="3DC76F84"/>
    <w:rsid w:val="3DC80195"/>
    <w:rsid w:val="3DC81C9F"/>
    <w:rsid w:val="3DC94AAA"/>
    <w:rsid w:val="3DC96858"/>
    <w:rsid w:val="3DC97D5B"/>
    <w:rsid w:val="3DCB0822"/>
    <w:rsid w:val="3DCB25D0"/>
    <w:rsid w:val="3DCC00F6"/>
    <w:rsid w:val="3DCC520C"/>
    <w:rsid w:val="3DCE3E6E"/>
    <w:rsid w:val="3DD07BE6"/>
    <w:rsid w:val="3DD11BB1"/>
    <w:rsid w:val="3DD12B1A"/>
    <w:rsid w:val="3DD2254E"/>
    <w:rsid w:val="3DD253FA"/>
    <w:rsid w:val="3DD27E02"/>
    <w:rsid w:val="3DD376D7"/>
    <w:rsid w:val="3DD40C2E"/>
    <w:rsid w:val="3DD516A1"/>
    <w:rsid w:val="3DD53076"/>
    <w:rsid w:val="3DD5344F"/>
    <w:rsid w:val="3DD55132"/>
    <w:rsid w:val="3DD551FD"/>
    <w:rsid w:val="3DD57961"/>
    <w:rsid w:val="3DD57CCC"/>
    <w:rsid w:val="3DD60F75"/>
    <w:rsid w:val="3DD671C7"/>
    <w:rsid w:val="3DD74F30"/>
    <w:rsid w:val="3DD80ED1"/>
    <w:rsid w:val="3DD81A01"/>
    <w:rsid w:val="3DD84CED"/>
    <w:rsid w:val="3DD863C0"/>
    <w:rsid w:val="3DD86A9B"/>
    <w:rsid w:val="3DD86EA7"/>
    <w:rsid w:val="3DD91C0B"/>
    <w:rsid w:val="3DD97850"/>
    <w:rsid w:val="3DD97882"/>
    <w:rsid w:val="3DDA0A65"/>
    <w:rsid w:val="3DDA6CB7"/>
    <w:rsid w:val="3DDB658B"/>
    <w:rsid w:val="3DDC1999"/>
    <w:rsid w:val="3DDC1B5E"/>
    <w:rsid w:val="3DDC47DD"/>
    <w:rsid w:val="3DDC797A"/>
    <w:rsid w:val="3DDD2303"/>
    <w:rsid w:val="3DDF0D5F"/>
    <w:rsid w:val="3DDF3908"/>
    <w:rsid w:val="3DDF42CD"/>
    <w:rsid w:val="3DDF607B"/>
    <w:rsid w:val="3DE10BB3"/>
    <w:rsid w:val="3DE17539"/>
    <w:rsid w:val="3DE2340B"/>
    <w:rsid w:val="3DE24C14"/>
    <w:rsid w:val="3DE25B6C"/>
    <w:rsid w:val="3DE2791A"/>
    <w:rsid w:val="3DE37141"/>
    <w:rsid w:val="3DE418E4"/>
    <w:rsid w:val="3DE43692"/>
    <w:rsid w:val="3DE47B36"/>
    <w:rsid w:val="3DE51866"/>
    <w:rsid w:val="3DE56DDC"/>
    <w:rsid w:val="3DE6565C"/>
    <w:rsid w:val="3DE6740A"/>
    <w:rsid w:val="3DE71FBC"/>
    <w:rsid w:val="3DE874B5"/>
    <w:rsid w:val="3DE9514C"/>
    <w:rsid w:val="3DE97345"/>
    <w:rsid w:val="3DEA67CE"/>
    <w:rsid w:val="3DEB0EC4"/>
    <w:rsid w:val="3DEC0798"/>
    <w:rsid w:val="3DEC2546"/>
    <w:rsid w:val="3DED7156"/>
    <w:rsid w:val="3DEE05E6"/>
    <w:rsid w:val="3DEE2762"/>
    <w:rsid w:val="3DEE4511"/>
    <w:rsid w:val="3DEF4647"/>
    <w:rsid w:val="3DEF4B51"/>
    <w:rsid w:val="3DEF76A1"/>
    <w:rsid w:val="3DF00289"/>
    <w:rsid w:val="3DF02037"/>
    <w:rsid w:val="3DF05D9E"/>
    <w:rsid w:val="3DF06109"/>
    <w:rsid w:val="3DF10DA5"/>
    <w:rsid w:val="3DF15DAF"/>
    <w:rsid w:val="3DF17B5D"/>
    <w:rsid w:val="3DF24001"/>
    <w:rsid w:val="3DF27806"/>
    <w:rsid w:val="3DF37D79"/>
    <w:rsid w:val="3DF5312D"/>
    <w:rsid w:val="3DF53AF1"/>
    <w:rsid w:val="3DF72DD9"/>
    <w:rsid w:val="3DF80EEB"/>
    <w:rsid w:val="3DF8325F"/>
    <w:rsid w:val="3DFA1107"/>
    <w:rsid w:val="3DFA2EB5"/>
    <w:rsid w:val="3DFA4C63"/>
    <w:rsid w:val="3DFB6283"/>
    <w:rsid w:val="3DFE0BF8"/>
    <w:rsid w:val="3DFE1172"/>
    <w:rsid w:val="3DFE2CAC"/>
    <w:rsid w:val="3E01089E"/>
    <w:rsid w:val="3E015FF2"/>
    <w:rsid w:val="3E021D6A"/>
    <w:rsid w:val="3E025B80"/>
    <w:rsid w:val="3E027FBC"/>
    <w:rsid w:val="3E057E5C"/>
    <w:rsid w:val="3E06185A"/>
    <w:rsid w:val="3E0644FC"/>
    <w:rsid w:val="3E0713D5"/>
    <w:rsid w:val="3E0755D2"/>
    <w:rsid w:val="3E0757A7"/>
    <w:rsid w:val="3E0822DC"/>
    <w:rsid w:val="3E083D5E"/>
    <w:rsid w:val="3E0930F8"/>
    <w:rsid w:val="3E09759C"/>
    <w:rsid w:val="3E0A1D31"/>
    <w:rsid w:val="3E0B078F"/>
    <w:rsid w:val="3E0B0C1F"/>
    <w:rsid w:val="3E0B50C2"/>
    <w:rsid w:val="3E0C61DF"/>
    <w:rsid w:val="3E0D0E3B"/>
    <w:rsid w:val="3E0E08A1"/>
    <w:rsid w:val="3E0E323D"/>
    <w:rsid w:val="3E0E49F4"/>
    <w:rsid w:val="3E1026D9"/>
    <w:rsid w:val="3E104487"/>
    <w:rsid w:val="3E10477B"/>
    <w:rsid w:val="3E1201FF"/>
    <w:rsid w:val="3E1337BD"/>
    <w:rsid w:val="3E141070"/>
    <w:rsid w:val="3E1440E6"/>
    <w:rsid w:val="3E14670E"/>
    <w:rsid w:val="3E154DAD"/>
    <w:rsid w:val="3E155F41"/>
    <w:rsid w:val="3E16647C"/>
    <w:rsid w:val="3E1675C3"/>
    <w:rsid w:val="3E171F0B"/>
    <w:rsid w:val="3E174D94"/>
    <w:rsid w:val="3E18161A"/>
    <w:rsid w:val="3E1842AA"/>
    <w:rsid w:val="3E193293"/>
    <w:rsid w:val="3E1978B4"/>
    <w:rsid w:val="3E1A071F"/>
    <w:rsid w:val="3E1A168E"/>
    <w:rsid w:val="3E1A6989"/>
    <w:rsid w:val="3E1A70B4"/>
    <w:rsid w:val="3E1B14D0"/>
    <w:rsid w:val="3E1C2E2C"/>
    <w:rsid w:val="3E1C5014"/>
    <w:rsid w:val="3E1C72D0"/>
    <w:rsid w:val="3E1D3D47"/>
    <w:rsid w:val="3E1D4AF4"/>
    <w:rsid w:val="3E1D4DF6"/>
    <w:rsid w:val="3E1D6F9D"/>
    <w:rsid w:val="3E1E34BB"/>
    <w:rsid w:val="3E1E3910"/>
    <w:rsid w:val="3E1E5F84"/>
    <w:rsid w:val="3E1F46CA"/>
    <w:rsid w:val="3E203809"/>
    <w:rsid w:val="3E2067EB"/>
    <w:rsid w:val="3E210442"/>
    <w:rsid w:val="3E213B67"/>
    <w:rsid w:val="3E2148E6"/>
    <w:rsid w:val="3E216046"/>
    <w:rsid w:val="3E216694"/>
    <w:rsid w:val="3E221C3E"/>
    <w:rsid w:val="3E2241BA"/>
    <w:rsid w:val="3E22693F"/>
    <w:rsid w:val="3E23096D"/>
    <w:rsid w:val="3E230DCE"/>
    <w:rsid w:val="3E235573"/>
    <w:rsid w:val="3E2429A0"/>
    <w:rsid w:val="3E261EFC"/>
    <w:rsid w:val="3E263CAA"/>
    <w:rsid w:val="3E265D67"/>
    <w:rsid w:val="3E266077"/>
    <w:rsid w:val="3E2717D1"/>
    <w:rsid w:val="3E287A22"/>
    <w:rsid w:val="3E292AC9"/>
    <w:rsid w:val="3E29379B"/>
    <w:rsid w:val="3E2A083E"/>
    <w:rsid w:val="3E2A590C"/>
    <w:rsid w:val="3E2B0C52"/>
    <w:rsid w:val="3E2B3005"/>
    <w:rsid w:val="3E2B6DB0"/>
    <w:rsid w:val="3E2B70F8"/>
    <w:rsid w:val="3E2C3159"/>
    <w:rsid w:val="3E2E064A"/>
    <w:rsid w:val="3E2E0DB1"/>
    <w:rsid w:val="3E2E2B5F"/>
    <w:rsid w:val="3E2E7003"/>
    <w:rsid w:val="3E2F1ADA"/>
    <w:rsid w:val="3E300685"/>
    <w:rsid w:val="3E304B29"/>
    <w:rsid w:val="3E3100AD"/>
    <w:rsid w:val="3E312AC1"/>
    <w:rsid w:val="3E3143FA"/>
    <w:rsid w:val="3E3208A1"/>
    <w:rsid w:val="3E32264F"/>
    <w:rsid w:val="3E332389"/>
    <w:rsid w:val="3E344619"/>
    <w:rsid w:val="3E3449FA"/>
    <w:rsid w:val="3E350391"/>
    <w:rsid w:val="3E353EED"/>
    <w:rsid w:val="3E364FA5"/>
    <w:rsid w:val="3E377C66"/>
    <w:rsid w:val="3E3813A9"/>
    <w:rsid w:val="3E381F0B"/>
    <w:rsid w:val="3E38578C"/>
    <w:rsid w:val="3E391C30"/>
    <w:rsid w:val="3E392B8C"/>
    <w:rsid w:val="3E3A5D2F"/>
    <w:rsid w:val="3E3A6F8A"/>
    <w:rsid w:val="3E3C08AD"/>
    <w:rsid w:val="3E3C1720"/>
    <w:rsid w:val="3E3C20D8"/>
    <w:rsid w:val="3E3D2A62"/>
    <w:rsid w:val="3E3D3671"/>
    <w:rsid w:val="3E3D60E3"/>
    <w:rsid w:val="3E3E013F"/>
    <w:rsid w:val="3E3E38E2"/>
    <w:rsid w:val="3E3E5E27"/>
    <w:rsid w:val="3E3E676D"/>
    <w:rsid w:val="3E3E7246"/>
    <w:rsid w:val="3E3E73AF"/>
    <w:rsid w:val="3E3E7CC7"/>
    <w:rsid w:val="3E3F2FBE"/>
    <w:rsid w:val="3E3F69FE"/>
    <w:rsid w:val="3E402A5F"/>
    <w:rsid w:val="3E407EB6"/>
    <w:rsid w:val="3E412892"/>
    <w:rsid w:val="3E416D36"/>
    <w:rsid w:val="3E416F41"/>
    <w:rsid w:val="3E42660A"/>
    <w:rsid w:val="3E426E4C"/>
    <w:rsid w:val="3E43485C"/>
    <w:rsid w:val="3E435396"/>
    <w:rsid w:val="3E4405D4"/>
    <w:rsid w:val="3E455372"/>
    <w:rsid w:val="3E464D00"/>
    <w:rsid w:val="3E4800C5"/>
    <w:rsid w:val="3E483C21"/>
    <w:rsid w:val="3E49043F"/>
    <w:rsid w:val="3E491747"/>
    <w:rsid w:val="3E49257C"/>
    <w:rsid w:val="3E497999"/>
    <w:rsid w:val="3E4A07B8"/>
    <w:rsid w:val="3E4A1A03"/>
    <w:rsid w:val="3E4B1837"/>
    <w:rsid w:val="3E4B33AF"/>
    <w:rsid w:val="3E4B43D7"/>
    <w:rsid w:val="3E4B54BF"/>
    <w:rsid w:val="3E4C6DBD"/>
    <w:rsid w:val="3E4D0C2B"/>
    <w:rsid w:val="3E4D2492"/>
    <w:rsid w:val="3E4D7489"/>
    <w:rsid w:val="3E4E3201"/>
    <w:rsid w:val="3E4E384A"/>
    <w:rsid w:val="3E4F10C4"/>
    <w:rsid w:val="3E4F1453"/>
    <w:rsid w:val="3E524A9F"/>
    <w:rsid w:val="3E52684D"/>
    <w:rsid w:val="3E530817"/>
    <w:rsid w:val="3E5325C6"/>
    <w:rsid w:val="3E545D44"/>
    <w:rsid w:val="3E546085"/>
    <w:rsid w:val="3E546A69"/>
    <w:rsid w:val="3E5527E2"/>
    <w:rsid w:val="3E554590"/>
    <w:rsid w:val="3E55633E"/>
    <w:rsid w:val="3E565E71"/>
    <w:rsid w:val="3E5720B6"/>
    <w:rsid w:val="3E58777E"/>
    <w:rsid w:val="3E587BDC"/>
    <w:rsid w:val="3E594080"/>
    <w:rsid w:val="3E5A1BA6"/>
    <w:rsid w:val="3E5A509E"/>
    <w:rsid w:val="3E5B6F4A"/>
    <w:rsid w:val="3E5C147A"/>
    <w:rsid w:val="3E5D1CEC"/>
    <w:rsid w:val="3E5D610C"/>
    <w:rsid w:val="3E5F0F6A"/>
    <w:rsid w:val="3E5F1516"/>
    <w:rsid w:val="3E602049"/>
    <w:rsid w:val="3E602100"/>
    <w:rsid w:val="3E612F34"/>
    <w:rsid w:val="3E626A14"/>
    <w:rsid w:val="3E6329A5"/>
    <w:rsid w:val="3E636CAD"/>
    <w:rsid w:val="3E640EDA"/>
    <w:rsid w:val="3E642A25"/>
    <w:rsid w:val="3E645E2F"/>
    <w:rsid w:val="3E653822"/>
    <w:rsid w:val="3E66276E"/>
    <w:rsid w:val="3E666CAA"/>
    <w:rsid w:val="3E6812C5"/>
    <w:rsid w:val="3E6842C3"/>
    <w:rsid w:val="3E6844C2"/>
    <w:rsid w:val="3E686071"/>
    <w:rsid w:val="3E687A39"/>
    <w:rsid w:val="3E69030B"/>
    <w:rsid w:val="3E691DE9"/>
    <w:rsid w:val="3E693D0C"/>
    <w:rsid w:val="3E6A003B"/>
    <w:rsid w:val="3E6A2AA1"/>
    <w:rsid w:val="3E6A7BC2"/>
    <w:rsid w:val="3E6B1C93"/>
    <w:rsid w:val="3E6B5B61"/>
    <w:rsid w:val="3E6C3C86"/>
    <w:rsid w:val="3E6C43F1"/>
    <w:rsid w:val="3E6D18D9"/>
    <w:rsid w:val="3E6D193B"/>
    <w:rsid w:val="3E6D7B2B"/>
    <w:rsid w:val="3E6E4C79"/>
    <w:rsid w:val="3E6E54F3"/>
    <w:rsid w:val="3E6F2AF5"/>
    <w:rsid w:val="3E6F38A3"/>
    <w:rsid w:val="3E716647"/>
    <w:rsid w:val="3E720C9E"/>
    <w:rsid w:val="3E721CCA"/>
    <w:rsid w:val="3E725142"/>
    <w:rsid w:val="3E726EF0"/>
    <w:rsid w:val="3E7316AE"/>
    <w:rsid w:val="3E731CA5"/>
    <w:rsid w:val="3E7359A9"/>
    <w:rsid w:val="3E736EA6"/>
    <w:rsid w:val="3E742234"/>
    <w:rsid w:val="3E7423E9"/>
    <w:rsid w:val="3E744EB3"/>
    <w:rsid w:val="3E746D7E"/>
    <w:rsid w:val="3E75078E"/>
    <w:rsid w:val="3E75253C"/>
    <w:rsid w:val="3E762E96"/>
    <w:rsid w:val="3E762F8F"/>
    <w:rsid w:val="3E770C93"/>
    <w:rsid w:val="3E7779FC"/>
    <w:rsid w:val="3E780464"/>
    <w:rsid w:val="3E780486"/>
    <w:rsid w:val="3E7A2248"/>
    <w:rsid w:val="3E7A5DA4"/>
    <w:rsid w:val="3E7B365E"/>
    <w:rsid w:val="3E7C1B1C"/>
    <w:rsid w:val="3E7C38CA"/>
    <w:rsid w:val="3E7D063E"/>
    <w:rsid w:val="3E7D3071"/>
    <w:rsid w:val="3E7D3A41"/>
    <w:rsid w:val="3E7D401F"/>
    <w:rsid w:val="3E7E5894"/>
    <w:rsid w:val="3E7F33BB"/>
    <w:rsid w:val="3E7F6695"/>
    <w:rsid w:val="3E7F6A62"/>
    <w:rsid w:val="3E80785E"/>
    <w:rsid w:val="3E810EE1"/>
    <w:rsid w:val="3E8135D7"/>
    <w:rsid w:val="3E815385"/>
    <w:rsid w:val="3E817133"/>
    <w:rsid w:val="3E8310FD"/>
    <w:rsid w:val="3E832816"/>
    <w:rsid w:val="3E832EAB"/>
    <w:rsid w:val="3E834C59"/>
    <w:rsid w:val="3E837422"/>
    <w:rsid w:val="3E8409D1"/>
    <w:rsid w:val="3E8577D9"/>
    <w:rsid w:val="3E860BED"/>
    <w:rsid w:val="3E86719B"/>
    <w:rsid w:val="3E8804C1"/>
    <w:rsid w:val="3E88226F"/>
    <w:rsid w:val="3E894239"/>
    <w:rsid w:val="3E8A0DE7"/>
    <w:rsid w:val="3E8B1D5F"/>
    <w:rsid w:val="3E8B2FD9"/>
    <w:rsid w:val="3E8B6203"/>
    <w:rsid w:val="3E8C5B3A"/>
    <w:rsid w:val="3E8D1F7B"/>
    <w:rsid w:val="3E8D3D29"/>
    <w:rsid w:val="3E8E0074"/>
    <w:rsid w:val="3E8E0DB5"/>
    <w:rsid w:val="3E8E24F6"/>
    <w:rsid w:val="3E8E35FE"/>
    <w:rsid w:val="3E8F2D6B"/>
    <w:rsid w:val="3E8F4C3A"/>
    <w:rsid w:val="3E8F7AA2"/>
    <w:rsid w:val="3E901BC3"/>
    <w:rsid w:val="3E90381A"/>
    <w:rsid w:val="3E9055C8"/>
    <w:rsid w:val="3E927592"/>
    <w:rsid w:val="3E940E76"/>
    <w:rsid w:val="3E941E5D"/>
    <w:rsid w:val="3E94330A"/>
    <w:rsid w:val="3E94479A"/>
    <w:rsid w:val="3E9450B8"/>
    <w:rsid w:val="3E9462D1"/>
    <w:rsid w:val="3E952BDE"/>
    <w:rsid w:val="3E95498C"/>
    <w:rsid w:val="3E9560B7"/>
    <w:rsid w:val="3E9577F8"/>
    <w:rsid w:val="3E9649EE"/>
    <w:rsid w:val="3E96784A"/>
    <w:rsid w:val="3E973828"/>
    <w:rsid w:val="3E974BA8"/>
    <w:rsid w:val="3E976956"/>
    <w:rsid w:val="3E990920"/>
    <w:rsid w:val="3E9926CE"/>
    <w:rsid w:val="3E9A01F4"/>
    <w:rsid w:val="3E9A1FA2"/>
    <w:rsid w:val="3E9A6446"/>
    <w:rsid w:val="3E9C12AB"/>
    <w:rsid w:val="3E9C580B"/>
    <w:rsid w:val="3E9C6EB8"/>
    <w:rsid w:val="3E9D611B"/>
    <w:rsid w:val="3E9D741A"/>
    <w:rsid w:val="3E9E5F37"/>
    <w:rsid w:val="3E9E7CE5"/>
    <w:rsid w:val="3E9F0FD0"/>
    <w:rsid w:val="3E9F19CB"/>
    <w:rsid w:val="3E9F1B81"/>
    <w:rsid w:val="3E9F20EE"/>
    <w:rsid w:val="3EA0190A"/>
    <w:rsid w:val="3EA01CAF"/>
    <w:rsid w:val="3EA03BF2"/>
    <w:rsid w:val="3EA11583"/>
    <w:rsid w:val="3EA21DFC"/>
    <w:rsid w:val="3EA31D29"/>
    <w:rsid w:val="3EA352FB"/>
    <w:rsid w:val="3EA42E21"/>
    <w:rsid w:val="3EA61C0D"/>
    <w:rsid w:val="3EA640EC"/>
    <w:rsid w:val="3EA64DEB"/>
    <w:rsid w:val="3EA66B99"/>
    <w:rsid w:val="3EA7309D"/>
    <w:rsid w:val="3EA80B63"/>
    <w:rsid w:val="3EA82255"/>
    <w:rsid w:val="3EA82911"/>
    <w:rsid w:val="3EA846BF"/>
    <w:rsid w:val="3EA87F5B"/>
    <w:rsid w:val="3EA902BA"/>
    <w:rsid w:val="3EA90437"/>
    <w:rsid w:val="3EAA0C2F"/>
    <w:rsid w:val="3EAA48DB"/>
    <w:rsid w:val="3EAA6689"/>
    <w:rsid w:val="3EAB0654"/>
    <w:rsid w:val="3EAB1A1E"/>
    <w:rsid w:val="3EAC01AD"/>
    <w:rsid w:val="3EAD2CEA"/>
    <w:rsid w:val="3EAD46C9"/>
    <w:rsid w:val="3EAD4D9F"/>
    <w:rsid w:val="3EAE3046"/>
    <w:rsid w:val="3EAE35B1"/>
    <w:rsid w:val="3EAE5A4E"/>
    <w:rsid w:val="3EAF1EF2"/>
    <w:rsid w:val="3EAF22E3"/>
    <w:rsid w:val="3EAF2D25"/>
    <w:rsid w:val="3EAF2F70"/>
    <w:rsid w:val="3EB00EAE"/>
    <w:rsid w:val="3EB017C6"/>
    <w:rsid w:val="3EB03A19"/>
    <w:rsid w:val="3EB06037"/>
    <w:rsid w:val="3EB12201"/>
    <w:rsid w:val="3EB23790"/>
    <w:rsid w:val="3EB467E6"/>
    <w:rsid w:val="3EB50271"/>
    <w:rsid w:val="3EB56DDC"/>
    <w:rsid w:val="3EB65838"/>
    <w:rsid w:val="3EB65A73"/>
    <w:rsid w:val="3EB76FF8"/>
    <w:rsid w:val="3EB94F4F"/>
    <w:rsid w:val="3EB954B1"/>
    <w:rsid w:val="3EBA125D"/>
    <w:rsid w:val="3EBA2645"/>
    <w:rsid w:val="3EBA43F3"/>
    <w:rsid w:val="3EBA4D58"/>
    <w:rsid w:val="3EBB1512"/>
    <w:rsid w:val="3EBB29A2"/>
    <w:rsid w:val="3EBB2ECD"/>
    <w:rsid w:val="3EBB705C"/>
    <w:rsid w:val="3EBC016B"/>
    <w:rsid w:val="3EBC6985"/>
    <w:rsid w:val="3EBC77FE"/>
    <w:rsid w:val="3EBD514C"/>
    <w:rsid w:val="3EBD5D8E"/>
    <w:rsid w:val="3EBE2135"/>
    <w:rsid w:val="3EBE3EE3"/>
    <w:rsid w:val="3EBF0C1D"/>
    <w:rsid w:val="3EBF69EB"/>
    <w:rsid w:val="3EBF7C5B"/>
    <w:rsid w:val="3EC05EAD"/>
    <w:rsid w:val="3EC11C25"/>
    <w:rsid w:val="3EC22641"/>
    <w:rsid w:val="3EC32875"/>
    <w:rsid w:val="3EC32C38"/>
    <w:rsid w:val="3EC3599D"/>
    <w:rsid w:val="3EC3774B"/>
    <w:rsid w:val="3EC413AC"/>
    <w:rsid w:val="3EC43D05"/>
    <w:rsid w:val="3EC452D4"/>
    <w:rsid w:val="3EC51715"/>
    <w:rsid w:val="3EC534C3"/>
    <w:rsid w:val="3EC55271"/>
    <w:rsid w:val="3EC7317F"/>
    <w:rsid w:val="3EC91483"/>
    <w:rsid w:val="3EC924E2"/>
    <w:rsid w:val="3ECA2888"/>
    <w:rsid w:val="3ECA5494"/>
    <w:rsid w:val="3ECA6D2C"/>
    <w:rsid w:val="3ECB6958"/>
    <w:rsid w:val="3ECC3717"/>
    <w:rsid w:val="3ECC7974"/>
    <w:rsid w:val="3ECD2378"/>
    <w:rsid w:val="3ECF1032"/>
    <w:rsid w:val="3ED01E68"/>
    <w:rsid w:val="3ED06592"/>
    <w:rsid w:val="3ED1359D"/>
    <w:rsid w:val="3ED16D75"/>
    <w:rsid w:val="3ED17107"/>
    <w:rsid w:val="3ED25BE0"/>
    <w:rsid w:val="3ED40106"/>
    <w:rsid w:val="3ED41958"/>
    <w:rsid w:val="3ED437FA"/>
    <w:rsid w:val="3ED656D0"/>
    <w:rsid w:val="3ED70A3A"/>
    <w:rsid w:val="3ED71449"/>
    <w:rsid w:val="3ED731F7"/>
    <w:rsid w:val="3ED90A5A"/>
    <w:rsid w:val="3ED90D1D"/>
    <w:rsid w:val="3ED951C1"/>
    <w:rsid w:val="3EDA0523"/>
    <w:rsid w:val="3EDA0802"/>
    <w:rsid w:val="3EDB1F8C"/>
    <w:rsid w:val="3EDB2CE7"/>
    <w:rsid w:val="3EDC080D"/>
    <w:rsid w:val="3EDD652A"/>
    <w:rsid w:val="3EDE519D"/>
    <w:rsid w:val="3EDE5AF0"/>
    <w:rsid w:val="3EDE6333"/>
    <w:rsid w:val="3EDF139D"/>
    <w:rsid w:val="3EE002FD"/>
    <w:rsid w:val="3EE01A71"/>
    <w:rsid w:val="3EE14075"/>
    <w:rsid w:val="3EE166DA"/>
    <w:rsid w:val="3EE17834"/>
    <w:rsid w:val="3EE37DED"/>
    <w:rsid w:val="3EE43DBA"/>
    <w:rsid w:val="3EE54794"/>
    <w:rsid w:val="3EE55C0F"/>
    <w:rsid w:val="3EE60972"/>
    <w:rsid w:val="3EE651E8"/>
    <w:rsid w:val="3EE70442"/>
    <w:rsid w:val="3EE80F60"/>
    <w:rsid w:val="3EE836F9"/>
    <w:rsid w:val="3EE84C99"/>
    <w:rsid w:val="3EE92E4F"/>
    <w:rsid w:val="3EEA4CD8"/>
    <w:rsid w:val="3EEB1A81"/>
    <w:rsid w:val="3EEB2146"/>
    <w:rsid w:val="3EEB463E"/>
    <w:rsid w:val="3EEC5D95"/>
    <w:rsid w:val="3EED2A1A"/>
    <w:rsid w:val="3EED47C8"/>
    <w:rsid w:val="3EED76A5"/>
    <w:rsid w:val="3EEE5831"/>
    <w:rsid w:val="3EEF6792"/>
    <w:rsid w:val="3EF01465"/>
    <w:rsid w:val="3EF05953"/>
    <w:rsid w:val="3EF1250A"/>
    <w:rsid w:val="3EF350CD"/>
    <w:rsid w:val="3EF45B57"/>
    <w:rsid w:val="3EF50744"/>
    <w:rsid w:val="3EF5367D"/>
    <w:rsid w:val="3EF618CF"/>
    <w:rsid w:val="3EF63FC3"/>
    <w:rsid w:val="3EF66F32"/>
    <w:rsid w:val="3EF67B21"/>
    <w:rsid w:val="3EF70024"/>
    <w:rsid w:val="3EF9316D"/>
    <w:rsid w:val="3EF93913"/>
    <w:rsid w:val="3EF94085"/>
    <w:rsid w:val="3EF94F1B"/>
    <w:rsid w:val="3EFA7E3F"/>
    <w:rsid w:val="3EFB0C93"/>
    <w:rsid w:val="3EFB5264"/>
    <w:rsid w:val="3EFB6EE5"/>
    <w:rsid w:val="3EFB7642"/>
    <w:rsid w:val="3EFB7761"/>
    <w:rsid w:val="3EFC12C5"/>
    <w:rsid w:val="3EFC4A0B"/>
    <w:rsid w:val="3EFD0EAF"/>
    <w:rsid w:val="3EFE4C27"/>
    <w:rsid w:val="3F00274D"/>
    <w:rsid w:val="3F010273"/>
    <w:rsid w:val="3F012022"/>
    <w:rsid w:val="3F021F8C"/>
    <w:rsid w:val="3F0264C5"/>
    <w:rsid w:val="3F03223E"/>
    <w:rsid w:val="3F035D9A"/>
    <w:rsid w:val="3F0365C7"/>
    <w:rsid w:val="3F0403FA"/>
    <w:rsid w:val="3F04232A"/>
    <w:rsid w:val="3F0473A0"/>
    <w:rsid w:val="3F0513C7"/>
    <w:rsid w:val="3F051B12"/>
    <w:rsid w:val="3F055FB6"/>
    <w:rsid w:val="3F06588A"/>
    <w:rsid w:val="3F0833B0"/>
    <w:rsid w:val="3F087854"/>
    <w:rsid w:val="3F094EF6"/>
    <w:rsid w:val="3F0A16A9"/>
    <w:rsid w:val="3F0A196B"/>
    <w:rsid w:val="3F0A35CC"/>
    <w:rsid w:val="3F0A537A"/>
    <w:rsid w:val="3F0A649A"/>
    <w:rsid w:val="3F0A7128"/>
    <w:rsid w:val="3F0B2EA0"/>
    <w:rsid w:val="3F0C1020"/>
    <w:rsid w:val="3F0C333C"/>
    <w:rsid w:val="3F0D09C6"/>
    <w:rsid w:val="3F0E35AE"/>
    <w:rsid w:val="3F0E4E1B"/>
    <w:rsid w:val="3F0F1FBD"/>
    <w:rsid w:val="3F1104B7"/>
    <w:rsid w:val="3F12205B"/>
    <w:rsid w:val="3F122481"/>
    <w:rsid w:val="3F124C2C"/>
    <w:rsid w:val="3F125C50"/>
    <w:rsid w:val="3F13313D"/>
    <w:rsid w:val="3F141D55"/>
    <w:rsid w:val="3F1461F9"/>
    <w:rsid w:val="3F15198D"/>
    <w:rsid w:val="3F152FAD"/>
    <w:rsid w:val="3F154FE7"/>
    <w:rsid w:val="3F1551FA"/>
    <w:rsid w:val="3F1575E7"/>
    <w:rsid w:val="3F160E80"/>
    <w:rsid w:val="3F161F71"/>
    <w:rsid w:val="3F162589"/>
    <w:rsid w:val="3F163357"/>
    <w:rsid w:val="3F163D1F"/>
    <w:rsid w:val="3F172290"/>
    <w:rsid w:val="3F177A97"/>
    <w:rsid w:val="3F182E7E"/>
    <w:rsid w:val="3F193475"/>
    <w:rsid w:val="3F19380F"/>
    <w:rsid w:val="3F1942F1"/>
    <w:rsid w:val="3F19466A"/>
    <w:rsid w:val="3F1B1335"/>
    <w:rsid w:val="3F1B7721"/>
    <w:rsid w:val="3F1C5008"/>
    <w:rsid w:val="3F1C5CDE"/>
    <w:rsid w:val="3F1C6E5B"/>
    <w:rsid w:val="3F1D5496"/>
    <w:rsid w:val="3F1D6580"/>
    <w:rsid w:val="3F1E2BD3"/>
    <w:rsid w:val="3F2004D3"/>
    <w:rsid w:val="3F20694C"/>
    <w:rsid w:val="3F211072"/>
    <w:rsid w:val="3F214472"/>
    <w:rsid w:val="3F21712E"/>
    <w:rsid w:val="3F220916"/>
    <w:rsid w:val="3F230DEE"/>
    <w:rsid w:val="3F23468E"/>
    <w:rsid w:val="3F235948"/>
    <w:rsid w:val="3F235EF7"/>
    <w:rsid w:val="3F236973"/>
    <w:rsid w:val="3F247041"/>
    <w:rsid w:val="3F256D10"/>
    <w:rsid w:val="3F270B7D"/>
    <w:rsid w:val="3F281CA4"/>
    <w:rsid w:val="3F283033"/>
    <w:rsid w:val="3F290598"/>
    <w:rsid w:val="3F2A1772"/>
    <w:rsid w:val="3F2A3035"/>
    <w:rsid w:val="3F2A77CA"/>
    <w:rsid w:val="3F2A7F57"/>
    <w:rsid w:val="3F2B709E"/>
    <w:rsid w:val="3F2B7D93"/>
    <w:rsid w:val="3F2C50D7"/>
    <w:rsid w:val="3F2C57D3"/>
    <w:rsid w:val="3F2C6D7B"/>
    <w:rsid w:val="3F2D5C49"/>
    <w:rsid w:val="3F2D72BA"/>
    <w:rsid w:val="3F2E1700"/>
    <w:rsid w:val="3F2F3033"/>
    <w:rsid w:val="3F2F4154"/>
    <w:rsid w:val="3F2F6BFE"/>
    <w:rsid w:val="3F310B59"/>
    <w:rsid w:val="3F312907"/>
    <w:rsid w:val="3F316A74"/>
    <w:rsid w:val="3F316DAB"/>
    <w:rsid w:val="3F32667F"/>
    <w:rsid w:val="3F327891"/>
    <w:rsid w:val="3F3344F4"/>
    <w:rsid w:val="3F340649"/>
    <w:rsid w:val="3F3423F7"/>
    <w:rsid w:val="3F361456"/>
    <w:rsid w:val="3F363785"/>
    <w:rsid w:val="3F3643C1"/>
    <w:rsid w:val="3F36616F"/>
    <w:rsid w:val="3F370D90"/>
    <w:rsid w:val="3F381FEB"/>
    <w:rsid w:val="3F384618"/>
    <w:rsid w:val="3F3858E5"/>
    <w:rsid w:val="3F3917BB"/>
    <w:rsid w:val="3F391DC6"/>
    <w:rsid w:val="3F397396"/>
    <w:rsid w:val="3F397A0D"/>
    <w:rsid w:val="3F397DD7"/>
    <w:rsid w:val="3F3A31DD"/>
    <w:rsid w:val="3F3A40FD"/>
    <w:rsid w:val="3F3B19D7"/>
    <w:rsid w:val="3F3C6758"/>
    <w:rsid w:val="3F3D5750"/>
    <w:rsid w:val="3F3E3276"/>
    <w:rsid w:val="3F3E3BC8"/>
    <w:rsid w:val="3F3E5024"/>
    <w:rsid w:val="3F401EB9"/>
    <w:rsid w:val="3F402B4A"/>
    <w:rsid w:val="3F406FEE"/>
    <w:rsid w:val="3F40758E"/>
    <w:rsid w:val="3F417D8B"/>
    <w:rsid w:val="3F422D66"/>
    <w:rsid w:val="3F42403B"/>
    <w:rsid w:val="3F446C4E"/>
    <w:rsid w:val="3F453306"/>
    <w:rsid w:val="3F454604"/>
    <w:rsid w:val="3F4563B2"/>
    <w:rsid w:val="3F457245"/>
    <w:rsid w:val="3F457ABB"/>
    <w:rsid w:val="3F461CB5"/>
    <w:rsid w:val="3F47037C"/>
    <w:rsid w:val="3F47212A"/>
    <w:rsid w:val="3F4760A2"/>
    <w:rsid w:val="3F482E9A"/>
    <w:rsid w:val="3F484D1C"/>
    <w:rsid w:val="3F485EA2"/>
    <w:rsid w:val="3F490DEA"/>
    <w:rsid w:val="3F49270E"/>
    <w:rsid w:val="3F4A27F4"/>
    <w:rsid w:val="3F4A4C2B"/>
    <w:rsid w:val="3F4A5777"/>
    <w:rsid w:val="3F4A64F8"/>
    <w:rsid w:val="3F4B503E"/>
    <w:rsid w:val="3F4C14EF"/>
    <w:rsid w:val="3F4C585B"/>
    <w:rsid w:val="3F4C5993"/>
    <w:rsid w:val="3F4C624D"/>
    <w:rsid w:val="3F4C7741"/>
    <w:rsid w:val="3F4D34B9"/>
    <w:rsid w:val="3F4D5267"/>
    <w:rsid w:val="3F4D603A"/>
    <w:rsid w:val="3F4D655A"/>
    <w:rsid w:val="3F4E1403"/>
    <w:rsid w:val="3F4E170B"/>
    <w:rsid w:val="3F4E2026"/>
    <w:rsid w:val="3F4E4D6C"/>
    <w:rsid w:val="3F4E50D7"/>
    <w:rsid w:val="3F4E6449"/>
    <w:rsid w:val="3F4E6B1B"/>
    <w:rsid w:val="3F4F0FDF"/>
    <w:rsid w:val="3F4F2BC5"/>
    <w:rsid w:val="3F4F5483"/>
    <w:rsid w:val="3F4F7231"/>
    <w:rsid w:val="3F510629"/>
    <w:rsid w:val="3F514D57"/>
    <w:rsid w:val="3F516B05"/>
    <w:rsid w:val="3F5213D1"/>
    <w:rsid w:val="3F5227F2"/>
    <w:rsid w:val="3F52287D"/>
    <w:rsid w:val="3F5274EE"/>
    <w:rsid w:val="3F536D21"/>
    <w:rsid w:val="3F5449DF"/>
    <w:rsid w:val="3F5465F5"/>
    <w:rsid w:val="3F5575B0"/>
    <w:rsid w:val="3F56036D"/>
    <w:rsid w:val="3F5605BF"/>
    <w:rsid w:val="3F5664A5"/>
    <w:rsid w:val="3F566811"/>
    <w:rsid w:val="3F5860E5"/>
    <w:rsid w:val="3F5900B0"/>
    <w:rsid w:val="3F5901FF"/>
    <w:rsid w:val="3F591E5E"/>
    <w:rsid w:val="3F593C0C"/>
    <w:rsid w:val="3F5A2000"/>
    <w:rsid w:val="3F5A27C7"/>
    <w:rsid w:val="3F5B3839"/>
    <w:rsid w:val="3F5C0590"/>
    <w:rsid w:val="3F5C7F8B"/>
    <w:rsid w:val="3F5D194E"/>
    <w:rsid w:val="3F5D3FE5"/>
    <w:rsid w:val="3F5D4F76"/>
    <w:rsid w:val="3F5D679C"/>
    <w:rsid w:val="3F5D7BA0"/>
    <w:rsid w:val="3F5E7474"/>
    <w:rsid w:val="3F5F5A0A"/>
    <w:rsid w:val="3F60143E"/>
    <w:rsid w:val="3F6031EC"/>
    <w:rsid w:val="3F616960"/>
    <w:rsid w:val="3F623689"/>
    <w:rsid w:val="3F626766"/>
    <w:rsid w:val="3F626FE3"/>
    <w:rsid w:val="3F631903"/>
    <w:rsid w:val="3F6532BD"/>
    <w:rsid w:val="3F656A54"/>
    <w:rsid w:val="3F6578C8"/>
    <w:rsid w:val="3F663E5C"/>
    <w:rsid w:val="3F666DF4"/>
    <w:rsid w:val="3F6820A1"/>
    <w:rsid w:val="3F6842E5"/>
    <w:rsid w:val="3F684C10"/>
    <w:rsid w:val="3F685EF9"/>
    <w:rsid w:val="3F6902F3"/>
    <w:rsid w:val="3F696545"/>
    <w:rsid w:val="3F6A2E3E"/>
    <w:rsid w:val="3F6A5E19"/>
    <w:rsid w:val="3F6B149A"/>
    <w:rsid w:val="3F6B2247"/>
    <w:rsid w:val="3F6B55F5"/>
    <w:rsid w:val="3F6B74EC"/>
    <w:rsid w:val="3F6C2C66"/>
    <w:rsid w:val="3F6D25B4"/>
    <w:rsid w:val="3F6E1D9F"/>
    <w:rsid w:val="3F6E4A27"/>
    <w:rsid w:val="3F6E5586"/>
    <w:rsid w:val="3F6F1681"/>
    <w:rsid w:val="3F6F2B7D"/>
    <w:rsid w:val="3F6F51DD"/>
    <w:rsid w:val="3F6F78D3"/>
    <w:rsid w:val="3F6F7A5A"/>
    <w:rsid w:val="3F710F55"/>
    <w:rsid w:val="3F7153F9"/>
    <w:rsid w:val="3F715648"/>
    <w:rsid w:val="3F7275D7"/>
    <w:rsid w:val="3F7313F8"/>
    <w:rsid w:val="3F743FC9"/>
    <w:rsid w:val="3F744EE9"/>
    <w:rsid w:val="3F746347"/>
    <w:rsid w:val="3F746C97"/>
    <w:rsid w:val="3F755CC5"/>
    <w:rsid w:val="3F757282"/>
    <w:rsid w:val="3F76656C"/>
    <w:rsid w:val="3F771558"/>
    <w:rsid w:val="3F772C20"/>
    <w:rsid w:val="3F780536"/>
    <w:rsid w:val="3F78532F"/>
    <w:rsid w:val="3F786788"/>
    <w:rsid w:val="3F790A59"/>
    <w:rsid w:val="3F794D8F"/>
    <w:rsid w:val="3F794F45"/>
    <w:rsid w:val="3F79605C"/>
    <w:rsid w:val="3F7A2500"/>
    <w:rsid w:val="3F7C275B"/>
    <w:rsid w:val="3F7C3364"/>
    <w:rsid w:val="3F7C39B5"/>
    <w:rsid w:val="3F7D1C65"/>
    <w:rsid w:val="3F7D1E0A"/>
    <w:rsid w:val="3F7D3D9E"/>
    <w:rsid w:val="3F7D78FA"/>
    <w:rsid w:val="3F7E18C4"/>
    <w:rsid w:val="3F7E3672"/>
    <w:rsid w:val="3F7E4CC2"/>
    <w:rsid w:val="3F7E540A"/>
    <w:rsid w:val="3F80388E"/>
    <w:rsid w:val="3F80563C"/>
    <w:rsid w:val="3F810520"/>
    <w:rsid w:val="3F82047F"/>
    <w:rsid w:val="3F83055F"/>
    <w:rsid w:val="3F830C89"/>
    <w:rsid w:val="3F836EDA"/>
    <w:rsid w:val="3F837C9F"/>
    <w:rsid w:val="3F840B6D"/>
    <w:rsid w:val="3F84512C"/>
    <w:rsid w:val="3F85380D"/>
    <w:rsid w:val="3F854A01"/>
    <w:rsid w:val="3F861876"/>
    <w:rsid w:val="3F867A97"/>
    <w:rsid w:val="3F87243F"/>
    <w:rsid w:val="3F874C1D"/>
    <w:rsid w:val="3F87756C"/>
    <w:rsid w:val="3F88218E"/>
    <w:rsid w:val="3F892743"/>
    <w:rsid w:val="3F894D5F"/>
    <w:rsid w:val="3F895A13"/>
    <w:rsid w:val="3F8A1563"/>
    <w:rsid w:val="3F8A184D"/>
    <w:rsid w:val="3F8B2BAE"/>
    <w:rsid w:val="3F8B3622"/>
    <w:rsid w:val="3F8C42FE"/>
    <w:rsid w:val="3F8C4845"/>
    <w:rsid w:val="3F8D1F9F"/>
    <w:rsid w:val="3F8D7D10"/>
    <w:rsid w:val="3F8E13E1"/>
    <w:rsid w:val="3F8E3230"/>
    <w:rsid w:val="3F8E6000"/>
    <w:rsid w:val="3F8F587F"/>
    <w:rsid w:val="3F9133A5"/>
    <w:rsid w:val="3F91350E"/>
    <w:rsid w:val="3F923280"/>
    <w:rsid w:val="3F927A83"/>
    <w:rsid w:val="3F931337"/>
    <w:rsid w:val="3F935E11"/>
    <w:rsid w:val="3F937C7C"/>
    <w:rsid w:val="3F942E96"/>
    <w:rsid w:val="3F944A09"/>
    <w:rsid w:val="3F9457EA"/>
    <w:rsid w:val="3F952379"/>
    <w:rsid w:val="3F95733A"/>
    <w:rsid w:val="3F9609BC"/>
    <w:rsid w:val="3F960DE7"/>
    <w:rsid w:val="3F960F9D"/>
    <w:rsid w:val="3F964E60"/>
    <w:rsid w:val="3F965ED3"/>
    <w:rsid w:val="3F966C0E"/>
    <w:rsid w:val="3F9707F3"/>
    <w:rsid w:val="3F975AFE"/>
    <w:rsid w:val="3F97623E"/>
    <w:rsid w:val="3F977363"/>
    <w:rsid w:val="3F977E85"/>
    <w:rsid w:val="3F982986"/>
    <w:rsid w:val="3F9966FE"/>
    <w:rsid w:val="3F9A1347"/>
    <w:rsid w:val="3F9A3112"/>
    <w:rsid w:val="3F9A4950"/>
    <w:rsid w:val="3F9A5C00"/>
    <w:rsid w:val="3F9B06C8"/>
    <w:rsid w:val="3F9B22EA"/>
    <w:rsid w:val="3F9B2476"/>
    <w:rsid w:val="3F9B2F92"/>
    <w:rsid w:val="3F9B5FD2"/>
    <w:rsid w:val="3F9B7035"/>
    <w:rsid w:val="3F9B7174"/>
    <w:rsid w:val="3F9C2D7D"/>
    <w:rsid w:val="3F9D40F8"/>
    <w:rsid w:val="3F9D7F9C"/>
    <w:rsid w:val="3F9E5AF5"/>
    <w:rsid w:val="3F9F3D14"/>
    <w:rsid w:val="3FA13411"/>
    <w:rsid w:val="3FA22CEE"/>
    <w:rsid w:val="3FA23805"/>
    <w:rsid w:val="3FA24FF5"/>
    <w:rsid w:val="3FA255B3"/>
    <w:rsid w:val="3FA27361"/>
    <w:rsid w:val="3FA27C99"/>
    <w:rsid w:val="3FA304D7"/>
    <w:rsid w:val="3FA30B08"/>
    <w:rsid w:val="3FA3320A"/>
    <w:rsid w:val="3FA40226"/>
    <w:rsid w:val="3FA43579"/>
    <w:rsid w:val="3FA47798"/>
    <w:rsid w:val="3FA532F5"/>
    <w:rsid w:val="3FA550A3"/>
    <w:rsid w:val="3FA65FE9"/>
    <w:rsid w:val="3FA71C20"/>
    <w:rsid w:val="3FA75717"/>
    <w:rsid w:val="3FA806EF"/>
    <w:rsid w:val="3FA84BD5"/>
    <w:rsid w:val="3FA86A40"/>
    <w:rsid w:val="3FA94190"/>
    <w:rsid w:val="3FA94B93"/>
    <w:rsid w:val="3FAA02D6"/>
    <w:rsid w:val="3FAA0DF6"/>
    <w:rsid w:val="3FAA4098"/>
    <w:rsid w:val="3FAA57D9"/>
    <w:rsid w:val="3FAA6F24"/>
    <w:rsid w:val="3FAB08D7"/>
    <w:rsid w:val="3FAB4774"/>
    <w:rsid w:val="3FAC01DF"/>
    <w:rsid w:val="3FAC4683"/>
    <w:rsid w:val="3FAD415A"/>
    <w:rsid w:val="3FAE2025"/>
    <w:rsid w:val="3FAF1A7E"/>
    <w:rsid w:val="3FB02EF6"/>
    <w:rsid w:val="3FB05F21"/>
    <w:rsid w:val="3FB11C9A"/>
    <w:rsid w:val="3FB157F6"/>
    <w:rsid w:val="3FB25CCB"/>
    <w:rsid w:val="3FB26D04"/>
    <w:rsid w:val="3FB27839"/>
    <w:rsid w:val="3FB34AF2"/>
    <w:rsid w:val="3FB35A12"/>
    <w:rsid w:val="3FB41253"/>
    <w:rsid w:val="3FB41EE5"/>
    <w:rsid w:val="3FB5178A"/>
    <w:rsid w:val="3FB528EC"/>
    <w:rsid w:val="3FB577A3"/>
    <w:rsid w:val="3FB672B0"/>
    <w:rsid w:val="3FB7160F"/>
    <w:rsid w:val="3FB727FF"/>
    <w:rsid w:val="3FB735D9"/>
    <w:rsid w:val="3FB76A16"/>
    <w:rsid w:val="3FB83028"/>
    <w:rsid w:val="3FB850D9"/>
    <w:rsid w:val="3FB928FC"/>
    <w:rsid w:val="3FBB0422"/>
    <w:rsid w:val="3FBB2757"/>
    <w:rsid w:val="3FBB3790"/>
    <w:rsid w:val="3FBB48C6"/>
    <w:rsid w:val="3FBC7B83"/>
    <w:rsid w:val="3FBC7BEE"/>
    <w:rsid w:val="3FBD1E8B"/>
    <w:rsid w:val="3FBD250E"/>
    <w:rsid w:val="3FBE68C2"/>
    <w:rsid w:val="3FBF0847"/>
    <w:rsid w:val="3FBF296B"/>
    <w:rsid w:val="3FBF6165"/>
    <w:rsid w:val="3FBF61BF"/>
    <w:rsid w:val="3FC00B1E"/>
    <w:rsid w:val="3FC03C8B"/>
    <w:rsid w:val="3FC048D5"/>
    <w:rsid w:val="3FC079FF"/>
    <w:rsid w:val="3FC07D41"/>
    <w:rsid w:val="3FC1012F"/>
    <w:rsid w:val="3FC11F5E"/>
    <w:rsid w:val="3FC2231F"/>
    <w:rsid w:val="3FC31294"/>
    <w:rsid w:val="3FC36E3E"/>
    <w:rsid w:val="3FC419CD"/>
    <w:rsid w:val="3FC4377B"/>
    <w:rsid w:val="3FC512A1"/>
    <w:rsid w:val="3FC5173D"/>
    <w:rsid w:val="3FC574F3"/>
    <w:rsid w:val="3FC57A84"/>
    <w:rsid w:val="3FC62130"/>
    <w:rsid w:val="3FC62A22"/>
    <w:rsid w:val="3FC63CF0"/>
    <w:rsid w:val="3FC65745"/>
    <w:rsid w:val="3FC7326B"/>
    <w:rsid w:val="3FC762C2"/>
    <w:rsid w:val="3FC80D62"/>
    <w:rsid w:val="3FC810AC"/>
    <w:rsid w:val="3FC82E6A"/>
    <w:rsid w:val="3FC8769B"/>
    <w:rsid w:val="3FC90D91"/>
    <w:rsid w:val="3FC921F2"/>
    <w:rsid w:val="3FC92B3F"/>
    <w:rsid w:val="3FC931AC"/>
    <w:rsid w:val="3FC96FE3"/>
    <w:rsid w:val="3FCB0095"/>
    <w:rsid w:val="3FCB4391"/>
    <w:rsid w:val="3FCB4B12"/>
    <w:rsid w:val="3FCB5180"/>
    <w:rsid w:val="3FCB7B61"/>
    <w:rsid w:val="3FCC45F1"/>
    <w:rsid w:val="3FCD6AB2"/>
    <w:rsid w:val="3FCE3493"/>
    <w:rsid w:val="3FCE6164"/>
    <w:rsid w:val="3FD02685"/>
    <w:rsid w:val="3FD029F0"/>
    <w:rsid w:val="3FD15E98"/>
    <w:rsid w:val="3FD16214"/>
    <w:rsid w:val="3FD2383F"/>
    <w:rsid w:val="3FD37E62"/>
    <w:rsid w:val="3FD44D7F"/>
    <w:rsid w:val="3FD529D9"/>
    <w:rsid w:val="3FD57736"/>
    <w:rsid w:val="3FD60BDB"/>
    <w:rsid w:val="3FD61700"/>
    <w:rsid w:val="3FD61C25"/>
    <w:rsid w:val="3FD6525C"/>
    <w:rsid w:val="3FD779FE"/>
    <w:rsid w:val="3FD80FD4"/>
    <w:rsid w:val="3FD9024B"/>
    <w:rsid w:val="3FD90C1D"/>
    <w:rsid w:val="3FDA11F0"/>
    <w:rsid w:val="3FDA416F"/>
    <w:rsid w:val="3FDA4D4C"/>
    <w:rsid w:val="3FDB6D16"/>
    <w:rsid w:val="3FDC0B23"/>
    <w:rsid w:val="3FDC11E0"/>
    <w:rsid w:val="3FDC3C83"/>
    <w:rsid w:val="3FDC5A97"/>
    <w:rsid w:val="3FDD2A8F"/>
    <w:rsid w:val="3FDD3AA0"/>
    <w:rsid w:val="3FDD65EB"/>
    <w:rsid w:val="3FDD7C80"/>
    <w:rsid w:val="3FDE1453"/>
    <w:rsid w:val="3FDE5A59"/>
    <w:rsid w:val="3FDF05B5"/>
    <w:rsid w:val="3FDF4418"/>
    <w:rsid w:val="3FE03D4A"/>
    <w:rsid w:val="3FE0432D"/>
    <w:rsid w:val="3FE060DB"/>
    <w:rsid w:val="3FE13309"/>
    <w:rsid w:val="3FE200A5"/>
    <w:rsid w:val="3FE23C01"/>
    <w:rsid w:val="3FE27DBE"/>
    <w:rsid w:val="3FE4657E"/>
    <w:rsid w:val="3FE46DFA"/>
    <w:rsid w:val="3FE51083"/>
    <w:rsid w:val="3FE536F1"/>
    <w:rsid w:val="3FE61943"/>
    <w:rsid w:val="3FE861B3"/>
    <w:rsid w:val="3FE91433"/>
    <w:rsid w:val="3FE936E4"/>
    <w:rsid w:val="3FE94F8F"/>
    <w:rsid w:val="3FEC586B"/>
    <w:rsid w:val="3FED2753"/>
    <w:rsid w:val="3FED77F5"/>
    <w:rsid w:val="3FED79AA"/>
    <w:rsid w:val="3FEF669A"/>
    <w:rsid w:val="3FF076F1"/>
    <w:rsid w:val="3FF1682D"/>
    <w:rsid w:val="3FF213FE"/>
    <w:rsid w:val="3FF2288E"/>
    <w:rsid w:val="3FF316C7"/>
    <w:rsid w:val="3FF322B2"/>
    <w:rsid w:val="3FF43934"/>
    <w:rsid w:val="3FF468CF"/>
    <w:rsid w:val="3FF51B86"/>
    <w:rsid w:val="3FF57DD8"/>
    <w:rsid w:val="3FF658FE"/>
    <w:rsid w:val="3FF67573"/>
    <w:rsid w:val="3FF7445C"/>
    <w:rsid w:val="3FF81676"/>
    <w:rsid w:val="3FF81804"/>
    <w:rsid w:val="3FFA0DC4"/>
    <w:rsid w:val="3FFA193D"/>
    <w:rsid w:val="3FFA5660"/>
    <w:rsid w:val="3FFA719D"/>
    <w:rsid w:val="3FFB339C"/>
    <w:rsid w:val="3FFB622F"/>
    <w:rsid w:val="3FFC3940"/>
    <w:rsid w:val="3FFC5081"/>
    <w:rsid w:val="3FFD13C1"/>
    <w:rsid w:val="3FFD4EDF"/>
    <w:rsid w:val="3FFD5592"/>
    <w:rsid w:val="3FFD6C8D"/>
    <w:rsid w:val="3FFE02A1"/>
    <w:rsid w:val="3FFE7BEC"/>
    <w:rsid w:val="3FFE7DA2"/>
    <w:rsid w:val="3FFF0C57"/>
    <w:rsid w:val="40003751"/>
    <w:rsid w:val="400242A3"/>
    <w:rsid w:val="4004001B"/>
    <w:rsid w:val="4004150F"/>
    <w:rsid w:val="40041DC9"/>
    <w:rsid w:val="40053FBC"/>
    <w:rsid w:val="40055B41"/>
    <w:rsid w:val="40061FE5"/>
    <w:rsid w:val="40063D93"/>
    <w:rsid w:val="400707C4"/>
    <w:rsid w:val="40077B0C"/>
    <w:rsid w:val="40082F1F"/>
    <w:rsid w:val="40093884"/>
    <w:rsid w:val="400A73D4"/>
    <w:rsid w:val="400B13AA"/>
    <w:rsid w:val="400B3158"/>
    <w:rsid w:val="400B4232"/>
    <w:rsid w:val="400B7923"/>
    <w:rsid w:val="400C1EA9"/>
    <w:rsid w:val="400C5122"/>
    <w:rsid w:val="400D3374"/>
    <w:rsid w:val="400D69A7"/>
    <w:rsid w:val="400E2C48"/>
    <w:rsid w:val="4010076E"/>
    <w:rsid w:val="4010128C"/>
    <w:rsid w:val="40104C12"/>
    <w:rsid w:val="401069C0"/>
    <w:rsid w:val="401146D6"/>
    <w:rsid w:val="4012141A"/>
    <w:rsid w:val="40123B73"/>
    <w:rsid w:val="40125668"/>
    <w:rsid w:val="4013025E"/>
    <w:rsid w:val="4013200C"/>
    <w:rsid w:val="40132045"/>
    <w:rsid w:val="40141BC7"/>
    <w:rsid w:val="40145EF0"/>
    <w:rsid w:val="40147FD7"/>
    <w:rsid w:val="401506E3"/>
    <w:rsid w:val="40153FD6"/>
    <w:rsid w:val="40161AFD"/>
    <w:rsid w:val="401670B8"/>
    <w:rsid w:val="401676F2"/>
    <w:rsid w:val="40171C89"/>
    <w:rsid w:val="40172382"/>
    <w:rsid w:val="4019700B"/>
    <w:rsid w:val="401979A4"/>
    <w:rsid w:val="401A060A"/>
    <w:rsid w:val="401A15ED"/>
    <w:rsid w:val="401A19BA"/>
    <w:rsid w:val="401A339B"/>
    <w:rsid w:val="401A4BA7"/>
    <w:rsid w:val="401A50C7"/>
    <w:rsid w:val="401B0F1D"/>
    <w:rsid w:val="401B7113"/>
    <w:rsid w:val="401B71B8"/>
    <w:rsid w:val="401C18F7"/>
    <w:rsid w:val="401C35A9"/>
    <w:rsid w:val="401C5365"/>
    <w:rsid w:val="401E041B"/>
    <w:rsid w:val="401E0BE7"/>
    <w:rsid w:val="401F09B1"/>
    <w:rsid w:val="401F1B67"/>
    <w:rsid w:val="401F30A7"/>
    <w:rsid w:val="401F3A0E"/>
    <w:rsid w:val="401F4E55"/>
    <w:rsid w:val="401F6C03"/>
    <w:rsid w:val="402002DC"/>
    <w:rsid w:val="402027BB"/>
    <w:rsid w:val="4021098C"/>
    <w:rsid w:val="40210BCD"/>
    <w:rsid w:val="40210ECA"/>
    <w:rsid w:val="402204A1"/>
    <w:rsid w:val="402236FF"/>
    <w:rsid w:val="40224945"/>
    <w:rsid w:val="40224E54"/>
    <w:rsid w:val="402266F3"/>
    <w:rsid w:val="40226D9C"/>
    <w:rsid w:val="402406BD"/>
    <w:rsid w:val="4024337A"/>
    <w:rsid w:val="40250E1A"/>
    <w:rsid w:val="40251D40"/>
    <w:rsid w:val="4025571D"/>
    <w:rsid w:val="402600C2"/>
    <w:rsid w:val="40260E35"/>
    <w:rsid w:val="402661E4"/>
    <w:rsid w:val="402666E2"/>
    <w:rsid w:val="40266CA0"/>
    <w:rsid w:val="40270868"/>
    <w:rsid w:val="40273D0A"/>
    <w:rsid w:val="40275AB8"/>
    <w:rsid w:val="40276E58"/>
    <w:rsid w:val="40280130"/>
    <w:rsid w:val="4028049C"/>
    <w:rsid w:val="4028224B"/>
    <w:rsid w:val="40284A6F"/>
    <w:rsid w:val="40291830"/>
    <w:rsid w:val="40291E37"/>
    <w:rsid w:val="40295CD4"/>
    <w:rsid w:val="402A5D84"/>
    <w:rsid w:val="402B1A4C"/>
    <w:rsid w:val="402B5A28"/>
    <w:rsid w:val="402C1320"/>
    <w:rsid w:val="402C709C"/>
    <w:rsid w:val="402D63A5"/>
    <w:rsid w:val="402D7572"/>
    <w:rsid w:val="402E32EA"/>
    <w:rsid w:val="402E5098"/>
    <w:rsid w:val="402E6E46"/>
    <w:rsid w:val="402F45FE"/>
    <w:rsid w:val="402F4F60"/>
    <w:rsid w:val="40300E10"/>
    <w:rsid w:val="40307062"/>
    <w:rsid w:val="40314B3B"/>
    <w:rsid w:val="40316936"/>
    <w:rsid w:val="403221B3"/>
    <w:rsid w:val="4033445D"/>
    <w:rsid w:val="40336737"/>
    <w:rsid w:val="40340453"/>
    <w:rsid w:val="40342640"/>
    <w:rsid w:val="403501D5"/>
    <w:rsid w:val="40352310"/>
    <w:rsid w:val="40353A25"/>
    <w:rsid w:val="40354679"/>
    <w:rsid w:val="40372082"/>
    <w:rsid w:val="40381A73"/>
    <w:rsid w:val="40384169"/>
    <w:rsid w:val="40387CC5"/>
    <w:rsid w:val="403A0A33"/>
    <w:rsid w:val="403A24E5"/>
    <w:rsid w:val="403A3A3D"/>
    <w:rsid w:val="403A7970"/>
    <w:rsid w:val="403B6B37"/>
    <w:rsid w:val="403B7F18"/>
    <w:rsid w:val="403D2262"/>
    <w:rsid w:val="403D25CD"/>
    <w:rsid w:val="403D352D"/>
    <w:rsid w:val="403D3573"/>
    <w:rsid w:val="403D64A9"/>
    <w:rsid w:val="403E177F"/>
    <w:rsid w:val="403F0E94"/>
    <w:rsid w:val="403F3102"/>
    <w:rsid w:val="403F72A5"/>
    <w:rsid w:val="40415CAC"/>
    <w:rsid w:val="40420B44"/>
    <w:rsid w:val="404228F2"/>
    <w:rsid w:val="4042414A"/>
    <w:rsid w:val="40424BBF"/>
    <w:rsid w:val="40427815"/>
    <w:rsid w:val="404279B3"/>
    <w:rsid w:val="40436D96"/>
    <w:rsid w:val="4044666A"/>
    <w:rsid w:val="40447056"/>
    <w:rsid w:val="40454BCA"/>
    <w:rsid w:val="404576A6"/>
    <w:rsid w:val="404638FC"/>
    <w:rsid w:val="40464190"/>
    <w:rsid w:val="40466196"/>
    <w:rsid w:val="404674AC"/>
    <w:rsid w:val="40476C6E"/>
    <w:rsid w:val="40477F08"/>
    <w:rsid w:val="404826A0"/>
    <w:rsid w:val="40491ED2"/>
    <w:rsid w:val="40494752"/>
    <w:rsid w:val="404A4450"/>
    <w:rsid w:val="404A4866"/>
    <w:rsid w:val="404A51E9"/>
    <w:rsid w:val="404A730A"/>
    <w:rsid w:val="404B3406"/>
    <w:rsid w:val="404B4E8D"/>
    <w:rsid w:val="404B5C4A"/>
    <w:rsid w:val="404B6549"/>
    <w:rsid w:val="404C03A7"/>
    <w:rsid w:val="404C3770"/>
    <w:rsid w:val="404C6525"/>
    <w:rsid w:val="404D19C2"/>
    <w:rsid w:val="404E142E"/>
    <w:rsid w:val="404E340E"/>
    <w:rsid w:val="404E6916"/>
    <w:rsid w:val="404E74E8"/>
    <w:rsid w:val="404F217A"/>
    <w:rsid w:val="405014B2"/>
    <w:rsid w:val="405034A5"/>
    <w:rsid w:val="40506C9C"/>
    <w:rsid w:val="40512B35"/>
    <w:rsid w:val="405132A9"/>
    <w:rsid w:val="405214DD"/>
    <w:rsid w:val="40526FD9"/>
    <w:rsid w:val="40534AFF"/>
    <w:rsid w:val="40537712"/>
    <w:rsid w:val="405402C5"/>
    <w:rsid w:val="4054083F"/>
    <w:rsid w:val="40542B45"/>
    <w:rsid w:val="40543317"/>
    <w:rsid w:val="405467B0"/>
    <w:rsid w:val="40546965"/>
    <w:rsid w:val="405504E9"/>
    <w:rsid w:val="40552625"/>
    <w:rsid w:val="40555BB9"/>
    <w:rsid w:val="405560D9"/>
    <w:rsid w:val="40556AC9"/>
    <w:rsid w:val="405576EE"/>
    <w:rsid w:val="40570B30"/>
    <w:rsid w:val="40576C3A"/>
    <w:rsid w:val="40580367"/>
    <w:rsid w:val="40582115"/>
    <w:rsid w:val="40583EC3"/>
    <w:rsid w:val="4058539E"/>
    <w:rsid w:val="40587D98"/>
    <w:rsid w:val="40596A0B"/>
    <w:rsid w:val="405A40DF"/>
    <w:rsid w:val="405A563E"/>
    <w:rsid w:val="405A6811"/>
    <w:rsid w:val="405B0AE5"/>
    <w:rsid w:val="405B33AF"/>
    <w:rsid w:val="405C1C05"/>
    <w:rsid w:val="405C38BC"/>
    <w:rsid w:val="405D184C"/>
    <w:rsid w:val="405D1A2A"/>
    <w:rsid w:val="405D2336"/>
    <w:rsid w:val="405D7045"/>
    <w:rsid w:val="405D772B"/>
    <w:rsid w:val="405E7E2A"/>
    <w:rsid w:val="405F16F6"/>
    <w:rsid w:val="405F2DDF"/>
    <w:rsid w:val="4061546E"/>
    <w:rsid w:val="40631B6B"/>
    <w:rsid w:val="40640ABA"/>
    <w:rsid w:val="4064171F"/>
    <w:rsid w:val="4064261E"/>
    <w:rsid w:val="40646B4E"/>
    <w:rsid w:val="40652BAF"/>
    <w:rsid w:val="40657FDE"/>
    <w:rsid w:val="40664781"/>
    <w:rsid w:val="406805AA"/>
    <w:rsid w:val="40680B92"/>
    <w:rsid w:val="40681530"/>
    <w:rsid w:val="406867FC"/>
    <w:rsid w:val="40694322"/>
    <w:rsid w:val="406B1E48"/>
    <w:rsid w:val="406B3BF6"/>
    <w:rsid w:val="406B50CC"/>
    <w:rsid w:val="406C133E"/>
    <w:rsid w:val="406C47B6"/>
    <w:rsid w:val="406C497A"/>
    <w:rsid w:val="406C4BC1"/>
    <w:rsid w:val="406D3E12"/>
    <w:rsid w:val="406D5BC1"/>
    <w:rsid w:val="406D73B9"/>
    <w:rsid w:val="406E27D1"/>
    <w:rsid w:val="406E765F"/>
    <w:rsid w:val="406E7B8B"/>
    <w:rsid w:val="406F60E2"/>
    <w:rsid w:val="406F6832"/>
    <w:rsid w:val="40701294"/>
    <w:rsid w:val="40703903"/>
    <w:rsid w:val="40703E40"/>
    <w:rsid w:val="4071000B"/>
    <w:rsid w:val="40711138"/>
    <w:rsid w:val="40714F85"/>
    <w:rsid w:val="407209E5"/>
    <w:rsid w:val="407231D7"/>
    <w:rsid w:val="40730CFD"/>
    <w:rsid w:val="40731D9B"/>
    <w:rsid w:val="40733AF1"/>
    <w:rsid w:val="407354B6"/>
    <w:rsid w:val="40740E35"/>
    <w:rsid w:val="4074409A"/>
    <w:rsid w:val="407451A1"/>
    <w:rsid w:val="40750F19"/>
    <w:rsid w:val="40754A75"/>
    <w:rsid w:val="4076036A"/>
    <w:rsid w:val="40774C91"/>
    <w:rsid w:val="40774FC4"/>
    <w:rsid w:val="40785D4A"/>
    <w:rsid w:val="407927B7"/>
    <w:rsid w:val="40796B97"/>
    <w:rsid w:val="407A208B"/>
    <w:rsid w:val="407A6407"/>
    <w:rsid w:val="407A7A97"/>
    <w:rsid w:val="407B1C4F"/>
    <w:rsid w:val="407C02A4"/>
    <w:rsid w:val="407C4056"/>
    <w:rsid w:val="407C5E04"/>
    <w:rsid w:val="407C6265"/>
    <w:rsid w:val="407D1B7C"/>
    <w:rsid w:val="407D2E33"/>
    <w:rsid w:val="407D392A"/>
    <w:rsid w:val="407E3A21"/>
    <w:rsid w:val="407E7215"/>
    <w:rsid w:val="407F3B46"/>
    <w:rsid w:val="407F5E9B"/>
    <w:rsid w:val="407F72BE"/>
    <w:rsid w:val="407F76A2"/>
    <w:rsid w:val="40802703"/>
    <w:rsid w:val="408056C3"/>
    <w:rsid w:val="408219C9"/>
    <w:rsid w:val="40833636"/>
    <w:rsid w:val="408353E4"/>
    <w:rsid w:val="4084115C"/>
    <w:rsid w:val="40843EA5"/>
    <w:rsid w:val="408507A7"/>
    <w:rsid w:val="40851725"/>
    <w:rsid w:val="40860A30"/>
    <w:rsid w:val="40874AB9"/>
    <w:rsid w:val="408829FA"/>
    <w:rsid w:val="408847A8"/>
    <w:rsid w:val="40885F49"/>
    <w:rsid w:val="40890521"/>
    <w:rsid w:val="40890DF1"/>
    <w:rsid w:val="408A49C4"/>
    <w:rsid w:val="408B3189"/>
    <w:rsid w:val="408B6047"/>
    <w:rsid w:val="408B6B23"/>
    <w:rsid w:val="408C19F2"/>
    <w:rsid w:val="408D0011"/>
    <w:rsid w:val="408D1166"/>
    <w:rsid w:val="408D1686"/>
    <w:rsid w:val="408D7759"/>
    <w:rsid w:val="408E004E"/>
    <w:rsid w:val="408E1DBB"/>
    <w:rsid w:val="408E3D89"/>
    <w:rsid w:val="408E5B37"/>
    <w:rsid w:val="408F3260"/>
    <w:rsid w:val="408F77EA"/>
    <w:rsid w:val="409018AF"/>
    <w:rsid w:val="40901EB8"/>
    <w:rsid w:val="4090365D"/>
    <w:rsid w:val="40905D53"/>
    <w:rsid w:val="40923879"/>
    <w:rsid w:val="4093314D"/>
    <w:rsid w:val="409475F1"/>
    <w:rsid w:val="40952C78"/>
    <w:rsid w:val="40953369"/>
    <w:rsid w:val="4095482F"/>
    <w:rsid w:val="40972C3D"/>
    <w:rsid w:val="40996BAB"/>
    <w:rsid w:val="409A0980"/>
    <w:rsid w:val="409A272E"/>
    <w:rsid w:val="409A38FB"/>
    <w:rsid w:val="409A44DC"/>
    <w:rsid w:val="409A6309"/>
    <w:rsid w:val="409B2C7E"/>
    <w:rsid w:val="409C0254"/>
    <w:rsid w:val="409C03B6"/>
    <w:rsid w:val="409C09C8"/>
    <w:rsid w:val="409C2F01"/>
    <w:rsid w:val="409C55BA"/>
    <w:rsid w:val="409C64A6"/>
    <w:rsid w:val="409E1713"/>
    <w:rsid w:val="409E221E"/>
    <w:rsid w:val="409E3FCC"/>
    <w:rsid w:val="409F5220"/>
    <w:rsid w:val="409F5F96"/>
    <w:rsid w:val="409F7D44"/>
    <w:rsid w:val="40A11D0E"/>
    <w:rsid w:val="40A13ABC"/>
    <w:rsid w:val="40A1676B"/>
    <w:rsid w:val="40A16AF0"/>
    <w:rsid w:val="40A17602"/>
    <w:rsid w:val="40A31410"/>
    <w:rsid w:val="40A35A86"/>
    <w:rsid w:val="40A43FE1"/>
    <w:rsid w:val="40A4535A"/>
    <w:rsid w:val="40A50B35"/>
    <w:rsid w:val="40A53A6B"/>
    <w:rsid w:val="40A565A2"/>
    <w:rsid w:val="40A60525"/>
    <w:rsid w:val="40A610D2"/>
    <w:rsid w:val="40A64E31"/>
    <w:rsid w:val="40A82311"/>
    <w:rsid w:val="40A86016"/>
    <w:rsid w:val="40A86BF9"/>
    <w:rsid w:val="40A872A9"/>
    <w:rsid w:val="40A9471F"/>
    <w:rsid w:val="40AA0BC3"/>
    <w:rsid w:val="40AA1909"/>
    <w:rsid w:val="40AA3915"/>
    <w:rsid w:val="40AB0497"/>
    <w:rsid w:val="40AB35A7"/>
    <w:rsid w:val="40AB493B"/>
    <w:rsid w:val="40AB4E52"/>
    <w:rsid w:val="40AB66E9"/>
    <w:rsid w:val="40AD2461"/>
    <w:rsid w:val="40AD420F"/>
    <w:rsid w:val="40AD4AAD"/>
    <w:rsid w:val="40AD67D4"/>
    <w:rsid w:val="40AE26DB"/>
    <w:rsid w:val="40AE2CD8"/>
    <w:rsid w:val="40AF2AD9"/>
    <w:rsid w:val="40AF3CC5"/>
    <w:rsid w:val="40AF4135"/>
    <w:rsid w:val="40AF442B"/>
    <w:rsid w:val="40AF537D"/>
    <w:rsid w:val="40B01A92"/>
    <w:rsid w:val="40B01F51"/>
    <w:rsid w:val="40B02584"/>
    <w:rsid w:val="40B03CFF"/>
    <w:rsid w:val="40B057E8"/>
    <w:rsid w:val="40B066C4"/>
    <w:rsid w:val="40B1141C"/>
    <w:rsid w:val="40B21825"/>
    <w:rsid w:val="40B3559D"/>
    <w:rsid w:val="40B414F2"/>
    <w:rsid w:val="40B41A41"/>
    <w:rsid w:val="40B41CFD"/>
    <w:rsid w:val="40B437EF"/>
    <w:rsid w:val="40B43AD6"/>
    <w:rsid w:val="40B50C7E"/>
    <w:rsid w:val="40B656CA"/>
    <w:rsid w:val="40B732E0"/>
    <w:rsid w:val="40B739FD"/>
    <w:rsid w:val="40B7508E"/>
    <w:rsid w:val="40B76B42"/>
    <w:rsid w:val="40B82BB4"/>
    <w:rsid w:val="40B90E06"/>
    <w:rsid w:val="40B97058"/>
    <w:rsid w:val="40B97948"/>
    <w:rsid w:val="40BA0DD8"/>
    <w:rsid w:val="40BA36E0"/>
    <w:rsid w:val="40BA4B7E"/>
    <w:rsid w:val="40BA6207"/>
    <w:rsid w:val="40BA72C4"/>
    <w:rsid w:val="40BB2DD0"/>
    <w:rsid w:val="40BC08F6"/>
    <w:rsid w:val="40BC1A25"/>
    <w:rsid w:val="40BC210A"/>
    <w:rsid w:val="40BC26A4"/>
    <w:rsid w:val="40BC3D32"/>
    <w:rsid w:val="40BC4452"/>
    <w:rsid w:val="40BD2EF9"/>
    <w:rsid w:val="40BE01CA"/>
    <w:rsid w:val="40BE0DB2"/>
    <w:rsid w:val="40BE466E"/>
    <w:rsid w:val="40BF2194"/>
    <w:rsid w:val="40C00A1E"/>
    <w:rsid w:val="40C1415E"/>
    <w:rsid w:val="40C2672A"/>
    <w:rsid w:val="40C31884"/>
    <w:rsid w:val="40C31C84"/>
    <w:rsid w:val="40C3257C"/>
    <w:rsid w:val="40C33A32"/>
    <w:rsid w:val="40C357E1"/>
    <w:rsid w:val="40C41559"/>
    <w:rsid w:val="40C513AB"/>
    <w:rsid w:val="40C57CCD"/>
    <w:rsid w:val="40C61775"/>
    <w:rsid w:val="40C63523"/>
    <w:rsid w:val="40C67DD7"/>
    <w:rsid w:val="40C810BD"/>
    <w:rsid w:val="40C83729"/>
    <w:rsid w:val="40C8729B"/>
    <w:rsid w:val="40C94DC1"/>
    <w:rsid w:val="40C96B6F"/>
    <w:rsid w:val="40CB0B39"/>
    <w:rsid w:val="40CB1D5D"/>
    <w:rsid w:val="40CB294D"/>
    <w:rsid w:val="40CC1E17"/>
    <w:rsid w:val="40CC3328"/>
    <w:rsid w:val="40CC7ACB"/>
    <w:rsid w:val="40CD38DD"/>
    <w:rsid w:val="40CD427B"/>
    <w:rsid w:val="40CE34B8"/>
    <w:rsid w:val="40CE5B0D"/>
    <w:rsid w:val="40CF0629"/>
    <w:rsid w:val="40D01E03"/>
    <w:rsid w:val="40D01E95"/>
    <w:rsid w:val="40D02459"/>
    <w:rsid w:val="40D043A1"/>
    <w:rsid w:val="40D04494"/>
    <w:rsid w:val="40D06190"/>
    <w:rsid w:val="40D07EFD"/>
    <w:rsid w:val="40D15BCF"/>
    <w:rsid w:val="40D169B9"/>
    <w:rsid w:val="40D20119"/>
    <w:rsid w:val="40D21EC7"/>
    <w:rsid w:val="40D2307A"/>
    <w:rsid w:val="40D2591E"/>
    <w:rsid w:val="40D27D7E"/>
    <w:rsid w:val="40D45C40"/>
    <w:rsid w:val="40D54E75"/>
    <w:rsid w:val="40D55514"/>
    <w:rsid w:val="40D60DDA"/>
    <w:rsid w:val="40D7128C"/>
    <w:rsid w:val="40D73BA8"/>
    <w:rsid w:val="40D744D0"/>
    <w:rsid w:val="40D75730"/>
    <w:rsid w:val="40D914A8"/>
    <w:rsid w:val="40D92F1D"/>
    <w:rsid w:val="40D93256"/>
    <w:rsid w:val="40D97618"/>
    <w:rsid w:val="40DA0D7C"/>
    <w:rsid w:val="40DA6C66"/>
    <w:rsid w:val="40DB057B"/>
    <w:rsid w:val="40DC2D46"/>
    <w:rsid w:val="40DC4AF4"/>
    <w:rsid w:val="40DC68A2"/>
    <w:rsid w:val="40DE261A"/>
    <w:rsid w:val="40DE44ED"/>
    <w:rsid w:val="40DE6ABE"/>
    <w:rsid w:val="40DF0D46"/>
    <w:rsid w:val="40DF6392"/>
    <w:rsid w:val="40E02836"/>
    <w:rsid w:val="40E045E4"/>
    <w:rsid w:val="40E05FD9"/>
    <w:rsid w:val="40E079E8"/>
    <w:rsid w:val="40E1035D"/>
    <w:rsid w:val="40E12F27"/>
    <w:rsid w:val="40E35E83"/>
    <w:rsid w:val="40E37C31"/>
    <w:rsid w:val="40E37FE4"/>
    <w:rsid w:val="40E41474"/>
    <w:rsid w:val="40E439A9"/>
    <w:rsid w:val="40E441E7"/>
    <w:rsid w:val="40E44F98"/>
    <w:rsid w:val="40E51BFB"/>
    <w:rsid w:val="40E54A2D"/>
    <w:rsid w:val="40E55A09"/>
    <w:rsid w:val="40E65224"/>
    <w:rsid w:val="40E816EB"/>
    <w:rsid w:val="40E829A8"/>
    <w:rsid w:val="40E83499"/>
    <w:rsid w:val="40E85247"/>
    <w:rsid w:val="40E92BE7"/>
    <w:rsid w:val="40E97C90"/>
    <w:rsid w:val="40EA7211"/>
    <w:rsid w:val="40EB11DB"/>
    <w:rsid w:val="40EB4D37"/>
    <w:rsid w:val="40EB7036"/>
    <w:rsid w:val="40EC27D7"/>
    <w:rsid w:val="40ED2526"/>
    <w:rsid w:val="40ED304A"/>
    <w:rsid w:val="40ED3102"/>
    <w:rsid w:val="40EE65D6"/>
    <w:rsid w:val="40EF6587"/>
    <w:rsid w:val="40F05C0A"/>
    <w:rsid w:val="40F0772D"/>
    <w:rsid w:val="40F10865"/>
    <w:rsid w:val="40F15359"/>
    <w:rsid w:val="40F167F2"/>
    <w:rsid w:val="40F1696F"/>
    <w:rsid w:val="40F260C6"/>
    <w:rsid w:val="40F27325"/>
    <w:rsid w:val="40F279CF"/>
    <w:rsid w:val="40F356DF"/>
    <w:rsid w:val="40F37AD9"/>
    <w:rsid w:val="40F4048C"/>
    <w:rsid w:val="40F41E3E"/>
    <w:rsid w:val="40F43883"/>
    <w:rsid w:val="40F523F9"/>
    <w:rsid w:val="40F53E13"/>
    <w:rsid w:val="40F55BB6"/>
    <w:rsid w:val="40F5633B"/>
    <w:rsid w:val="40F61978"/>
    <w:rsid w:val="40F736DC"/>
    <w:rsid w:val="40F76FA8"/>
    <w:rsid w:val="40F81A4F"/>
    <w:rsid w:val="40F9262A"/>
    <w:rsid w:val="40F94DDB"/>
    <w:rsid w:val="40F97454"/>
    <w:rsid w:val="40FA31CC"/>
    <w:rsid w:val="40FA6902"/>
    <w:rsid w:val="40FA7854"/>
    <w:rsid w:val="40FB141E"/>
    <w:rsid w:val="40FB76FB"/>
    <w:rsid w:val="40FC0CF2"/>
    <w:rsid w:val="40FC6F44"/>
    <w:rsid w:val="40FC7AE7"/>
    <w:rsid w:val="40FD52C0"/>
    <w:rsid w:val="40FE0F0E"/>
    <w:rsid w:val="40FF384E"/>
    <w:rsid w:val="41004C87"/>
    <w:rsid w:val="41006A35"/>
    <w:rsid w:val="41010626"/>
    <w:rsid w:val="410113F9"/>
    <w:rsid w:val="410249FD"/>
    <w:rsid w:val="41033741"/>
    <w:rsid w:val="410343C1"/>
    <w:rsid w:val="41035944"/>
    <w:rsid w:val="41035B06"/>
    <w:rsid w:val="41041EEE"/>
    <w:rsid w:val="410507AD"/>
    <w:rsid w:val="410518CC"/>
    <w:rsid w:val="41061B71"/>
    <w:rsid w:val="41067DC3"/>
    <w:rsid w:val="41083B3B"/>
    <w:rsid w:val="410905BE"/>
    <w:rsid w:val="4109180B"/>
    <w:rsid w:val="41091CFF"/>
    <w:rsid w:val="41096CEF"/>
    <w:rsid w:val="4109786C"/>
    <w:rsid w:val="410A1661"/>
    <w:rsid w:val="410A6252"/>
    <w:rsid w:val="410B10B8"/>
    <w:rsid w:val="410C0680"/>
    <w:rsid w:val="410C362B"/>
    <w:rsid w:val="410D1B10"/>
    <w:rsid w:val="410D2F00"/>
    <w:rsid w:val="410D4CAE"/>
    <w:rsid w:val="410D73A4"/>
    <w:rsid w:val="411029F0"/>
    <w:rsid w:val="41105967"/>
    <w:rsid w:val="41105B1C"/>
    <w:rsid w:val="41105CD2"/>
    <w:rsid w:val="41111921"/>
    <w:rsid w:val="41122DB1"/>
    <w:rsid w:val="41124178"/>
    <w:rsid w:val="41140732"/>
    <w:rsid w:val="4115006C"/>
    <w:rsid w:val="41151DB4"/>
    <w:rsid w:val="411532CC"/>
    <w:rsid w:val="41160720"/>
    <w:rsid w:val="41166258"/>
    <w:rsid w:val="41171FD0"/>
    <w:rsid w:val="4117393F"/>
    <w:rsid w:val="41173D7E"/>
    <w:rsid w:val="41182B56"/>
    <w:rsid w:val="4118645E"/>
    <w:rsid w:val="411918A4"/>
    <w:rsid w:val="41195D48"/>
    <w:rsid w:val="41195DF8"/>
    <w:rsid w:val="41197AF6"/>
    <w:rsid w:val="411A1543"/>
    <w:rsid w:val="411A3B22"/>
    <w:rsid w:val="411A4914"/>
    <w:rsid w:val="411B386E"/>
    <w:rsid w:val="411C503F"/>
    <w:rsid w:val="411D7EC4"/>
    <w:rsid w:val="411E335F"/>
    <w:rsid w:val="411E510D"/>
    <w:rsid w:val="411F7C23"/>
    <w:rsid w:val="411F7EE8"/>
    <w:rsid w:val="41202C33"/>
    <w:rsid w:val="41210759"/>
    <w:rsid w:val="41211416"/>
    <w:rsid w:val="4121627F"/>
    <w:rsid w:val="41216845"/>
    <w:rsid w:val="412171EE"/>
    <w:rsid w:val="41230975"/>
    <w:rsid w:val="4123628F"/>
    <w:rsid w:val="41243B53"/>
    <w:rsid w:val="412515A3"/>
    <w:rsid w:val="412532A9"/>
    <w:rsid w:val="4125649B"/>
    <w:rsid w:val="41265442"/>
    <w:rsid w:val="41265D6F"/>
    <w:rsid w:val="41270660"/>
    <w:rsid w:val="41275288"/>
    <w:rsid w:val="41276EE2"/>
    <w:rsid w:val="41280B6A"/>
    <w:rsid w:val="41287D39"/>
    <w:rsid w:val="412A1D04"/>
    <w:rsid w:val="412A5093"/>
    <w:rsid w:val="412B054E"/>
    <w:rsid w:val="412C31AD"/>
    <w:rsid w:val="412C782A"/>
    <w:rsid w:val="412D276B"/>
    <w:rsid w:val="412D2921"/>
    <w:rsid w:val="412D70FE"/>
    <w:rsid w:val="412E0E49"/>
    <w:rsid w:val="412E1D2A"/>
    <w:rsid w:val="412E2409"/>
    <w:rsid w:val="412E4FE4"/>
    <w:rsid w:val="412F06F1"/>
    <w:rsid w:val="412F10C8"/>
    <w:rsid w:val="412F1132"/>
    <w:rsid w:val="412F2E76"/>
    <w:rsid w:val="41306BEE"/>
    <w:rsid w:val="41307A7B"/>
    <w:rsid w:val="41313092"/>
    <w:rsid w:val="41314E40"/>
    <w:rsid w:val="41326E0A"/>
    <w:rsid w:val="413466DE"/>
    <w:rsid w:val="41350833"/>
    <w:rsid w:val="41361594"/>
    <w:rsid w:val="41362456"/>
    <w:rsid w:val="41366161"/>
    <w:rsid w:val="413761CE"/>
    <w:rsid w:val="41384420"/>
    <w:rsid w:val="4138620D"/>
    <w:rsid w:val="41393C44"/>
    <w:rsid w:val="41393CF5"/>
    <w:rsid w:val="413A032A"/>
    <w:rsid w:val="413B181B"/>
    <w:rsid w:val="413B1FBD"/>
    <w:rsid w:val="413B7F37"/>
    <w:rsid w:val="413C4235"/>
    <w:rsid w:val="413D5180"/>
    <w:rsid w:val="413E093E"/>
    <w:rsid w:val="413E130B"/>
    <w:rsid w:val="413E4424"/>
    <w:rsid w:val="413E755D"/>
    <w:rsid w:val="413F124B"/>
    <w:rsid w:val="413F1DCE"/>
    <w:rsid w:val="414032D5"/>
    <w:rsid w:val="414046BD"/>
    <w:rsid w:val="41405083"/>
    <w:rsid w:val="41407B37"/>
    <w:rsid w:val="41410DFB"/>
    <w:rsid w:val="41411018"/>
    <w:rsid w:val="41417BA8"/>
    <w:rsid w:val="414319B1"/>
    <w:rsid w:val="41432F6C"/>
    <w:rsid w:val="41436EC8"/>
    <w:rsid w:val="4144130A"/>
    <w:rsid w:val="414508EB"/>
    <w:rsid w:val="414546A9"/>
    <w:rsid w:val="41466412"/>
    <w:rsid w:val="41474664"/>
    <w:rsid w:val="4148218A"/>
    <w:rsid w:val="414951D6"/>
    <w:rsid w:val="4149735F"/>
    <w:rsid w:val="414A0622"/>
    <w:rsid w:val="414A5F02"/>
    <w:rsid w:val="414A6D8E"/>
    <w:rsid w:val="414A7C46"/>
    <w:rsid w:val="414C3A28"/>
    <w:rsid w:val="414C43D2"/>
    <w:rsid w:val="414C7ECC"/>
    <w:rsid w:val="414D59F2"/>
    <w:rsid w:val="414F340E"/>
    <w:rsid w:val="414F52C6"/>
    <w:rsid w:val="41502D53"/>
    <w:rsid w:val="415052BD"/>
    <w:rsid w:val="415067A9"/>
    <w:rsid w:val="4151103E"/>
    <w:rsid w:val="415154E1"/>
    <w:rsid w:val="415154E2"/>
    <w:rsid w:val="415264A2"/>
    <w:rsid w:val="41537779"/>
    <w:rsid w:val="41541509"/>
    <w:rsid w:val="41545805"/>
    <w:rsid w:val="41550306"/>
    <w:rsid w:val="4156086C"/>
    <w:rsid w:val="41560B94"/>
    <w:rsid w:val="41562AF9"/>
    <w:rsid w:val="41571710"/>
    <w:rsid w:val="41571CC1"/>
    <w:rsid w:val="415723CD"/>
    <w:rsid w:val="415840B6"/>
    <w:rsid w:val="4159156A"/>
    <w:rsid w:val="415939BD"/>
    <w:rsid w:val="41593B44"/>
    <w:rsid w:val="41594397"/>
    <w:rsid w:val="41597EF3"/>
    <w:rsid w:val="415A737F"/>
    <w:rsid w:val="415B010F"/>
    <w:rsid w:val="415B3978"/>
    <w:rsid w:val="415B3C6B"/>
    <w:rsid w:val="415C79E3"/>
    <w:rsid w:val="415D5C35"/>
    <w:rsid w:val="415D7562"/>
    <w:rsid w:val="415E375B"/>
    <w:rsid w:val="415E470B"/>
    <w:rsid w:val="415E4A25"/>
    <w:rsid w:val="415E505C"/>
    <w:rsid w:val="415E631A"/>
    <w:rsid w:val="415E7BFF"/>
    <w:rsid w:val="415E7F28"/>
    <w:rsid w:val="415F13B8"/>
    <w:rsid w:val="415F3F89"/>
    <w:rsid w:val="41601754"/>
    <w:rsid w:val="41610274"/>
    <w:rsid w:val="41614FF9"/>
    <w:rsid w:val="41621B6F"/>
    <w:rsid w:val="4162324B"/>
    <w:rsid w:val="41624346"/>
    <w:rsid w:val="41630D72"/>
    <w:rsid w:val="41634231"/>
    <w:rsid w:val="41635215"/>
    <w:rsid w:val="41636FC4"/>
    <w:rsid w:val="41642203"/>
    <w:rsid w:val="41643D9A"/>
    <w:rsid w:val="416462D5"/>
    <w:rsid w:val="41652D3C"/>
    <w:rsid w:val="41654AEA"/>
    <w:rsid w:val="4166128B"/>
    <w:rsid w:val="41673C9E"/>
    <w:rsid w:val="41673E54"/>
    <w:rsid w:val="4168282C"/>
    <w:rsid w:val="41686388"/>
    <w:rsid w:val="41697F2A"/>
    <w:rsid w:val="416A65A4"/>
    <w:rsid w:val="416B252C"/>
    <w:rsid w:val="416C171C"/>
    <w:rsid w:val="416C208E"/>
    <w:rsid w:val="416C40CA"/>
    <w:rsid w:val="416F273F"/>
    <w:rsid w:val="416F7716"/>
    <w:rsid w:val="41701D6D"/>
    <w:rsid w:val="4170316A"/>
    <w:rsid w:val="4171348E"/>
    <w:rsid w:val="41714E6E"/>
    <w:rsid w:val="41717932"/>
    <w:rsid w:val="41720FB5"/>
    <w:rsid w:val="41727207"/>
    <w:rsid w:val="417320A4"/>
    <w:rsid w:val="41735459"/>
    <w:rsid w:val="41760AA5"/>
    <w:rsid w:val="41764F49"/>
    <w:rsid w:val="41765DA5"/>
    <w:rsid w:val="417661AF"/>
    <w:rsid w:val="41767F8A"/>
    <w:rsid w:val="41770ACF"/>
    <w:rsid w:val="4177481D"/>
    <w:rsid w:val="41774C8D"/>
    <w:rsid w:val="41780CC1"/>
    <w:rsid w:val="41781BCF"/>
    <w:rsid w:val="41781F5F"/>
    <w:rsid w:val="41792266"/>
    <w:rsid w:val="417A5DCE"/>
    <w:rsid w:val="417A7F98"/>
    <w:rsid w:val="417B255F"/>
    <w:rsid w:val="417B2A30"/>
    <w:rsid w:val="417B60BB"/>
    <w:rsid w:val="417D0085"/>
    <w:rsid w:val="417E3DFD"/>
    <w:rsid w:val="417E40F4"/>
    <w:rsid w:val="417E7959"/>
    <w:rsid w:val="417F1B00"/>
    <w:rsid w:val="417F5DA3"/>
    <w:rsid w:val="418017CC"/>
    <w:rsid w:val="4180784A"/>
    <w:rsid w:val="41807B75"/>
    <w:rsid w:val="4182363B"/>
    <w:rsid w:val="41824E23"/>
    <w:rsid w:val="4182569C"/>
    <w:rsid w:val="41825BE2"/>
    <w:rsid w:val="41827323"/>
    <w:rsid w:val="418331C2"/>
    <w:rsid w:val="418408ED"/>
    <w:rsid w:val="4184136F"/>
    <w:rsid w:val="41847666"/>
    <w:rsid w:val="4185518C"/>
    <w:rsid w:val="41856F3A"/>
    <w:rsid w:val="41857CF6"/>
    <w:rsid w:val="41861EC1"/>
    <w:rsid w:val="41866A28"/>
    <w:rsid w:val="41866D5C"/>
    <w:rsid w:val="41870F04"/>
    <w:rsid w:val="418732F8"/>
    <w:rsid w:val="418751B6"/>
    <w:rsid w:val="418865D5"/>
    <w:rsid w:val="41891F18"/>
    <w:rsid w:val="41893DBD"/>
    <w:rsid w:val="418A09F4"/>
    <w:rsid w:val="418A27A2"/>
    <w:rsid w:val="418A5304"/>
    <w:rsid w:val="418B7F76"/>
    <w:rsid w:val="418C03D5"/>
    <w:rsid w:val="418C2076"/>
    <w:rsid w:val="418C651A"/>
    <w:rsid w:val="418C7DB0"/>
    <w:rsid w:val="418E1AF3"/>
    <w:rsid w:val="418E2292"/>
    <w:rsid w:val="418E3510"/>
    <w:rsid w:val="418E58C6"/>
    <w:rsid w:val="418E60D6"/>
    <w:rsid w:val="418F1B67"/>
    <w:rsid w:val="418F600A"/>
    <w:rsid w:val="418F6D56"/>
    <w:rsid w:val="41911D83"/>
    <w:rsid w:val="41913B31"/>
    <w:rsid w:val="419158DF"/>
    <w:rsid w:val="419324D3"/>
    <w:rsid w:val="41932F14"/>
    <w:rsid w:val="4193340B"/>
    <w:rsid w:val="41936F3B"/>
    <w:rsid w:val="41941726"/>
    <w:rsid w:val="41943621"/>
    <w:rsid w:val="419453CF"/>
    <w:rsid w:val="41945F14"/>
    <w:rsid w:val="41947C5A"/>
    <w:rsid w:val="419627A2"/>
    <w:rsid w:val="41964058"/>
    <w:rsid w:val="41966C29"/>
    <w:rsid w:val="41967399"/>
    <w:rsid w:val="41970A1B"/>
    <w:rsid w:val="4198167F"/>
    <w:rsid w:val="41984EBF"/>
    <w:rsid w:val="41985678"/>
    <w:rsid w:val="41990C37"/>
    <w:rsid w:val="419929E5"/>
    <w:rsid w:val="41994793"/>
    <w:rsid w:val="419B050B"/>
    <w:rsid w:val="419B675D"/>
    <w:rsid w:val="419C2A9B"/>
    <w:rsid w:val="419C6BBD"/>
    <w:rsid w:val="419D0727"/>
    <w:rsid w:val="419E461F"/>
    <w:rsid w:val="419E624E"/>
    <w:rsid w:val="419F5839"/>
    <w:rsid w:val="41A05B22"/>
    <w:rsid w:val="41A11BF4"/>
    <w:rsid w:val="41A15386"/>
    <w:rsid w:val="41A21103"/>
    <w:rsid w:val="41A2189A"/>
    <w:rsid w:val="41A24945"/>
    <w:rsid w:val="41A265EF"/>
    <w:rsid w:val="41A27AEC"/>
    <w:rsid w:val="41A31919"/>
    <w:rsid w:val="41A31ADD"/>
    <w:rsid w:val="41A35612"/>
    <w:rsid w:val="41A37D9D"/>
    <w:rsid w:val="41A40545"/>
    <w:rsid w:val="41A41AB6"/>
    <w:rsid w:val="41A424B8"/>
    <w:rsid w:val="41A4267C"/>
    <w:rsid w:val="41A45BD1"/>
    <w:rsid w:val="41A5138A"/>
    <w:rsid w:val="41A526BD"/>
    <w:rsid w:val="41A74FDC"/>
    <w:rsid w:val="41A8050E"/>
    <w:rsid w:val="41A82C28"/>
    <w:rsid w:val="41A842B7"/>
    <w:rsid w:val="41A85037"/>
    <w:rsid w:val="41A96E8D"/>
    <w:rsid w:val="41AA074E"/>
    <w:rsid w:val="41AA2E44"/>
    <w:rsid w:val="41AA69A0"/>
    <w:rsid w:val="41AB0D28"/>
    <w:rsid w:val="41AB12FE"/>
    <w:rsid w:val="41AB39B0"/>
    <w:rsid w:val="41AB4DAE"/>
    <w:rsid w:val="41AC02AE"/>
    <w:rsid w:val="41AC0E4E"/>
    <w:rsid w:val="41AF045B"/>
    <w:rsid w:val="41AF15C1"/>
    <w:rsid w:val="41AF2209"/>
    <w:rsid w:val="41AF633F"/>
    <w:rsid w:val="41B01BE8"/>
    <w:rsid w:val="41B13E8F"/>
    <w:rsid w:val="41B163EE"/>
    <w:rsid w:val="41B16663"/>
    <w:rsid w:val="41B17D2F"/>
    <w:rsid w:val="41B2161D"/>
    <w:rsid w:val="41B24C4F"/>
    <w:rsid w:val="41B2577E"/>
    <w:rsid w:val="41B25855"/>
    <w:rsid w:val="41B31CF9"/>
    <w:rsid w:val="41B33AA7"/>
    <w:rsid w:val="41B415CD"/>
    <w:rsid w:val="41B4565B"/>
    <w:rsid w:val="41B4616B"/>
    <w:rsid w:val="41B46C06"/>
    <w:rsid w:val="41B4781F"/>
    <w:rsid w:val="41B56B45"/>
    <w:rsid w:val="41B617E9"/>
    <w:rsid w:val="41B61DA8"/>
    <w:rsid w:val="41B63597"/>
    <w:rsid w:val="41B810BD"/>
    <w:rsid w:val="41B82E6B"/>
    <w:rsid w:val="41B86D49"/>
    <w:rsid w:val="41BA7924"/>
    <w:rsid w:val="41BB0BAE"/>
    <w:rsid w:val="41BB295C"/>
    <w:rsid w:val="41BB2D74"/>
    <w:rsid w:val="41BC7337"/>
    <w:rsid w:val="41BD0482"/>
    <w:rsid w:val="41BD2B78"/>
    <w:rsid w:val="41BE180F"/>
    <w:rsid w:val="41BE41FA"/>
    <w:rsid w:val="41BE548F"/>
    <w:rsid w:val="41BF069E"/>
    <w:rsid w:val="41BF2290"/>
    <w:rsid w:val="41C00111"/>
    <w:rsid w:val="41C002C6"/>
    <w:rsid w:val="41C061C4"/>
    <w:rsid w:val="41C07F72"/>
    <w:rsid w:val="41C1797D"/>
    <w:rsid w:val="41C2018E"/>
    <w:rsid w:val="41C20A9D"/>
    <w:rsid w:val="41C21F3C"/>
    <w:rsid w:val="41C23CEA"/>
    <w:rsid w:val="41C25DE9"/>
    <w:rsid w:val="41C41A95"/>
    <w:rsid w:val="41C45CB4"/>
    <w:rsid w:val="41C51A2C"/>
    <w:rsid w:val="41C53136"/>
    <w:rsid w:val="41C55588"/>
    <w:rsid w:val="41C64BD0"/>
    <w:rsid w:val="41C75F87"/>
    <w:rsid w:val="41C87080"/>
    <w:rsid w:val="41C90376"/>
    <w:rsid w:val="41C9151C"/>
    <w:rsid w:val="41C91AB7"/>
    <w:rsid w:val="41C95079"/>
    <w:rsid w:val="41CA2B9F"/>
    <w:rsid w:val="41CA3286"/>
    <w:rsid w:val="41CA3BDC"/>
    <w:rsid w:val="41CA5CC4"/>
    <w:rsid w:val="41CA7043"/>
    <w:rsid w:val="41CB01E7"/>
    <w:rsid w:val="41CB43D7"/>
    <w:rsid w:val="41CB669E"/>
    <w:rsid w:val="41CB6863"/>
    <w:rsid w:val="41CC4968"/>
    <w:rsid w:val="41CC4B1E"/>
    <w:rsid w:val="41CC4B69"/>
    <w:rsid w:val="41CC5867"/>
    <w:rsid w:val="41CC6917"/>
    <w:rsid w:val="41CD129F"/>
    <w:rsid w:val="41CD308D"/>
    <w:rsid w:val="41CD3F26"/>
    <w:rsid w:val="41CD47B2"/>
    <w:rsid w:val="41CE08E1"/>
    <w:rsid w:val="41CE268F"/>
    <w:rsid w:val="41CE69AF"/>
    <w:rsid w:val="41CF41E8"/>
    <w:rsid w:val="41CF6407"/>
    <w:rsid w:val="41D06DB9"/>
    <w:rsid w:val="41D1217F"/>
    <w:rsid w:val="41D20C59"/>
    <w:rsid w:val="41D3007A"/>
    <w:rsid w:val="41D31E40"/>
    <w:rsid w:val="41D33EB0"/>
    <w:rsid w:val="41D33FB6"/>
    <w:rsid w:val="41D3573A"/>
    <w:rsid w:val="41D35EF7"/>
    <w:rsid w:val="41D37CA5"/>
    <w:rsid w:val="41D45489"/>
    <w:rsid w:val="41D74E79"/>
    <w:rsid w:val="41D75220"/>
    <w:rsid w:val="41D82FF7"/>
    <w:rsid w:val="41D8350E"/>
    <w:rsid w:val="41D91034"/>
    <w:rsid w:val="41D94688"/>
    <w:rsid w:val="41D97E6B"/>
    <w:rsid w:val="41DA12FB"/>
    <w:rsid w:val="41DA54D8"/>
    <w:rsid w:val="41DB278B"/>
    <w:rsid w:val="41DB68B9"/>
    <w:rsid w:val="41DC0CA8"/>
    <w:rsid w:val="41DC16BC"/>
    <w:rsid w:val="41DC6703"/>
    <w:rsid w:val="41DD28D2"/>
    <w:rsid w:val="41DD341D"/>
    <w:rsid w:val="41DD4BAA"/>
    <w:rsid w:val="41DD5436"/>
    <w:rsid w:val="41DD6713"/>
    <w:rsid w:val="41DE0E1E"/>
    <w:rsid w:val="41DE7E05"/>
    <w:rsid w:val="41E00614"/>
    <w:rsid w:val="41E0224F"/>
    <w:rsid w:val="41E03C86"/>
    <w:rsid w:val="41E212D8"/>
    <w:rsid w:val="41E225DE"/>
    <w:rsid w:val="41E3261F"/>
    <w:rsid w:val="41E33AEE"/>
    <w:rsid w:val="41E375B0"/>
    <w:rsid w:val="41E40104"/>
    <w:rsid w:val="41E502FE"/>
    <w:rsid w:val="41E52180"/>
    <w:rsid w:val="41E55C2A"/>
    <w:rsid w:val="41E671B0"/>
    <w:rsid w:val="41E719A3"/>
    <w:rsid w:val="41E72FC5"/>
    <w:rsid w:val="41E73D28"/>
    <w:rsid w:val="41E9571B"/>
    <w:rsid w:val="41EA1096"/>
    <w:rsid w:val="41EA124C"/>
    <w:rsid w:val="41EA1493"/>
    <w:rsid w:val="41EA4FEF"/>
    <w:rsid w:val="41EB43AC"/>
    <w:rsid w:val="41EC2747"/>
    <w:rsid w:val="41EC613E"/>
    <w:rsid w:val="41EC6FB9"/>
    <w:rsid w:val="41ED54AF"/>
    <w:rsid w:val="41ED7D93"/>
    <w:rsid w:val="41EE0F83"/>
    <w:rsid w:val="41EF130C"/>
    <w:rsid w:val="41F145CF"/>
    <w:rsid w:val="41F14F79"/>
    <w:rsid w:val="41F1637D"/>
    <w:rsid w:val="41F235E8"/>
    <w:rsid w:val="41F27355"/>
    <w:rsid w:val="41F27AD1"/>
    <w:rsid w:val="41F30A12"/>
    <w:rsid w:val="41F320F5"/>
    <w:rsid w:val="41F331F5"/>
    <w:rsid w:val="41F333C7"/>
    <w:rsid w:val="41F40755"/>
    <w:rsid w:val="41F445FB"/>
    <w:rsid w:val="41F44A73"/>
    <w:rsid w:val="41F45E6E"/>
    <w:rsid w:val="41F51012"/>
    <w:rsid w:val="41F52311"/>
    <w:rsid w:val="41F540C0"/>
    <w:rsid w:val="41F71F64"/>
    <w:rsid w:val="41F83BB0"/>
    <w:rsid w:val="41F83DEE"/>
    <w:rsid w:val="41F8595E"/>
    <w:rsid w:val="41F92E32"/>
    <w:rsid w:val="41F93484"/>
    <w:rsid w:val="41FA08E5"/>
    <w:rsid w:val="41FA176A"/>
    <w:rsid w:val="41FA1D1A"/>
    <w:rsid w:val="41FB71FC"/>
    <w:rsid w:val="41FC536E"/>
    <w:rsid w:val="41FC5687"/>
    <w:rsid w:val="41FD2F74"/>
    <w:rsid w:val="41FD4D22"/>
    <w:rsid w:val="41FF0A9A"/>
    <w:rsid w:val="41FF1B86"/>
    <w:rsid w:val="41FF32C7"/>
    <w:rsid w:val="41FF6288"/>
    <w:rsid w:val="41FF6551"/>
    <w:rsid w:val="41FF6CEC"/>
    <w:rsid w:val="420043D3"/>
    <w:rsid w:val="4200449D"/>
    <w:rsid w:val="42006E76"/>
    <w:rsid w:val="42010CB6"/>
    <w:rsid w:val="420173DA"/>
    <w:rsid w:val="42022339"/>
    <w:rsid w:val="42027077"/>
    <w:rsid w:val="4203064F"/>
    <w:rsid w:val="420378EC"/>
    <w:rsid w:val="42044303"/>
    <w:rsid w:val="4205007B"/>
    <w:rsid w:val="42051A04"/>
    <w:rsid w:val="42051BC8"/>
    <w:rsid w:val="42051E29"/>
    <w:rsid w:val="420605C9"/>
    <w:rsid w:val="42061A59"/>
    <w:rsid w:val="42066E88"/>
    <w:rsid w:val="42072045"/>
    <w:rsid w:val="42073DF3"/>
    <w:rsid w:val="4207560F"/>
    <w:rsid w:val="42075BA1"/>
    <w:rsid w:val="420826D7"/>
    <w:rsid w:val="42084BCD"/>
    <w:rsid w:val="4208561D"/>
    <w:rsid w:val="42091D7F"/>
    <w:rsid w:val="420936C7"/>
    <w:rsid w:val="42093AB5"/>
    <w:rsid w:val="420941F8"/>
    <w:rsid w:val="42095809"/>
    <w:rsid w:val="42096F4A"/>
    <w:rsid w:val="42097F03"/>
    <w:rsid w:val="420A03DA"/>
    <w:rsid w:val="420A5691"/>
    <w:rsid w:val="420C1409"/>
    <w:rsid w:val="420C31B7"/>
    <w:rsid w:val="420C765B"/>
    <w:rsid w:val="420E01EB"/>
    <w:rsid w:val="420E33D3"/>
    <w:rsid w:val="420E5181"/>
    <w:rsid w:val="420E6F2F"/>
    <w:rsid w:val="420E7F0F"/>
    <w:rsid w:val="420F2CA7"/>
    <w:rsid w:val="42100EF9"/>
    <w:rsid w:val="42113262"/>
    <w:rsid w:val="42114C71"/>
    <w:rsid w:val="421206CF"/>
    <w:rsid w:val="42122F2E"/>
    <w:rsid w:val="42134546"/>
    <w:rsid w:val="4214206C"/>
    <w:rsid w:val="42144EF9"/>
    <w:rsid w:val="4215030D"/>
    <w:rsid w:val="4216154E"/>
    <w:rsid w:val="42162288"/>
    <w:rsid w:val="42164036"/>
    <w:rsid w:val="42167C79"/>
    <w:rsid w:val="42174F91"/>
    <w:rsid w:val="42175DE6"/>
    <w:rsid w:val="421760DD"/>
    <w:rsid w:val="42176E89"/>
    <w:rsid w:val="42186000"/>
    <w:rsid w:val="42187DAE"/>
    <w:rsid w:val="421A1D78"/>
    <w:rsid w:val="421A2FBF"/>
    <w:rsid w:val="421A58D4"/>
    <w:rsid w:val="421B1856"/>
    <w:rsid w:val="421B507B"/>
    <w:rsid w:val="421B789E"/>
    <w:rsid w:val="421B7C1E"/>
    <w:rsid w:val="421C27EF"/>
    <w:rsid w:val="421D3616"/>
    <w:rsid w:val="421F4DB2"/>
    <w:rsid w:val="42213106"/>
    <w:rsid w:val="42213A90"/>
    <w:rsid w:val="42224789"/>
    <w:rsid w:val="422258DC"/>
    <w:rsid w:val="4222613E"/>
    <w:rsid w:val="42227AF1"/>
    <w:rsid w:val="42232E58"/>
    <w:rsid w:val="42251146"/>
    <w:rsid w:val="42254279"/>
    <w:rsid w:val="42255D7C"/>
    <w:rsid w:val="42257AF2"/>
    <w:rsid w:val="42260399"/>
    <w:rsid w:val="42264D31"/>
    <w:rsid w:val="42265648"/>
    <w:rsid w:val="42271E5D"/>
    <w:rsid w:val="42274495"/>
    <w:rsid w:val="42276243"/>
    <w:rsid w:val="42286241"/>
    <w:rsid w:val="42290E73"/>
    <w:rsid w:val="42291FBB"/>
    <w:rsid w:val="42295B17"/>
    <w:rsid w:val="422A21F6"/>
    <w:rsid w:val="422A6614"/>
    <w:rsid w:val="422A7254"/>
    <w:rsid w:val="422B2C05"/>
    <w:rsid w:val="422B44D2"/>
    <w:rsid w:val="422B5DAF"/>
    <w:rsid w:val="422C22E4"/>
    <w:rsid w:val="422E137F"/>
    <w:rsid w:val="422E312E"/>
    <w:rsid w:val="422E6094"/>
    <w:rsid w:val="422F25A0"/>
    <w:rsid w:val="422F4422"/>
    <w:rsid w:val="422F6B0B"/>
    <w:rsid w:val="423013D3"/>
    <w:rsid w:val="4230334A"/>
    <w:rsid w:val="42304318"/>
    <w:rsid w:val="423050F8"/>
    <w:rsid w:val="42310D53"/>
    <w:rsid w:val="42310E70"/>
    <w:rsid w:val="42312C1E"/>
    <w:rsid w:val="423140B1"/>
    <w:rsid w:val="4231577F"/>
    <w:rsid w:val="42324F5C"/>
    <w:rsid w:val="42332E3A"/>
    <w:rsid w:val="42336996"/>
    <w:rsid w:val="42343923"/>
    <w:rsid w:val="42350960"/>
    <w:rsid w:val="42351809"/>
    <w:rsid w:val="423524A0"/>
    <w:rsid w:val="4235270E"/>
    <w:rsid w:val="42354A90"/>
    <w:rsid w:val="42355E21"/>
    <w:rsid w:val="42360234"/>
    <w:rsid w:val="423623A5"/>
    <w:rsid w:val="42380450"/>
    <w:rsid w:val="423821FE"/>
    <w:rsid w:val="42383FAC"/>
    <w:rsid w:val="423948E8"/>
    <w:rsid w:val="42397786"/>
    <w:rsid w:val="423A1EDE"/>
    <w:rsid w:val="423A3BCC"/>
    <w:rsid w:val="423A41C8"/>
    <w:rsid w:val="423B1FAB"/>
    <w:rsid w:val="423B218C"/>
    <w:rsid w:val="423B3A9C"/>
    <w:rsid w:val="423B4569"/>
    <w:rsid w:val="423B584A"/>
    <w:rsid w:val="423C5025"/>
    <w:rsid w:val="423D15C3"/>
    <w:rsid w:val="423D3834"/>
    <w:rsid w:val="423D7815"/>
    <w:rsid w:val="423E39B8"/>
    <w:rsid w:val="423E40E9"/>
    <w:rsid w:val="423E553E"/>
    <w:rsid w:val="423F17DF"/>
    <w:rsid w:val="423F358D"/>
    <w:rsid w:val="423F533B"/>
    <w:rsid w:val="42401BEA"/>
    <w:rsid w:val="42411939"/>
    <w:rsid w:val="42415557"/>
    <w:rsid w:val="42425BDF"/>
    <w:rsid w:val="4243011A"/>
    <w:rsid w:val="42434567"/>
    <w:rsid w:val="42440E0D"/>
    <w:rsid w:val="42441AAC"/>
    <w:rsid w:val="42446DF5"/>
    <w:rsid w:val="42450DF8"/>
    <w:rsid w:val="42454AF7"/>
    <w:rsid w:val="424566FF"/>
    <w:rsid w:val="42457B2E"/>
    <w:rsid w:val="42462B6D"/>
    <w:rsid w:val="4246491B"/>
    <w:rsid w:val="42464E4C"/>
    <w:rsid w:val="42472441"/>
    <w:rsid w:val="4248180C"/>
    <w:rsid w:val="42483274"/>
    <w:rsid w:val="424961B9"/>
    <w:rsid w:val="424A062A"/>
    <w:rsid w:val="424A586D"/>
    <w:rsid w:val="424B0183"/>
    <w:rsid w:val="424B1F31"/>
    <w:rsid w:val="424B51C7"/>
    <w:rsid w:val="424B55BC"/>
    <w:rsid w:val="424C49ED"/>
    <w:rsid w:val="424C7073"/>
    <w:rsid w:val="424D300A"/>
    <w:rsid w:val="424D38D4"/>
    <w:rsid w:val="424D3EFC"/>
    <w:rsid w:val="424E1A22"/>
    <w:rsid w:val="424E37D0"/>
    <w:rsid w:val="424E557E"/>
    <w:rsid w:val="424E57D2"/>
    <w:rsid w:val="424E72DF"/>
    <w:rsid w:val="42500727"/>
    <w:rsid w:val="425012F6"/>
    <w:rsid w:val="425033A9"/>
    <w:rsid w:val="4250579A"/>
    <w:rsid w:val="42507F9E"/>
    <w:rsid w:val="4251669B"/>
    <w:rsid w:val="42521818"/>
    <w:rsid w:val="42521821"/>
    <w:rsid w:val="42522187"/>
    <w:rsid w:val="42523FFF"/>
    <w:rsid w:val="4252548F"/>
    <w:rsid w:val="4252745A"/>
    <w:rsid w:val="42530DE6"/>
    <w:rsid w:val="42532B34"/>
    <w:rsid w:val="4253528A"/>
    <w:rsid w:val="42541C74"/>
    <w:rsid w:val="425508C9"/>
    <w:rsid w:val="4255123F"/>
    <w:rsid w:val="42552DB0"/>
    <w:rsid w:val="42554A87"/>
    <w:rsid w:val="42554C43"/>
    <w:rsid w:val="425561CD"/>
    <w:rsid w:val="42562684"/>
    <w:rsid w:val="42576000"/>
    <w:rsid w:val="42576B28"/>
    <w:rsid w:val="42577E71"/>
    <w:rsid w:val="42580E90"/>
    <w:rsid w:val="42591DE1"/>
    <w:rsid w:val="425939AE"/>
    <w:rsid w:val="425A03C6"/>
    <w:rsid w:val="425A2075"/>
    <w:rsid w:val="425A2175"/>
    <w:rsid w:val="425A6618"/>
    <w:rsid w:val="425B67F2"/>
    <w:rsid w:val="425C413F"/>
    <w:rsid w:val="425C7C82"/>
    <w:rsid w:val="425D3812"/>
    <w:rsid w:val="425D72FA"/>
    <w:rsid w:val="425E4634"/>
    <w:rsid w:val="425E5AE9"/>
    <w:rsid w:val="425F2BEC"/>
    <w:rsid w:val="42610F23"/>
    <w:rsid w:val="42611755"/>
    <w:rsid w:val="42612E33"/>
    <w:rsid w:val="426138DE"/>
    <w:rsid w:val="42614A5B"/>
    <w:rsid w:val="42614D21"/>
    <w:rsid w:val="42621029"/>
    <w:rsid w:val="42621702"/>
    <w:rsid w:val="426236D4"/>
    <w:rsid w:val="426260B4"/>
    <w:rsid w:val="42641245"/>
    <w:rsid w:val="42642FF3"/>
    <w:rsid w:val="42645A02"/>
    <w:rsid w:val="42652475"/>
    <w:rsid w:val="426533E4"/>
    <w:rsid w:val="426561CD"/>
    <w:rsid w:val="42657A0A"/>
    <w:rsid w:val="426621C4"/>
    <w:rsid w:val="42663905"/>
    <w:rsid w:val="42666D6B"/>
    <w:rsid w:val="42672AE3"/>
    <w:rsid w:val="42674891"/>
    <w:rsid w:val="4267663F"/>
    <w:rsid w:val="42680130"/>
    <w:rsid w:val="42684C7D"/>
    <w:rsid w:val="42691183"/>
    <w:rsid w:val="426923B8"/>
    <w:rsid w:val="426A0D20"/>
    <w:rsid w:val="426A6C05"/>
    <w:rsid w:val="426B01F1"/>
    <w:rsid w:val="426B25D4"/>
    <w:rsid w:val="426B3C64"/>
    <w:rsid w:val="426B4382"/>
    <w:rsid w:val="426B6130"/>
    <w:rsid w:val="426C3C56"/>
    <w:rsid w:val="426C62D9"/>
    <w:rsid w:val="426D00FA"/>
    <w:rsid w:val="426D1E2B"/>
    <w:rsid w:val="426D6123"/>
    <w:rsid w:val="426E2B51"/>
    <w:rsid w:val="426E3E72"/>
    <w:rsid w:val="426E5C20"/>
    <w:rsid w:val="426E79CE"/>
    <w:rsid w:val="426F3B88"/>
    <w:rsid w:val="426F7296"/>
    <w:rsid w:val="42701FD8"/>
    <w:rsid w:val="42703746"/>
    <w:rsid w:val="42705E47"/>
    <w:rsid w:val="42710A18"/>
    <w:rsid w:val="42721D88"/>
    <w:rsid w:val="42724A79"/>
    <w:rsid w:val="42725710"/>
    <w:rsid w:val="42725C4D"/>
    <w:rsid w:val="42731488"/>
    <w:rsid w:val="4273188F"/>
    <w:rsid w:val="4275080A"/>
    <w:rsid w:val="42753A52"/>
    <w:rsid w:val="42757CE2"/>
    <w:rsid w:val="427640E8"/>
    <w:rsid w:val="4276494E"/>
    <w:rsid w:val="42773149"/>
    <w:rsid w:val="42775F2B"/>
    <w:rsid w:val="42784CF1"/>
    <w:rsid w:val="42794168"/>
    <w:rsid w:val="427966C5"/>
    <w:rsid w:val="427A1ACA"/>
    <w:rsid w:val="427A6373"/>
    <w:rsid w:val="427A6530"/>
    <w:rsid w:val="427A77A7"/>
    <w:rsid w:val="427B20EB"/>
    <w:rsid w:val="427B4567"/>
    <w:rsid w:val="427C0D42"/>
    <w:rsid w:val="427D0B61"/>
    <w:rsid w:val="427D61B0"/>
    <w:rsid w:val="427E41D0"/>
    <w:rsid w:val="427F375F"/>
    <w:rsid w:val="427F7E2D"/>
    <w:rsid w:val="42815953"/>
    <w:rsid w:val="42817701"/>
    <w:rsid w:val="4282786F"/>
    <w:rsid w:val="42834072"/>
    <w:rsid w:val="42835CC7"/>
    <w:rsid w:val="42835EF4"/>
    <w:rsid w:val="42843695"/>
    <w:rsid w:val="42846E8E"/>
    <w:rsid w:val="428471F1"/>
    <w:rsid w:val="4285031E"/>
    <w:rsid w:val="42852DDD"/>
    <w:rsid w:val="42860ABD"/>
    <w:rsid w:val="428611BC"/>
    <w:rsid w:val="42864D18"/>
    <w:rsid w:val="4286740D"/>
    <w:rsid w:val="42876CE2"/>
    <w:rsid w:val="42882D2E"/>
    <w:rsid w:val="428837FE"/>
    <w:rsid w:val="42887F73"/>
    <w:rsid w:val="42890CAC"/>
    <w:rsid w:val="428914B6"/>
    <w:rsid w:val="42892A5A"/>
    <w:rsid w:val="42894808"/>
    <w:rsid w:val="428A269C"/>
    <w:rsid w:val="428A2BBD"/>
    <w:rsid w:val="428B0580"/>
    <w:rsid w:val="428B450A"/>
    <w:rsid w:val="428B4A24"/>
    <w:rsid w:val="428B67D2"/>
    <w:rsid w:val="428C13F3"/>
    <w:rsid w:val="428C18A6"/>
    <w:rsid w:val="428C208B"/>
    <w:rsid w:val="428C60A6"/>
    <w:rsid w:val="428C6591"/>
    <w:rsid w:val="428D254A"/>
    <w:rsid w:val="428E1E1E"/>
    <w:rsid w:val="428E69B8"/>
    <w:rsid w:val="4290203A"/>
    <w:rsid w:val="429168C1"/>
    <w:rsid w:val="429172C8"/>
    <w:rsid w:val="4292152A"/>
    <w:rsid w:val="42923BE0"/>
    <w:rsid w:val="42927B60"/>
    <w:rsid w:val="4293123D"/>
    <w:rsid w:val="42932205"/>
    <w:rsid w:val="429338D8"/>
    <w:rsid w:val="42935686"/>
    <w:rsid w:val="42937435"/>
    <w:rsid w:val="42937EE5"/>
    <w:rsid w:val="429460DB"/>
    <w:rsid w:val="429512AB"/>
    <w:rsid w:val="429531AD"/>
    <w:rsid w:val="4295347D"/>
    <w:rsid w:val="42973E67"/>
    <w:rsid w:val="42975177"/>
    <w:rsid w:val="42982C9D"/>
    <w:rsid w:val="42983BC3"/>
    <w:rsid w:val="42984A4B"/>
    <w:rsid w:val="42993D61"/>
    <w:rsid w:val="42997141"/>
    <w:rsid w:val="429A4C67"/>
    <w:rsid w:val="429A6A15"/>
    <w:rsid w:val="429B28C0"/>
    <w:rsid w:val="429B3C85"/>
    <w:rsid w:val="429C09DF"/>
    <w:rsid w:val="429C278D"/>
    <w:rsid w:val="429C2C86"/>
    <w:rsid w:val="429D6505"/>
    <w:rsid w:val="429E2606"/>
    <w:rsid w:val="429E4757"/>
    <w:rsid w:val="429F227D"/>
    <w:rsid w:val="42A258CA"/>
    <w:rsid w:val="42A3185F"/>
    <w:rsid w:val="42A33B1C"/>
    <w:rsid w:val="42A42166"/>
    <w:rsid w:val="42A47387"/>
    <w:rsid w:val="42A47586"/>
    <w:rsid w:val="42A6360C"/>
    <w:rsid w:val="42A653BA"/>
    <w:rsid w:val="42A720B3"/>
    <w:rsid w:val="42A72EE0"/>
    <w:rsid w:val="42A76C14"/>
    <w:rsid w:val="42A77620"/>
    <w:rsid w:val="42A81132"/>
    <w:rsid w:val="42A87384"/>
    <w:rsid w:val="42A93E23"/>
    <w:rsid w:val="42A94EAA"/>
    <w:rsid w:val="42A95426"/>
    <w:rsid w:val="42A96C58"/>
    <w:rsid w:val="42AA7F5F"/>
    <w:rsid w:val="42AC04F6"/>
    <w:rsid w:val="42AC236A"/>
    <w:rsid w:val="42AD023B"/>
    <w:rsid w:val="42AE0712"/>
    <w:rsid w:val="42AE426E"/>
    <w:rsid w:val="42AE53D1"/>
    <w:rsid w:val="42B06238"/>
    <w:rsid w:val="42B07FE6"/>
    <w:rsid w:val="42B15B0D"/>
    <w:rsid w:val="42B15EAB"/>
    <w:rsid w:val="42B21FB1"/>
    <w:rsid w:val="42B24E79"/>
    <w:rsid w:val="42B26C49"/>
    <w:rsid w:val="42B314E1"/>
    <w:rsid w:val="42B41D8B"/>
    <w:rsid w:val="42B45D29"/>
    <w:rsid w:val="42B460BC"/>
    <w:rsid w:val="42B51335"/>
    <w:rsid w:val="42B5156E"/>
    <w:rsid w:val="42B51AA1"/>
    <w:rsid w:val="42B539F3"/>
    <w:rsid w:val="42B61086"/>
    <w:rsid w:val="42B6714C"/>
    <w:rsid w:val="42B67CE3"/>
    <w:rsid w:val="42B702D9"/>
    <w:rsid w:val="42B850ED"/>
    <w:rsid w:val="42B85AE6"/>
    <w:rsid w:val="42B912E9"/>
    <w:rsid w:val="42B9333F"/>
    <w:rsid w:val="42BA17C9"/>
    <w:rsid w:val="42BA2C13"/>
    <w:rsid w:val="42BA70B7"/>
    <w:rsid w:val="42BB27C3"/>
    <w:rsid w:val="42BC10E8"/>
    <w:rsid w:val="42BD2703"/>
    <w:rsid w:val="42BE04AF"/>
    <w:rsid w:val="42BE0955"/>
    <w:rsid w:val="42BE656E"/>
    <w:rsid w:val="42BE6BA7"/>
    <w:rsid w:val="42BF193F"/>
    <w:rsid w:val="42BF46CD"/>
    <w:rsid w:val="42BF647C"/>
    <w:rsid w:val="42C10446"/>
    <w:rsid w:val="42C25A29"/>
    <w:rsid w:val="42C26E30"/>
    <w:rsid w:val="42C27D1A"/>
    <w:rsid w:val="42C341BE"/>
    <w:rsid w:val="42C36B21"/>
    <w:rsid w:val="42C41CE4"/>
    <w:rsid w:val="42C42BE0"/>
    <w:rsid w:val="42C43A92"/>
    <w:rsid w:val="42C45840"/>
    <w:rsid w:val="42C52FD7"/>
    <w:rsid w:val="42C55C31"/>
    <w:rsid w:val="42C615B8"/>
    <w:rsid w:val="42C63782"/>
    <w:rsid w:val="42C65A5C"/>
    <w:rsid w:val="42C66C41"/>
    <w:rsid w:val="42C67633"/>
    <w:rsid w:val="42C6780A"/>
    <w:rsid w:val="42C67AC2"/>
    <w:rsid w:val="42C8488F"/>
    <w:rsid w:val="42C85330"/>
    <w:rsid w:val="42C91C7A"/>
    <w:rsid w:val="42C933CF"/>
    <w:rsid w:val="42CA082F"/>
    <w:rsid w:val="42CA3FCD"/>
    <w:rsid w:val="42CA554C"/>
    <w:rsid w:val="42CB3152"/>
    <w:rsid w:val="42CB4E20"/>
    <w:rsid w:val="42CB6BCE"/>
    <w:rsid w:val="42CC3B2C"/>
    <w:rsid w:val="42CE38FA"/>
    <w:rsid w:val="42CE40B4"/>
    <w:rsid w:val="42CE465D"/>
    <w:rsid w:val="42CE526A"/>
    <w:rsid w:val="42CE7E5E"/>
    <w:rsid w:val="42CF2B62"/>
    <w:rsid w:val="42CF3DFF"/>
    <w:rsid w:val="42CF6863"/>
    <w:rsid w:val="42D02437"/>
    <w:rsid w:val="42D068DB"/>
    <w:rsid w:val="42D13D54"/>
    <w:rsid w:val="42D1597C"/>
    <w:rsid w:val="42D202DF"/>
    <w:rsid w:val="42D206E8"/>
    <w:rsid w:val="42D24401"/>
    <w:rsid w:val="42D261AF"/>
    <w:rsid w:val="42D27F5D"/>
    <w:rsid w:val="42D31F27"/>
    <w:rsid w:val="42D33CD5"/>
    <w:rsid w:val="42D361F6"/>
    <w:rsid w:val="42D40179"/>
    <w:rsid w:val="42D44338"/>
    <w:rsid w:val="42D53EF1"/>
    <w:rsid w:val="42D5417C"/>
    <w:rsid w:val="42D634EA"/>
    <w:rsid w:val="42D65386"/>
    <w:rsid w:val="42D71A17"/>
    <w:rsid w:val="42D765A4"/>
    <w:rsid w:val="42D77BC6"/>
    <w:rsid w:val="42D77C69"/>
    <w:rsid w:val="42D96731"/>
    <w:rsid w:val="42D9753D"/>
    <w:rsid w:val="42DA1507"/>
    <w:rsid w:val="42DB7FB9"/>
    <w:rsid w:val="42DC0206"/>
    <w:rsid w:val="42DC0656"/>
    <w:rsid w:val="42DC0E67"/>
    <w:rsid w:val="42DC1386"/>
    <w:rsid w:val="42DC17C0"/>
    <w:rsid w:val="42DD32AE"/>
    <w:rsid w:val="42DD3A38"/>
    <w:rsid w:val="42DD6902"/>
    <w:rsid w:val="42DE0FF8"/>
    <w:rsid w:val="42DE2032"/>
    <w:rsid w:val="42DE4B54"/>
    <w:rsid w:val="42E01352"/>
    <w:rsid w:val="42E13A33"/>
    <w:rsid w:val="42E14644"/>
    <w:rsid w:val="42E168B7"/>
    <w:rsid w:val="42E25704"/>
    <w:rsid w:val="42E27733"/>
    <w:rsid w:val="42E27A71"/>
    <w:rsid w:val="42E30D3A"/>
    <w:rsid w:val="42E36523"/>
    <w:rsid w:val="42E36CC4"/>
    <w:rsid w:val="42E44134"/>
    <w:rsid w:val="42E44C98"/>
    <w:rsid w:val="42E45EE2"/>
    <w:rsid w:val="42E4608D"/>
    <w:rsid w:val="42E56500"/>
    <w:rsid w:val="42E62C05"/>
    <w:rsid w:val="42E63A08"/>
    <w:rsid w:val="42E83C24"/>
    <w:rsid w:val="42E83D66"/>
    <w:rsid w:val="42E908C7"/>
    <w:rsid w:val="42E934F8"/>
    <w:rsid w:val="42E94BAC"/>
    <w:rsid w:val="42EA174A"/>
    <w:rsid w:val="42EA5CD4"/>
    <w:rsid w:val="42EB101F"/>
    <w:rsid w:val="42EB256B"/>
    <w:rsid w:val="42EB44CA"/>
    <w:rsid w:val="42EB7271"/>
    <w:rsid w:val="42EC35D9"/>
    <w:rsid w:val="42ED123B"/>
    <w:rsid w:val="42EE49BD"/>
    <w:rsid w:val="42EF4CF2"/>
    <w:rsid w:val="42EF4FB3"/>
    <w:rsid w:val="42EF6D61"/>
    <w:rsid w:val="42F02AD9"/>
    <w:rsid w:val="42F02E45"/>
    <w:rsid w:val="42F07BB5"/>
    <w:rsid w:val="42F11BFD"/>
    <w:rsid w:val="42F14C20"/>
    <w:rsid w:val="42F15DF6"/>
    <w:rsid w:val="42F205FF"/>
    <w:rsid w:val="42F20F80"/>
    <w:rsid w:val="42F25EC6"/>
    <w:rsid w:val="42F425C9"/>
    <w:rsid w:val="42F44377"/>
    <w:rsid w:val="42F500EF"/>
    <w:rsid w:val="42F70AC9"/>
    <w:rsid w:val="42F737E4"/>
    <w:rsid w:val="42F73F39"/>
    <w:rsid w:val="42F75C15"/>
    <w:rsid w:val="42F818D7"/>
    <w:rsid w:val="42F91AD0"/>
    <w:rsid w:val="42FA5706"/>
    <w:rsid w:val="42FA74B4"/>
    <w:rsid w:val="42FB3958"/>
    <w:rsid w:val="42FB6FC1"/>
    <w:rsid w:val="42FC322C"/>
    <w:rsid w:val="42FC76D0"/>
    <w:rsid w:val="42FC7797"/>
    <w:rsid w:val="42FD44B2"/>
    <w:rsid w:val="42FD7868"/>
    <w:rsid w:val="42FE0D52"/>
    <w:rsid w:val="42FE2BA4"/>
    <w:rsid w:val="42FE6FA4"/>
    <w:rsid w:val="42FF2D1C"/>
    <w:rsid w:val="4300375D"/>
    <w:rsid w:val="43010842"/>
    <w:rsid w:val="43014CE6"/>
    <w:rsid w:val="4303280C"/>
    <w:rsid w:val="4303456B"/>
    <w:rsid w:val="43046206"/>
    <w:rsid w:val="43052C44"/>
    <w:rsid w:val="4305497A"/>
    <w:rsid w:val="43056584"/>
    <w:rsid w:val="430622FC"/>
    <w:rsid w:val="430640AA"/>
    <w:rsid w:val="430640B4"/>
    <w:rsid w:val="43070D16"/>
    <w:rsid w:val="430716C0"/>
    <w:rsid w:val="43076734"/>
    <w:rsid w:val="430815C5"/>
    <w:rsid w:val="43081BD1"/>
    <w:rsid w:val="43086341"/>
    <w:rsid w:val="43087D6A"/>
    <w:rsid w:val="43091872"/>
    <w:rsid w:val="430924D4"/>
    <w:rsid w:val="43095693"/>
    <w:rsid w:val="43095EDF"/>
    <w:rsid w:val="43096436"/>
    <w:rsid w:val="430A1177"/>
    <w:rsid w:val="430A3885"/>
    <w:rsid w:val="430A6568"/>
    <w:rsid w:val="430B1DAB"/>
    <w:rsid w:val="430B3FF5"/>
    <w:rsid w:val="430C6805"/>
    <w:rsid w:val="430D6E9D"/>
    <w:rsid w:val="430D71E7"/>
    <w:rsid w:val="430D73BE"/>
    <w:rsid w:val="430E2866"/>
    <w:rsid w:val="430E7554"/>
    <w:rsid w:val="430F5BCF"/>
    <w:rsid w:val="430F6A9A"/>
    <w:rsid w:val="430F7403"/>
    <w:rsid w:val="43100A85"/>
    <w:rsid w:val="43101E67"/>
    <w:rsid w:val="43116751"/>
    <w:rsid w:val="43123DB8"/>
    <w:rsid w:val="43140575"/>
    <w:rsid w:val="43140A2D"/>
    <w:rsid w:val="43144B41"/>
    <w:rsid w:val="431467C7"/>
    <w:rsid w:val="43147740"/>
    <w:rsid w:val="431515CC"/>
    <w:rsid w:val="4315253F"/>
    <w:rsid w:val="4315374F"/>
    <w:rsid w:val="431605DB"/>
    <w:rsid w:val="43160791"/>
    <w:rsid w:val="4317647A"/>
    <w:rsid w:val="431B373C"/>
    <w:rsid w:val="431C2695"/>
    <w:rsid w:val="431C38CE"/>
    <w:rsid w:val="431D55D0"/>
    <w:rsid w:val="432006F1"/>
    <w:rsid w:val="4320271E"/>
    <w:rsid w:val="432033BE"/>
    <w:rsid w:val="4320516C"/>
    <w:rsid w:val="4320610A"/>
    <w:rsid w:val="43210EE4"/>
    <w:rsid w:val="43236A0A"/>
    <w:rsid w:val="43244531"/>
    <w:rsid w:val="432509D4"/>
    <w:rsid w:val="43250AEC"/>
    <w:rsid w:val="43252782"/>
    <w:rsid w:val="43255984"/>
    <w:rsid w:val="43260B18"/>
    <w:rsid w:val="4326474D"/>
    <w:rsid w:val="43274E59"/>
    <w:rsid w:val="432808CB"/>
    <w:rsid w:val="43282273"/>
    <w:rsid w:val="43284021"/>
    <w:rsid w:val="4328489C"/>
    <w:rsid w:val="432879E8"/>
    <w:rsid w:val="432A5FEB"/>
    <w:rsid w:val="432A7D99"/>
    <w:rsid w:val="432B07E6"/>
    <w:rsid w:val="432B1D63"/>
    <w:rsid w:val="432B2EF5"/>
    <w:rsid w:val="432C10C6"/>
    <w:rsid w:val="432C2862"/>
    <w:rsid w:val="432D5ADB"/>
    <w:rsid w:val="432E2C29"/>
    <w:rsid w:val="432F53AF"/>
    <w:rsid w:val="432F66C6"/>
    <w:rsid w:val="43301127"/>
    <w:rsid w:val="433022AA"/>
    <w:rsid w:val="43302ED5"/>
    <w:rsid w:val="433125CD"/>
    <w:rsid w:val="43315D2E"/>
    <w:rsid w:val="433230F1"/>
    <w:rsid w:val="43324E9F"/>
    <w:rsid w:val="43326C4D"/>
    <w:rsid w:val="43336D67"/>
    <w:rsid w:val="43340425"/>
    <w:rsid w:val="43342EA8"/>
    <w:rsid w:val="43344580"/>
    <w:rsid w:val="433504EC"/>
    <w:rsid w:val="43364990"/>
    <w:rsid w:val="43370708"/>
    <w:rsid w:val="43380382"/>
    <w:rsid w:val="43382A65"/>
    <w:rsid w:val="43384391"/>
    <w:rsid w:val="43385AD2"/>
    <w:rsid w:val="43394480"/>
    <w:rsid w:val="43395821"/>
    <w:rsid w:val="4339622E"/>
    <w:rsid w:val="433A03F2"/>
    <w:rsid w:val="433A2FC3"/>
    <w:rsid w:val="433A3D54"/>
    <w:rsid w:val="433A64FB"/>
    <w:rsid w:val="433A6FE6"/>
    <w:rsid w:val="433B01F8"/>
    <w:rsid w:val="433B1FA6"/>
    <w:rsid w:val="433B7194"/>
    <w:rsid w:val="433C29B6"/>
    <w:rsid w:val="433C5D1E"/>
    <w:rsid w:val="433C6A44"/>
    <w:rsid w:val="433D1201"/>
    <w:rsid w:val="433D2782"/>
    <w:rsid w:val="433D5394"/>
    <w:rsid w:val="433D6D2B"/>
    <w:rsid w:val="433E1A96"/>
    <w:rsid w:val="433E3844"/>
    <w:rsid w:val="433F0C1E"/>
    <w:rsid w:val="433F0C7E"/>
    <w:rsid w:val="433F1693"/>
    <w:rsid w:val="434056F4"/>
    <w:rsid w:val="434100CC"/>
    <w:rsid w:val="43414568"/>
    <w:rsid w:val="43414F26"/>
    <w:rsid w:val="43432C09"/>
    <w:rsid w:val="43440175"/>
    <w:rsid w:val="4344430F"/>
    <w:rsid w:val="434516C5"/>
    <w:rsid w:val="4346094B"/>
    <w:rsid w:val="43470C5B"/>
    <w:rsid w:val="43476B9D"/>
    <w:rsid w:val="43480868"/>
    <w:rsid w:val="43482915"/>
    <w:rsid w:val="43482960"/>
    <w:rsid w:val="43486471"/>
    <w:rsid w:val="43492E24"/>
    <w:rsid w:val="434A043B"/>
    <w:rsid w:val="434A1E72"/>
    <w:rsid w:val="434A67B0"/>
    <w:rsid w:val="434B05B5"/>
    <w:rsid w:val="434C53D8"/>
    <w:rsid w:val="434D7B0C"/>
    <w:rsid w:val="434E2256"/>
    <w:rsid w:val="434E7CF8"/>
    <w:rsid w:val="434F3B95"/>
    <w:rsid w:val="434F3D59"/>
    <w:rsid w:val="434F7922"/>
    <w:rsid w:val="43503578"/>
    <w:rsid w:val="4350504F"/>
    <w:rsid w:val="4350713C"/>
    <w:rsid w:val="43507197"/>
    <w:rsid w:val="435117C9"/>
    <w:rsid w:val="43514C5F"/>
    <w:rsid w:val="435155E6"/>
    <w:rsid w:val="43527B09"/>
    <w:rsid w:val="43530F99"/>
    <w:rsid w:val="43537423"/>
    <w:rsid w:val="435402B2"/>
    <w:rsid w:val="435500E0"/>
    <w:rsid w:val="4356105B"/>
    <w:rsid w:val="4356153B"/>
    <w:rsid w:val="43566DE0"/>
    <w:rsid w:val="43574906"/>
    <w:rsid w:val="43594E0B"/>
    <w:rsid w:val="435979DC"/>
    <w:rsid w:val="435A0D43"/>
    <w:rsid w:val="435A4BCB"/>
    <w:rsid w:val="435A7F52"/>
    <w:rsid w:val="435B02DA"/>
    <w:rsid w:val="435B22FC"/>
    <w:rsid w:val="435B2648"/>
    <w:rsid w:val="435B43F6"/>
    <w:rsid w:val="435B61A4"/>
    <w:rsid w:val="435B703A"/>
    <w:rsid w:val="435B7631"/>
    <w:rsid w:val="435C016E"/>
    <w:rsid w:val="435C1F1C"/>
    <w:rsid w:val="435D2C04"/>
    <w:rsid w:val="435D353F"/>
    <w:rsid w:val="435D451A"/>
    <w:rsid w:val="43600DFA"/>
    <w:rsid w:val="43601A0D"/>
    <w:rsid w:val="436239D7"/>
    <w:rsid w:val="43625D1F"/>
    <w:rsid w:val="43632D4D"/>
    <w:rsid w:val="436332AB"/>
    <w:rsid w:val="43635059"/>
    <w:rsid w:val="43641F1E"/>
    <w:rsid w:val="4364501E"/>
    <w:rsid w:val="436456F5"/>
    <w:rsid w:val="43650DD1"/>
    <w:rsid w:val="43654427"/>
    <w:rsid w:val="43654FAA"/>
    <w:rsid w:val="43655275"/>
    <w:rsid w:val="43660AC1"/>
    <w:rsid w:val="436611F9"/>
    <w:rsid w:val="436630F5"/>
    <w:rsid w:val="43663FC0"/>
    <w:rsid w:val="43664B49"/>
    <w:rsid w:val="436653E0"/>
    <w:rsid w:val="436808C1"/>
    <w:rsid w:val="43686B13"/>
    <w:rsid w:val="43692E1D"/>
    <w:rsid w:val="436A288B"/>
    <w:rsid w:val="436B215F"/>
    <w:rsid w:val="436B58AE"/>
    <w:rsid w:val="436C03B1"/>
    <w:rsid w:val="436C06B0"/>
    <w:rsid w:val="436C0F5B"/>
    <w:rsid w:val="436C6603"/>
    <w:rsid w:val="436D237B"/>
    <w:rsid w:val="436D693E"/>
    <w:rsid w:val="436F5E02"/>
    <w:rsid w:val="43703092"/>
    <w:rsid w:val="43707776"/>
    <w:rsid w:val="43713C1A"/>
    <w:rsid w:val="437234EE"/>
    <w:rsid w:val="43727992"/>
    <w:rsid w:val="43730583"/>
    <w:rsid w:val="437306A7"/>
    <w:rsid w:val="43737646"/>
    <w:rsid w:val="4374370A"/>
    <w:rsid w:val="437445E4"/>
    <w:rsid w:val="43744855"/>
    <w:rsid w:val="43745E58"/>
    <w:rsid w:val="4374652E"/>
    <w:rsid w:val="43747266"/>
    <w:rsid w:val="43764970"/>
    <w:rsid w:val="43765366"/>
    <w:rsid w:val="4376558D"/>
    <w:rsid w:val="4377368E"/>
    <w:rsid w:val="43776D56"/>
    <w:rsid w:val="4378353F"/>
    <w:rsid w:val="43784FA8"/>
    <w:rsid w:val="43792ACE"/>
    <w:rsid w:val="437A2DE9"/>
    <w:rsid w:val="437A45BD"/>
    <w:rsid w:val="437A552D"/>
    <w:rsid w:val="437A5885"/>
    <w:rsid w:val="437A6D15"/>
    <w:rsid w:val="437B05F4"/>
    <w:rsid w:val="437B23A2"/>
    <w:rsid w:val="437B6846"/>
    <w:rsid w:val="437C436D"/>
    <w:rsid w:val="437E00E5"/>
    <w:rsid w:val="437E5696"/>
    <w:rsid w:val="437F6B26"/>
    <w:rsid w:val="43801982"/>
    <w:rsid w:val="438020AF"/>
    <w:rsid w:val="438108A2"/>
    <w:rsid w:val="438117A2"/>
    <w:rsid w:val="43813731"/>
    <w:rsid w:val="43823F58"/>
    <w:rsid w:val="438356FB"/>
    <w:rsid w:val="43837DA9"/>
    <w:rsid w:val="43851473"/>
    <w:rsid w:val="43852998"/>
    <w:rsid w:val="43852E19"/>
    <w:rsid w:val="43853221"/>
    <w:rsid w:val="438576C5"/>
    <w:rsid w:val="43860D47"/>
    <w:rsid w:val="43866F99"/>
    <w:rsid w:val="438751EB"/>
    <w:rsid w:val="43875B35"/>
    <w:rsid w:val="438938CF"/>
    <w:rsid w:val="43896516"/>
    <w:rsid w:val="438A3791"/>
    <w:rsid w:val="438A3C39"/>
    <w:rsid w:val="438A534E"/>
    <w:rsid w:val="438B4EB3"/>
    <w:rsid w:val="438C023B"/>
    <w:rsid w:val="438C45B0"/>
    <w:rsid w:val="438C7179"/>
    <w:rsid w:val="438C7C44"/>
    <w:rsid w:val="438E3EB6"/>
    <w:rsid w:val="438E731E"/>
    <w:rsid w:val="438F11EC"/>
    <w:rsid w:val="438F4B21"/>
    <w:rsid w:val="438F5E4E"/>
    <w:rsid w:val="438F661B"/>
    <w:rsid w:val="4390267C"/>
    <w:rsid w:val="439044BE"/>
    <w:rsid w:val="43910F3B"/>
    <w:rsid w:val="439117F7"/>
    <w:rsid w:val="43911BC6"/>
    <w:rsid w:val="43917E18"/>
    <w:rsid w:val="4392160B"/>
    <w:rsid w:val="439223D0"/>
    <w:rsid w:val="43922586"/>
    <w:rsid w:val="43931DE2"/>
    <w:rsid w:val="43933448"/>
    <w:rsid w:val="439416B6"/>
    <w:rsid w:val="4395248D"/>
    <w:rsid w:val="43966374"/>
    <w:rsid w:val="439714AA"/>
    <w:rsid w:val="4397166E"/>
    <w:rsid w:val="43980E0E"/>
    <w:rsid w:val="43986339"/>
    <w:rsid w:val="43994F1E"/>
    <w:rsid w:val="43995DE8"/>
    <w:rsid w:val="43996CCD"/>
    <w:rsid w:val="439A3786"/>
    <w:rsid w:val="439A4665"/>
    <w:rsid w:val="439B0C97"/>
    <w:rsid w:val="439B1BD6"/>
    <w:rsid w:val="439B2A45"/>
    <w:rsid w:val="439C056B"/>
    <w:rsid w:val="439C79FE"/>
    <w:rsid w:val="439D4A0F"/>
    <w:rsid w:val="439E0787"/>
    <w:rsid w:val="439E60B3"/>
    <w:rsid w:val="439E654D"/>
    <w:rsid w:val="439F5B10"/>
    <w:rsid w:val="43A018B2"/>
    <w:rsid w:val="43A01E09"/>
    <w:rsid w:val="43A10A30"/>
    <w:rsid w:val="43A15B81"/>
    <w:rsid w:val="43A176C1"/>
    <w:rsid w:val="43A21908"/>
    <w:rsid w:val="43A22025"/>
    <w:rsid w:val="43A279CA"/>
    <w:rsid w:val="43A318F9"/>
    <w:rsid w:val="43A42E81"/>
    <w:rsid w:val="43A473B1"/>
    <w:rsid w:val="43A538C3"/>
    <w:rsid w:val="43A55671"/>
    <w:rsid w:val="43A74F98"/>
    <w:rsid w:val="43A833B4"/>
    <w:rsid w:val="43A85162"/>
    <w:rsid w:val="43A85972"/>
    <w:rsid w:val="43A85E23"/>
    <w:rsid w:val="43A92286"/>
    <w:rsid w:val="43A946C0"/>
    <w:rsid w:val="43A966D6"/>
    <w:rsid w:val="43A96A5C"/>
    <w:rsid w:val="43AA712C"/>
    <w:rsid w:val="43AC3D38"/>
    <w:rsid w:val="43AC46CC"/>
    <w:rsid w:val="43AC5B43"/>
    <w:rsid w:val="43AD1E3D"/>
    <w:rsid w:val="43AD71A7"/>
    <w:rsid w:val="43AE09CA"/>
    <w:rsid w:val="43AE7540"/>
    <w:rsid w:val="43AF029E"/>
    <w:rsid w:val="43AF1A1E"/>
    <w:rsid w:val="43AF3701"/>
    <w:rsid w:val="43AF4742"/>
    <w:rsid w:val="43AF64F0"/>
    <w:rsid w:val="43AF701F"/>
    <w:rsid w:val="43B05954"/>
    <w:rsid w:val="43B12268"/>
    <w:rsid w:val="43B21B3C"/>
    <w:rsid w:val="43B22357"/>
    <w:rsid w:val="43B26515"/>
    <w:rsid w:val="43B27D8E"/>
    <w:rsid w:val="43B31053"/>
    <w:rsid w:val="43B34232"/>
    <w:rsid w:val="43B34510"/>
    <w:rsid w:val="43B43AC3"/>
    <w:rsid w:val="43B43B06"/>
    <w:rsid w:val="43B511CA"/>
    <w:rsid w:val="43B52F07"/>
    <w:rsid w:val="43B65C0B"/>
    <w:rsid w:val="43B835F7"/>
    <w:rsid w:val="43B87D0F"/>
    <w:rsid w:val="43B92ECB"/>
    <w:rsid w:val="43B95440"/>
    <w:rsid w:val="43BB30E7"/>
    <w:rsid w:val="43BB4117"/>
    <w:rsid w:val="43BB41A8"/>
    <w:rsid w:val="43BB5638"/>
    <w:rsid w:val="43BC275F"/>
    <w:rsid w:val="43BC51D5"/>
    <w:rsid w:val="43BD1699"/>
    <w:rsid w:val="43BD19B2"/>
    <w:rsid w:val="43BD1B67"/>
    <w:rsid w:val="43BD1D1D"/>
    <w:rsid w:val="43BE0DBB"/>
    <w:rsid w:val="43BE56FA"/>
    <w:rsid w:val="43BF4673"/>
    <w:rsid w:val="43C01CD6"/>
    <w:rsid w:val="43C04259"/>
    <w:rsid w:val="43C060FF"/>
    <w:rsid w:val="43C139A5"/>
    <w:rsid w:val="43C24475"/>
    <w:rsid w:val="43C26223"/>
    <w:rsid w:val="43C27FD1"/>
    <w:rsid w:val="43C31F9B"/>
    <w:rsid w:val="43C401ED"/>
    <w:rsid w:val="43C4431A"/>
    <w:rsid w:val="43C53F65"/>
    <w:rsid w:val="43C5528A"/>
    <w:rsid w:val="43C57AC2"/>
    <w:rsid w:val="43C65141"/>
    <w:rsid w:val="43C65991"/>
    <w:rsid w:val="43C7531C"/>
    <w:rsid w:val="43C80F27"/>
    <w:rsid w:val="43C81360"/>
    <w:rsid w:val="43C875B2"/>
    <w:rsid w:val="43C95804"/>
    <w:rsid w:val="43C96DC2"/>
    <w:rsid w:val="43CA157C"/>
    <w:rsid w:val="43CA588C"/>
    <w:rsid w:val="43CA5B33"/>
    <w:rsid w:val="43CB7A41"/>
    <w:rsid w:val="43CC33E2"/>
    <w:rsid w:val="43CC70A2"/>
    <w:rsid w:val="43CD117F"/>
    <w:rsid w:val="43CD37E2"/>
    <w:rsid w:val="43CD4BC8"/>
    <w:rsid w:val="43CD6976"/>
    <w:rsid w:val="43CE1D1D"/>
    <w:rsid w:val="43CE261E"/>
    <w:rsid w:val="43CE2E1A"/>
    <w:rsid w:val="43CF0940"/>
    <w:rsid w:val="43CF7D56"/>
    <w:rsid w:val="43D038D6"/>
    <w:rsid w:val="43D146B8"/>
    <w:rsid w:val="43D15136"/>
    <w:rsid w:val="43D163CE"/>
    <w:rsid w:val="43D23F8D"/>
    <w:rsid w:val="43D3520B"/>
    <w:rsid w:val="43D4320C"/>
    <w:rsid w:val="43D44D4F"/>
    <w:rsid w:val="43D45F4C"/>
    <w:rsid w:val="43D51F1E"/>
    <w:rsid w:val="43D84B60"/>
    <w:rsid w:val="43D85A47"/>
    <w:rsid w:val="43D862A1"/>
    <w:rsid w:val="43D877F5"/>
    <w:rsid w:val="43D917BF"/>
    <w:rsid w:val="43D9356D"/>
    <w:rsid w:val="43D9531B"/>
    <w:rsid w:val="43DA6296"/>
    <w:rsid w:val="43DA644B"/>
    <w:rsid w:val="43DB15E3"/>
    <w:rsid w:val="43DB3530"/>
    <w:rsid w:val="43DB36F4"/>
    <w:rsid w:val="43DB4C8D"/>
    <w:rsid w:val="43DB5537"/>
    <w:rsid w:val="43DB5854"/>
    <w:rsid w:val="43DB658F"/>
    <w:rsid w:val="43DC40CF"/>
    <w:rsid w:val="43DD12AF"/>
    <w:rsid w:val="43DD4E0B"/>
    <w:rsid w:val="43DD7AE2"/>
    <w:rsid w:val="43DE3F6C"/>
    <w:rsid w:val="43DE4EE1"/>
    <w:rsid w:val="43DE6DD5"/>
    <w:rsid w:val="43DF1E62"/>
    <w:rsid w:val="43DF40B4"/>
    <w:rsid w:val="43E02B4D"/>
    <w:rsid w:val="43E048FB"/>
    <w:rsid w:val="43E13922"/>
    <w:rsid w:val="43E22422"/>
    <w:rsid w:val="43E265FF"/>
    <w:rsid w:val="43E31666"/>
    <w:rsid w:val="43E334E8"/>
    <w:rsid w:val="43E33E05"/>
    <w:rsid w:val="43E3658D"/>
    <w:rsid w:val="43E4263E"/>
    <w:rsid w:val="43E443EC"/>
    <w:rsid w:val="43E53CC0"/>
    <w:rsid w:val="43E54EC1"/>
    <w:rsid w:val="43E64E67"/>
    <w:rsid w:val="43E715B7"/>
    <w:rsid w:val="43E71D40"/>
    <w:rsid w:val="43E73439"/>
    <w:rsid w:val="43E7452D"/>
    <w:rsid w:val="43E75C8A"/>
    <w:rsid w:val="43E91A78"/>
    <w:rsid w:val="43EA2D93"/>
    <w:rsid w:val="43EA39CC"/>
    <w:rsid w:val="43EA577A"/>
    <w:rsid w:val="43EC14F2"/>
    <w:rsid w:val="43EC397A"/>
    <w:rsid w:val="43ED075C"/>
    <w:rsid w:val="43ED0DC6"/>
    <w:rsid w:val="43EE526A"/>
    <w:rsid w:val="43EE7018"/>
    <w:rsid w:val="43EF4B3E"/>
    <w:rsid w:val="43F022A3"/>
    <w:rsid w:val="43F0340E"/>
    <w:rsid w:val="43F108B7"/>
    <w:rsid w:val="43F16B09"/>
    <w:rsid w:val="43F32B2E"/>
    <w:rsid w:val="43F3462F"/>
    <w:rsid w:val="43F42155"/>
    <w:rsid w:val="43F557C9"/>
    <w:rsid w:val="43F565F9"/>
    <w:rsid w:val="43F56AA3"/>
    <w:rsid w:val="43F6411F"/>
    <w:rsid w:val="43F646D3"/>
    <w:rsid w:val="43F65ECD"/>
    <w:rsid w:val="43F66C59"/>
    <w:rsid w:val="43F72CBA"/>
    <w:rsid w:val="43F8414A"/>
    <w:rsid w:val="43F85D80"/>
    <w:rsid w:val="43F87E97"/>
    <w:rsid w:val="43F92992"/>
    <w:rsid w:val="43F955DA"/>
    <w:rsid w:val="43F9627B"/>
    <w:rsid w:val="43FA081B"/>
    <w:rsid w:val="43FA3C0F"/>
    <w:rsid w:val="43FA5F5F"/>
    <w:rsid w:val="43FB4552"/>
    <w:rsid w:val="43FB4C7B"/>
    <w:rsid w:val="43FB7987"/>
    <w:rsid w:val="43FD124D"/>
    <w:rsid w:val="43FD12B6"/>
    <w:rsid w:val="43FD54AD"/>
    <w:rsid w:val="43FD725B"/>
    <w:rsid w:val="43FE6778"/>
    <w:rsid w:val="43FF0850"/>
    <w:rsid w:val="43FF1225"/>
    <w:rsid w:val="43FF72FD"/>
    <w:rsid w:val="440054AD"/>
    <w:rsid w:val="44006D4C"/>
    <w:rsid w:val="44011DEC"/>
    <w:rsid w:val="44022AC4"/>
    <w:rsid w:val="44027DCD"/>
    <w:rsid w:val="44032A10"/>
    <w:rsid w:val="4403570F"/>
    <w:rsid w:val="44037739"/>
    <w:rsid w:val="440377A8"/>
    <w:rsid w:val="440378F8"/>
    <w:rsid w:val="4404683C"/>
    <w:rsid w:val="44047066"/>
    <w:rsid w:val="440523CD"/>
    <w:rsid w:val="44052591"/>
    <w:rsid w:val="44054362"/>
    <w:rsid w:val="44056110"/>
    <w:rsid w:val="4405646E"/>
    <w:rsid w:val="440700DA"/>
    <w:rsid w:val="44071E88"/>
    <w:rsid w:val="440770EF"/>
    <w:rsid w:val="440920A4"/>
    <w:rsid w:val="44093E52"/>
    <w:rsid w:val="440A7BCA"/>
    <w:rsid w:val="440B01DB"/>
    <w:rsid w:val="440B1655"/>
    <w:rsid w:val="440B25C0"/>
    <w:rsid w:val="440B4EEF"/>
    <w:rsid w:val="440B74B5"/>
    <w:rsid w:val="440C11EA"/>
    <w:rsid w:val="440C1C8E"/>
    <w:rsid w:val="440C3942"/>
    <w:rsid w:val="440C4C78"/>
    <w:rsid w:val="440C749E"/>
    <w:rsid w:val="440D7A05"/>
    <w:rsid w:val="440E1469"/>
    <w:rsid w:val="440E76BA"/>
    <w:rsid w:val="441002B1"/>
    <w:rsid w:val="44101903"/>
    <w:rsid w:val="441021BD"/>
    <w:rsid w:val="4410282B"/>
    <w:rsid w:val="44112D07"/>
    <w:rsid w:val="44114AB5"/>
    <w:rsid w:val="4412446A"/>
    <w:rsid w:val="44124CF1"/>
    <w:rsid w:val="4413082D"/>
    <w:rsid w:val="44137209"/>
    <w:rsid w:val="441427F7"/>
    <w:rsid w:val="441445A5"/>
    <w:rsid w:val="44154DB3"/>
    <w:rsid w:val="44156D87"/>
    <w:rsid w:val="44157567"/>
    <w:rsid w:val="441628B7"/>
    <w:rsid w:val="441652D8"/>
    <w:rsid w:val="4416656F"/>
    <w:rsid w:val="44166D33"/>
    <w:rsid w:val="44170B63"/>
    <w:rsid w:val="4417258F"/>
    <w:rsid w:val="44177360"/>
    <w:rsid w:val="44193552"/>
    <w:rsid w:val="441B1DD7"/>
    <w:rsid w:val="441B20B5"/>
    <w:rsid w:val="441B44A4"/>
    <w:rsid w:val="441C4CD2"/>
    <w:rsid w:val="441D5B50"/>
    <w:rsid w:val="441E0EBC"/>
    <w:rsid w:val="441F0A36"/>
    <w:rsid w:val="441F5424"/>
    <w:rsid w:val="441F7EFA"/>
    <w:rsid w:val="4420119C"/>
    <w:rsid w:val="44201EC6"/>
    <w:rsid w:val="44213AFF"/>
    <w:rsid w:val="44223166"/>
    <w:rsid w:val="44225C76"/>
    <w:rsid w:val="44230847"/>
    <w:rsid w:val="44240C8C"/>
    <w:rsid w:val="44246EDE"/>
    <w:rsid w:val="4425254B"/>
    <w:rsid w:val="4425370C"/>
    <w:rsid w:val="44254A04"/>
    <w:rsid w:val="44265CB2"/>
    <w:rsid w:val="4427252A"/>
    <w:rsid w:val="44272F23"/>
    <w:rsid w:val="4429059A"/>
    <w:rsid w:val="442A3DC9"/>
    <w:rsid w:val="442B28C2"/>
    <w:rsid w:val="442C71DB"/>
    <w:rsid w:val="442D18F9"/>
    <w:rsid w:val="442D7B2C"/>
    <w:rsid w:val="442E1B0B"/>
    <w:rsid w:val="442F19E9"/>
    <w:rsid w:val="4430537A"/>
    <w:rsid w:val="44305883"/>
    <w:rsid w:val="44313123"/>
    <w:rsid w:val="443133A9"/>
    <w:rsid w:val="443142DB"/>
    <w:rsid w:val="4431500F"/>
    <w:rsid w:val="44315157"/>
    <w:rsid w:val="44316F05"/>
    <w:rsid w:val="4432576B"/>
    <w:rsid w:val="4433033C"/>
    <w:rsid w:val="44334FCB"/>
    <w:rsid w:val="443469F5"/>
    <w:rsid w:val="44354C47"/>
    <w:rsid w:val="443609BF"/>
    <w:rsid w:val="44366C11"/>
    <w:rsid w:val="4437014D"/>
    <w:rsid w:val="44384737"/>
    <w:rsid w:val="443864E5"/>
    <w:rsid w:val="443904C2"/>
    <w:rsid w:val="44393279"/>
    <w:rsid w:val="44393D26"/>
    <w:rsid w:val="4439400C"/>
    <w:rsid w:val="44397A2A"/>
    <w:rsid w:val="44397D3E"/>
    <w:rsid w:val="443A172E"/>
    <w:rsid w:val="443A225E"/>
    <w:rsid w:val="443A249B"/>
    <w:rsid w:val="443B5B7B"/>
    <w:rsid w:val="443B5FD6"/>
    <w:rsid w:val="443C0360"/>
    <w:rsid w:val="443C367F"/>
    <w:rsid w:val="443E117C"/>
    <w:rsid w:val="443E42ED"/>
    <w:rsid w:val="443E4E5B"/>
    <w:rsid w:val="443F2FD9"/>
    <w:rsid w:val="443F35D0"/>
    <w:rsid w:val="443F5452"/>
    <w:rsid w:val="443F72D5"/>
    <w:rsid w:val="4440135A"/>
    <w:rsid w:val="444035EC"/>
    <w:rsid w:val="4440420A"/>
    <w:rsid w:val="4440539A"/>
    <w:rsid w:val="44407252"/>
    <w:rsid w:val="44415E48"/>
    <w:rsid w:val="44421112"/>
    <w:rsid w:val="444255B6"/>
    <w:rsid w:val="444331FA"/>
    <w:rsid w:val="44437517"/>
    <w:rsid w:val="444419C3"/>
    <w:rsid w:val="44442CC0"/>
    <w:rsid w:val="444430DC"/>
    <w:rsid w:val="44443B84"/>
    <w:rsid w:val="44447B80"/>
    <w:rsid w:val="444529B0"/>
    <w:rsid w:val="44463B5B"/>
    <w:rsid w:val="44472BCC"/>
    <w:rsid w:val="4448037A"/>
    <w:rsid w:val="4448644B"/>
    <w:rsid w:val="444906F3"/>
    <w:rsid w:val="444924A1"/>
    <w:rsid w:val="444C1F91"/>
    <w:rsid w:val="444E06C7"/>
    <w:rsid w:val="444E3F5B"/>
    <w:rsid w:val="444E6F6B"/>
    <w:rsid w:val="444F4C93"/>
    <w:rsid w:val="444F6A42"/>
    <w:rsid w:val="44507864"/>
    <w:rsid w:val="445157F9"/>
    <w:rsid w:val="44524D55"/>
    <w:rsid w:val="44531571"/>
    <w:rsid w:val="44550E45"/>
    <w:rsid w:val="44552246"/>
    <w:rsid w:val="44561F95"/>
    <w:rsid w:val="44562E10"/>
    <w:rsid w:val="44564BBE"/>
    <w:rsid w:val="44574B66"/>
    <w:rsid w:val="445758BE"/>
    <w:rsid w:val="44586871"/>
    <w:rsid w:val="445A2900"/>
    <w:rsid w:val="445A645C"/>
    <w:rsid w:val="445B21D4"/>
    <w:rsid w:val="445B4B11"/>
    <w:rsid w:val="445D375F"/>
    <w:rsid w:val="445D505E"/>
    <w:rsid w:val="445D5F4C"/>
    <w:rsid w:val="445D7CFA"/>
    <w:rsid w:val="445E32F8"/>
    <w:rsid w:val="445F3A72"/>
    <w:rsid w:val="445F5EC9"/>
    <w:rsid w:val="44613C8E"/>
    <w:rsid w:val="4461400D"/>
    <w:rsid w:val="44615A3C"/>
    <w:rsid w:val="446217B4"/>
    <w:rsid w:val="44623109"/>
    <w:rsid w:val="44623562"/>
    <w:rsid w:val="44624498"/>
    <w:rsid w:val="4462484A"/>
    <w:rsid w:val="44625310"/>
    <w:rsid w:val="44634599"/>
    <w:rsid w:val="44634A8F"/>
    <w:rsid w:val="44635484"/>
    <w:rsid w:val="44637801"/>
    <w:rsid w:val="4464552C"/>
    <w:rsid w:val="446472DA"/>
    <w:rsid w:val="446505FA"/>
    <w:rsid w:val="44651F6F"/>
    <w:rsid w:val="44653BAB"/>
    <w:rsid w:val="446553F6"/>
    <w:rsid w:val="44656358"/>
    <w:rsid w:val="446612A5"/>
    <w:rsid w:val="446631CB"/>
    <w:rsid w:val="4466465B"/>
    <w:rsid w:val="44674B05"/>
    <w:rsid w:val="4467501D"/>
    <w:rsid w:val="44686CBD"/>
    <w:rsid w:val="44686F7B"/>
    <w:rsid w:val="44693A30"/>
    <w:rsid w:val="446948F1"/>
    <w:rsid w:val="446A0C2B"/>
    <w:rsid w:val="446A2417"/>
    <w:rsid w:val="446A68AD"/>
    <w:rsid w:val="446B446C"/>
    <w:rsid w:val="446B4FA9"/>
    <w:rsid w:val="446B68BB"/>
    <w:rsid w:val="446C04CD"/>
    <w:rsid w:val="446C5429"/>
    <w:rsid w:val="446C618F"/>
    <w:rsid w:val="446E0159"/>
    <w:rsid w:val="446E1265"/>
    <w:rsid w:val="446E5B9F"/>
    <w:rsid w:val="446F7A2D"/>
    <w:rsid w:val="4470071A"/>
    <w:rsid w:val="44703ED1"/>
    <w:rsid w:val="447050CA"/>
    <w:rsid w:val="447061DB"/>
    <w:rsid w:val="44727C49"/>
    <w:rsid w:val="44732C44"/>
    <w:rsid w:val="44737228"/>
    <w:rsid w:val="44743CCA"/>
    <w:rsid w:val="447500EF"/>
    <w:rsid w:val="447514E8"/>
    <w:rsid w:val="44753296"/>
    <w:rsid w:val="4476700E"/>
    <w:rsid w:val="44771A1B"/>
    <w:rsid w:val="44781E36"/>
    <w:rsid w:val="44782D86"/>
    <w:rsid w:val="44783270"/>
    <w:rsid w:val="447909B3"/>
    <w:rsid w:val="44790B61"/>
    <w:rsid w:val="4479108A"/>
    <w:rsid w:val="4479159C"/>
    <w:rsid w:val="4479751F"/>
    <w:rsid w:val="447A2AD1"/>
    <w:rsid w:val="447A4D50"/>
    <w:rsid w:val="447A4DE7"/>
    <w:rsid w:val="447B1636"/>
    <w:rsid w:val="447B3363"/>
    <w:rsid w:val="447B5961"/>
    <w:rsid w:val="447B63D2"/>
    <w:rsid w:val="447B69B3"/>
    <w:rsid w:val="447C2876"/>
    <w:rsid w:val="447C5C44"/>
    <w:rsid w:val="447D214A"/>
    <w:rsid w:val="447D7D11"/>
    <w:rsid w:val="447E28E2"/>
    <w:rsid w:val="447F2366"/>
    <w:rsid w:val="447F34DC"/>
    <w:rsid w:val="447F5DD9"/>
    <w:rsid w:val="44801C3A"/>
    <w:rsid w:val="4480316C"/>
    <w:rsid w:val="44817E8C"/>
    <w:rsid w:val="448564A3"/>
    <w:rsid w:val="44861074"/>
    <w:rsid w:val="4486216C"/>
    <w:rsid w:val="44871A95"/>
    <w:rsid w:val="44872FC9"/>
    <w:rsid w:val="448839A1"/>
    <w:rsid w:val="44886565"/>
    <w:rsid w:val="44890AEF"/>
    <w:rsid w:val="448917EC"/>
    <w:rsid w:val="44894F93"/>
    <w:rsid w:val="44896D41"/>
    <w:rsid w:val="448979F5"/>
    <w:rsid w:val="448A0E85"/>
    <w:rsid w:val="448B29D7"/>
    <w:rsid w:val="448B2AB9"/>
    <w:rsid w:val="448B4867"/>
    <w:rsid w:val="448C05DF"/>
    <w:rsid w:val="448C466B"/>
    <w:rsid w:val="448D4A83"/>
    <w:rsid w:val="448E07FB"/>
    <w:rsid w:val="448E25A9"/>
    <w:rsid w:val="448E4357"/>
    <w:rsid w:val="448E6105"/>
    <w:rsid w:val="448F0EEF"/>
    <w:rsid w:val="448F1973"/>
    <w:rsid w:val="448F2126"/>
    <w:rsid w:val="448F4B5A"/>
    <w:rsid w:val="448F4CCB"/>
    <w:rsid w:val="448F7A60"/>
    <w:rsid w:val="449000D0"/>
    <w:rsid w:val="44901E7E"/>
    <w:rsid w:val="44904ABC"/>
    <w:rsid w:val="44911354"/>
    <w:rsid w:val="44911A44"/>
    <w:rsid w:val="44913E48"/>
    <w:rsid w:val="44915BF6"/>
    <w:rsid w:val="4492209A"/>
    <w:rsid w:val="44933D05"/>
    <w:rsid w:val="44934393"/>
    <w:rsid w:val="44935E12"/>
    <w:rsid w:val="44936F24"/>
    <w:rsid w:val="44944B08"/>
    <w:rsid w:val="44952BEC"/>
    <w:rsid w:val="44957494"/>
    <w:rsid w:val="44960F88"/>
    <w:rsid w:val="4496320C"/>
    <w:rsid w:val="4497145E"/>
    <w:rsid w:val="44973170"/>
    <w:rsid w:val="4497533A"/>
    <w:rsid w:val="44976E75"/>
    <w:rsid w:val="44983428"/>
    <w:rsid w:val="449916CB"/>
    <w:rsid w:val="44995DA8"/>
    <w:rsid w:val="449A71A0"/>
    <w:rsid w:val="449B5CBE"/>
    <w:rsid w:val="449C6A74"/>
    <w:rsid w:val="449D0A3E"/>
    <w:rsid w:val="449D459A"/>
    <w:rsid w:val="449E34A1"/>
    <w:rsid w:val="449E59F4"/>
    <w:rsid w:val="449E6393"/>
    <w:rsid w:val="449F635D"/>
    <w:rsid w:val="449F6565"/>
    <w:rsid w:val="44A06CC3"/>
    <w:rsid w:val="44A06CDA"/>
    <w:rsid w:val="44A20921"/>
    <w:rsid w:val="44A212CF"/>
    <w:rsid w:val="44A2645B"/>
    <w:rsid w:val="44A32463"/>
    <w:rsid w:val="44A32AC2"/>
    <w:rsid w:val="44A40300"/>
    <w:rsid w:val="44A45929"/>
    <w:rsid w:val="44A507F4"/>
    <w:rsid w:val="44A571E8"/>
    <w:rsid w:val="44A72F7D"/>
    <w:rsid w:val="44A75419"/>
    <w:rsid w:val="44A758A5"/>
    <w:rsid w:val="44A83430"/>
    <w:rsid w:val="44A8366B"/>
    <w:rsid w:val="44A91191"/>
    <w:rsid w:val="44A93BE1"/>
    <w:rsid w:val="44AA046E"/>
    <w:rsid w:val="44AA643A"/>
    <w:rsid w:val="44AB4F09"/>
    <w:rsid w:val="44AC18AF"/>
    <w:rsid w:val="44AE49FA"/>
    <w:rsid w:val="44AE67A8"/>
    <w:rsid w:val="44AF02D4"/>
    <w:rsid w:val="44AF6F5A"/>
    <w:rsid w:val="44AF71F4"/>
    <w:rsid w:val="44B00772"/>
    <w:rsid w:val="44B1710E"/>
    <w:rsid w:val="44B17E57"/>
    <w:rsid w:val="44B244EA"/>
    <w:rsid w:val="44B26298"/>
    <w:rsid w:val="44B55D88"/>
    <w:rsid w:val="44B60D47"/>
    <w:rsid w:val="44B6296D"/>
    <w:rsid w:val="44B6565C"/>
    <w:rsid w:val="44B71B00"/>
    <w:rsid w:val="44B72A72"/>
    <w:rsid w:val="44B74D42"/>
    <w:rsid w:val="44B85878"/>
    <w:rsid w:val="44B951CC"/>
    <w:rsid w:val="44B95392"/>
    <w:rsid w:val="44BA514C"/>
    <w:rsid w:val="44BA581C"/>
    <w:rsid w:val="44BA6822"/>
    <w:rsid w:val="44BA6EFA"/>
    <w:rsid w:val="44BB0333"/>
    <w:rsid w:val="44BB462F"/>
    <w:rsid w:val="44BC0EC5"/>
    <w:rsid w:val="44BC2883"/>
    <w:rsid w:val="44BC3610"/>
    <w:rsid w:val="44BC4C26"/>
    <w:rsid w:val="44BC521D"/>
    <w:rsid w:val="44BC709F"/>
    <w:rsid w:val="44BC7116"/>
    <w:rsid w:val="44BD3D13"/>
    <w:rsid w:val="44BE0284"/>
    <w:rsid w:val="44BF09B5"/>
    <w:rsid w:val="44BF154E"/>
    <w:rsid w:val="44BF2763"/>
    <w:rsid w:val="44C00EB3"/>
    <w:rsid w:val="44C03401"/>
    <w:rsid w:val="44C06FEF"/>
    <w:rsid w:val="44C10289"/>
    <w:rsid w:val="44C12057"/>
    <w:rsid w:val="44C138E2"/>
    <w:rsid w:val="44C13B24"/>
    <w:rsid w:val="44C15105"/>
    <w:rsid w:val="44C15894"/>
    <w:rsid w:val="44C164DB"/>
    <w:rsid w:val="44C166F5"/>
    <w:rsid w:val="44C21DE2"/>
    <w:rsid w:val="44C304A5"/>
    <w:rsid w:val="44C32D1F"/>
    <w:rsid w:val="44C35EDB"/>
    <w:rsid w:val="44C47537"/>
    <w:rsid w:val="44C6048B"/>
    <w:rsid w:val="44C63AF1"/>
    <w:rsid w:val="44C675E4"/>
    <w:rsid w:val="44C74EE8"/>
    <w:rsid w:val="44C85ABB"/>
    <w:rsid w:val="44C91833"/>
    <w:rsid w:val="44C918C8"/>
    <w:rsid w:val="44C935E1"/>
    <w:rsid w:val="44CB0EE8"/>
    <w:rsid w:val="44CB1108"/>
    <w:rsid w:val="44CB55AC"/>
    <w:rsid w:val="44CB735A"/>
    <w:rsid w:val="44CC5568"/>
    <w:rsid w:val="44CC6C2E"/>
    <w:rsid w:val="44CD14E0"/>
    <w:rsid w:val="44CD4E80"/>
    <w:rsid w:val="44CE0BF8"/>
    <w:rsid w:val="44CE5A6E"/>
    <w:rsid w:val="44CE6E4A"/>
    <w:rsid w:val="44CF342D"/>
    <w:rsid w:val="44CF5718"/>
    <w:rsid w:val="44D02189"/>
    <w:rsid w:val="44D04A00"/>
    <w:rsid w:val="44D0671E"/>
    <w:rsid w:val="44D13C3E"/>
    <w:rsid w:val="44D206E8"/>
    <w:rsid w:val="44D2693A"/>
    <w:rsid w:val="44D2767A"/>
    <w:rsid w:val="44D34460"/>
    <w:rsid w:val="44D3620E"/>
    <w:rsid w:val="44D37FBC"/>
    <w:rsid w:val="44D43279"/>
    <w:rsid w:val="44D473C9"/>
    <w:rsid w:val="44D501D8"/>
    <w:rsid w:val="44D53D34"/>
    <w:rsid w:val="44D63F79"/>
    <w:rsid w:val="44D64FE8"/>
    <w:rsid w:val="44D77AAC"/>
    <w:rsid w:val="44D8091B"/>
    <w:rsid w:val="44D85563"/>
    <w:rsid w:val="44DA134B"/>
    <w:rsid w:val="44DB4982"/>
    <w:rsid w:val="44DB5EAC"/>
    <w:rsid w:val="44DD0888"/>
    <w:rsid w:val="44DD0E3B"/>
    <w:rsid w:val="44DD2AEA"/>
    <w:rsid w:val="44DE02F8"/>
    <w:rsid w:val="44DE52DF"/>
    <w:rsid w:val="44DF08D0"/>
    <w:rsid w:val="44DF0FA7"/>
    <w:rsid w:val="44DF1057"/>
    <w:rsid w:val="44DF14C8"/>
    <w:rsid w:val="44DF15D6"/>
    <w:rsid w:val="44DF4BB3"/>
    <w:rsid w:val="44DF6DFC"/>
    <w:rsid w:val="44E07B24"/>
    <w:rsid w:val="44E10148"/>
    <w:rsid w:val="44E1092B"/>
    <w:rsid w:val="44E27EEF"/>
    <w:rsid w:val="44E34372"/>
    <w:rsid w:val="44E4041B"/>
    <w:rsid w:val="44E53F39"/>
    <w:rsid w:val="44E57539"/>
    <w:rsid w:val="44E64193"/>
    <w:rsid w:val="44E643AF"/>
    <w:rsid w:val="44E65F41"/>
    <w:rsid w:val="44E703FF"/>
    <w:rsid w:val="44E746FA"/>
    <w:rsid w:val="44E7583F"/>
    <w:rsid w:val="44E76F80"/>
    <w:rsid w:val="44E86CCF"/>
    <w:rsid w:val="44E93466"/>
    <w:rsid w:val="44E952E8"/>
    <w:rsid w:val="44EA2F34"/>
    <w:rsid w:val="44EA30F8"/>
    <w:rsid w:val="44EA5901"/>
    <w:rsid w:val="44EA6461"/>
    <w:rsid w:val="44EA7D58"/>
    <w:rsid w:val="44EB0BFE"/>
    <w:rsid w:val="44EB1F03"/>
    <w:rsid w:val="44EC107E"/>
    <w:rsid w:val="44EC300D"/>
    <w:rsid w:val="44EC5116"/>
    <w:rsid w:val="44ED16B1"/>
    <w:rsid w:val="44ED2710"/>
    <w:rsid w:val="44ED5E27"/>
    <w:rsid w:val="44ED72D0"/>
    <w:rsid w:val="44EE129A"/>
    <w:rsid w:val="44EE2EF8"/>
    <w:rsid w:val="44EE3048"/>
    <w:rsid w:val="44F002D3"/>
    <w:rsid w:val="44F01329"/>
    <w:rsid w:val="44F05012"/>
    <w:rsid w:val="44F0748D"/>
    <w:rsid w:val="44F114C2"/>
    <w:rsid w:val="44F20B0B"/>
    <w:rsid w:val="44F20D8A"/>
    <w:rsid w:val="44F22952"/>
    <w:rsid w:val="44F22B38"/>
    <w:rsid w:val="44F24093"/>
    <w:rsid w:val="44F248E6"/>
    <w:rsid w:val="44F3240C"/>
    <w:rsid w:val="44F367B6"/>
    <w:rsid w:val="44F468B0"/>
    <w:rsid w:val="44F52A14"/>
    <w:rsid w:val="44F608CA"/>
    <w:rsid w:val="44F7014F"/>
    <w:rsid w:val="44F71EFD"/>
    <w:rsid w:val="44F763A1"/>
    <w:rsid w:val="44F8123A"/>
    <w:rsid w:val="44F833D9"/>
    <w:rsid w:val="44F83A3A"/>
    <w:rsid w:val="44F92119"/>
    <w:rsid w:val="44FA379B"/>
    <w:rsid w:val="44FA3CB5"/>
    <w:rsid w:val="44FA4601"/>
    <w:rsid w:val="44FA7C3F"/>
    <w:rsid w:val="44FB5145"/>
    <w:rsid w:val="44FB69A3"/>
    <w:rsid w:val="44FC39B7"/>
    <w:rsid w:val="44FC551F"/>
    <w:rsid w:val="44FC588B"/>
    <w:rsid w:val="44FC5AF2"/>
    <w:rsid w:val="44FC686E"/>
    <w:rsid w:val="44FC7513"/>
    <w:rsid w:val="44FD265B"/>
    <w:rsid w:val="44FD51B4"/>
    <w:rsid w:val="44FD58AC"/>
    <w:rsid w:val="44FE4ACC"/>
    <w:rsid w:val="44FF2277"/>
    <w:rsid w:val="44FF5255"/>
    <w:rsid w:val="4500026C"/>
    <w:rsid w:val="45001D1F"/>
    <w:rsid w:val="45010FCD"/>
    <w:rsid w:val="45014D40"/>
    <w:rsid w:val="4502503E"/>
    <w:rsid w:val="4502505D"/>
    <w:rsid w:val="45026051"/>
    <w:rsid w:val="450308A1"/>
    <w:rsid w:val="45034E60"/>
    <w:rsid w:val="4504461A"/>
    <w:rsid w:val="45045743"/>
    <w:rsid w:val="45052EDB"/>
    <w:rsid w:val="450562E2"/>
    <w:rsid w:val="45060392"/>
    <w:rsid w:val="450665E4"/>
    <w:rsid w:val="45075331"/>
    <w:rsid w:val="45080F72"/>
    <w:rsid w:val="4508410A"/>
    <w:rsid w:val="450A021D"/>
    <w:rsid w:val="450B5958"/>
    <w:rsid w:val="450D1720"/>
    <w:rsid w:val="450D34CE"/>
    <w:rsid w:val="450D6980"/>
    <w:rsid w:val="450D755A"/>
    <w:rsid w:val="45102FBE"/>
    <w:rsid w:val="45105960"/>
    <w:rsid w:val="451066F7"/>
    <w:rsid w:val="45106CED"/>
    <w:rsid w:val="45107462"/>
    <w:rsid w:val="451103CA"/>
    <w:rsid w:val="45124F88"/>
    <w:rsid w:val="451252EC"/>
    <w:rsid w:val="45126D36"/>
    <w:rsid w:val="4513485D"/>
    <w:rsid w:val="45140D01"/>
    <w:rsid w:val="45147157"/>
    <w:rsid w:val="451505D5"/>
    <w:rsid w:val="45151714"/>
    <w:rsid w:val="45156827"/>
    <w:rsid w:val="45156A21"/>
    <w:rsid w:val="4516350E"/>
    <w:rsid w:val="451707F1"/>
    <w:rsid w:val="4517259F"/>
    <w:rsid w:val="45173EE8"/>
    <w:rsid w:val="45181E73"/>
    <w:rsid w:val="45185DAE"/>
    <w:rsid w:val="45186B65"/>
    <w:rsid w:val="451877CB"/>
    <w:rsid w:val="451906CE"/>
    <w:rsid w:val="45192845"/>
    <w:rsid w:val="451929FA"/>
    <w:rsid w:val="45194834"/>
    <w:rsid w:val="45196317"/>
    <w:rsid w:val="451A208F"/>
    <w:rsid w:val="451A3920"/>
    <w:rsid w:val="451A3E3D"/>
    <w:rsid w:val="451A5BEB"/>
    <w:rsid w:val="451B69DA"/>
    <w:rsid w:val="451B6B9E"/>
    <w:rsid w:val="451D0117"/>
    <w:rsid w:val="451D51DC"/>
    <w:rsid w:val="451E0CB6"/>
    <w:rsid w:val="451E56DB"/>
    <w:rsid w:val="451F0078"/>
    <w:rsid w:val="451F1453"/>
    <w:rsid w:val="451F3201"/>
    <w:rsid w:val="451F76A5"/>
    <w:rsid w:val="45201EA4"/>
    <w:rsid w:val="45202DCD"/>
    <w:rsid w:val="45204BC7"/>
    <w:rsid w:val="4521341D"/>
    <w:rsid w:val="45216F7A"/>
    <w:rsid w:val="45221A31"/>
    <w:rsid w:val="45230F44"/>
    <w:rsid w:val="45231DDC"/>
    <w:rsid w:val="45232EC1"/>
    <w:rsid w:val="45240818"/>
    <w:rsid w:val="45244351"/>
    <w:rsid w:val="45244CBC"/>
    <w:rsid w:val="452506E1"/>
    <w:rsid w:val="4525408B"/>
    <w:rsid w:val="4525475C"/>
    <w:rsid w:val="45265C19"/>
    <w:rsid w:val="45266EEB"/>
    <w:rsid w:val="452856C1"/>
    <w:rsid w:val="4528655A"/>
    <w:rsid w:val="4529237B"/>
    <w:rsid w:val="452936AB"/>
    <w:rsid w:val="45294A28"/>
    <w:rsid w:val="452B1BA6"/>
    <w:rsid w:val="452B2E68"/>
    <w:rsid w:val="452B429C"/>
    <w:rsid w:val="452B70E2"/>
    <w:rsid w:val="452D1DC2"/>
    <w:rsid w:val="452D3B70"/>
    <w:rsid w:val="452E2AAC"/>
    <w:rsid w:val="452E2DC1"/>
    <w:rsid w:val="452E5F4C"/>
    <w:rsid w:val="452F0FE7"/>
    <w:rsid w:val="452F3C74"/>
    <w:rsid w:val="452F3DC1"/>
    <w:rsid w:val="452F508E"/>
    <w:rsid w:val="452F56E1"/>
    <w:rsid w:val="452F6E5D"/>
    <w:rsid w:val="452F78E8"/>
    <w:rsid w:val="45303661"/>
    <w:rsid w:val="45303757"/>
    <w:rsid w:val="4530540F"/>
    <w:rsid w:val="45312EBC"/>
    <w:rsid w:val="45321526"/>
    <w:rsid w:val="4532271E"/>
    <w:rsid w:val="453273D9"/>
    <w:rsid w:val="45327C70"/>
    <w:rsid w:val="45327DE5"/>
    <w:rsid w:val="4533216F"/>
    <w:rsid w:val="45334BE5"/>
    <w:rsid w:val="45336C01"/>
    <w:rsid w:val="45343151"/>
    <w:rsid w:val="45344114"/>
    <w:rsid w:val="4535008B"/>
    <w:rsid w:val="45350C77"/>
    <w:rsid w:val="45356EC9"/>
    <w:rsid w:val="45367494"/>
    <w:rsid w:val="45372C41"/>
    <w:rsid w:val="45375398"/>
    <w:rsid w:val="45375AF0"/>
    <w:rsid w:val="4537679D"/>
    <w:rsid w:val="453942C3"/>
    <w:rsid w:val="4539703F"/>
    <w:rsid w:val="45397CB8"/>
    <w:rsid w:val="453A3B14"/>
    <w:rsid w:val="453B44DF"/>
    <w:rsid w:val="453B5FB7"/>
    <w:rsid w:val="453C3DB3"/>
    <w:rsid w:val="453C51A9"/>
    <w:rsid w:val="453D00CF"/>
    <w:rsid w:val="453D2ABE"/>
    <w:rsid w:val="453D4B3F"/>
    <w:rsid w:val="453D700E"/>
    <w:rsid w:val="453E0C6D"/>
    <w:rsid w:val="453E18DA"/>
    <w:rsid w:val="453E7AC9"/>
    <w:rsid w:val="453E7B2C"/>
    <w:rsid w:val="453F0F59"/>
    <w:rsid w:val="453F38A4"/>
    <w:rsid w:val="45401AF6"/>
    <w:rsid w:val="45413006"/>
    <w:rsid w:val="45413EFC"/>
    <w:rsid w:val="4541761C"/>
    <w:rsid w:val="4542525D"/>
    <w:rsid w:val="454260FE"/>
    <w:rsid w:val="45430D0B"/>
    <w:rsid w:val="454315E6"/>
    <w:rsid w:val="4543295F"/>
    <w:rsid w:val="45435142"/>
    <w:rsid w:val="4544078A"/>
    <w:rsid w:val="45440EBA"/>
    <w:rsid w:val="45441C71"/>
    <w:rsid w:val="45442C68"/>
    <w:rsid w:val="45447CB2"/>
    <w:rsid w:val="4545710C"/>
    <w:rsid w:val="45460E2C"/>
    <w:rsid w:val="45467F62"/>
    <w:rsid w:val="45471776"/>
    <w:rsid w:val="454722BC"/>
    <w:rsid w:val="454822D1"/>
    <w:rsid w:val="45485979"/>
    <w:rsid w:val="45490368"/>
    <w:rsid w:val="454977AD"/>
    <w:rsid w:val="454A4722"/>
    <w:rsid w:val="454B20CD"/>
    <w:rsid w:val="454B3FF6"/>
    <w:rsid w:val="454B6FDD"/>
    <w:rsid w:val="454C22BF"/>
    <w:rsid w:val="454C4C9E"/>
    <w:rsid w:val="454E4887"/>
    <w:rsid w:val="454F3AE7"/>
    <w:rsid w:val="4550160D"/>
    <w:rsid w:val="45502175"/>
    <w:rsid w:val="4550234F"/>
    <w:rsid w:val="45521829"/>
    <w:rsid w:val="455235D7"/>
    <w:rsid w:val="45533857"/>
    <w:rsid w:val="4554264B"/>
    <w:rsid w:val="45551EB3"/>
    <w:rsid w:val="455530C7"/>
    <w:rsid w:val="4555317F"/>
    <w:rsid w:val="45554E75"/>
    <w:rsid w:val="45555209"/>
    <w:rsid w:val="45561319"/>
    <w:rsid w:val="455703AC"/>
    <w:rsid w:val="45570BED"/>
    <w:rsid w:val="45592BB7"/>
    <w:rsid w:val="45595B61"/>
    <w:rsid w:val="455A06DD"/>
    <w:rsid w:val="455A4163"/>
    <w:rsid w:val="455B692F"/>
    <w:rsid w:val="455C4456"/>
    <w:rsid w:val="455C6204"/>
    <w:rsid w:val="455C6B78"/>
    <w:rsid w:val="455D59B7"/>
    <w:rsid w:val="455D7B7E"/>
    <w:rsid w:val="455E5333"/>
    <w:rsid w:val="455E5972"/>
    <w:rsid w:val="455F06EE"/>
    <w:rsid w:val="455F7AA2"/>
    <w:rsid w:val="4560034F"/>
    <w:rsid w:val="4560411E"/>
    <w:rsid w:val="45612018"/>
    <w:rsid w:val="45612B3F"/>
    <w:rsid w:val="4561381A"/>
    <w:rsid w:val="456142F3"/>
    <w:rsid w:val="45617CBE"/>
    <w:rsid w:val="45623B25"/>
    <w:rsid w:val="45623DC4"/>
    <w:rsid w:val="45624FD3"/>
    <w:rsid w:val="4562595D"/>
    <w:rsid w:val="4563554B"/>
    <w:rsid w:val="456357E4"/>
    <w:rsid w:val="45641BDE"/>
    <w:rsid w:val="4565155C"/>
    <w:rsid w:val="4565234B"/>
    <w:rsid w:val="4565330A"/>
    <w:rsid w:val="45654104"/>
    <w:rsid w:val="45654CAE"/>
    <w:rsid w:val="45655845"/>
    <w:rsid w:val="4566239C"/>
    <w:rsid w:val="456628E2"/>
    <w:rsid w:val="456652D4"/>
    <w:rsid w:val="45667082"/>
    <w:rsid w:val="45672F8E"/>
    <w:rsid w:val="45682757"/>
    <w:rsid w:val="45682DFA"/>
    <w:rsid w:val="45684E94"/>
    <w:rsid w:val="456A5D00"/>
    <w:rsid w:val="456C3426"/>
    <w:rsid w:val="456D124F"/>
    <w:rsid w:val="456D3CA8"/>
    <w:rsid w:val="456D6663"/>
    <w:rsid w:val="456E18D2"/>
    <w:rsid w:val="456E40AF"/>
    <w:rsid w:val="456E5B41"/>
    <w:rsid w:val="456E5E6B"/>
    <w:rsid w:val="456E7950"/>
    <w:rsid w:val="456F68F7"/>
    <w:rsid w:val="4570065B"/>
    <w:rsid w:val="45700811"/>
    <w:rsid w:val="45700D32"/>
    <w:rsid w:val="45703A5D"/>
    <w:rsid w:val="457214EB"/>
    <w:rsid w:val="45724C0C"/>
    <w:rsid w:val="45736680"/>
    <w:rsid w:val="45737E49"/>
    <w:rsid w:val="457479F1"/>
    <w:rsid w:val="45755CD2"/>
    <w:rsid w:val="45761D23"/>
    <w:rsid w:val="45763769"/>
    <w:rsid w:val="45765517"/>
    <w:rsid w:val="45772A5A"/>
    <w:rsid w:val="45773B19"/>
    <w:rsid w:val="45777C5A"/>
    <w:rsid w:val="457810EA"/>
    <w:rsid w:val="45790B64"/>
    <w:rsid w:val="45795008"/>
    <w:rsid w:val="457A65DB"/>
    <w:rsid w:val="457B2B2E"/>
    <w:rsid w:val="457B42DC"/>
    <w:rsid w:val="457B46C5"/>
    <w:rsid w:val="457C0654"/>
    <w:rsid w:val="457C0EFB"/>
    <w:rsid w:val="457C1B3E"/>
    <w:rsid w:val="457C2402"/>
    <w:rsid w:val="457D260A"/>
    <w:rsid w:val="457D3ACC"/>
    <w:rsid w:val="457D63A5"/>
    <w:rsid w:val="457E387A"/>
    <w:rsid w:val="457E3F28"/>
    <w:rsid w:val="457E617A"/>
    <w:rsid w:val="457F1EF2"/>
    <w:rsid w:val="457F2241"/>
    <w:rsid w:val="457F7D1B"/>
    <w:rsid w:val="45800144"/>
    <w:rsid w:val="45800BDC"/>
    <w:rsid w:val="458012DF"/>
    <w:rsid w:val="4580244D"/>
    <w:rsid w:val="45813EBC"/>
    <w:rsid w:val="458319E2"/>
    <w:rsid w:val="45833466"/>
    <w:rsid w:val="45833790"/>
    <w:rsid w:val="458536EE"/>
    <w:rsid w:val="458539AC"/>
    <w:rsid w:val="458563B0"/>
    <w:rsid w:val="45860659"/>
    <w:rsid w:val="45863F13"/>
    <w:rsid w:val="458664D3"/>
    <w:rsid w:val="458667AF"/>
    <w:rsid w:val="45877724"/>
    <w:rsid w:val="45880BDF"/>
    <w:rsid w:val="45881FA8"/>
    <w:rsid w:val="458946E9"/>
    <w:rsid w:val="458A29B8"/>
    <w:rsid w:val="458B498F"/>
    <w:rsid w:val="458C0F1B"/>
    <w:rsid w:val="458C1BD9"/>
    <w:rsid w:val="458D35C1"/>
    <w:rsid w:val="458D460F"/>
    <w:rsid w:val="458D50F5"/>
    <w:rsid w:val="458E2F8D"/>
    <w:rsid w:val="458E3310"/>
    <w:rsid w:val="458E5A72"/>
    <w:rsid w:val="458E5EE1"/>
    <w:rsid w:val="458F3751"/>
    <w:rsid w:val="458F3C72"/>
    <w:rsid w:val="45900801"/>
    <w:rsid w:val="45912351"/>
    <w:rsid w:val="459133D2"/>
    <w:rsid w:val="45917F5B"/>
    <w:rsid w:val="45927A6F"/>
    <w:rsid w:val="45935775"/>
    <w:rsid w:val="45935D6C"/>
    <w:rsid w:val="45941E41"/>
    <w:rsid w:val="45947182"/>
    <w:rsid w:val="459534C4"/>
    <w:rsid w:val="459656C5"/>
    <w:rsid w:val="45971C71"/>
    <w:rsid w:val="4597723C"/>
    <w:rsid w:val="45977244"/>
    <w:rsid w:val="459806D4"/>
    <w:rsid w:val="45991B64"/>
    <w:rsid w:val="45992FB4"/>
    <w:rsid w:val="459A05EE"/>
    <w:rsid w:val="459B1F08"/>
    <w:rsid w:val="459B4F7E"/>
    <w:rsid w:val="459B6D2C"/>
    <w:rsid w:val="459B71FF"/>
    <w:rsid w:val="459C0CF6"/>
    <w:rsid w:val="459D09CC"/>
    <w:rsid w:val="459D5D78"/>
    <w:rsid w:val="459E2E05"/>
    <w:rsid w:val="459E761B"/>
    <w:rsid w:val="459F4295"/>
    <w:rsid w:val="45A04342"/>
    <w:rsid w:val="45A06D69"/>
    <w:rsid w:val="45A100BA"/>
    <w:rsid w:val="45A239A9"/>
    <w:rsid w:val="45A2455E"/>
    <w:rsid w:val="45A35BE1"/>
    <w:rsid w:val="45A35E50"/>
    <w:rsid w:val="45A46C77"/>
    <w:rsid w:val="45A47C0E"/>
    <w:rsid w:val="45A51959"/>
    <w:rsid w:val="45A543E8"/>
    <w:rsid w:val="45A55DFD"/>
    <w:rsid w:val="45A641D7"/>
    <w:rsid w:val="45A642F1"/>
    <w:rsid w:val="45A67246"/>
    <w:rsid w:val="45A85B92"/>
    <w:rsid w:val="45A86A88"/>
    <w:rsid w:val="45A9642C"/>
    <w:rsid w:val="45AA3F79"/>
    <w:rsid w:val="45AA51C1"/>
    <w:rsid w:val="45AA6F6F"/>
    <w:rsid w:val="45AB1302"/>
    <w:rsid w:val="45AB6B4A"/>
    <w:rsid w:val="45AC1B90"/>
    <w:rsid w:val="45AC718B"/>
    <w:rsid w:val="45AD3F45"/>
    <w:rsid w:val="45AD4CB1"/>
    <w:rsid w:val="45AD6A5F"/>
    <w:rsid w:val="45AE4881"/>
    <w:rsid w:val="45AF0A29"/>
    <w:rsid w:val="45AF27D7"/>
    <w:rsid w:val="45AF4585"/>
    <w:rsid w:val="45AF695B"/>
    <w:rsid w:val="45B002FD"/>
    <w:rsid w:val="45B04D9C"/>
    <w:rsid w:val="45B222C8"/>
    <w:rsid w:val="45B232C8"/>
    <w:rsid w:val="45B24076"/>
    <w:rsid w:val="45B44292"/>
    <w:rsid w:val="45B46040"/>
    <w:rsid w:val="45B47DEE"/>
    <w:rsid w:val="45B55DF8"/>
    <w:rsid w:val="45B571D6"/>
    <w:rsid w:val="45B63B66"/>
    <w:rsid w:val="45B65C78"/>
    <w:rsid w:val="45B71FEF"/>
    <w:rsid w:val="45B778DE"/>
    <w:rsid w:val="45B82804"/>
    <w:rsid w:val="45B84BF7"/>
    <w:rsid w:val="45B86522"/>
    <w:rsid w:val="45B86BD4"/>
    <w:rsid w:val="45B918A8"/>
    <w:rsid w:val="45B93656"/>
    <w:rsid w:val="45BA0E9D"/>
    <w:rsid w:val="45BB117C"/>
    <w:rsid w:val="45BB2446"/>
    <w:rsid w:val="45BB4542"/>
    <w:rsid w:val="45BB73CE"/>
    <w:rsid w:val="45BC6CA2"/>
    <w:rsid w:val="45BD060C"/>
    <w:rsid w:val="45BD3146"/>
    <w:rsid w:val="45BD34BD"/>
    <w:rsid w:val="45BE2073"/>
    <w:rsid w:val="45BE2A1A"/>
    <w:rsid w:val="45BF5840"/>
    <w:rsid w:val="45C02C36"/>
    <w:rsid w:val="45C0642E"/>
    <w:rsid w:val="45C10D70"/>
    <w:rsid w:val="45C21442"/>
    <w:rsid w:val="45C30323"/>
    <w:rsid w:val="45C35F9A"/>
    <w:rsid w:val="45C3677A"/>
    <w:rsid w:val="45C4291D"/>
    <w:rsid w:val="45C44B20"/>
    <w:rsid w:val="45C476F1"/>
    <w:rsid w:val="45C5024D"/>
    <w:rsid w:val="45C50DEF"/>
    <w:rsid w:val="45C62011"/>
    <w:rsid w:val="45C64D7A"/>
    <w:rsid w:val="45C67177"/>
    <w:rsid w:val="45C67564"/>
    <w:rsid w:val="45C7028E"/>
    <w:rsid w:val="45C733BB"/>
    <w:rsid w:val="45C73FC5"/>
    <w:rsid w:val="45C759BD"/>
    <w:rsid w:val="45C76CFE"/>
    <w:rsid w:val="45C8037E"/>
    <w:rsid w:val="45C819C2"/>
    <w:rsid w:val="45C81AEB"/>
    <w:rsid w:val="45C830DE"/>
    <w:rsid w:val="45C85647"/>
    <w:rsid w:val="45C85F51"/>
    <w:rsid w:val="45C86072"/>
    <w:rsid w:val="45C94ACE"/>
    <w:rsid w:val="45C94C84"/>
    <w:rsid w:val="45C96E92"/>
    <w:rsid w:val="45C96EBD"/>
    <w:rsid w:val="45C97502"/>
    <w:rsid w:val="45CA3DA7"/>
    <w:rsid w:val="45CB05CF"/>
    <w:rsid w:val="45CB0FBE"/>
    <w:rsid w:val="45CB49F3"/>
    <w:rsid w:val="45CB5E48"/>
    <w:rsid w:val="45CC1461"/>
    <w:rsid w:val="45CC270F"/>
    <w:rsid w:val="45CD7101"/>
    <w:rsid w:val="45CE5353"/>
    <w:rsid w:val="45CF2E79"/>
    <w:rsid w:val="45CF56AF"/>
    <w:rsid w:val="45CF69D6"/>
    <w:rsid w:val="45D109A0"/>
    <w:rsid w:val="45D16BF2"/>
    <w:rsid w:val="45D17124"/>
    <w:rsid w:val="45D1783F"/>
    <w:rsid w:val="45D23967"/>
    <w:rsid w:val="45D24718"/>
    <w:rsid w:val="45D3296A"/>
    <w:rsid w:val="45D35C1D"/>
    <w:rsid w:val="45D4223E"/>
    <w:rsid w:val="45D42370"/>
    <w:rsid w:val="45D43029"/>
    <w:rsid w:val="45D43FEC"/>
    <w:rsid w:val="45D466E2"/>
    <w:rsid w:val="45D50676"/>
    <w:rsid w:val="45D64208"/>
    <w:rsid w:val="45D64735"/>
    <w:rsid w:val="45D66F35"/>
    <w:rsid w:val="45D71D2E"/>
    <w:rsid w:val="45D84426"/>
    <w:rsid w:val="45D87F80"/>
    <w:rsid w:val="45D95AA6"/>
    <w:rsid w:val="45D96208"/>
    <w:rsid w:val="45D96B19"/>
    <w:rsid w:val="45DA3058"/>
    <w:rsid w:val="45DB59F1"/>
    <w:rsid w:val="45DB741E"/>
    <w:rsid w:val="45DC10F2"/>
    <w:rsid w:val="45DC6A1A"/>
    <w:rsid w:val="45DD17BD"/>
    <w:rsid w:val="45DD5E55"/>
    <w:rsid w:val="45DD7344"/>
    <w:rsid w:val="45DE30BD"/>
    <w:rsid w:val="45DE4E6B"/>
    <w:rsid w:val="45DF6CF2"/>
    <w:rsid w:val="45DF76F5"/>
    <w:rsid w:val="45E002ED"/>
    <w:rsid w:val="45E0435A"/>
    <w:rsid w:val="45E21865"/>
    <w:rsid w:val="45E22BAD"/>
    <w:rsid w:val="45E2495B"/>
    <w:rsid w:val="45E306D3"/>
    <w:rsid w:val="45E36925"/>
    <w:rsid w:val="45E43797"/>
    <w:rsid w:val="45E456E5"/>
    <w:rsid w:val="45E5016B"/>
    <w:rsid w:val="45E561F9"/>
    <w:rsid w:val="45E6754E"/>
    <w:rsid w:val="45E71D50"/>
    <w:rsid w:val="45E71F71"/>
    <w:rsid w:val="45E83F3B"/>
    <w:rsid w:val="45E85CE9"/>
    <w:rsid w:val="45E85FB8"/>
    <w:rsid w:val="45E92728"/>
    <w:rsid w:val="45E97F7C"/>
    <w:rsid w:val="45EA1A61"/>
    <w:rsid w:val="45EA2C85"/>
    <w:rsid w:val="45EA380F"/>
    <w:rsid w:val="45EA7CB3"/>
    <w:rsid w:val="45EB1AC5"/>
    <w:rsid w:val="45EB516E"/>
    <w:rsid w:val="45EC3A2B"/>
    <w:rsid w:val="45EC546D"/>
    <w:rsid w:val="45EC7588"/>
    <w:rsid w:val="45EC7D85"/>
    <w:rsid w:val="45ED51BC"/>
    <w:rsid w:val="45EE1552"/>
    <w:rsid w:val="45EE7D8D"/>
    <w:rsid w:val="45EF3DEE"/>
    <w:rsid w:val="45EF44C8"/>
    <w:rsid w:val="45EF7078"/>
    <w:rsid w:val="45F0644A"/>
    <w:rsid w:val="45F11042"/>
    <w:rsid w:val="45F13B3D"/>
    <w:rsid w:val="45F23DFA"/>
    <w:rsid w:val="45F31A4C"/>
    <w:rsid w:val="45F34E5C"/>
    <w:rsid w:val="45F35D2E"/>
    <w:rsid w:val="45F448F2"/>
    <w:rsid w:val="45F4643C"/>
    <w:rsid w:val="45F539D9"/>
    <w:rsid w:val="45F5651F"/>
    <w:rsid w:val="45F60406"/>
    <w:rsid w:val="45F60B3A"/>
    <w:rsid w:val="45F66658"/>
    <w:rsid w:val="45F72ADC"/>
    <w:rsid w:val="45F75505"/>
    <w:rsid w:val="45F77D7F"/>
    <w:rsid w:val="45F8417E"/>
    <w:rsid w:val="45FA0C11"/>
    <w:rsid w:val="45FA0F01"/>
    <w:rsid w:val="45FB77CB"/>
    <w:rsid w:val="45FD1795"/>
    <w:rsid w:val="45FD4CB1"/>
    <w:rsid w:val="45FE136E"/>
    <w:rsid w:val="45FE1C0C"/>
    <w:rsid w:val="45FE72BB"/>
    <w:rsid w:val="45FF48E2"/>
    <w:rsid w:val="45FF4FD7"/>
    <w:rsid w:val="46001285"/>
    <w:rsid w:val="46001496"/>
    <w:rsid w:val="46003033"/>
    <w:rsid w:val="46004DE1"/>
    <w:rsid w:val="46012499"/>
    <w:rsid w:val="46017D10"/>
    <w:rsid w:val="460222FB"/>
    <w:rsid w:val="46027484"/>
    <w:rsid w:val="46027693"/>
    <w:rsid w:val="460277EF"/>
    <w:rsid w:val="46032B23"/>
    <w:rsid w:val="46036001"/>
    <w:rsid w:val="46036521"/>
    <w:rsid w:val="46040883"/>
    <w:rsid w:val="46040D75"/>
    <w:rsid w:val="4604274A"/>
    <w:rsid w:val="46044126"/>
    <w:rsid w:val="46054AED"/>
    <w:rsid w:val="46063934"/>
    <w:rsid w:val="460674A4"/>
    <w:rsid w:val="46072075"/>
    <w:rsid w:val="460743C1"/>
    <w:rsid w:val="4607616F"/>
    <w:rsid w:val="460908DE"/>
    <w:rsid w:val="46097D2A"/>
    <w:rsid w:val="460A2104"/>
    <w:rsid w:val="460A51C8"/>
    <w:rsid w:val="460A5C60"/>
    <w:rsid w:val="460B40D6"/>
    <w:rsid w:val="460B47CE"/>
    <w:rsid w:val="460B495B"/>
    <w:rsid w:val="460C1B0E"/>
    <w:rsid w:val="460C6EBB"/>
    <w:rsid w:val="460C7C2A"/>
    <w:rsid w:val="460D10DC"/>
    <w:rsid w:val="460D611D"/>
    <w:rsid w:val="460E39A2"/>
    <w:rsid w:val="460E6159"/>
    <w:rsid w:val="460F70C6"/>
    <w:rsid w:val="460F771A"/>
    <w:rsid w:val="46116FEE"/>
    <w:rsid w:val="461240EB"/>
    <w:rsid w:val="4613222D"/>
    <w:rsid w:val="46132D66"/>
    <w:rsid w:val="4613720A"/>
    <w:rsid w:val="4614088C"/>
    <w:rsid w:val="46141AA7"/>
    <w:rsid w:val="46144D30"/>
    <w:rsid w:val="46155B08"/>
    <w:rsid w:val="46156F5D"/>
    <w:rsid w:val="46160AA8"/>
    <w:rsid w:val="46164604"/>
    <w:rsid w:val="46166F98"/>
    <w:rsid w:val="46177859"/>
    <w:rsid w:val="46182FF9"/>
    <w:rsid w:val="46184820"/>
    <w:rsid w:val="461965C5"/>
    <w:rsid w:val="461A4881"/>
    <w:rsid w:val="461A4D3A"/>
    <w:rsid w:val="461B1C1B"/>
    <w:rsid w:val="461B7E6D"/>
    <w:rsid w:val="461C16C9"/>
    <w:rsid w:val="461C2E0A"/>
    <w:rsid w:val="461D3BE5"/>
    <w:rsid w:val="461D5293"/>
    <w:rsid w:val="461D5993"/>
    <w:rsid w:val="461E149C"/>
    <w:rsid w:val="461E170B"/>
    <w:rsid w:val="461E1969"/>
    <w:rsid w:val="461E495F"/>
    <w:rsid w:val="461E572A"/>
    <w:rsid w:val="461F38D8"/>
    <w:rsid w:val="461F3BB2"/>
    <w:rsid w:val="461F4070"/>
    <w:rsid w:val="461F622E"/>
    <w:rsid w:val="46206891"/>
    <w:rsid w:val="462128E4"/>
    <w:rsid w:val="46217054"/>
    <w:rsid w:val="46217DD9"/>
    <w:rsid w:val="462211FB"/>
    <w:rsid w:val="4622553B"/>
    <w:rsid w:val="46235DC0"/>
    <w:rsid w:val="46236D21"/>
    <w:rsid w:val="46252A99"/>
    <w:rsid w:val="462555FD"/>
    <w:rsid w:val="46272A33"/>
    <w:rsid w:val="46273B3F"/>
    <w:rsid w:val="462907DC"/>
    <w:rsid w:val="4629258A"/>
    <w:rsid w:val="4629283D"/>
    <w:rsid w:val="46293F7E"/>
    <w:rsid w:val="462978FA"/>
    <w:rsid w:val="462A4554"/>
    <w:rsid w:val="462B0BD3"/>
    <w:rsid w:val="462B2870"/>
    <w:rsid w:val="462B76D2"/>
    <w:rsid w:val="462C02CC"/>
    <w:rsid w:val="462C765D"/>
    <w:rsid w:val="462E521F"/>
    <w:rsid w:val="462F1B6A"/>
    <w:rsid w:val="462F27B3"/>
    <w:rsid w:val="463037A6"/>
    <w:rsid w:val="46310455"/>
    <w:rsid w:val="46323D4A"/>
    <w:rsid w:val="46333408"/>
    <w:rsid w:val="463364B2"/>
    <w:rsid w:val="46337C01"/>
    <w:rsid w:val="46352521"/>
    <w:rsid w:val="46362CE4"/>
    <w:rsid w:val="463723F7"/>
    <w:rsid w:val="46372C7A"/>
    <w:rsid w:val="463762D1"/>
    <w:rsid w:val="46380EA2"/>
    <w:rsid w:val="463827CD"/>
    <w:rsid w:val="46386C71"/>
    <w:rsid w:val="463902F3"/>
    <w:rsid w:val="46390B44"/>
    <w:rsid w:val="4639651F"/>
    <w:rsid w:val="46396545"/>
    <w:rsid w:val="463A4797"/>
    <w:rsid w:val="463B0E67"/>
    <w:rsid w:val="463B1ACF"/>
    <w:rsid w:val="463B22BD"/>
    <w:rsid w:val="463B302C"/>
    <w:rsid w:val="463B3395"/>
    <w:rsid w:val="463B406B"/>
    <w:rsid w:val="463B7823"/>
    <w:rsid w:val="463D3884"/>
    <w:rsid w:val="463D4287"/>
    <w:rsid w:val="463D5176"/>
    <w:rsid w:val="463D789F"/>
    <w:rsid w:val="463D7C0A"/>
    <w:rsid w:val="463E4FCC"/>
    <w:rsid w:val="46405B25"/>
    <w:rsid w:val="464078D3"/>
    <w:rsid w:val="46412441"/>
    <w:rsid w:val="4642004E"/>
    <w:rsid w:val="4642189D"/>
    <w:rsid w:val="4642364B"/>
    <w:rsid w:val="464253F9"/>
    <w:rsid w:val="46425DE0"/>
    <w:rsid w:val="464333D7"/>
    <w:rsid w:val="46434FD4"/>
    <w:rsid w:val="4643732E"/>
    <w:rsid w:val="46442016"/>
    <w:rsid w:val="46445615"/>
    <w:rsid w:val="46445D5C"/>
    <w:rsid w:val="464473C4"/>
    <w:rsid w:val="4645313C"/>
    <w:rsid w:val="46454EEA"/>
    <w:rsid w:val="46461042"/>
    <w:rsid w:val="46462F83"/>
    <w:rsid w:val="46464E05"/>
    <w:rsid w:val="46470C62"/>
    <w:rsid w:val="46472A10"/>
    <w:rsid w:val="464753FC"/>
    <w:rsid w:val="46476EB4"/>
    <w:rsid w:val="46485FEA"/>
    <w:rsid w:val="4649475F"/>
    <w:rsid w:val="464A4BC5"/>
    <w:rsid w:val="464A59BB"/>
    <w:rsid w:val="464B2ABD"/>
    <w:rsid w:val="464B5F3B"/>
    <w:rsid w:val="464C0026"/>
    <w:rsid w:val="464C07A8"/>
    <w:rsid w:val="464C44CA"/>
    <w:rsid w:val="464C5BD7"/>
    <w:rsid w:val="464D09AB"/>
    <w:rsid w:val="464D3E6C"/>
    <w:rsid w:val="464D6C32"/>
    <w:rsid w:val="464E0242"/>
    <w:rsid w:val="464E04AD"/>
    <w:rsid w:val="464E104B"/>
    <w:rsid w:val="464E5C10"/>
    <w:rsid w:val="464E797E"/>
    <w:rsid w:val="464E7F01"/>
    <w:rsid w:val="464F5D68"/>
    <w:rsid w:val="464F7B16"/>
    <w:rsid w:val="465001C5"/>
    <w:rsid w:val="465005B9"/>
    <w:rsid w:val="46503FBA"/>
    <w:rsid w:val="46511AE0"/>
    <w:rsid w:val="46517D32"/>
    <w:rsid w:val="465217C6"/>
    <w:rsid w:val="465236A3"/>
    <w:rsid w:val="465316B4"/>
    <w:rsid w:val="4653249B"/>
    <w:rsid w:val="4654337F"/>
    <w:rsid w:val="46546BB9"/>
    <w:rsid w:val="46552F9B"/>
    <w:rsid w:val="46557D50"/>
    <w:rsid w:val="46560EA5"/>
    <w:rsid w:val="46572CEA"/>
    <w:rsid w:val="46577FD6"/>
    <w:rsid w:val="46595B26"/>
    <w:rsid w:val="465A00BB"/>
    <w:rsid w:val="465A1BED"/>
    <w:rsid w:val="465A6BE7"/>
    <w:rsid w:val="465B4822"/>
    <w:rsid w:val="465B64BB"/>
    <w:rsid w:val="465C4123"/>
    <w:rsid w:val="465C6674"/>
    <w:rsid w:val="465C6B5C"/>
    <w:rsid w:val="465C7D8E"/>
    <w:rsid w:val="465D2233"/>
    <w:rsid w:val="465D66D7"/>
    <w:rsid w:val="465D6857"/>
    <w:rsid w:val="465F6C1E"/>
    <w:rsid w:val="46601D24"/>
    <w:rsid w:val="466054DD"/>
    <w:rsid w:val="46610661"/>
    <w:rsid w:val="4661153E"/>
    <w:rsid w:val="466147BC"/>
    <w:rsid w:val="4661613B"/>
    <w:rsid w:val="466162F1"/>
    <w:rsid w:val="4661696D"/>
    <w:rsid w:val="46616C51"/>
    <w:rsid w:val="46621487"/>
    <w:rsid w:val="46621CB5"/>
    <w:rsid w:val="46623CEE"/>
    <w:rsid w:val="46623DF6"/>
    <w:rsid w:val="46641814"/>
    <w:rsid w:val="4665733A"/>
    <w:rsid w:val="46657EBF"/>
    <w:rsid w:val="46671304"/>
    <w:rsid w:val="46672814"/>
    <w:rsid w:val="4667289A"/>
    <w:rsid w:val="466730B2"/>
    <w:rsid w:val="46674E60"/>
    <w:rsid w:val="46682974"/>
    <w:rsid w:val="46694C33"/>
    <w:rsid w:val="466A3D31"/>
    <w:rsid w:val="466A4DD4"/>
    <w:rsid w:val="466A6820"/>
    <w:rsid w:val="466B7539"/>
    <w:rsid w:val="466B7564"/>
    <w:rsid w:val="466C06A9"/>
    <w:rsid w:val="466C06C8"/>
    <w:rsid w:val="466C2476"/>
    <w:rsid w:val="466C2CB5"/>
    <w:rsid w:val="466C473A"/>
    <w:rsid w:val="466C4816"/>
    <w:rsid w:val="466C691A"/>
    <w:rsid w:val="466E3773"/>
    <w:rsid w:val="466E4440"/>
    <w:rsid w:val="466F303E"/>
    <w:rsid w:val="467152AF"/>
    <w:rsid w:val="46717A8D"/>
    <w:rsid w:val="46732C5A"/>
    <w:rsid w:val="46736A80"/>
    <w:rsid w:val="46744DE3"/>
    <w:rsid w:val="4674757D"/>
    <w:rsid w:val="467531B7"/>
    <w:rsid w:val="46753A21"/>
    <w:rsid w:val="467636DC"/>
    <w:rsid w:val="46767799"/>
    <w:rsid w:val="46773764"/>
    <w:rsid w:val="467806FB"/>
    <w:rsid w:val="46780E1B"/>
    <w:rsid w:val="467837EC"/>
    <w:rsid w:val="467852BF"/>
    <w:rsid w:val="467865FD"/>
    <w:rsid w:val="4678706D"/>
    <w:rsid w:val="467905F4"/>
    <w:rsid w:val="46794B93"/>
    <w:rsid w:val="467977C5"/>
    <w:rsid w:val="467A2DE5"/>
    <w:rsid w:val="467A3826"/>
    <w:rsid w:val="467A4D5F"/>
    <w:rsid w:val="467A6074"/>
    <w:rsid w:val="467B090B"/>
    <w:rsid w:val="467B6B5D"/>
    <w:rsid w:val="467D0B27"/>
    <w:rsid w:val="467D50FB"/>
    <w:rsid w:val="467E21A7"/>
    <w:rsid w:val="467E44DD"/>
    <w:rsid w:val="467E6261"/>
    <w:rsid w:val="46804174"/>
    <w:rsid w:val="4681157A"/>
    <w:rsid w:val="468159CD"/>
    <w:rsid w:val="46821C9A"/>
    <w:rsid w:val="4682613E"/>
    <w:rsid w:val="46827EEC"/>
    <w:rsid w:val="46830038"/>
    <w:rsid w:val="46840346"/>
    <w:rsid w:val="46841EB6"/>
    <w:rsid w:val="468477C0"/>
    <w:rsid w:val="46853538"/>
    <w:rsid w:val="4685435B"/>
    <w:rsid w:val="468545A7"/>
    <w:rsid w:val="46875502"/>
    <w:rsid w:val="468943B1"/>
    <w:rsid w:val="46895B79"/>
    <w:rsid w:val="468974CC"/>
    <w:rsid w:val="468A0B4E"/>
    <w:rsid w:val="468A55C4"/>
    <w:rsid w:val="468B47AB"/>
    <w:rsid w:val="468B6283"/>
    <w:rsid w:val="468C0D6B"/>
    <w:rsid w:val="468C2B19"/>
    <w:rsid w:val="468C2FE6"/>
    <w:rsid w:val="468E063F"/>
    <w:rsid w:val="468E4AE3"/>
    <w:rsid w:val="468E6D5F"/>
    <w:rsid w:val="468F312C"/>
    <w:rsid w:val="4690085B"/>
    <w:rsid w:val="46902609"/>
    <w:rsid w:val="469043B7"/>
    <w:rsid w:val="469045BC"/>
    <w:rsid w:val="46916381"/>
    <w:rsid w:val="46921109"/>
    <w:rsid w:val="469226F7"/>
    <w:rsid w:val="469255C7"/>
    <w:rsid w:val="46930F53"/>
    <w:rsid w:val="469320F9"/>
    <w:rsid w:val="46933EA7"/>
    <w:rsid w:val="469358FF"/>
    <w:rsid w:val="46937FAD"/>
    <w:rsid w:val="46945B77"/>
    <w:rsid w:val="46954F5C"/>
    <w:rsid w:val="46955E71"/>
    <w:rsid w:val="46962C51"/>
    <w:rsid w:val="46963997"/>
    <w:rsid w:val="4699566E"/>
    <w:rsid w:val="46997815"/>
    <w:rsid w:val="469A036E"/>
    <w:rsid w:val="469A0A3E"/>
    <w:rsid w:val="469A3487"/>
    <w:rsid w:val="469A6AFE"/>
    <w:rsid w:val="469B2061"/>
    <w:rsid w:val="469C7200"/>
    <w:rsid w:val="469D247A"/>
    <w:rsid w:val="469D2991"/>
    <w:rsid w:val="469D4D26"/>
    <w:rsid w:val="469D6AD4"/>
    <w:rsid w:val="469F09EA"/>
    <w:rsid w:val="469F0A9E"/>
    <w:rsid w:val="469F2FFE"/>
    <w:rsid w:val="469F45FA"/>
    <w:rsid w:val="469F7F6C"/>
    <w:rsid w:val="46A041C2"/>
    <w:rsid w:val="46A04C6D"/>
    <w:rsid w:val="46A15457"/>
    <w:rsid w:val="46A165C4"/>
    <w:rsid w:val="46A2058E"/>
    <w:rsid w:val="46A211E8"/>
    <w:rsid w:val="46A2233C"/>
    <w:rsid w:val="46A240EA"/>
    <w:rsid w:val="46A25506"/>
    <w:rsid w:val="46A35ADB"/>
    <w:rsid w:val="46A35F06"/>
    <w:rsid w:val="46A37971"/>
    <w:rsid w:val="46A423CD"/>
    <w:rsid w:val="46A44EEF"/>
    <w:rsid w:val="46A47E62"/>
    <w:rsid w:val="46A63BDA"/>
    <w:rsid w:val="46A71700"/>
    <w:rsid w:val="46A72843"/>
    <w:rsid w:val="46A77952"/>
    <w:rsid w:val="46A77C72"/>
    <w:rsid w:val="46A81102"/>
    <w:rsid w:val="46A936CA"/>
    <w:rsid w:val="46A9389A"/>
    <w:rsid w:val="46AA2F9F"/>
    <w:rsid w:val="46AA3A6D"/>
    <w:rsid w:val="46AA478F"/>
    <w:rsid w:val="46AB11F1"/>
    <w:rsid w:val="46AB7443"/>
    <w:rsid w:val="46AC0AA9"/>
    <w:rsid w:val="46AC31BB"/>
    <w:rsid w:val="46AC3AE4"/>
    <w:rsid w:val="46AD0E99"/>
    <w:rsid w:val="46AD20F3"/>
    <w:rsid w:val="46AE0CE1"/>
    <w:rsid w:val="46AE2A8F"/>
    <w:rsid w:val="46AE6177"/>
    <w:rsid w:val="46AE6F33"/>
    <w:rsid w:val="46B02CAB"/>
    <w:rsid w:val="46B03E5E"/>
    <w:rsid w:val="46B06807"/>
    <w:rsid w:val="46B07B12"/>
    <w:rsid w:val="46B1257F"/>
    <w:rsid w:val="46B13EA4"/>
    <w:rsid w:val="46B1432D"/>
    <w:rsid w:val="46B24D85"/>
    <w:rsid w:val="46B34CC8"/>
    <w:rsid w:val="46B362F7"/>
    <w:rsid w:val="46B40360"/>
    <w:rsid w:val="46B406C0"/>
    <w:rsid w:val="46B61944"/>
    <w:rsid w:val="46BA097C"/>
    <w:rsid w:val="46BA0CB9"/>
    <w:rsid w:val="46BA79FB"/>
    <w:rsid w:val="46BB56CA"/>
    <w:rsid w:val="46BC1650"/>
    <w:rsid w:val="46BC35D9"/>
    <w:rsid w:val="46BC3BF6"/>
    <w:rsid w:val="46BD1241"/>
    <w:rsid w:val="46BD5A1C"/>
    <w:rsid w:val="46BD624E"/>
    <w:rsid w:val="46BD7176"/>
    <w:rsid w:val="46BE4A66"/>
    <w:rsid w:val="46BF017E"/>
    <w:rsid w:val="46BF0CC1"/>
    <w:rsid w:val="46BF4C9C"/>
    <w:rsid w:val="46BF5A44"/>
    <w:rsid w:val="46BF5A68"/>
    <w:rsid w:val="46BF7389"/>
    <w:rsid w:val="46C06686"/>
    <w:rsid w:val="46C10A14"/>
    <w:rsid w:val="46C10AA5"/>
    <w:rsid w:val="46C140A0"/>
    <w:rsid w:val="46C16C66"/>
    <w:rsid w:val="46C31461"/>
    <w:rsid w:val="46C35F4F"/>
    <w:rsid w:val="46C41D6B"/>
    <w:rsid w:val="46C422B2"/>
    <w:rsid w:val="46C44F06"/>
    <w:rsid w:val="46C51FF4"/>
    <w:rsid w:val="46C531FB"/>
    <w:rsid w:val="46C5493C"/>
    <w:rsid w:val="46C61A68"/>
    <w:rsid w:val="46C67DD9"/>
    <w:rsid w:val="46C73B51"/>
    <w:rsid w:val="46C75A3F"/>
    <w:rsid w:val="46C75EE7"/>
    <w:rsid w:val="46C8388C"/>
    <w:rsid w:val="46C8767A"/>
    <w:rsid w:val="46C91677"/>
    <w:rsid w:val="46C93D6D"/>
    <w:rsid w:val="46C96D1E"/>
    <w:rsid w:val="46CA53EB"/>
    <w:rsid w:val="46CB5068"/>
    <w:rsid w:val="46CB6088"/>
    <w:rsid w:val="46CC0300"/>
    <w:rsid w:val="46CC0E18"/>
    <w:rsid w:val="46CC5A5D"/>
    <w:rsid w:val="46CC5F43"/>
    <w:rsid w:val="46CD4E75"/>
    <w:rsid w:val="46CD560B"/>
    <w:rsid w:val="46CD6437"/>
    <w:rsid w:val="46CE1383"/>
    <w:rsid w:val="46CE3136"/>
    <w:rsid w:val="46CF18AB"/>
    <w:rsid w:val="46CF5CC8"/>
    <w:rsid w:val="46CF687D"/>
    <w:rsid w:val="46D00580"/>
    <w:rsid w:val="46D01B54"/>
    <w:rsid w:val="46D02A05"/>
    <w:rsid w:val="46D143E8"/>
    <w:rsid w:val="46D149CF"/>
    <w:rsid w:val="46D22C21"/>
    <w:rsid w:val="46D25DC5"/>
    <w:rsid w:val="46D30747"/>
    <w:rsid w:val="46D3282B"/>
    <w:rsid w:val="46D338C7"/>
    <w:rsid w:val="46D36999"/>
    <w:rsid w:val="46D41D69"/>
    <w:rsid w:val="46D52711"/>
    <w:rsid w:val="46D558C1"/>
    <w:rsid w:val="46D63D94"/>
    <w:rsid w:val="46D66D51"/>
    <w:rsid w:val="46D70238"/>
    <w:rsid w:val="46D71FE6"/>
    <w:rsid w:val="46D81671"/>
    <w:rsid w:val="46D85D5E"/>
    <w:rsid w:val="46D87B0C"/>
    <w:rsid w:val="46D92C4C"/>
    <w:rsid w:val="46D955A7"/>
    <w:rsid w:val="46D97420"/>
    <w:rsid w:val="46DA0058"/>
    <w:rsid w:val="46DA1160"/>
    <w:rsid w:val="46DA3884"/>
    <w:rsid w:val="46DA56D2"/>
    <w:rsid w:val="46DB13AA"/>
    <w:rsid w:val="46DB35F5"/>
    <w:rsid w:val="46DB6B62"/>
    <w:rsid w:val="46DC3AA0"/>
    <w:rsid w:val="46DD15C6"/>
    <w:rsid w:val="46DD1730"/>
    <w:rsid w:val="46DD3E5C"/>
    <w:rsid w:val="46DD67FE"/>
    <w:rsid w:val="46DF3663"/>
    <w:rsid w:val="46DF3C1C"/>
    <w:rsid w:val="46E07E03"/>
    <w:rsid w:val="46E12E64"/>
    <w:rsid w:val="46E14C12"/>
    <w:rsid w:val="46E2098A"/>
    <w:rsid w:val="46E26BDC"/>
    <w:rsid w:val="46E44703"/>
    <w:rsid w:val="46E44BBD"/>
    <w:rsid w:val="46E511DE"/>
    <w:rsid w:val="46E6047B"/>
    <w:rsid w:val="46E62229"/>
    <w:rsid w:val="46E652FC"/>
    <w:rsid w:val="46E717E5"/>
    <w:rsid w:val="46E75105"/>
    <w:rsid w:val="46E77CD6"/>
    <w:rsid w:val="46E82445"/>
    <w:rsid w:val="46E8388B"/>
    <w:rsid w:val="46E91D19"/>
    <w:rsid w:val="46E93AC7"/>
    <w:rsid w:val="46EA3A86"/>
    <w:rsid w:val="46EA51C7"/>
    <w:rsid w:val="46EC35B7"/>
    <w:rsid w:val="46EC6103"/>
    <w:rsid w:val="46ED7A5B"/>
    <w:rsid w:val="46EE06BF"/>
    <w:rsid w:val="46EE10DD"/>
    <w:rsid w:val="46EE184C"/>
    <w:rsid w:val="46EE37D3"/>
    <w:rsid w:val="46EE3897"/>
    <w:rsid w:val="46EE4FD8"/>
    <w:rsid w:val="46EE5581"/>
    <w:rsid w:val="46F012F9"/>
    <w:rsid w:val="46F030A7"/>
    <w:rsid w:val="46F03410"/>
    <w:rsid w:val="46F04E55"/>
    <w:rsid w:val="46F10BCE"/>
    <w:rsid w:val="46F10D88"/>
    <w:rsid w:val="46F14BC2"/>
    <w:rsid w:val="46F1733F"/>
    <w:rsid w:val="46F202F9"/>
    <w:rsid w:val="46F30DEA"/>
    <w:rsid w:val="46F30EE7"/>
    <w:rsid w:val="46F31C44"/>
    <w:rsid w:val="46F32B98"/>
    <w:rsid w:val="46F538BD"/>
    <w:rsid w:val="46F54B62"/>
    <w:rsid w:val="46F57C53"/>
    <w:rsid w:val="46F61A79"/>
    <w:rsid w:val="46F62029"/>
    <w:rsid w:val="46F65AEC"/>
    <w:rsid w:val="46F661E4"/>
    <w:rsid w:val="46F70887"/>
    <w:rsid w:val="46F74436"/>
    <w:rsid w:val="46F8008E"/>
    <w:rsid w:val="46F801AE"/>
    <w:rsid w:val="46F8629D"/>
    <w:rsid w:val="46F96400"/>
    <w:rsid w:val="46F97FA3"/>
    <w:rsid w:val="46FA2178"/>
    <w:rsid w:val="46FA3F26"/>
    <w:rsid w:val="46FA4411"/>
    <w:rsid w:val="46FA51BB"/>
    <w:rsid w:val="46FA5AF3"/>
    <w:rsid w:val="46FA7CC4"/>
    <w:rsid w:val="46FB4A0B"/>
    <w:rsid w:val="46FB7DC6"/>
    <w:rsid w:val="46FC37FA"/>
    <w:rsid w:val="46FD58E2"/>
    <w:rsid w:val="46FE1C34"/>
    <w:rsid w:val="46FE1D0A"/>
    <w:rsid w:val="46FF778E"/>
    <w:rsid w:val="47001138"/>
    <w:rsid w:val="47005CAC"/>
    <w:rsid w:val="47013507"/>
    <w:rsid w:val="47017063"/>
    <w:rsid w:val="47021D0D"/>
    <w:rsid w:val="47022DDB"/>
    <w:rsid w:val="470248DE"/>
    <w:rsid w:val="47024FA4"/>
    <w:rsid w:val="4703102D"/>
    <w:rsid w:val="4703319D"/>
    <w:rsid w:val="47040901"/>
    <w:rsid w:val="47044DA5"/>
    <w:rsid w:val="47046CAB"/>
    <w:rsid w:val="4705097D"/>
    <w:rsid w:val="47061B1E"/>
    <w:rsid w:val="47064679"/>
    <w:rsid w:val="47066392"/>
    <w:rsid w:val="47070DC3"/>
    <w:rsid w:val="470804BE"/>
    <w:rsid w:val="47086643"/>
    <w:rsid w:val="47087C29"/>
    <w:rsid w:val="470923BB"/>
    <w:rsid w:val="47094169"/>
    <w:rsid w:val="47097BFA"/>
    <w:rsid w:val="470B1C8F"/>
    <w:rsid w:val="470B6133"/>
    <w:rsid w:val="470B7EE1"/>
    <w:rsid w:val="470C0D70"/>
    <w:rsid w:val="470C4453"/>
    <w:rsid w:val="470D0391"/>
    <w:rsid w:val="470D5A07"/>
    <w:rsid w:val="470D749C"/>
    <w:rsid w:val="470E1780"/>
    <w:rsid w:val="470E352E"/>
    <w:rsid w:val="470F3C09"/>
    <w:rsid w:val="4710374A"/>
    <w:rsid w:val="471054F8"/>
    <w:rsid w:val="471072A6"/>
    <w:rsid w:val="471274C2"/>
    <w:rsid w:val="47133957"/>
    <w:rsid w:val="47134FE8"/>
    <w:rsid w:val="47150183"/>
    <w:rsid w:val="47150D60"/>
    <w:rsid w:val="47152B0E"/>
    <w:rsid w:val="47154607"/>
    <w:rsid w:val="471548BC"/>
    <w:rsid w:val="47170634"/>
    <w:rsid w:val="47170BE3"/>
    <w:rsid w:val="4717258D"/>
    <w:rsid w:val="47173339"/>
    <w:rsid w:val="471746ED"/>
    <w:rsid w:val="47181A25"/>
    <w:rsid w:val="471957A9"/>
    <w:rsid w:val="471A0124"/>
    <w:rsid w:val="471A6376"/>
    <w:rsid w:val="471B1CA8"/>
    <w:rsid w:val="471C20EE"/>
    <w:rsid w:val="471C3E9C"/>
    <w:rsid w:val="471C71E0"/>
    <w:rsid w:val="471D367B"/>
    <w:rsid w:val="471E7C15"/>
    <w:rsid w:val="471F1BDF"/>
    <w:rsid w:val="472112F7"/>
    <w:rsid w:val="47215E9C"/>
    <w:rsid w:val="47222150"/>
    <w:rsid w:val="4722309E"/>
    <w:rsid w:val="4723347D"/>
    <w:rsid w:val="47234906"/>
    <w:rsid w:val="47240FA3"/>
    <w:rsid w:val="47243313"/>
    <w:rsid w:val="47243459"/>
    <w:rsid w:val="472457F6"/>
    <w:rsid w:val="472467E8"/>
    <w:rsid w:val="472558AA"/>
    <w:rsid w:val="47262F6D"/>
    <w:rsid w:val="47264561"/>
    <w:rsid w:val="47271D85"/>
    <w:rsid w:val="472745EF"/>
    <w:rsid w:val="47280A93"/>
    <w:rsid w:val="47282841"/>
    <w:rsid w:val="47283A28"/>
    <w:rsid w:val="4728639F"/>
    <w:rsid w:val="47292039"/>
    <w:rsid w:val="4729480B"/>
    <w:rsid w:val="472956E3"/>
    <w:rsid w:val="472964E3"/>
    <w:rsid w:val="472965B9"/>
    <w:rsid w:val="472A20D2"/>
    <w:rsid w:val="472B0583"/>
    <w:rsid w:val="472B3869"/>
    <w:rsid w:val="472B436D"/>
    <w:rsid w:val="472B7C2F"/>
    <w:rsid w:val="472C26B4"/>
    <w:rsid w:val="472D2DF2"/>
    <w:rsid w:val="472E246B"/>
    <w:rsid w:val="472E597E"/>
    <w:rsid w:val="472F66E6"/>
    <w:rsid w:val="473016F6"/>
    <w:rsid w:val="47305B9A"/>
    <w:rsid w:val="47307948"/>
    <w:rsid w:val="47307B51"/>
    <w:rsid w:val="47310DEC"/>
    <w:rsid w:val="47320639"/>
    <w:rsid w:val="473236C0"/>
    <w:rsid w:val="473274E6"/>
    <w:rsid w:val="473420EE"/>
    <w:rsid w:val="473471DC"/>
    <w:rsid w:val="47347438"/>
    <w:rsid w:val="473528C2"/>
    <w:rsid w:val="47354F5E"/>
    <w:rsid w:val="4736638E"/>
    <w:rsid w:val="473674BC"/>
    <w:rsid w:val="47373CCA"/>
    <w:rsid w:val="473941CB"/>
    <w:rsid w:val="473A07C7"/>
    <w:rsid w:val="473A2A2D"/>
    <w:rsid w:val="473A4323"/>
    <w:rsid w:val="473B4A6F"/>
    <w:rsid w:val="473B735A"/>
    <w:rsid w:val="473C332E"/>
    <w:rsid w:val="473C4857"/>
    <w:rsid w:val="473D3E13"/>
    <w:rsid w:val="473E081F"/>
    <w:rsid w:val="473E7F23"/>
    <w:rsid w:val="473F4650"/>
    <w:rsid w:val="473F7B8B"/>
    <w:rsid w:val="47411B55"/>
    <w:rsid w:val="47412232"/>
    <w:rsid w:val="4741387D"/>
    <w:rsid w:val="474156B1"/>
    <w:rsid w:val="47422765"/>
    <w:rsid w:val="47424F8B"/>
    <w:rsid w:val="47431429"/>
    <w:rsid w:val="47431AC0"/>
    <w:rsid w:val="474433F3"/>
    <w:rsid w:val="47447079"/>
    <w:rsid w:val="47452306"/>
    <w:rsid w:val="47462CC7"/>
    <w:rsid w:val="4746716B"/>
    <w:rsid w:val="474676B7"/>
    <w:rsid w:val="47470441"/>
    <w:rsid w:val="4748112D"/>
    <w:rsid w:val="47486A40"/>
    <w:rsid w:val="47490A0A"/>
    <w:rsid w:val="474918D0"/>
    <w:rsid w:val="474A6DC2"/>
    <w:rsid w:val="474B1ECF"/>
    <w:rsid w:val="474B4F2C"/>
    <w:rsid w:val="474B6530"/>
    <w:rsid w:val="474C2E23"/>
    <w:rsid w:val="474C42A3"/>
    <w:rsid w:val="474D04FA"/>
    <w:rsid w:val="474D0D05"/>
    <w:rsid w:val="474D22A8"/>
    <w:rsid w:val="474D43C2"/>
    <w:rsid w:val="474D674C"/>
    <w:rsid w:val="474D77F3"/>
    <w:rsid w:val="474E1BFB"/>
    <w:rsid w:val="474E6020"/>
    <w:rsid w:val="474E655E"/>
    <w:rsid w:val="474E6739"/>
    <w:rsid w:val="474F0DC2"/>
    <w:rsid w:val="474F17A4"/>
    <w:rsid w:val="47501D98"/>
    <w:rsid w:val="47503033"/>
    <w:rsid w:val="47504375"/>
    <w:rsid w:val="47512685"/>
    <w:rsid w:val="47513C75"/>
    <w:rsid w:val="475228EA"/>
    <w:rsid w:val="47523D62"/>
    <w:rsid w:val="47524C24"/>
    <w:rsid w:val="47525B10"/>
    <w:rsid w:val="47527C17"/>
    <w:rsid w:val="47533E47"/>
    <w:rsid w:val="475353E4"/>
    <w:rsid w:val="47543636"/>
    <w:rsid w:val="47555637"/>
    <w:rsid w:val="47556B7D"/>
    <w:rsid w:val="47556CB4"/>
    <w:rsid w:val="475573AE"/>
    <w:rsid w:val="47583F97"/>
    <w:rsid w:val="475947E9"/>
    <w:rsid w:val="475B51B6"/>
    <w:rsid w:val="475B6938"/>
    <w:rsid w:val="475C073D"/>
    <w:rsid w:val="475C24EB"/>
    <w:rsid w:val="475C698F"/>
    <w:rsid w:val="475D0075"/>
    <w:rsid w:val="475D3DA8"/>
    <w:rsid w:val="475D6D99"/>
    <w:rsid w:val="475F1FDB"/>
    <w:rsid w:val="475F358E"/>
    <w:rsid w:val="475F3D89"/>
    <w:rsid w:val="47605A10"/>
    <w:rsid w:val="4760778D"/>
    <w:rsid w:val="47614CF5"/>
    <w:rsid w:val="476151DC"/>
    <w:rsid w:val="47615D53"/>
    <w:rsid w:val="47617B01"/>
    <w:rsid w:val="47622A51"/>
    <w:rsid w:val="47631ACB"/>
    <w:rsid w:val="47633327"/>
    <w:rsid w:val="47637D1D"/>
    <w:rsid w:val="4764253A"/>
    <w:rsid w:val="47643C7B"/>
    <w:rsid w:val="4764581D"/>
    <w:rsid w:val="476475F1"/>
    <w:rsid w:val="47653A95"/>
    <w:rsid w:val="4766336A"/>
    <w:rsid w:val="47665118"/>
    <w:rsid w:val="476720F8"/>
    <w:rsid w:val="476725FC"/>
    <w:rsid w:val="47673CC8"/>
    <w:rsid w:val="47683AD5"/>
    <w:rsid w:val="47685334"/>
    <w:rsid w:val="47694C08"/>
    <w:rsid w:val="476A10AC"/>
    <w:rsid w:val="476A3140"/>
    <w:rsid w:val="476A5CE9"/>
    <w:rsid w:val="476B0980"/>
    <w:rsid w:val="476B3A9D"/>
    <w:rsid w:val="476B6A9E"/>
    <w:rsid w:val="476B6BD2"/>
    <w:rsid w:val="476C0CCC"/>
    <w:rsid w:val="476D241D"/>
    <w:rsid w:val="476E0091"/>
    <w:rsid w:val="476E0A79"/>
    <w:rsid w:val="476F0470"/>
    <w:rsid w:val="476F0559"/>
    <w:rsid w:val="476F0EB9"/>
    <w:rsid w:val="476F1900"/>
    <w:rsid w:val="477041E8"/>
    <w:rsid w:val="47705F96"/>
    <w:rsid w:val="47706655"/>
    <w:rsid w:val="477117B4"/>
    <w:rsid w:val="477136AE"/>
    <w:rsid w:val="477261B2"/>
    <w:rsid w:val="477403E3"/>
    <w:rsid w:val="47743CD8"/>
    <w:rsid w:val="477446C0"/>
    <w:rsid w:val="47745A86"/>
    <w:rsid w:val="47752ACA"/>
    <w:rsid w:val="4775307B"/>
    <w:rsid w:val="477554F4"/>
    <w:rsid w:val="477737C9"/>
    <w:rsid w:val="47783581"/>
    <w:rsid w:val="47784867"/>
    <w:rsid w:val="477912EF"/>
    <w:rsid w:val="4779309D"/>
    <w:rsid w:val="47793583"/>
    <w:rsid w:val="477A4760"/>
    <w:rsid w:val="477A60AC"/>
    <w:rsid w:val="477A6E15"/>
    <w:rsid w:val="477B0AA3"/>
    <w:rsid w:val="477B5067"/>
    <w:rsid w:val="477B5D50"/>
    <w:rsid w:val="477B67D9"/>
    <w:rsid w:val="477B7331"/>
    <w:rsid w:val="477C0820"/>
    <w:rsid w:val="477D30A1"/>
    <w:rsid w:val="477D340C"/>
    <w:rsid w:val="477D598D"/>
    <w:rsid w:val="477E06B3"/>
    <w:rsid w:val="477E30E1"/>
    <w:rsid w:val="477F3BA7"/>
    <w:rsid w:val="477F61D9"/>
    <w:rsid w:val="4780267D"/>
    <w:rsid w:val="47811616"/>
    <w:rsid w:val="478234F8"/>
    <w:rsid w:val="47823B77"/>
    <w:rsid w:val="478278C8"/>
    <w:rsid w:val="4783216D"/>
    <w:rsid w:val="47835CCA"/>
    <w:rsid w:val="47852FB4"/>
    <w:rsid w:val="47861CD6"/>
    <w:rsid w:val="47863A0C"/>
    <w:rsid w:val="478657BA"/>
    <w:rsid w:val="47866445"/>
    <w:rsid w:val="478758D4"/>
    <w:rsid w:val="47881934"/>
    <w:rsid w:val="478832E0"/>
    <w:rsid w:val="478876EB"/>
    <w:rsid w:val="47887784"/>
    <w:rsid w:val="478A34FC"/>
    <w:rsid w:val="478A52AA"/>
    <w:rsid w:val="478B438F"/>
    <w:rsid w:val="478B6E25"/>
    <w:rsid w:val="478C11D2"/>
    <w:rsid w:val="478C20D3"/>
    <w:rsid w:val="478D25DE"/>
    <w:rsid w:val="478D4D9A"/>
    <w:rsid w:val="478F0B12"/>
    <w:rsid w:val="478F28C0"/>
    <w:rsid w:val="478F4ECF"/>
    <w:rsid w:val="47911556"/>
    <w:rsid w:val="4791488A"/>
    <w:rsid w:val="47916988"/>
    <w:rsid w:val="479223B1"/>
    <w:rsid w:val="479228B4"/>
    <w:rsid w:val="47925F0D"/>
    <w:rsid w:val="47930F57"/>
    <w:rsid w:val="47946129"/>
    <w:rsid w:val="47947ED7"/>
    <w:rsid w:val="47950C90"/>
    <w:rsid w:val="47952A78"/>
    <w:rsid w:val="479559FD"/>
    <w:rsid w:val="4795752F"/>
    <w:rsid w:val="47963F38"/>
    <w:rsid w:val="47967B95"/>
    <w:rsid w:val="47975C19"/>
    <w:rsid w:val="47983D8B"/>
    <w:rsid w:val="47990732"/>
    <w:rsid w:val="4799729B"/>
    <w:rsid w:val="479A3013"/>
    <w:rsid w:val="479C04F0"/>
    <w:rsid w:val="479D32E5"/>
    <w:rsid w:val="479D7445"/>
    <w:rsid w:val="479E0D55"/>
    <w:rsid w:val="479E26CA"/>
    <w:rsid w:val="479E2B03"/>
    <w:rsid w:val="479E2D8D"/>
    <w:rsid w:val="479E3B5A"/>
    <w:rsid w:val="479E6FA7"/>
    <w:rsid w:val="479E777A"/>
    <w:rsid w:val="479F625D"/>
    <w:rsid w:val="47A00CCD"/>
    <w:rsid w:val="47A01EDC"/>
    <w:rsid w:val="47A04ACD"/>
    <w:rsid w:val="47A07E0C"/>
    <w:rsid w:val="47A10846"/>
    <w:rsid w:val="47A1104B"/>
    <w:rsid w:val="47A125F4"/>
    <w:rsid w:val="47A143A2"/>
    <w:rsid w:val="47A22AD5"/>
    <w:rsid w:val="47A25BB7"/>
    <w:rsid w:val="47A3011A"/>
    <w:rsid w:val="47A31482"/>
    <w:rsid w:val="47A3275F"/>
    <w:rsid w:val="47A33C78"/>
    <w:rsid w:val="47A369BF"/>
    <w:rsid w:val="47A36FA7"/>
    <w:rsid w:val="47A45C40"/>
    <w:rsid w:val="47A50F64"/>
    <w:rsid w:val="47A520E4"/>
    <w:rsid w:val="47A53A18"/>
    <w:rsid w:val="47A623FA"/>
    <w:rsid w:val="47A633EB"/>
    <w:rsid w:val="47A660FE"/>
    <w:rsid w:val="47A67F81"/>
    <w:rsid w:val="47A773BE"/>
    <w:rsid w:val="47A84274"/>
    <w:rsid w:val="47A85461"/>
    <w:rsid w:val="47A8634D"/>
    <w:rsid w:val="47A93BD6"/>
    <w:rsid w:val="47A95AF7"/>
    <w:rsid w:val="47AA383E"/>
    <w:rsid w:val="47AA594C"/>
    <w:rsid w:val="47AA76FA"/>
    <w:rsid w:val="47AA78DA"/>
    <w:rsid w:val="47AB17F6"/>
    <w:rsid w:val="47AB3C7C"/>
    <w:rsid w:val="47AB5220"/>
    <w:rsid w:val="47AB6FCE"/>
    <w:rsid w:val="47AC3472"/>
    <w:rsid w:val="47AC615E"/>
    <w:rsid w:val="47AC7019"/>
    <w:rsid w:val="47AC7234"/>
    <w:rsid w:val="47AD0F98"/>
    <w:rsid w:val="47AD2C6C"/>
    <w:rsid w:val="47AD2F34"/>
    <w:rsid w:val="47AD3173"/>
    <w:rsid w:val="47AD71EA"/>
    <w:rsid w:val="47AD75EE"/>
    <w:rsid w:val="47AE203A"/>
    <w:rsid w:val="47AE6FD8"/>
    <w:rsid w:val="47AF6FFB"/>
    <w:rsid w:val="47B02837"/>
    <w:rsid w:val="47B03BC4"/>
    <w:rsid w:val="47B076B0"/>
    <w:rsid w:val="47B07CA9"/>
    <w:rsid w:val="47B10B40"/>
    <w:rsid w:val="47B16CD9"/>
    <w:rsid w:val="47B2002A"/>
    <w:rsid w:val="47B24801"/>
    <w:rsid w:val="47B36F9E"/>
    <w:rsid w:val="47B40579"/>
    <w:rsid w:val="47B4150E"/>
    <w:rsid w:val="47B50951"/>
    <w:rsid w:val="47B53C54"/>
    <w:rsid w:val="47B541E6"/>
    <w:rsid w:val="47B56C3D"/>
    <w:rsid w:val="47B60AAF"/>
    <w:rsid w:val="47B60D63"/>
    <w:rsid w:val="47B63522"/>
    <w:rsid w:val="47B642F1"/>
    <w:rsid w:val="47B73EFD"/>
    <w:rsid w:val="47B839DD"/>
    <w:rsid w:val="47B90762"/>
    <w:rsid w:val="47B91EA3"/>
    <w:rsid w:val="47B9344D"/>
    <w:rsid w:val="47B95B8F"/>
    <w:rsid w:val="47B972D2"/>
    <w:rsid w:val="47BA1E86"/>
    <w:rsid w:val="47BA20C4"/>
    <w:rsid w:val="47BA3333"/>
    <w:rsid w:val="47BA5463"/>
    <w:rsid w:val="47BB1907"/>
    <w:rsid w:val="47BB3584"/>
    <w:rsid w:val="47BB36B5"/>
    <w:rsid w:val="47BB52E5"/>
    <w:rsid w:val="47BC11DC"/>
    <w:rsid w:val="47BC567F"/>
    <w:rsid w:val="47BE4F54"/>
    <w:rsid w:val="47BE6780"/>
    <w:rsid w:val="47BF45D4"/>
    <w:rsid w:val="47BF47C2"/>
    <w:rsid w:val="47C00CCC"/>
    <w:rsid w:val="47C01A50"/>
    <w:rsid w:val="47C02BAC"/>
    <w:rsid w:val="47C03612"/>
    <w:rsid w:val="47C11DEE"/>
    <w:rsid w:val="47C22C96"/>
    <w:rsid w:val="47C307BC"/>
    <w:rsid w:val="47C31D1B"/>
    <w:rsid w:val="47C3256A"/>
    <w:rsid w:val="47C337F0"/>
    <w:rsid w:val="47C441CA"/>
    <w:rsid w:val="47C45875"/>
    <w:rsid w:val="47C47D13"/>
    <w:rsid w:val="47C54018"/>
    <w:rsid w:val="47C54534"/>
    <w:rsid w:val="47C6205A"/>
    <w:rsid w:val="47C63E08"/>
    <w:rsid w:val="47C66004"/>
    <w:rsid w:val="47C67716"/>
    <w:rsid w:val="47C702AC"/>
    <w:rsid w:val="47C76857"/>
    <w:rsid w:val="47C841F6"/>
    <w:rsid w:val="47C86719"/>
    <w:rsid w:val="47C86AEF"/>
    <w:rsid w:val="47C87B80"/>
    <w:rsid w:val="47C949C9"/>
    <w:rsid w:val="47CA38F8"/>
    <w:rsid w:val="47CA56A6"/>
    <w:rsid w:val="47CA7D9C"/>
    <w:rsid w:val="47CB3C26"/>
    <w:rsid w:val="47CB6EA5"/>
    <w:rsid w:val="47CB7671"/>
    <w:rsid w:val="47CC4A9D"/>
    <w:rsid w:val="47CC58C3"/>
    <w:rsid w:val="47CD17A9"/>
    <w:rsid w:val="47CD33E9"/>
    <w:rsid w:val="47CD5197"/>
    <w:rsid w:val="47CE2C39"/>
    <w:rsid w:val="47CF3E67"/>
    <w:rsid w:val="47D04464"/>
    <w:rsid w:val="47D054F0"/>
    <w:rsid w:val="47D06A35"/>
    <w:rsid w:val="47D06E67"/>
    <w:rsid w:val="47D12ED9"/>
    <w:rsid w:val="47D15BA1"/>
    <w:rsid w:val="47D16F73"/>
    <w:rsid w:val="47D209FF"/>
    <w:rsid w:val="47D261CA"/>
    <w:rsid w:val="47D26C51"/>
    <w:rsid w:val="47D41223"/>
    <w:rsid w:val="47D43FA3"/>
    <w:rsid w:val="47D44777"/>
    <w:rsid w:val="47D4735A"/>
    <w:rsid w:val="47D521BC"/>
    <w:rsid w:val="47D52754"/>
    <w:rsid w:val="47D546FC"/>
    <w:rsid w:val="47D54E52"/>
    <w:rsid w:val="47D64298"/>
    <w:rsid w:val="47D66741"/>
    <w:rsid w:val="47D70F78"/>
    <w:rsid w:val="47D7285B"/>
    <w:rsid w:val="47D74267"/>
    <w:rsid w:val="47D7488F"/>
    <w:rsid w:val="47D90183"/>
    <w:rsid w:val="47DA5C9D"/>
    <w:rsid w:val="47DC362C"/>
    <w:rsid w:val="47DE55F6"/>
    <w:rsid w:val="47DF4AF8"/>
    <w:rsid w:val="47E04ECA"/>
    <w:rsid w:val="47E10C42"/>
    <w:rsid w:val="47E14962"/>
    <w:rsid w:val="47E210AF"/>
    <w:rsid w:val="47E23E27"/>
    <w:rsid w:val="47E23F21"/>
    <w:rsid w:val="47E250E6"/>
    <w:rsid w:val="47E26E94"/>
    <w:rsid w:val="47E30E5E"/>
    <w:rsid w:val="47E30FB0"/>
    <w:rsid w:val="47E31903"/>
    <w:rsid w:val="47E33329"/>
    <w:rsid w:val="47E37174"/>
    <w:rsid w:val="47E47287"/>
    <w:rsid w:val="47E50732"/>
    <w:rsid w:val="47E55814"/>
    <w:rsid w:val="47E56984"/>
    <w:rsid w:val="47E66258"/>
    <w:rsid w:val="47E726FC"/>
    <w:rsid w:val="47E744AA"/>
    <w:rsid w:val="47E75739"/>
    <w:rsid w:val="47EA5D49"/>
    <w:rsid w:val="47EA7812"/>
    <w:rsid w:val="47EB7C0A"/>
    <w:rsid w:val="47EC3C2C"/>
    <w:rsid w:val="47ED3A8B"/>
    <w:rsid w:val="47ED75E7"/>
    <w:rsid w:val="47EE0AE2"/>
    <w:rsid w:val="47EE5F11"/>
    <w:rsid w:val="47EF335F"/>
    <w:rsid w:val="47EF36B3"/>
    <w:rsid w:val="47EF4992"/>
    <w:rsid w:val="47F007D2"/>
    <w:rsid w:val="47F00E85"/>
    <w:rsid w:val="47F129F2"/>
    <w:rsid w:val="47F15329"/>
    <w:rsid w:val="47F15B06"/>
    <w:rsid w:val="47F22E4F"/>
    <w:rsid w:val="47F23D25"/>
    <w:rsid w:val="47F27463"/>
    <w:rsid w:val="47F44758"/>
    <w:rsid w:val="47F53320"/>
    <w:rsid w:val="47F5689C"/>
    <w:rsid w:val="47F56B00"/>
    <w:rsid w:val="47F56E2D"/>
    <w:rsid w:val="47F609B5"/>
    <w:rsid w:val="47F60B91"/>
    <w:rsid w:val="47F67274"/>
    <w:rsid w:val="47F771D2"/>
    <w:rsid w:val="47F82926"/>
    <w:rsid w:val="47F832D5"/>
    <w:rsid w:val="47F866B8"/>
    <w:rsid w:val="47F92430"/>
    <w:rsid w:val="47F941DE"/>
    <w:rsid w:val="47F971F9"/>
    <w:rsid w:val="47FA07C6"/>
    <w:rsid w:val="47FA1A52"/>
    <w:rsid w:val="47FA38D4"/>
    <w:rsid w:val="47FB01C7"/>
    <w:rsid w:val="47FB44C2"/>
    <w:rsid w:val="47FC782A"/>
    <w:rsid w:val="47FD13AC"/>
    <w:rsid w:val="47FD5FB7"/>
    <w:rsid w:val="47FE05D7"/>
    <w:rsid w:val="47FE17F4"/>
    <w:rsid w:val="47FE35A2"/>
    <w:rsid w:val="47FE5A06"/>
    <w:rsid w:val="47FE6B56"/>
    <w:rsid w:val="47FF2516"/>
    <w:rsid w:val="48015372"/>
    <w:rsid w:val="480212E4"/>
    <w:rsid w:val="48024364"/>
    <w:rsid w:val="48027536"/>
    <w:rsid w:val="48030BB8"/>
    <w:rsid w:val="480331A8"/>
    <w:rsid w:val="4803505C"/>
    <w:rsid w:val="480439F2"/>
    <w:rsid w:val="48050DD4"/>
    <w:rsid w:val="48054931"/>
    <w:rsid w:val="480701F9"/>
    <w:rsid w:val="48074B4D"/>
    <w:rsid w:val="48076217"/>
    <w:rsid w:val="48076830"/>
    <w:rsid w:val="48081689"/>
    <w:rsid w:val="48084421"/>
    <w:rsid w:val="480908C5"/>
    <w:rsid w:val="48096DEF"/>
    <w:rsid w:val="480A0199"/>
    <w:rsid w:val="480A497D"/>
    <w:rsid w:val="480B16F8"/>
    <w:rsid w:val="480C27B0"/>
    <w:rsid w:val="480C5CBF"/>
    <w:rsid w:val="480D1A37"/>
    <w:rsid w:val="480D2ECF"/>
    <w:rsid w:val="480D3A23"/>
    <w:rsid w:val="480F1EC9"/>
    <w:rsid w:val="480F698B"/>
    <w:rsid w:val="48102E0A"/>
    <w:rsid w:val="4810559E"/>
    <w:rsid w:val="48113E7C"/>
    <w:rsid w:val="481335BB"/>
    <w:rsid w:val="48135CA4"/>
    <w:rsid w:val="4816381B"/>
    <w:rsid w:val="48164D90"/>
    <w:rsid w:val="48166B3E"/>
    <w:rsid w:val="481728B6"/>
    <w:rsid w:val="48174664"/>
    <w:rsid w:val="48175F8B"/>
    <w:rsid w:val="48187706"/>
    <w:rsid w:val="48194880"/>
    <w:rsid w:val="481A32B8"/>
    <w:rsid w:val="481A3A9E"/>
    <w:rsid w:val="481B03A7"/>
    <w:rsid w:val="481B7D99"/>
    <w:rsid w:val="481C1708"/>
    <w:rsid w:val="481C5453"/>
    <w:rsid w:val="481C5974"/>
    <w:rsid w:val="481D46A7"/>
    <w:rsid w:val="481E3C44"/>
    <w:rsid w:val="481E5F6E"/>
    <w:rsid w:val="481F0514"/>
    <w:rsid w:val="481F7DA1"/>
    <w:rsid w:val="4820176A"/>
    <w:rsid w:val="482024E1"/>
    <w:rsid w:val="4820514C"/>
    <w:rsid w:val="48217291"/>
    <w:rsid w:val="48222DFE"/>
    <w:rsid w:val="48223734"/>
    <w:rsid w:val="4822619B"/>
    <w:rsid w:val="48230148"/>
    <w:rsid w:val="482374AD"/>
    <w:rsid w:val="48240939"/>
    <w:rsid w:val="482572DD"/>
    <w:rsid w:val="48264C12"/>
    <w:rsid w:val="48270D4B"/>
    <w:rsid w:val="48271B15"/>
    <w:rsid w:val="48280C73"/>
    <w:rsid w:val="48284AC3"/>
    <w:rsid w:val="48284B85"/>
    <w:rsid w:val="482956CE"/>
    <w:rsid w:val="482A0151"/>
    <w:rsid w:val="482A4397"/>
    <w:rsid w:val="482C010F"/>
    <w:rsid w:val="482C45B3"/>
    <w:rsid w:val="482C6361"/>
    <w:rsid w:val="482C6F4F"/>
    <w:rsid w:val="482D24CD"/>
    <w:rsid w:val="482D331C"/>
    <w:rsid w:val="482D40C1"/>
    <w:rsid w:val="482D533B"/>
    <w:rsid w:val="482E032B"/>
    <w:rsid w:val="482E0CD0"/>
    <w:rsid w:val="482E20D9"/>
    <w:rsid w:val="482E26AD"/>
    <w:rsid w:val="482E4215"/>
    <w:rsid w:val="482F437A"/>
    <w:rsid w:val="482F5E51"/>
    <w:rsid w:val="482F78C2"/>
    <w:rsid w:val="482F7BFF"/>
    <w:rsid w:val="48303B1D"/>
    <w:rsid w:val="48307A7F"/>
    <w:rsid w:val="4831274A"/>
    <w:rsid w:val="48316A2C"/>
    <w:rsid w:val="4832149E"/>
    <w:rsid w:val="483248F6"/>
    <w:rsid w:val="483416BA"/>
    <w:rsid w:val="48343468"/>
    <w:rsid w:val="48346A87"/>
    <w:rsid w:val="48361003"/>
    <w:rsid w:val="483671E0"/>
    <w:rsid w:val="48375B97"/>
    <w:rsid w:val="48382E4F"/>
    <w:rsid w:val="48382F58"/>
    <w:rsid w:val="48384884"/>
    <w:rsid w:val="48384D06"/>
    <w:rsid w:val="48387928"/>
    <w:rsid w:val="48390A7E"/>
    <w:rsid w:val="483944E7"/>
    <w:rsid w:val="483978C3"/>
    <w:rsid w:val="483A329A"/>
    <w:rsid w:val="483B2A48"/>
    <w:rsid w:val="483B47F6"/>
    <w:rsid w:val="483D231C"/>
    <w:rsid w:val="483D554C"/>
    <w:rsid w:val="483E5A6A"/>
    <w:rsid w:val="483E6094"/>
    <w:rsid w:val="483E7E42"/>
    <w:rsid w:val="483F4329"/>
    <w:rsid w:val="48403BBB"/>
    <w:rsid w:val="4840749F"/>
    <w:rsid w:val="48412F5B"/>
    <w:rsid w:val="48417FBB"/>
    <w:rsid w:val="48427933"/>
    <w:rsid w:val="4843177B"/>
    <w:rsid w:val="4843519B"/>
    <w:rsid w:val="48443890"/>
    <w:rsid w:val="48446D0B"/>
    <w:rsid w:val="48452CF3"/>
    <w:rsid w:val="48455675"/>
    <w:rsid w:val="48457423"/>
    <w:rsid w:val="48461719"/>
    <w:rsid w:val="48480CC1"/>
    <w:rsid w:val="4848435F"/>
    <w:rsid w:val="48486B1C"/>
    <w:rsid w:val="48491348"/>
    <w:rsid w:val="48497FAC"/>
    <w:rsid w:val="484A4A39"/>
    <w:rsid w:val="484B6D5E"/>
    <w:rsid w:val="484C0B9B"/>
    <w:rsid w:val="484C255F"/>
    <w:rsid w:val="484C36DA"/>
    <w:rsid w:val="484C6A03"/>
    <w:rsid w:val="484D103A"/>
    <w:rsid w:val="484D3E77"/>
    <w:rsid w:val="484D62D8"/>
    <w:rsid w:val="484E277B"/>
    <w:rsid w:val="484E4529"/>
    <w:rsid w:val="484E555F"/>
    <w:rsid w:val="484F02A2"/>
    <w:rsid w:val="484F2050"/>
    <w:rsid w:val="484F3DFE"/>
    <w:rsid w:val="484F69EF"/>
    <w:rsid w:val="484F7E16"/>
    <w:rsid w:val="48505176"/>
    <w:rsid w:val="48510A04"/>
    <w:rsid w:val="48515DC8"/>
    <w:rsid w:val="48535370"/>
    <w:rsid w:val="48547666"/>
    <w:rsid w:val="485506F0"/>
    <w:rsid w:val="485633DE"/>
    <w:rsid w:val="4856782D"/>
    <w:rsid w:val="485756B9"/>
    <w:rsid w:val="48587156"/>
    <w:rsid w:val="48593316"/>
    <w:rsid w:val="48594C7C"/>
    <w:rsid w:val="485B27A2"/>
    <w:rsid w:val="485C3F8A"/>
    <w:rsid w:val="485E2483"/>
    <w:rsid w:val="485F3BCB"/>
    <w:rsid w:val="486036BB"/>
    <w:rsid w:val="4860425D"/>
    <w:rsid w:val="48604E73"/>
    <w:rsid w:val="48621D83"/>
    <w:rsid w:val="48623B31"/>
    <w:rsid w:val="48627FD5"/>
    <w:rsid w:val="48634E65"/>
    <w:rsid w:val="486378A9"/>
    <w:rsid w:val="486419EF"/>
    <w:rsid w:val="48644856"/>
    <w:rsid w:val="48644DAE"/>
    <w:rsid w:val="48653621"/>
    <w:rsid w:val="48657AC5"/>
    <w:rsid w:val="4866616C"/>
    <w:rsid w:val="4866760A"/>
    <w:rsid w:val="48671147"/>
    <w:rsid w:val="4867383D"/>
    <w:rsid w:val="486755EB"/>
    <w:rsid w:val="486758C4"/>
    <w:rsid w:val="48677399"/>
    <w:rsid w:val="48684EBF"/>
    <w:rsid w:val="48687777"/>
    <w:rsid w:val="48692167"/>
    <w:rsid w:val="48693111"/>
    <w:rsid w:val="4869579D"/>
    <w:rsid w:val="486A1B54"/>
    <w:rsid w:val="486A50DB"/>
    <w:rsid w:val="486A5733"/>
    <w:rsid w:val="486C2C02"/>
    <w:rsid w:val="486C32C4"/>
    <w:rsid w:val="486D24D6"/>
    <w:rsid w:val="486D3554"/>
    <w:rsid w:val="486D39D0"/>
    <w:rsid w:val="486E0728"/>
    <w:rsid w:val="486E697A"/>
    <w:rsid w:val="486F1F5B"/>
    <w:rsid w:val="486F26F2"/>
    <w:rsid w:val="486F44A0"/>
    <w:rsid w:val="486F624E"/>
    <w:rsid w:val="486F683E"/>
    <w:rsid w:val="4870272E"/>
    <w:rsid w:val="48713109"/>
    <w:rsid w:val="4871646A"/>
    <w:rsid w:val="48721D89"/>
    <w:rsid w:val="48724537"/>
    <w:rsid w:val="48726579"/>
    <w:rsid w:val="48735D3E"/>
    <w:rsid w:val="487371AA"/>
    <w:rsid w:val="48741AB6"/>
    <w:rsid w:val="48745059"/>
    <w:rsid w:val="48751DE7"/>
    <w:rsid w:val="48761B9A"/>
    <w:rsid w:val="487628BC"/>
    <w:rsid w:val="4876582E"/>
    <w:rsid w:val="48765C2C"/>
    <w:rsid w:val="487675DC"/>
    <w:rsid w:val="48783354"/>
    <w:rsid w:val="487844BA"/>
    <w:rsid w:val="48784822"/>
    <w:rsid w:val="48785BFB"/>
    <w:rsid w:val="487877F8"/>
    <w:rsid w:val="4879594A"/>
    <w:rsid w:val="48796AC2"/>
    <w:rsid w:val="487B2E45"/>
    <w:rsid w:val="487B457C"/>
    <w:rsid w:val="487B5E31"/>
    <w:rsid w:val="487C41DD"/>
    <w:rsid w:val="487D1696"/>
    <w:rsid w:val="487D4E0F"/>
    <w:rsid w:val="487D6BBD"/>
    <w:rsid w:val="487E3540"/>
    <w:rsid w:val="487E46E3"/>
    <w:rsid w:val="487E6B64"/>
    <w:rsid w:val="487F0B87"/>
    <w:rsid w:val="487F1CB7"/>
    <w:rsid w:val="4880045B"/>
    <w:rsid w:val="48802209"/>
    <w:rsid w:val="488066AD"/>
    <w:rsid w:val="488137F7"/>
    <w:rsid w:val="48815F68"/>
    <w:rsid w:val="48816465"/>
    <w:rsid w:val="4882187E"/>
    <w:rsid w:val="48823A2B"/>
    <w:rsid w:val="488256DC"/>
    <w:rsid w:val="488271A7"/>
    <w:rsid w:val="4882740D"/>
    <w:rsid w:val="48827FAC"/>
    <w:rsid w:val="4883492F"/>
    <w:rsid w:val="4884419E"/>
    <w:rsid w:val="4885155F"/>
    <w:rsid w:val="488552BE"/>
    <w:rsid w:val="48861061"/>
    <w:rsid w:val="488648AF"/>
    <w:rsid w:val="488717E9"/>
    <w:rsid w:val="488900F6"/>
    <w:rsid w:val="488937B4"/>
    <w:rsid w:val="4889543F"/>
    <w:rsid w:val="48896B80"/>
    <w:rsid w:val="488A12DA"/>
    <w:rsid w:val="488A1A24"/>
    <w:rsid w:val="488A5919"/>
    <w:rsid w:val="488A7D33"/>
    <w:rsid w:val="488C32A4"/>
    <w:rsid w:val="488C5052"/>
    <w:rsid w:val="488D17C0"/>
    <w:rsid w:val="488D5250"/>
    <w:rsid w:val="488E4926"/>
    <w:rsid w:val="488F0507"/>
    <w:rsid w:val="488F069E"/>
    <w:rsid w:val="488F68F0"/>
    <w:rsid w:val="489043E7"/>
    <w:rsid w:val="489108BA"/>
    <w:rsid w:val="489172C2"/>
    <w:rsid w:val="48930205"/>
    <w:rsid w:val="489310C2"/>
    <w:rsid w:val="48934632"/>
    <w:rsid w:val="4894000C"/>
    <w:rsid w:val="48942552"/>
    <w:rsid w:val="48943F06"/>
    <w:rsid w:val="4895082A"/>
    <w:rsid w:val="48952158"/>
    <w:rsid w:val="489565B3"/>
    <w:rsid w:val="48957A03"/>
    <w:rsid w:val="48961F89"/>
    <w:rsid w:val="48967A43"/>
    <w:rsid w:val="48970ED3"/>
    <w:rsid w:val="48972614"/>
    <w:rsid w:val="489772F0"/>
    <w:rsid w:val="48981C49"/>
    <w:rsid w:val="48981DE2"/>
    <w:rsid w:val="489857A5"/>
    <w:rsid w:val="489932CB"/>
    <w:rsid w:val="48997733"/>
    <w:rsid w:val="489A0F95"/>
    <w:rsid w:val="489A151D"/>
    <w:rsid w:val="489A3BEC"/>
    <w:rsid w:val="489A61F3"/>
    <w:rsid w:val="489A7B28"/>
    <w:rsid w:val="489C2BB0"/>
    <w:rsid w:val="489D2FCA"/>
    <w:rsid w:val="489D725F"/>
    <w:rsid w:val="489F0DA6"/>
    <w:rsid w:val="489F1FC0"/>
    <w:rsid w:val="489F2696"/>
    <w:rsid w:val="489F2FD7"/>
    <w:rsid w:val="489F3EAB"/>
    <w:rsid w:val="489F7CCD"/>
    <w:rsid w:val="48A01213"/>
    <w:rsid w:val="48A14702"/>
    <w:rsid w:val="48A169EB"/>
    <w:rsid w:val="48A25794"/>
    <w:rsid w:val="48A26623"/>
    <w:rsid w:val="48A26D97"/>
    <w:rsid w:val="48A31CE5"/>
    <w:rsid w:val="48A32FAC"/>
    <w:rsid w:val="48A41023"/>
    <w:rsid w:val="48A4239B"/>
    <w:rsid w:val="48A51C70"/>
    <w:rsid w:val="48A620C6"/>
    <w:rsid w:val="48A7406F"/>
    <w:rsid w:val="48A759E8"/>
    <w:rsid w:val="48A91760"/>
    <w:rsid w:val="48A92D6C"/>
    <w:rsid w:val="48A95C04"/>
    <w:rsid w:val="48A979B2"/>
    <w:rsid w:val="48AB197C"/>
    <w:rsid w:val="48AB2957"/>
    <w:rsid w:val="48AB372A"/>
    <w:rsid w:val="48AC10BE"/>
    <w:rsid w:val="48AC41F9"/>
    <w:rsid w:val="48AC5A6A"/>
    <w:rsid w:val="48AD5394"/>
    <w:rsid w:val="48AE39F0"/>
    <w:rsid w:val="48AE4043"/>
    <w:rsid w:val="48AE40C6"/>
    <w:rsid w:val="48AF089B"/>
    <w:rsid w:val="48AF2697"/>
    <w:rsid w:val="48B031BB"/>
    <w:rsid w:val="48B06F92"/>
    <w:rsid w:val="48B1391D"/>
    <w:rsid w:val="48B23505"/>
    <w:rsid w:val="48B325DE"/>
    <w:rsid w:val="48B3438D"/>
    <w:rsid w:val="48B40105"/>
    <w:rsid w:val="48B416F7"/>
    <w:rsid w:val="48B445F1"/>
    <w:rsid w:val="48B450E7"/>
    <w:rsid w:val="48B545A9"/>
    <w:rsid w:val="48B55B9D"/>
    <w:rsid w:val="48B60321"/>
    <w:rsid w:val="48B635B4"/>
    <w:rsid w:val="48B6376D"/>
    <w:rsid w:val="48B67A32"/>
    <w:rsid w:val="48B67EA8"/>
    <w:rsid w:val="48B71A05"/>
    <w:rsid w:val="48B84099"/>
    <w:rsid w:val="48B87BF5"/>
    <w:rsid w:val="48B9451E"/>
    <w:rsid w:val="48B9571B"/>
    <w:rsid w:val="48B97DF2"/>
    <w:rsid w:val="48BA191A"/>
    <w:rsid w:val="48BB02CE"/>
    <w:rsid w:val="48BB0779"/>
    <w:rsid w:val="48BB14A8"/>
    <w:rsid w:val="48BB472A"/>
    <w:rsid w:val="48BB660B"/>
    <w:rsid w:val="48BB76E5"/>
    <w:rsid w:val="48BC3215"/>
    <w:rsid w:val="48BC4BC1"/>
    <w:rsid w:val="48BC5937"/>
    <w:rsid w:val="48BD345D"/>
    <w:rsid w:val="48BD34D6"/>
    <w:rsid w:val="48BD520B"/>
    <w:rsid w:val="48BF0F83"/>
    <w:rsid w:val="48BF2D31"/>
    <w:rsid w:val="48BF4C5C"/>
    <w:rsid w:val="48BF5427"/>
    <w:rsid w:val="48BF7A3C"/>
    <w:rsid w:val="48C102B3"/>
    <w:rsid w:val="48C12F4D"/>
    <w:rsid w:val="48C14371"/>
    <w:rsid w:val="48C22822"/>
    <w:rsid w:val="48C42A3E"/>
    <w:rsid w:val="48C42E11"/>
    <w:rsid w:val="48C437EC"/>
    <w:rsid w:val="48C43EB7"/>
    <w:rsid w:val="48C505DF"/>
    <w:rsid w:val="48C540C0"/>
    <w:rsid w:val="48C55692"/>
    <w:rsid w:val="48C61329"/>
    <w:rsid w:val="48C62089"/>
    <w:rsid w:val="48C64B1F"/>
    <w:rsid w:val="48C72033"/>
    <w:rsid w:val="48C742B4"/>
    <w:rsid w:val="48C742DC"/>
    <w:rsid w:val="48C753E1"/>
    <w:rsid w:val="48C7608A"/>
    <w:rsid w:val="48C77E38"/>
    <w:rsid w:val="48C80E56"/>
    <w:rsid w:val="48C93BB0"/>
    <w:rsid w:val="48CB0B60"/>
    <w:rsid w:val="48CB1276"/>
    <w:rsid w:val="48CB3DCC"/>
    <w:rsid w:val="48CB4496"/>
    <w:rsid w:val="48CB5B7A"/>
    <w:rsid w:val="48CC1253"/>
    <w:rsid w:val="48CC18F2"/>
    <w:rsid w:val="48CC307C"/>
    <w:rsid w:val="48CC544E"/>
    <w:rsid w:val="48CC7F68"/>
    <w:rsid w:val="48CD767F"/>
    <w:rsid w:val="48CE00AA"/>
    <w:rsid w:val="48CE18CA"/>
    <w:rsid w:val="48CE253E"/>
    <w:rsid w:val="48CE799F"/>
    <w:rsid w:val="48D0050E"/>
    <w:rsid w:val="48D013E2"/>
    <w:rsid w:val="48D04F3E"/>
    <w:rsid w:val="48D12A65"/>
    <w:rsid w:val="48D13C35"/>
    <w:rsid w:val="48D250C5"/>
    <w:rsid w:val="48D3318F"/>
    <w:rsid w:val="48D47FC4"/>
    <w:rsid w:val="48D5057F"/>
    <w:rsid w:val="48D52E70"/>
    <w:rsid w:val="48D643C6"/>
    <w:rsid w:val="48D66617"/>
    <w:rsid w:val="48D72771"/>
    <w:rsid w:val="48D80297"/>
    <w:rsid w:val="48D80C8F"/>
    <w:rsid w:val="48D840E9"/>
    <w:rsid w:val="48D97C39"/>
    <w:rsid w:val="48DA400F"/>
    <w:rsid w:val="48DA5DBD"/>
    <w:rsid w:val="48DA6428"/>
    <w:rsid w:val="48DA7B6B"/>
    <w:rsid w:val="48DB1B35"/>
    <w:rsid w:val="48DC3E14"/>
    <w:rsid w:val="48DD3AFF"/>
    <w:rsid w:val="48DD4525"/>
    <w:rsid w:val="48DE348E"/>
    <w:rsid w:val="48DE7F6A"/>
    <w:rsid w:val="48DF1625"/>
    <w:rsid w:val="48DF33D4"/>
    <w:rsid w:val="48DF6239"/>
    <w:rsid w:val="48E01423"/>
    <w:rsid w:val="48E04A06"/>
    <w:rsid w:val="48E21116"/>
    <w:rsid w:val="48E23A2A"/>
    <w:rsid w:val="48E24C72"/>
    <w:rsid w:val="48E409EA"/>
    <w:rsid w:val="48E40BB4"/>
    <w:rsid w:val="48E44E8E"/>
    <w:rsid w:val="48E46C3C"/>
    <w:rsid w:val="48E50A71"/>
    <w:rsid w:val="48E520AB"/>
    <w:rsid w:val="48E5353B"/>
    <w:rsid w:val="48E56215"/>
    <w:rsid w:val="48E63C26"/>
    <w:rsid w:val="48E64762"/>
    <w:rsid w:val="48E704DA"/>
    <w:rsid w:val="48E72F9F"/>
    <w:rsid w:val="48E7655B"/>
    <w:rsid w:val="48E80ABB"/>
    <w:rsid w:val="48E924A4"/>
    <w:rsid w:val="48E93727"/>
    <w:rsid w:val="48E95CD0"/>
    <w:rsid w:val="48EA246C"/>
    <w:rsid w:val="48EA27C2"/>
    <w:rsid w:val="48EA5F1D"/>
    <w:rsid w:val="48EB6E07"/>
    <w:rsid w:val="48EB73AD"/>
    <w:rsid w:val="48EC2EA4"/>
    <w:rsid w:val="48EC3A55"/>
    <w:rsid w:val="48EC5AF0"/>
    <w:rsid w:val="48EE6DB8"/>
    <w:rsid w:val="48F00331"/>
    <w:rsid w:val="48F13107"/>
    <w:rsid w:val="48F232BB"/>
    <w:rsid w:val="48F350D1"/>
    <w:rsid w:val="48F36C23"/>
    <w:rsid w:val="48F37D5F"/>
    <w:rsid w:val="48F50E49"/>
    <w:rsid w:val="48F60662"/>
    <w:rsid w:val="48F6071D"/>
    <w:rsid w:val="48F60B83"/>
    <w:rsid w:val="48F650FE"/>
    <w:rsid w:val="48F74BC1"/>
    <w:rsid w:val="48F75950"/>
    <w:rsid w:val="48F77A6B"/>
    <w:rsid w:val="48F84495"/>
    <w:rsid w:val="48FA1700"/>
    <w:rsid w:val="48FB64CA"/>
    <w:rsid w:val="48FB6EA2"/>
    <w:rsid w:val="48FC3F85"/>
    <w:rsid w:val="48FC6BF1"/>
    <w:rsid w:val="48FD1AAC"/>
    <w:rsid w:val="48FD1C9F"/>
    <w:rsid w:val="48FD385A"/>
    <w:rsid w:val="48FD6371"/>
    <w:rsid w:val="48FD7CFE"/>
    <w:rsid w:val="48FE2EEB"/>
    <w:rsid w:val="48FF3A76"/>
    <w:rsid w:val="48FF5823"/>
    <w:rsid w:val="49000B27"/>
    <w:rsid w:val="49001FC6"/>
    <w:rsid w:val="49003E49"/>
    <w:rsid w:val="49005F90"/>
    <w:rsid w:val="490134DA"/>
    <w:rsid w:val="490177EE"/>
    <w:rsid w:val="49022A62"/>
    <w:rsid w:val="49024D26"/>
    <w:rsid w:val="490270C2"/>
    <w:rsid w:val="49033566"/>
    <w:rsid w:val="49042E3A"/>
    <w:rsid w:val="49044CF9"/>
    <w:rsid w:val="4906083C"/>
    <w:rsid w:val="49060960"/>
    <w:rsid w:val="4906149B"/>
    <w:rsid w:val="4906240B"/>
    <w:rsid w:val="49064E04"/>
    <w:rsid w:val="49071871"/>
    <w:rsid w:val="49072407"/>
    <w:rsid w:val="49072873"/>
    <w:rsid w:val="4907292A"/>
    <w:rsid w:val="49073CEA"/>
    <w:rsid w:val="4908545F"/>
    <w:rsid w:val="49086CBA"/>
    <w:rsid w:val="490B30CE"/>
    <w:rsid w:val="490B41C9"/>
    <w:rsid w:val="490C1CEF"/>
    <w:rsid w:val="490C532B"/>
    <w:rsid w:val="490C66E5"/>
    <w:rsid w:val="490C7F41"/>
    <w:rsid w:val="490D68EC"/>
    <w:rsid w:val="490D6AEC"/>
    <w:rsid w:val="490E1F0B"/>
    <w:rsid w:val="490E2BA5"/>
    <w:rsid w:val="490E3CB9"/>
    <w:rsid w:val="490E5A67"/>
    <w:rsid w:val="490F3BD6"/>
    <w:rsid w:val="49105C83"/>
    <w:rsid w:val="49107A31"/>
    <w:rsid w:val="49110E87"/>
    <w:rsid w:val="4911229A"/>
    <w:rsid w:val="491204F8"/>
    <w:rsid w:val="49120648"/>
    <w:rsid w:val="49122557"/>
    <w:rsid w:val="491237A9"/>
    <w:rsid w:val="49134D90"/>
    <w:rsid w:val="491357D2"/>
    <w:rsid w:val="4913770C"/>
    <w:rsid w:val="49140CE6"/>
    <w:rsid w:val="49145F1B"/>
    <w:rsid w:val="491465B8"/>
    <w:rsid w:val="49153299"/>
    <w:rsid w:val="49155047"/>
    <w:rsid w:val="4916491B"/>
    <w:rsid w:val="49172B6D"/>
    <w:rsid w:val="49180D41"/>
    <w:rsid w:val="49195282"/>
    <w:rsid w:val="491A1FFD"/>
    <w:rsid w:val="491A265E"/>
    <w:rsid w:val="491A440C"/>
    <w:rsid w:val="491B2179"/>
    <w:rsid w:val="491C0184"/>
    <w:rsid w:val="491D1E84"/>
    <w:rsid w:val="491F5EC6"/>
    <w:rsid w:val="491F73B0"/>
    <w:rsid w:val="4920510A"/>
    <w:rsid w:val="49213DDA"/>
    <w:rsid w:val="492178D9"/>
    <w:rsid w:val="49221512"/>
    <w:rsid w:val="4922511E"/>
    <w:rsid w:val="4922747B"/>
    <w:rsid w:val="49227764"/>
    <w:rsid w:val="492334DC"/>
    <w:rsid w:val="49234B95"/>
    <w:rsid w:val="49235BC9"/>
    <w:rsid w:val="492360EA"/>
    <w:rsid w:val="492434DC"/>
    <w:rsid w:val="4924528A"/>
    <w:rsid w:val="49247038"/>
    <w:rsid w:val="49256A9E"/>
    <w:rsid w:val="49261002"/>
    <w:rsid w:val="49261A50"/>
    <w:rsid w:val="49261CED"/>
    <w:rsid w:val="49262024"/>
    <w:rsid w:val="4928157F"/>
    <w:rsid w:val="49283511"/>
    <w:rsid w:val="49284CCC"/>
    <w:rsid w:val="49284D7B"/>
    <w:rsid w:val="492928A1"/>
    <w:rsid w:val="4929464F"/>
    <w:rsid w:val="49296D45"/>
    <w:rsid w:val="492A3415"/>
    <w:rsid w:val="492A52D5"/>
    <w:rsid w:val="492A6A34"/>
    <w:rsid w:val="492B541E"/>
    <w:rsid w:val="492D05E3"/>
    <w:rsid w:val="492D715F"/>
    <w:rsid w:val="492D7675"/>
    <w:rsid w:val="492E435B"/>
    <w:rsid w:val="492E7EB7"/>
    <w:rsid w:val="492F766C"/>
    <w:rsid w:val="493020B6"/>
    <w:rsid w:val="49303C2F"/>
    <w:rsid w:val="49306AFC"/>
    <w:rsid w:val="49311755"/>
    <w:rsid w:val="49314B9D"/>
    <w:rsid w:val="49321345"/>
    <w:rsid w:val="49321B41"/>
    <w:rsid w:val="49325BF9"/>
    <w:rsid w:val="49326ECC"/>
    <w:rsid w:val="493354CD"/>
    <w:rsid w:val="49350632"/>
    <w:rsid w:val="49351245"/>
    <w:rsid w:val="4935447A"/>
    <w:rsid w:val="493556E9"/>
    <w:rsid w:val="49356826"/>
    <w:rsid w:val="49370211"/>
    <w:rsid w:val="49370C84"/>
    <w:rsid w:val="49374FBE"/>
    <w:rsid w:val="49380D36"/>
    <w:rsid w:val="49382AE4"/>
    <w:rsid w:val="49386636"/>
    <w:rsid w:val="49387386"/>
    <w:rsid w:val="493A02D3"/>
    <w:rsid w:val="493A2D00"/>
    <w:rsid w:val="493A4477"/>
    <w:rsid w:val="493B60C3"/>
    <w:rsid w:val="493C3A86"/>
    <w:rsid w:val="493D00FA"/>
    <w:rsid w:val="493D5513"/>
    <w:rsid w:val="493D6C54"/>
    <w:rsid w:val="493E459E"/>
    <w:rsid w:val="493E4CBD"/>
    <w:rsid w:val="493F20C4"/>
    <w:rsid w:val="493F2909"/>
    <w:rsid w:val="49400B9B"/>
    <w:rsid w:val="49400E96"/>
    <w:rsid w:val="49402FF6"/>
    <w:rsid w:val="49404145"/>
    <w:rsid w:val="494055D5"/>
    <w:rsid w:val="49413F52"/>
    <w:rsid w:val="49415E3C"/>
    <w:rsid w:val="49417BEA"/>
    <w:rsid w:val="49423962"/>
    <w:rsid w:val="49425710"/>
    <w:rsid w:val="49431BB4"/>
    <w:rsid w:val="49437E06"/>
    <w:rsid w:val="494440FC"/>
    <w:rsid w:val="49445A59"/>
    <w:rsid w:val="494466E9"/>
    <w:rsid w:val="49463453"/>
    <w:rsid w:val="49471F93"/>
    <w:rsid w:val="494728D7"/>
    <w:rsid w:val="49483D67"/>
    <w:rsid w:val="494871CB"/>
    <w:rsid w:val="49492F43"/>
    <w:rsid w:val="494A6687"/>
    <w:rsid w:val="494B0A69"/>
    <w:rsid w:val="494B2817"/>
    <w:rsid w:val="494B6CBB"/>
    <w:rsid w:val="494C1E13"/>
    <w:rsid w:val="494D15F1"/>
    <w:rsid w:val="494D2A33"/>
    <w:rsid w:val="494D4982"/>
    <w:rsid w:val="494D62C3"/>
    <w:rsid w:val="494D658F"/>
    <w:rsid w:val="494E2307"/>
    <w:rsid w:val="494E6498"/>
    <w:rsid w:val="494F5008"/>
    <w:rsid w:val="494F6B23"/>
    <w:rsid w:val="495024F9"/>
    <w:rsid w:val="49502E5A"/>
    <w:rsid w:val="49507E2D"/>
    <w:rsid w:val="49516378"/>
    <w:rsid w:val="4951655A"/>
    <w:rsid w:val="49520049"/>
    <w:rsid w:val="49520635"/>
    <w:rsid w:val="49535B70"/>
    <w:rsid w:val="4953791E"/>
    <w:rsid w:val="49542533"/>
    <w:rsid w:val="49543DC1"/>
    <w:rsid w:val="495464BF"/>
    <w:rsid w:val="49551025"/>
    <w:rsid w:val="49555444"/>
    <w:rsid w:val="4955698E"/>
    <w:rsid w:val="49557D93"/>
    <w:rsid w:val="49562C1C"/>
    <w:rsid w:val="49567297"/>
    <w:rsid w:val="495723CC"/>
    <w:rsid w:val="4957482F"/>
    <w:rsid w:val="4957740E"/>
    <w:rsid w:val="495777FB"/>
    <w:rsid w:val="495823E7"/>
    <w:rsid w:val="495913D8"/>
    <w:rsid w:val="49593D2F"/>
    <w:rsid w:val="495954E4"/>
    <w:rsid w:val="4959669F"/>
    <w:rsid w:val="495A043C"/>
    <w:rsid w:val="495A2DAB"/>
    <w:rsid w:val="495A5150"/>
    <w:rsid w:val="495A6EFE"/>
    <w:rsid w:val="495B184D"/>
    <w:rsid w:val="495C0735"/>
    <w:rsid w:val="495C7E9F"/>
    <w:rsid w:val="495D50A6"/>
    <w:rsid w:val="495E079C"/>
    <w:rsid w:val="495E4390"/>
    <w:rsid w:val="495E69EE"/>
    <w:rsid w:val="495E76CE"/>
    <w:rsid w:val="495F2766"/>
    <w:rsid w:val="495F62C2"/>
    <w:rsid w:val="49613B5E"/>
    <w:rsid w:val="496164DE"/>
    <w:rsid w:val="4962072E"/>
    <w:rsid w:val="49626A9A"/>
    <w:rsid w:val="49634005"/>
    <w:rsid w:val="49641B2B"/>
    <w:rsid w:val="496438D9"/>
    <w:rsid w:val="49647D7D"/>
    <w:rsid w:val="496549D0"/>
    <w:rsid w:val="49663AF5"/>
    <w:rsid w:val="496658A3"/>
    <w:rsid w:val="49671468"/>
    <w:rsid w:val="49675177"/>
    <w:rsid w:val="4968161B"/>
    <w:rsid w:val="496833C9"/>
    <w:rsid w:val="4969112E"/>
    <w:rsid w:val="49695393"/>
    <w:rsid w:val="4969590D"/>
    <w:rsid w:val="496A2EB7"/>
    <w:rsid w:val="496A5C71"/>
    <w:rsid w:val="496B110B"/>
    <w:rsid w:val="496D09DF"/>
    <w:rsid w:val="496D4E83"/>
    <w:rsid w:val="496E4757"/>
    <w:rsid w:val="496E6505"/>
    <w:rsid w:val="496E7D4E"/>
    <w:rsid w:val="496F6617"/>
    <w:rsid w:val="497003A2"/>
    <w:rsid w:val="4970227E"/>
    <w:rsid w:val="49706721"/>
    <w:rsid w:val="4972249A"/>
    <w:rsid w:val="49724248"/>
    <w:rsid w:val="497418F4"/>
    <w:rsid w:val="49741D4E"/>
    <w:rsid w:val="49747FC0"/>
    <w:rsid w:val="49753D38"/>
    <w:rsid w:val="4977360C"/>
    <w:rsid w:val="497756A4"/>
    <w:rsid w:val="49777864"/>
    <w:rsid w:val="49777AB0"/>
    <w:rsid w:val="49792B95"/>
    <w:rsid w:val="497951A0"/>
    <w:rsid w:val="497955D6"/>
    <w:rsid w:val="49795D3F"/>
    <w:rsid w:val="497A3F01"/>
    <w:rsid w:val="497A68DE"/>
    <w:rsid w:val="497A75A0"/>
    <w:rsid w:val="497B6150"/>
    <w:rsid w:val="497D0401"/>
    <w:rsid w:val="497D499A"/>
    <w:rsid w:val="497E0D7E"/>
    <w:rsid w:val="497E0E3E"/>
    <w:rsid w:val="497E1609"/>
    <w:rsid w:val="497E2BEC"/>
    <w:rsid w:val="497F4DF8"/>
    <w:rsid w:val="497F608A"/>
    <w:rsid w:val="49802A68"/>
    <w:rsid w:val="498031D3"/>
    <w:rsid w:val="49804BB7"/>
    <w:rsid w:val="49805843"/>
    <w:rsid w:val="498126DD"/>
    <w:rsid w:val="49812DB4"/>
    <w:rsid w:val="4981386A"/>
    <w:rsid w:val="4981448B"/>
    <w:rsid w:val="49830203"/>
    <w:rsid w:val="49834E73"/>
    <w:rsid w:val="498367B9"/>
    <w:rsid w:val="498428BC"/>
    <w:rsid w:val="498434BD"/>
    <w:rsid w:val="498477B9"/>
    <w:rsid w:val="498521CD"/>
    <w:rsid w:val="49857986"/>
    <w:rsid w:val="4986127D"/>
    <w:rsid w:val="49861AA1"/>
    <w:rsid w:val="49862E17"/>
    <w:rsid w:val="498643A4"/>
    <w:rsid w:val="4986575E"/>
    <w:rsid w:val="49870082"/>
    <w:rsid w:val="49877D6A"/>
    <w:rsid w:val="4988056C"/>
    <w:rsid w:val="49885819"/>
    <w:rsid w:val="49886F6A"/>
    <w:rsid w:val="49890A96"/>
    <w:rsid w:val="49891591"/>
    <w:rsid w:val="49896475"/>
    <w:rsid w:val="498A2D68"/>
    <w:rsid w:val="498A47D9"/>
    <w:rsid w:val="498A7063"/>
    <w:rsid w:val="498B355B"/>
    <w:rsid w:val="498B5309"/>
    <w:rsid w:val="498B70B7"/>
    <w:rsid w:val="498C100B"/>
    <w:rsid w:val="498C28EA"/>
    <w:rsid w:val="498C63C6"/>
    <w:rsid w:val="498D2E30"/>
    <w:rsid w:val="498D72D3"/>
    <w:rsid w:val="498E0956"/>
    <w:rsid w:val="498E6BA8"/>
    <w:rsid w:val="498E7C32"/>
    <w:rsid w:val="498F2280"/>
    <w:rsid w:val="498F4DFA"/>
    <w:rsid w:val="49912E68"/>
    <w:rsid w:val="49913955"/>
    <w:rsid w:val="49933F80"/>
    <w:rsid w:val="49934807"/>
    <w:rsid w:val="49940662"/>
    <w:rsid w:val="49943AFA"/>
    <w:rsid w:val="49950C2D"/>
    <w:rsid w:val="49951CE4"/>
    <w:rsid w:val="49952666"/>
    <w:rsid w:val="499526A9"/>
    <w:rsid w:val="49957F36"/>
    <w:rsid w:val="49963040"/>
    <w:rsid w:val="49970D05"/>
    <w:rsid w:val="49974C8E"/>
    <w:rsid w:val="49975A5C"/>
    <w:rsid w:val="49980479"/>
    <w:rsid w:val="49983E50"/>
    <w:rsid w:val="49990697"/>
    <w:rsid w:val="499917D4"/>
    <w:rsid w:val="49995C78"/>
    <w:rsid w:val="499A335D"/>
    <w:rsid w:val="499A554C"/>
    <w:rsid w:val="499A5CF7"/>
    <w:rsid w:val="499B5D88"/>
    <w:rsid w:val="499C3073"/>
    <w:rsid w:val="499D06D1"/>
    <w:rsid w:val="499E6DEB"/>
    <w:rsid w:val="499F2B63"/>
    <w:rsid w:val="499F2EC4"/>
    <w:rsid w:val="49A07007"/>
    <w:rsid w:val="49A12900"/>
    <w:rsid w:val="49A315E5"/>
    <w:rsid w:val="49A32480"/>
    <w:rsid w:val="49A3420A"/>
    <w:rsid w:val="49A44BF6"/>
    <w:rsid w:val="49A61BB2"/>
    <w:rsid w:val="49A62B1B"/>
    <w:rsid w:val="49A62C56"/>
    <w:rsid w:val="49A632F3"/>
    <w:rsid w:val="49A63EF1"/>
    <w:rsid w:val="49A73042"/>
    <w:rsid w:val="49A776CE"/>
    <w:rsid w:val="49A95790"/>
    <w:rsid w:val="49AA19C3"/>
    <w:rsid w:val="49AA1C33"/>
    <w:rsid w:val="49AA3104"/>
    <w:rsid w:val="49AA7441"/>
    <w:rsid w:val="49AB1508"/>
    <w:rsid w:val="49AB59AC"/>
    <w:rsid w:val="49AC538B"/>
    <w:rsid w:val="49AD5280"/>
    <w:rsid w:val="49AD702E"/>
    <w:rsid w:val="49AE2DA6"/>
    <w:rsid w:val="49AF0FF8"/>
    <w:rsid w:val="49AF110F"/>
    <w:rsid w:val="49AF4B82"/>
    <w:rsid w:val="49AF4E14"/>
    <w:rsid w:val="49AF4FFF"/>
    <w:rsid w:val="49B02FC2"/>
    <w:rsid w:val="49B04D70"/>
    <w:rsid w:val="49B06B1E"/>
    <w:rsid w:val="49B0728D"/>
    <w:rsid w:val="49B13589"/>
    <w:rsid w:val="49B13A90"/>
    <w:rsid w:val="49B20472"/>
    <w:rsid w:val="49B26BE7"/>
    <w:rsid w:val="49B26D3A"/>
    <w:rsid w:val="49B35591"/>
    <w:rsid w:val="49B368B7"/>
    <w:rsid w:val="49B36F8D"/>
    <w:rsid w:val="49B44860"/>
    <w:rsid w:val="49B45626"/>
    <w:rsid w:val="49B50217"/>
    <w:rsid w:val="49B52386"/>
    <w:rsid w:val="49B630B2"/>
    <w:rsid w:val="49B6469B"/>
    <w:rsid w:val="49B74350"/>
    <w:rsid w:val="49B832FA"/>
    <w:rsid w:val="49B900C8"/>
    <w:rsid w:val="49B91E77"/>
    <w:rsid w:val="49BA4B94"/>
    <w:rsid w:val="49BA74A6"/>
    <w:rsid w:val="49BA799D"/>
    <w:rsid w:val="49BC05CA"/>
    <w:rsid w:val="49BC066A"/>
    <w:rsid w:val="49BC3715"/>
    <w:rsid w:val="49BD0850"/>
    <w:rsid w:val="49BD2527"/>
    <w:rsid w:val="49BD2F46"/>
    <w:rsid w:val="49BD7227"/>
    <w:rsid w:val="49BE5C3D"/>
    <w:rsid w:val="49BE748D"/>
    <w:rsid w:val="49BE758B"/>
    <w:rsid w:val="49BE7B7E"/>
    <w:rsid w:val="49C01457"/>
    <w:rsid w:val="49C0532A"/>
    <w:rsid w:val="49C10027"/>
    <w:rsid w:val="49C10D2B"/>
    <w:rsid w:val="49C16F7D"/>
    <w:rsid w:val="49C202E7"/>
    <w:rsid w:val="49C2049D"/>
    <w:rsid w:val="49C24104"/>
    <w:rsid w:val="49C245CF"/>
    <w:rsid w:val="49C32CF5"/>
    <w:rsid w:val="49C34AA3"/>
    <w:rsid w:val="49C36851"/>
    <w:rsid w:val="49C37F7C"/>
    <w:rsid w:val="49C425D2"/>
    <w:rsid w:val="49C5081B"/>
    <w:rsid w:val="49C51D1D"/>
    <w:rsid w:val="49C564C7"/>
    <w:rsid w:val="49C66341"/>
    <w:rsid w:val="49C76AE6"/>
    <w:rsid w:val="49C820BA"/>
    <w:rsid w:val="49C83ABC"/>
    <w:rsid w:val="49C83E68"/>
    <w:rsid w:val="49CA2218"/>
    <w:rsid w:val="49CA7BE0"/>
    <w:rsid w:val="49CB3958"/>
    <w:rsid w:val="49CC2EDA"/>
    <w:rsid w:val="49CC7DFC"/>
    <w:rsid w:val="49CD147E"/>
    <w:rsid w:val="49CD5922"/>
    <w:rsid w:val="49CE00ED"/>
    <w:rsid w:val="49CE24FF"/>
    <w:rsid w:val="49CF398F"/>
    <w:rsid w:val="49D004D7"/>
    <w:rsid w:val="49D10E80"/>
    <w:rsid w:val="49D12AC4"/>
    <w:rsid w:val="49D15412"/>
    <w:rsid w:val="49D20523"/>
    <w:rsid w:val="49D40A5E"/>
    <w:rsid w:val="49D42746"/>
    <w:rsid w:val="49D57801"/>
    <w:rsid w:val="49D62A28"/>
    <w:rsid w:val="49D72799"/>
    <w:rsid w:val="49D767A1"/>
    <w:rsid w:val="49D81758"/>
    <w:rsid w:val="49D84F8F"/>
    <w:rsid w:val="49D93703"/>
    <w:rsid w:val="49D942C7"/>
    <w:rsid w:val="49D97612"/>
    <w:rsid w:val="49DA2168"/>
    <w:rsid w:val="49DA3B9B"/>
    <w:rsid w:val="49DB003F"/>
    <w:rsid w:val="49DB222E"/>
    <w:rsid w:val="49DB6D62"/>
    <w:rsid w:val="49DC5046"/>
    <w:rsid w:val="49DC5B65"/>
    <w:rsid w:val="49DC76EA"/>
    <w:rsid w:val="49DC7715"/>
    <w:rsid w:val="49DC7913"/>
    <w:rsid w:val="49DE368B"/>
    <w:rsid w:val="49DE604E"/>
    <w:rsid w:val="49DE656F"/>
    <w:rsid w:val="49DE7140"/>
    <w:rsid w:val="49DF1D43"/>
    <w:rsid w:val="49DF4779"/>
    <w:rsid w:val="49DF57C2"/>
    <w:rsid w:val="49E031D3"/>
    <w:rsid w:val="49E057A4"/>
    <w:rsid w:val="49E06CA1"/>
    <w:rsid w:val="49E1317B"/>
    <w:rsid w:val="49E319C0"/>
    <w:rsid w:val="49E40F67"/>
    <w:rsid w:val="49E52C6C"/>
    <w:rsid w:val="49E60792"/>
    <w:rsid w:val="49E62540"/>
    <w:rsid w:val="49E66385"/>
    <w:rsid w:val="49E669E4"/>
    <w:rsid w:val="49E704D5"/>
    <w:rsid w:val="49E71C16"/>
    <w:rsid w:val="49E760C4"/>
    <w:rsid w:val="49E77DB0"/>
    <w:rsid w:val="49E8275C"/>
    <w:rsid w:val="49E8450A"/>
    <w:rsid w:val="49E84536"/>
    <w:rsid w:val="49E8763C"/>
    <w:rsid w:val="49E95329"/>
    <w:rsid w:val="49EA0282"/>
    <w:rsid w:val="49EA64D4"/>
    <w:rsid w:val="49EA6A43"/>
    <w:rsid w:val="49EC082B"/>
    <w:rsid w:val="49EE0ABB"/>
    <w:rsid w:val="49EE4998"/>
    <w:rsid w:val="49EF5898"/>
    <w:rsid w:val="49EF6004"/>
    <w:rsid w:val="49EF65FB"/>
    <w:rsid w:val="49EF7646"/>
    <w:rsid w:val="49F0014B"/>
    <w:rsid w:val="49F03374"/>
    <w:rsid w:val="49F17862"/>
    <w:rsid w:val="49F25388"/>
    <w:rsid w:val="49F3289F"/>
    <w:rsid w:val="49F421B6"/>
    <w:rsid w:val="49F6170B"/>
    <w:rsid w:val="49F655C5"/>
    <w:rsid w:val="49F73F14"/>
    <w:rsid w:val="49F7474D"/>
    <w:rsid w:val="49F77FCA"/>
    <w:rsid w:val="49F8312B"/>
    <w:rsid w:val="49F92273"/>
    <w:rsid w:val="49FB248F"/>
    <w:rsid w:val="49FB423D"/>
    <w:rsid w:val="49FC6088"/>
    <w:rsid w:val="49FD6207"/>
    <w:rsid w:val="49FE31C5"/>
    <w:rsid w:val="49FE4369"/>
    <w:rsid w:val="49FE52CC"/>
    <w:rsid w:val="49FF132D"/>
    <w:rsid w:val="4A001853"/>
    <w:rsid w:val="4A007AA5"/>
    <w:rsid w:val="4A0155CC"/>
    <w:rsid w:val="4A01737A"/>
    <w:rsid w:val="4A023139"/>
    <w:rsid w:val="4A02381D"/>
    <w:rsid w:val="4A023FA9"/>
    <w:rsid w:val="4A0325A6"/>
    <w:rsid w:val="4A032C41"/>
    <w:rsid w:val="4A037596"/>
    <w:rsid w:val="4A05330E"/>
    <w:rsid w:val="4A0550BC"/>
    <w:rsid w:val="4A05519F"/>
    <w:rsid w:val="4A062BE2"/>
    <w:rsid w:val="4A064990"/>
    <w:rsid w:val="4A064EEE"/>
    <w:rsid w:val="4A072690"/>
    <w:rsid w:val="4A076CAA"/>
    <w:rsid w:val="4A080708"/>
    <w:rsid w:val="4A084BAC"/>
    <w:rsid w:val="4A0A2668"/>
    <w:rsid w:val="4A0B01F8"/>
    <w:rsid w:val="4A0B1FA6"/>
    <w:rsid w:val="4A0B3079"/>
    <w:rsid w:val="4A0B68F1"/>
    <w:rsid w:val="4A0C24A1"/>
    <w:rsid w:val="4A0C2D29"/>
    <w:rsid w:val="4A0C3D14"/>
    <w:rsid w:val="4A0C644A"/>
    <w:rsid w:val="4A0D3F70"/>
    <w:rsid w:val="4A0D5D1E"/>
    <w:rsid w:val="4A0F0073"/>
    <w:rsid w:val="4A0F1A24"/>
    <w:rsid w:val="4A0F1A96"/>
    <w:rsid w:val="4A0F5F3A"/>
    <w:rsid w:val="4A106DEE"/>
    <w:rsid w:val="4A113A61"/>
    <w:rsid w:val="4A114D9C"/>
    <w:rsid w:val="4A11580F"/>
    <w:rsid w:val="4A1164EB"/>
    <w:rsid w:val="4A137078"/>
    <w:rsid w:val="4A142CCA"/>
    <w:rsid w:val="4A143551"/>
    <w:rsid w:val="4A15018C"/>
    <w:rsid w:val="4A160FCB"/>
    <w:rsid w:val="4A161077"/>
    <w:rsid w:val="4A1672C9"/>
    <w:rsid w:val="4A175819"/>
    <w:rsid w:val="4A176B9D"/>
    <w:rsid w:val="4A180A44"/>
    <w:rsid w:val="4A190B67"/>
    <w:rsid w:val="4A192915"/>
    <w:rsid w:val="4A193364"/>
    <w:rsid w:val="4A1946C3"/>
    <w:rsid w:val="4A1961A7"/>
    <w:rsid w:val="4A1A68D9"/>
    <w:rsid w:val="4A1B668D"/>
    <w:rsid w:val="4A1B7FD2"/>
    <w:rsid w:val="4A1C41B3"/>
    <w:rsid w:val="4A1C7192"/>
    <w:rsid w:val="4A1D0657"/>
    <w:rsid w:val="4A1D0AF7"/>
    <w:rsid w:val="4A1E3175"/>
    <w:rsid w:val="4A1E7F2C"/>
    <w:rsid w:val="4A1F36E7"/>
    <w:rsid w:val="4A204462"/>
    <w:rsid w:val="4A205F2C"/>
    <w:rsid w:val="4A2067B6"/>
    <w:rsid w:val="4A211AF6"/>
    <w:rsid w:val="4A225C6E"/>
    <w:rsid w:val="4A226766"/>
    <w:rsid w:val="4A227A1C"/>
    <w:rsid w:val="4A240BDF"/>
    <w:rsid w:val="4A241A39"/>
    <w:rsid w:val="4A2512BA"/>
    <w:rsid w:val="4A253068"/>
    <w:rsid w:val="4A2559CA"/>
    <w:rsid w:val="4A25750C"/>
    <w:rsid w:val="4A263E69"/>
    <w:rsid w:val="4A2644A2"/>
    <w:rsid w:val="4A2644C8"/>
    <w:rsid w:val="4A266BE0"/>
    <w:rsid w:val="4A2714D2"/>
    <w:rsid w:val="4A271BA8"/>
    <w:rsid w:val="4A273D78"/>
    <w:rsid w:val="4A274C24"/>
    <w:rsid w:val="4A275032"/>
    <w:rsid w:val="4A276DBF"/>
    <w:rsid w:val="4A280D94"/>
    <w:rsid w:val="4A2812E5"/>
    <w:rsid w:val="4A282B58"/>
    <w:rsid w:val="4A286FFC"/>
    <w:rsid w:val="4A294F54"/>
    <w:rsid w:val="4A2A2D74"/>
    <w:rsid w:val="4A2A565D"/>
    <w:rsid w:val="4A2A68D0"/>
    <w:rsid w:val="4A2B0A3A"/>
    <w:rsid w:val="4A2B43F6"/>
    <w:rsid w:val="4A2B6EBA"/>
    <w:rsid w:val="4A2C3F0F"/>
    <w:rsid w:val="4A2D16C3"/>
    <w:rsid w:val="4A2D63C1"/>
    <w:rsid w:val="4A2F4538"/>
    <w:rsid w:val="4A2F63BA"/>
    <w:rsid w:val="4A306955"/>
    <w:rsid w:val="4A3069B1"/>
    <w:rsid w:val="4A321C93"/>
    <w:rsid w:val="4A3239D7"/>
    <w:rsid w:val="4A325785"/>
    <w:rsid w:val="4A3334C2"/>
    <w:rsid w:val="4A33564C"/>
    <w:rsid w:val="4A336ADC"/>
    <w:rsid w:val="4A3414FD"/>
    <w:rsid w:val="4A3513FC"/>
    <w:rsid w:val="4A35566D"/>
    <w:rsid w:val="4A3634C7"/>
    <w:rsid w:val="4A371FA0"/>
    <w:rsid w:val="4A372D9B"/>
    <w:rsid w:val="4A38723F"/>
    <w:rsid w:val="4A39325E"/>
    <w:rsid w:val="4A3B08E7"/>
    <w:rsid w:val="4A3B288C"/>
    <w:rsid w:val="4A3B4613"/>
    <w:rsid w:val="4A3B6D2F"/>
    <w:rsid w:val="4A3C51B1"/>
    <w:rsid w:val="4A3C6604"/>
    <w:rsid w:val="4A3D4856"/>
    <w:rsid w:val="4A3E05CE"/>
    <w:rsid w:val="4A3E237C"/>
    <w:rsid w:val="4A3E412A"/>
    <w:rsid w:val="4A3F72C9"/>
    <w:rsid w:val="4A4013B5"/>
    <w:rsid w:val="4A40610D"/>
    <w:rsid w:val="4A410A06"/>
    <w:rsid w:val="4A413C1A"/>
    <w:rsid w:val="4A421E6C"/>
    <w:rsid w:val="4A4324A8"/>
    <w:rsid w:val="4A447A61"/>
    <w:rsid w:val="4A463EF1"/>
    <w:rsid w:val="4A467353"/>
    <w:rsid w:val="4A474F52"/>
    <w:rsid w:val="4A4756D4"/>
    <w:rsid w:val="4A4831FA"/>
    <w:rsid w:val="4A484FA8"/>
    <w:rsid w:val="4A485FEA"/>
    <w:rsid w:val="4A49554D"/>
    <w:rsid w:val="4A4A2ACF"/>
    <w:rsid w:val="4A4A57DF"/>
    <w:rsid w:val="4A4C4A99"/>
    <w:rsid w:val="4A4D0811"/>
    <w:rsid w:val="4A4E07AA"/>
    <w:rsid w:val="4A4E2254"/>
    <w:rsid w:val="4A4E2F3B"/>
    <w:rsid w:val="4A4F27DB"/>
    <w:rsid w:val="4A4F6337"/>
    <w:rsid w:val="4A507F0A"/>
    <w:rsid w:val="4A510301"/>
    <w:rsid w:val="4A510BD5"/>
    <w:rsid w:val="4A522065"/>
    <w:rsid w:val="4A527BD5"/>
    <w:rsid w:val="4A527DB6"/>
    <w:rsid w:val="4A532EC7"/>
    <w:rsid w:val="4A534079"/>
    <w:rsid w:val="4A537D07"/>
    <w:rsid w:val="4A54710F"/>
    <w:rsid w:val="4A5472C5"/>
    <w:rsid w:val="4A5477E6"/>
    <w:rsid w:val="4A561E76"/>
    <w:rsid w:val="4A562AA3"/>
    <w:rsid w:val="4A563B69"/>
    <w:rsid w:val="4A564957"/>
    <w:rsid w:val="4A565917"/>
    <w:rsid w:val="4A5676C5"/>
    <w:rsid w:val="4A570377"/>
    <w:rsid w:val="4A570579"/>
    <w:rsid w:val="4A572EB7"/>
    <w:rsid w:val="4A577A02"/>
    <w:rsid w:val="4A58168F"/>
    <w:rsid w:val="4A585020"/>
    <w:rsid w:val="4A585ED7"/>
    <w:rsid w:val="4A592477"/>
    <w:rsid w:val="4A592677"/>
    <w:rsid w:val="4A5A5897"/>
    <w:rsid w:val="4A5B2F2E"/>
    <w:rsid w:val="4A5C2802"/>
    <w:rsid w:val="4A5C4BFA"/>
    <w:rsid w:val="4A5D4EF8"/>
    <w:rsid w:val="4A5D6CA6"/>
    <w:rsid w:val="4A5D7178"/>
    <w:rsid w:val="4A5E2CE6"/>
    <w:rsid w:val="4A5E47CC"/>
    <w:rsid w:val="4A5E5DDF"/>
    <w:rsid w:val="4A5E657A"/>
    <w:rsid w:val="4A5E6BFC"/>
    <w:rsid w:val="4A5E723F"/>
    <w:rsid w:val="4A5F1F06"/>
    <w:rsid w:val="4A600544"/>
    <w:rsid w:val="4A601CE8"/>
    <w:rsid w:val="4A60723A"/>
    <w:rsid w:val="4A612A04"/>
    <w:rsid w:val="4A621B5A"/>
    <w:rsid w:val="4A6244A5"/>
    <w:rsid w:val="4A631061"/>
    <w:rsid w:val="4A631DE2"/>
    <w:rsid w:val="4A633B90"/>
    <w:rsid w:val="4A64704B"/>
    <w:rsid w:val="4A6504DB"/>
    <w:rsid w:val="4A65296A"/>
    <w:rsid w:val="4A653DAC"/>
    <w:rsid w:val="4A655DF7"/>
    <w:rsid w:val="4A657908"/>
    <w:rsid w:val="4A6664E7"/>
    <w:rsid w:val="4A6718D3"/>
    <w:rsid w:val="4A673681"/>
    <w:rsid w:val="4A675519"/>
    <w:rsid w:val="4A681856"/>
    <w:rsid w:val="4A6855C7"/>
    <w:rsid w:val="4A6859CC"/>
    <w:rsid w:val="4A686D4B"/>
    <w:rsid w:val="4A6A13C3"/>
    <w:rsid w:val="4A6A3171"/>
    <w:rsid w:val="4A6C0C97"/>
    <w:rsid w:val="4A6C457F"/>
    <w:rsid w:val="4A6C513B"/>
    <w:rsid w:val="4A6C5996"/>
    <w:rsid w:val="4A6D4A0F"/>
    <w:rsid w:val="4A6E0B5F"/>
    <w:rsid w:val="4A6E2C61"/>
    <w:rsid w:val="4A6F0787"/>
    <w:rsid w:val="4A6F554D"/>
    <w:rsid w:val="4A6F69D9"/>
    <w:rsid w:val="4A706B2E"/>
    <w:rsid w:val="4A7162AD"/>
    <w:rsid w:val="4A723167"/>
    <w:rsid w:val="4A726DEF"/>
    <w:rsid w:val="4A735A25"/>
    <w:rsid w:val="4A7364C9"/>
    <w:rsid w:val="4A742241"/>
    <w:rsid w:val="4A746787"/>
    <w:rsid w:val="4A750A43"/>
    <w:rsid w:val="4A757FD0"/>
    <w:rsid w:val="4A767D68"/>
    <w:rsid w:val="4A770517"/>
    <w:rsid w:val="4A78588E"/>
    <w:rsid w:val="4A791A2B"/>
    <w:rsid w:val="4A7925D4"/>
    <w:rsid w:val="4A7A4082"/>
    <w:rsid w:val="4A7A7858"/>
    <w:rsid w:val="4A7B35D0"/>
    <w:rsid w:val="4A7B534D"/>
    <w:rsid w:val="4A7B576F"/>
    <w:rsid w:val="4A7C457F"/>
    <w:rsid w:val="4A7C540D"/>
    <w:rsid w:val="4A7D10F6"/>
    <w:rsid w:val="4A7D310B"/>
    <w:rsid w:val="4A7D414E"/>
    <w:rsid w:val="4A7E6C1C"/>
    <w:rsid w:val="4A7F4E6E"/>
    <w:rsid w:val="4A800BE6"/>
    <w:rsid w:val="4A802994"/>
    <w:rsid w:val="4A810D57"/>
    <w:rsid w:val="4A816572"/>
    <w:rsid w:val="4A8204BA"/>
    <w:rsid w:val="4A831514"/>
    <w:rsid w:val="4A842484"/>
    <w:rsid w:val="4A844469"/>
    <w:rsid w:val="4A844EF3"/>
    <w:rsid w:val="4A851D59"/>
    <w:rsid w:val="4A8649A1"/>
    <w:rsid w:val="4A865B83"/>
    <w:rsid w:val="4A867813"/>
    <w:rsid w:val="4A871F75"/>
    <w:rsid w:val="4A873D23"/>
    <w:rsid w:val="4A875443"/>
    <w:rsid w:val="4A881849"/>
    <w:rsid w:val="4A8835F7"/>
    <w:rsid w:val="4A8837F6"/>
    <w:rsid w:val="4A892CD1"/>
    <w:rsid w:val="4A895270"/>
    <w:rsid w:val="4A897315"/>
    <w:rsid w:val="4A8A736F"/>
    <w:rsid w:val="4A8B6EA4"/>
    <w:rsid w:val="4A8B7EBB"/>
    <w:rsid w:val="4A8C0329"/>
    <w:rsid w:val="4A8C1339"/>
    <w:rsid w:val="4A8C219C"/>
    <w:rsid w:val="4A8C2D94"/>
    <w:rsid w:val="4A8C758B"/>
    <w:rsid w:val="4A8D6DA3"/>
    <w:rsid w:val="4A8E203A"/>
    <w:rsid w:val="4A8E3303"/>
    <w:rsid w:val="4A8F0E29"/>
    <w:rsid w:val="4A8F29A1"/>
    <w:rsid w:val="4A904BD7"/>
    <w:rsid w:val="4A90515E"/>
    <w:rsid w:val="4A9106FD"/>
    <w:rsid w:val="4A913A8A"/>
    <w:rsid w:val="4A913ECA"/>
    <w:rsid w:val="4A9142D4"/>
    <w:rsid w:val="4A914926"/>
    <w:rsid w:val="4A914BA1"/>
    <w:rsid w:val="4A91694F"/>
    <w:rsid w:val="4A926C9C"/>
    <w:rsid w:val="4A9274F7"/>
    <w:rsid w:val="4A930919"/>
    <w:rsid w:val="4A9326C8"/>
    <w:rsid w:val="4A933558"/>
    <w:rsid w:val="4A934476"/>
    <w:rsid w:val="4A934FB1"/>
    <w:rsid w:val="4A935002"/>
    <w:rsid w:val="4A9359B7"/>
    <w:rsid w:val="4A9401EE"/>
    <w:rsid w:val="4A941E17"/>
    <w:rsid w:val="4A945CD2"/>
    <w:rsid w:val="4A954692"/>
    <w:rsid w:val="4A956E7A"/>
    <w:rsid w:val="4A965D14"/>
    <w:rsid w:val="4A976E09"/>
    <w:rsid w:val="4A980693"/>
    <w:rsid w:val="4A98231F"/>
    <w:rsid w:val="4A995804"/>
    <w:rsid w:val="4A9A121A"/>
    <w:rsid w:val="4A9A1C0C"/>
    <w:rsid w:val="4A9B157C"/>
    <w:rsid w:val="4A9C317A"/>
    <w:rsid w:val="4A9C3861"/>
    <w:rsid w:val="4A9D3766"/>
    <w:rsid w:val="4A9D52F4"/>
    <w:rsid w:val="4A9D70A2"/>
    <w:rsid w:val="4A9E0F98"/>
    <w:rsid w:val="4AA03036"/>
    <w:rsid w:val="4AA06B93"/>
    <w:rsid w:val="4AA16D04"/>
    <w:rsid w:val="4AA246B9"/>
    <w:rsid w:val="4AA43640"/>
    <w:rsid w:val="4AA448D5"/>
    <w:rsid w:val="4AA46683"/>
    <w:rsid w:val="4AA5064D"/>
    <w:rsid w:val="4AA52D9C"/>
    <w:rsid w:val="4AA53D46"/>
    <w:rsid w:val="4AA7341E"/>
    <w:rsid w:val="4AA743C5"/>
    <w:rsid w:val="4AA81FAF"/>
    <w:rsid w:val="4AA83FBD"/>
    <w:rsid w:val="4AA91EEB"/>
    <w:rsid w:val="4AAA0EEB"/>
    <w:rsid w:val="4AAB163F"/>
    <w:rsid w:val="4AAB2CE4"/>
    <w:rsid w:val="4AAB55FC"/>
    <w:rsid w:val="4AAC19DB"/>
    <w:rsid w:val="4AAE12AF"/>
    <w:rsid w:val="4AAE558F"/>
    <w:rsid w:val="4AAE7501"/>
    <w:rsid w:val="4AAF5028"/>
    <w:rsid w:val="4AB03279"/>
    <w:rsid w:val="4AB12742"/>
    <w:rsid w:val="4AB12B4E"/>
    <w:rsid w:val="4AB32D6A"/>
    <w:rsid w:val="4AB443EC"/>
    <w:rsid w:val="4AB44DF5"/>
    <w:rsid w:val="4AB476AF"/>
    <w:rsid w:val="4AB50890"/>
    <w:rsid w:val="4AB51E85"/>
    <w:rsid w:val="4AB56AE2"/>
    <w:rsid w:val="4AB60164"/>
    <w:rsid w:val="4AB64608"/>
    <w:rsid w:val="4AB7656D"/>
    <w:rsid w:val="4AB77D82"/>
    <w:rsid w:val="4AB80380"/>
    <w:rsid w:val="4AB810A7"/>
    <w:rsid w:val="4AB821EE"/>
    <w:rsid w:val="4AB92EB6"/>
    <w:rsid w:val="4AB9623A"/>
    <w:rsid w:val="4AB9715B"/>
    <w:rsid w:val="4AB97C54"/>
    <w:rsid w:val="4ABA4045"/>
    <w:rsid w:val="4ABA40F8"/>
    <w:rsid w:val="4ABA5EA6"/>
    <w:rsid w:val="4ABB1C1E"/>
    <w:rsid w:val="4ABB577A"/>
    <w:rsid w:val="4ABB64BE"/>
    <w:rsid w:val="4ABD3BF4"/>
    <w:rsid w:val="4ABD3CDB"/>
    <w:rsid w:val="4ABD7744"/>
    <w:rsid w:val="4ABE4BC3"/>
    <w:rsid w:val="4ABE526B"/>
    <w:rsid w:val="4ABF170F"/>
    <w:rsid w:val="4AC07235"/>
    <w:rsid w:val="4AC15FD8"/>
    <w:rsid w:val="4AC204B6"/>
    <w:rsid w:val="4AC22AA0"/>
    <w:rsid w:val="4AC312FF"/>
    <w:rsid w:val="4AC32CF8"/>
    <w:rsid w:val="4AC42881"/>
    <w:rsid w:val="4AC43637"/>
    <w:rsid w:val="4AC46D25"/>
    <w:rsid w:val="4AC533BE"/>
    <w:rsid w:val="4AC5484B"/>
    <w:rsid w:val="4AC61739"/>
    <w:rsid w:val="4AC663E7"/>
    <w:rsid w:val="4AC720C8"/>
    <w:rsid w:val="4AC7359A"/>
    <w:rsid w:val="4AC811F2"/>
    <w:rsid w:val="4AC94D68"/>
    <w:rsid w:val="4AC960E9"/>
    <w:rsid w:val="4ACA3C0F"/>
    <w:rsid w:val="4ACB4AB7"/>
    <w:rsid w:val="4ACB7688"/>
    <w:rsid w:val="4ACC3E2B"/>
    <w:rsid w:val="4ACC6C2B"/>
    <w:rsid w:val="4ACE54AE"/>
    <w:rsid w:val="4ACF0F07"/>
    <w:rsid w:val="4ACF1226"/>
    <w:rsid w:val="4ACF398F"/>
    <w:rsid w:val="4ACF50AD"/>
    <w:rsid w:val="4ACF6CD9"/>
    <w:rsid w:val="4AD056CA"/>
    <w:rsid w:val="4AD075DF"/>
    <w:rsid w:val="4AD1067A"/>
    <w:rsid w:val="4AD11442"/>
    <w:rsid w:val="4AD11DB9"/>
    <w:rsid w:val="4AD131F0"/>
    <w:rsid w:val="4AD1533A"/>
    <w:rsid w:val="4AD309EB"/>
    <w:rsid w:val="4AD36F68"/>
    <w:rsid w:val="4AD41E7B"/>
    <w:rsid w:val="4AD5330B"/>
    <w:rsid w:val="4AD60806"/>
    <w:rsid w:val="4AD625B4"/>
    <w:rsid w:val="4AD64D94"/>
    <w:rsid w:val="4AD652B4"/>
    <w:rsid w:val="4AD73910"/>
    <w:rsid w:val="4AD75288"/>
    <w:rsid w:val="4AD773F3"/>
    <w:rsid w:val="4AD83DCA"/>
    <w:rsid w:val="4AD8457E"/>
    <w:rsid w:val="4AD937AB"/>
    <w:rsid w:val="4AD93E52"/>
    <w:rsid w:val="4ADA02F6"/>
    <w:rsid w:val="4ADB406F"/>
    <w:rsid w:val="4ADB5A3C"/>
    <w:rsid w:val="4ADB5E1D"/>
    <w:rsid w:val="4ADC7FC3"/>
    <w:rsid w:val="4ADD1B95"/>
    <w:rsid w:val="4ADD7DE7"/>
    <w:rsid w:val="4ADE1207"/>
    <w:rsid w:val="4ADE26BF"/>
    <w:rsid w:val="4ADF2142"/>
    <w:rsid w:val="4ADF590D"/>
    <w:rsid w:val="4AE04F65"/>
    <w:rsid w:val="4AE051E1"/>
    <w:rsid w:val="4AE12FDA"/>
    <w:rsid w:val="4AE253FD"/>
    <w:rsid w:val="4AE271AB"/>
    <w:rsid w:val="4AE328F3"/>
    <w:rsid w:val="4AE44CD1"/>
    <w:rsid w:val="4AE47FB2"/>
    <w:rsid w:val="4AE579E0"/>
    <w:rsid w:val="4AE64EED"/>
    <w:rsid w:val="4AE662A3"/>
    <w:rsid w:val="4AE66C9B"/>
    <w:rsid w:val="4AE67780"/>
    <w:rsid w:val="4AE6781E"/>
    <w:rsid w:val="4AE84B68"/>
    <w:rsid w:val="4AE902DD"/>
    <w:rsid w:val="4AE90E79"/>
    <w:rsid w:val="4AEA4061"/>
    <w:rsid w:val="4AEA4B04"/>
    <w:rsid w:val="4AEA6060"/>
    <w:rsid w:val="4AEB28FE"/>
    <w:rsid w:val="4AEB42B2"/>
    <w:rsid w:val="4AEC18DD"/>
    <w:rsid w:val="4AEC1DD8"/>
    <w:rsid w:val="4AED0FB0"/>
    <w:rsid w:val="4AED4948"/>
    <w:rsid w:val="4AED4D01"/>
    <w:rsid w:val="4AEE2A22"/>
    <w:rsid w:val="4AEE78FE"/>
    <w:rsid w:val="4AEF3676"/>
    <w:rsid w:val="4AEF5300"/>
    <w:rsid w:val="4AF05342"/>
    <w:rsid w:val="4AF07B1A"/>
    <w:rsid w:val="4AF1716E"/>
    <w:rsid w:val="4AF225DA"/>
    <w:rsid w:val="4AF22BAC"/>
    <w:rsid w:val="4AF242C8"/>
    <w:rsid w:val="4AF33166"/>
    <w:rsid w:val="4AF33189"/>
    <w:rsid w:val="4AF33CC3"/>
    <w:rsid w:val="4AF359FB"/>
    <w:rsid w:val="4AF3760A"/>
    <w:rsid w:val="4AF40C8C"/>
    <w:rsid w:val="4AF41A55"/>
    <w:rsid w:val="4AF528F5"/>
    <w:rsid w:val="4AF55074"/>
    <w:rsid w:val="4AF561A9"/>
    <w:rsid w:val="4AF56EDE"/>
    <w:rsid w:val="4AF57E89"/>
    <w:rsid w:val="4AF647F5"/>
    <w:rsid w:val="4AF84C20"/>
    <w:rsid w:val="4AF869CF"/>
    <w:rsid w:val="4AF92706"/>
    <w:rsid w:val="4AF95050"/>
    <w:rsid w:val="4AFA0FC5"/>
    <w:rsid w:val="4AFA2747"/>
    <w:rsid w:val="4AFA44F5"/>
    <w:rsid w:val="4AFA7531"/>
    <w:rsid w:val="4AFB1112"/>
    <w:rsid w:val="4AFB21C8"/>
    <w:rsid w:val="4AFB5026"/>
    <w:rsid w:val="4AFC26D1"/>
    <w:rsid w:val="4AFC4046"/>
    <w:rsid w:val="4AFC64BF"/>
    <w:rsid w:val="4AFD1087"/>
    <w:rsid w:val="4AFD22E7"/>
    <w:rsid w:val="4AFD3FE5"/>
    <w:rsid w:val="4AFD5D93"/>
    <w:rsid w:val="4AFD7946"/>
    <w:rsid w:val="4AFF3876"/>
    <w:rsid w:val="4AFF7D5D"/>
    <w:rsid w:val="4B005387"/>
    <w:rsid w:val="4B007631"/>
    <w:rsid w:val="4B00797C"/>
    <w:rsid w:val="4B015D61"/>
    <w:rsid w:val="4B016B69"/>
    <w:rsid w:val="4B023E54"/>
    <w:rsid w:val="4B044C48"/>
    <w:rsid w:val="4B045373"/>
    <w:rsid w:val="4B046389"/>
    <w:rsid w:val="4B047819"/>
    <w:rsid w:val="4B047A6B"/>
    <w:rsid w:val="4B0542B3"/>
    <w:rsid w:val="4B0610EB"/>
    <w:rsid w:val="4B074E64"/>
    <w:rsid w:val="4B076C12"/>
    <w:rsid w:val="4B090BDC"/>
    <w:rsid w:val="4B09298A"/>
    <w:rsid w:val="4B094738"/>
    <w:rsid w:val="4B0B6702"/>
    <w:rsid w:val="4B0C1F07"/>
    <w:rsid w:val="4B0C4228"/>
    <w:rsid w:val="4B0C5FD6"/>
    <w:rsid w:val="4B0D0B7C"/>
    <w:rsid w:val="4B0D18AE"/>
    <w:rsid w:val="4B0D7745"/>
    <w:rsid w:val="4B0E7FA0"/>
    <w:rsid w:val="4B101F6A"/>
    <w:rsid w:val="4B102409"/>
    <w:rsid w:val="4B1026D5"/>
    <w:rsid w:val="4B103D18"/>
    <w:rsid w:val="4B104940"/>
    <w:rsid w:val="4B105AC6"/>
    <w:rsid w:val="4B106632"/>
    <w:rsid w:val="4B1154D1"/>
    <w:rsid w:val="4B115885"/>
    <w:rsid w:val="4B117168"/>
    <w:rsid w:val="4B124AD8"/>
    <w:rsid w:val="4B124E43"/>
    <w:rsid w:val="4B125472"/>
    <w:rsid w:val="4B1332AD"/>
    <w:rsid w:val="4B133808"/>
    <w:rsid w:val="4B155BCD"/>
    <w:rsid w:val="4B157580"/>
    <w:rsid w:val="4B164586"/>
    <w:rsid w:val="4B166E55"/>
    <w:rsid w:val="4B17479D"/>
    <w:rsid w:val="4B180E1F"/>
    <w:rsid w:val="4B182BCD"/>
    <w:rsid w:val="4B1871BC"/>
    <w:rsid w:val="4B192E21"/>
    <w:rsid w:val="4B19657D"/>
    <w:rsid w:val="4B1A20AB"/>
    <w:rsid w:val="4B1A4B97"/>
    <w:rsid w:val="4B1A5A5C"/>
    <w:rsid w:val="4B1B446B"/>
    <w:rsid w:val="4B1B675B"/>
    <w:rsid w:val="4B1C5AA0"/>
    <w:rsid w:val="4B1D01E3"/>
    <w:rsid w:val="4B1F21AD"/>
    <w:rsid w:val="4B1F6B5A"/>
    <w:rsid w:val="4B1F7EAC"/>
    <w:rsid w:val="4B201A81"/>
    <w:rsid w:val="4B2118AA"/>
    <w:rsid w:val="4B21431D"/>
    <w:rsid w:val="4B215F25"/>
    <w:rsid w:val="4B2161F4"/>
    <w:rsid w:val="4B221AA2"/>
    <w:rsid w:val="4B231661"/>
    <w:rsid w:val="4B246185"/>
    <w:rsid w:val="4B2470BC"/>
    <w:rsid w:val="4B2477C4"/>
    <w:rsid w:val="4B247FF5"/>
    <w:rsid w:val="4B25165C"/>
    <w:rsid w:val="4B2539D3"/>
    <w:rsid w:val="4B257098"/>
    <w:rsid w:val="4B271062"/>
    <w:rsid w:val="4B2772B4"/>
    <w:rsid w:val="4B293EE9"/>
    <w:rsid w:val="4B294DDA"/>
    <w:rsid w:val="4B29666D"/>
    <w:rsid w:val="4B2A5000"/>
    <w:rsid w:val="4B2B0B52"/>
    <w:rsid w:val="4B2B29C4"/>
    <w:rsid w:val="4B2B6DA4"/>
    <w:rsid w:val="4B2C1602"/>
    <w:rsid w:val="4B2C16C2"/>
    <w:rsid w:val="4B2C2873"/>
    <w:rsid w:val="4B2C3E54"/>
    <w:rsid w:val="4B2C5595"/>
    <w:rsid w:val="4B2C6678"/>
    <w:rsid w:val="4B2D4AE2"/>
    <w:rsid w:val="4B2E1D5E"/>
    <w:rsid w:val="4B2E419E"/>
    <w:rsid w:val="4B2F2657"/>
    <w:rsid w:val="4B302E8A"/>
    <w:rsid w:val="4B307F16"/>
    <w:rsid w:val="4B313C65"/>
    <w:rsid w:val="4B313C8F"/>
    <w:rsid w:val="4B321EE0"/>
    <w:rsid w:val="4B332897"/>
    <w:rsid w:val="4B335C59"/>
    <w:rsid w:val="4B336FD3"/>
    <w:rsid w:val="4B337A07"/>
    <w:rsid w:val="4B342C57"/>
    <w:rsid w:val="4B343D27"/>
    <w:rsid w:val="4B352CF8"/>
    <w:rsid w:val="4B354AAC"/>
    <w:rsid w:val="4B3551B7"/>
    <w:rsid w:val="4B3612A5"/>
    <w:rsid w:val="4B3707FD"/>
    <w:rsid w:val="4B374189"/>
    <w:rsid w:val="4B3814C1"/>
    <w:rsid w:val="4B381F8C"/>
    <w:rsid w:val="4B384406"/>
    <w:rsid w:val="4B386288"/>
    <w:rsid w:val="4B386DCB"/>
    <w:rsid w:val="4B390CF8"/>
    <w:rsid w:val="4B3A6458"/>
    <w:rsid w:val="4B3B68BB"/>
    <w:rsid w:val="4B3C0EC4"/>
    <w:rsid w:val="4B3C2D5F"/>
    <w:rsid w:val="4B3D1C65"/>
    <w:rsid w:val="4B3D284E"/>
    <w:rsid w:val="4B3D3B17"/>
    <w:rsid w:val="4B3D6AD7"/>
    <w:rsid w:val="4B3E0C2A"/>
    <w:rsid w:val="4B3E5972"/>
    <w:rsid w:val="4B3F45FD"/>
    <w:rsid w:val="4B40365B"/>
    <w:rsid w:val="4B412124"/>
    <w:rsid w:val="4B417D35"/>
    <w:rsid w:val="4B425E9C"/>
    <w:rsid w:val="4B426241"/>
    <w:rsid w:val="4B427C4A"/>
    <w:rsid w:val="4B4340EE"/>
    <w:rsid w:val="4B43686F"/>
    <w:rsid w:val="4B4439C2"/>
    <w:rsid w:val="4B46598C"/>
    <w:rsid w:val="4B46773A"/>
    <w:rsid w:val="4B4734B2"/>
    <w:rsid w:val="4B49006E"/>
    <w:rsid w:val="4B49722A"/>
    <w:rsid w:val="4B4B11F4"/>
    <w:rsid w:val="4B4B2029"/>
    <w:rsid w:val="4B4B2FA2"/>
    <w:rsid w:val="4B4B4D50"/>
    <w:rsid w:val="4B4B55D2"/>
    <w:rsid w:val="4B4C0AC8"/>
    <w:rsid w:val="4B4C2876"/>
    <w:rsid w:val="4B4C343E"/>
    <w:rsid w:val="4B4C652C"/>
    <w:rsid w:val="4B4D6D1A"/>
    <w:rsid w:val="4B4E2A92"/>
    <w:rsid w:val="4B4E65EF"/>
    <w:rsid w:val="4B4F2B4A"/>
    <w:rsid w:val="4B4F574D"/>
    <w:rsid w:val="4B502367"/>
    <w:rsid w:val="4B50680B"/>
    <w:rsid w:val="4B5160DF"/>
    <w:rsid w:val="4B517E8D"/>
    <w:rsid w:val="4B52157A"/>
    <w:rsid w:val="4B5272B0"/>
    <w:rsid w:val="4B5300A9"/>
    <w:rsid w:val="4B533C05"/>
    <w:rsid w:val="4B535428"/>
    <w:rsid w:val="4B537C75"/>
    <w:rsid w:val="4B550E2F"/>
    <w:rsid w:val="4B553E21"/>
    <w:rsid w:val="4B555BCF"/>
    <w:rsid w:val="4B5644F0"/>
    <w:rsid w:val="4B564A2E"/>
    <w:rsid w:val="4B564D3A"/>
    <w:rsid w:val="4B5736F5"/>
    <w:rsid w:val="4B58121B"/>
    <w:rsid w:val="4B5859EE"/>
    <w:rsid w:val="4B587311"/>
    <w:rsid w:val="4B58746D"/>
    <w:rsid w:val="4B5945B2"/>
    <w:rsid w:val="4B597EEA"/>
    <w:rsid w:val="4B5A0D09"/>
    <w:rsid w:val="4B5A1437"/>
    <w:rsid w:val="4B5A4EDD"/>
    <w:rsid w:val="4B5A4F93"/>
    <w:rsid w:val="4B5B6ED2"/>
    <w:rsid w:val="4B5D4A84"/>
    <w:rsid w:val="4B5D67C7"/>
    <w:rsid w:val="4B5E34CE"/>
    <w:rsid w:val="4B5E7506"/>
    <w:rsid w:val="4B5F07FC"/>
    <w:rsid w:val="4B5F18B4"/>
    <w:rsid w:val="4B5F25AA"/>
    <w:rsid w:val="4B605153"/>
    <w:rsid w:val="4B610285"/>
    <w:rsid w:val="4B6114D0"/>
    <w:rsid w:val="4B6141D4"/>
    <w:rsid w:val="4B614574"/>
    <w:rsid w:val="4B6206C3"/>
    <w:rsid w:val="4B625664"/>
    <w:rsid w:val="4B634A1D"/>
    <w:rsid w:val="4B635E4C"/>
    <w:rsid w:val="4B6367A2"/>
    <w:rsid w:val="4B636AF4"/>
    <w:rsid w:val="4B6422B6"/>
    <w:rsid w:val="4B644064"/>
    <w:rsid w:val="4B647157"/>
    <w:rsid w:val="4B652B55"/>
    <w:rsid w:val="4B65694A"/>
    <w:rsid w:val="4B672E46"/>
    <w:rsid w:val="4B67397E"/>
    <w:rsid w:val="4B6776B0"/>
    <w:rsid w:val="4B6814DC"/>
    <w:rsid w:val="4B6834E6"/>
    <w:rsid w:val="4B683A07"/>
    <w:rsid w:val="4B683B54"/>
    <w:rsid w:val="4B68689B"/>
    <w:rsid w:val="4B69167A"/>
    <w:rsid w:val="4B6A130B"/>
    <w:rsid w:val="4B6A69C7"/>
    <w:rsid w:val="4B6B4373"/>
    <w:rsid w:val="4B6C4859"/>
    <w:rsid w:val="4B6C4CC7"/>
    <w:rsid w:val="4B6D125C"/>
    <w:rsid w:val="4B6D2883"/>
    <w:rsid w:val="4B6D37DE"/>
    <w:rsid w:val="4B6E0A3F"/>
    <w:rsid w:val="4B6E60E6"/>
    <w:rsid w:val="4B6E6C91"/>
    <w:rsid w:val="4B6F13A9"/>
    <w:rsid w:val="4B700C5B"/>
    <w:rsid w:val="4B7047B7"/>
    <w:rsid w:val="4B7110F8"/>
    <w:rsid w:val="4B716C29"/>
    <w:rsid w:val="4B73193A"/>
    <w:rsid w:val="4B737AD7"/>
    <w:rsid w:val="4B747A79"/>
    <w:rsid w:val="4B75001F"/>
    <w:rsid w:val="4B754434"/>
    <w:rsid w:val="4B756271"/>
    <w:rsid w:val="4B76519A"/>
    <w:rsid w:val="4B76602E"/>
    <w:rsid w:val="4B76654C"/>
    <w:rsid w:val="4B7666AB"/>
    <w:rsid w:val="4B7748F6"/>
    <w:rsid w:val="4B7778F3"/>
    <w:rsid w:val="4B7818BD"/>
    <w:rsid w:val="4B787236"/>
    <w:rsid w:val="4B7A5635"/>
    <w:rsid w:val="4B7B4D7B"/>
    <w:rsid w:val="4B7B7699"/>
    <w:rsid w:val="4B7C0DDC"/>
    <w:rsid w:val="4B7C7600"/>
    <w:rsid w:val="4B7D5765"/>
    <w:rsid w:val="4B7D6ED4"/>
    <w:rsid w:val="4B7E4B89"/>
    <w:rsid w:val="4B7F59EB"/>
    <w:rsid w:val="4B801E71"/>
    <w:rsid w:val="4B811B6D"/>
    <w:rsid w:val="4B813971"/>
    <w:rsid w:val="4B813EB0"/>
    <w:rsid w:val="4B817EAC"/>
    <w:rsid w:val="4B820085"/>
    <w:rsid w:val="4B82488A"/>
    <w:rsid w:val="4B8304B5"/>
    <w:rsid w:val="4B83098E"/>
    <w:rsid w:val="4B831250"/>
    <w:rsid w:val="4B83544F"/>
    <w:rsid w:val="4B8360DE"/>
    <w:rsid w:val="4B84159A"/>
    <w:rsid w:val="4B8509FE"/>
    <w:rsid w:val="4B850B76"/>
    <w:rsid w:val="4B85207F"/>
    <w:rsid w:val="4B8531D2"/>
    <w:rsid w:val="4B863FDA"/>
    <w:rsid w:val="4B865D88"/>
    <w:rsid w:val="4B867A5E"/>
    <w:rsid w:val="4B867F1B"/>
    <w:rsid w:val="4B8765D2"/>
    <w:rsid w:val="4B885FA4"/>
    <w:rsid w:val="4B88737F"/>
    <w:rsid w:val="4B887D52"/>
    <w:rsid w:val="4B893ACB"/>
    <w:rsid w:val="4B8A0B69"/>
    <w:rsid w:val="4B8A1D1C"/>
    <w:rsid w:val="4B8A2BD1"/>
    <w:rsid w:val="4B8A76EA"/>
    <w:rsid w:val="4B8B15F1"/>
    <w:rsid w:val="4B8B4870"/>
    <w:rsid w:val="4B8B6CB0"/>
    <w:rsid w:val="4B8C17EC"/>
    <w:rsid w:val="4B8D5B68"/>
    <w:rsid w:val="4B8D6F9B"/>
    <w:rsid w:val="4B8D7117"/>
    <w:rsid w:val="4B8E2E8F"/>
    <w:rsid w:val="4B8E31F1"/>
    <w:rsid w:val="4B8E6AC5"/>
    <w:rsid w:val="4B8F43AB"/>
    <w:rsid w:val="4B8F7333"/>
    <w:rsid w:val="4B8F7407"/>
    <w:rsid w:val="4B90279B"/>
    <w:rsid w:val="4B904E59"/>
    <w:rsid w:val="4B905478"/>
    <w:rsid w:val="4B911269"/>
    <w:rsid w:val="4B92297F"/>
    <w:rsid w:val="4B923BDF"/>
    <w:rsid w:val="4B92472D"/>
    <w:rsid w:val="4B927214"/>
    <w:rsid w:val="4B9304A5"/>
    <w:rsid w:val="4B931AB6"/>
    <w:rsid w:val="4B933874"/>
    <w:rsid w:val="4B935045"/>
    <w:rsid w:val="4B941C34"/>
    <w:rsid w:val="4B9423F1"/>
    <w:rsid w:val="4B944949"/>
    <w:rsid w:val="4B9472AB"/>
    <w:rsid w:val="4B9506C1"/>
    <w:rsid w:val="4B95421D"/>
    <w:rsid w:val="4B971D44"/>
    <w:rsid w:val="4B975490"/>
    <w:rsid w:val="4B9761E7"/>
    <w:rsid w:val="4B977F95"/>
    <w:rsid w:val="4B985ABC"/>
    <w:rsid w:val="4B986E74"/>
    <w:rsid w:val="4B991F60"/>
    <w:rsid w:val="4B9B2B2E"/>
    <w:rsid w:val="4B9B321A"/>
    <w:rsid w:val="4B9B5282"/>
    <w:rsid w:val="4B9C55AC"/>
    <w:rsid w:val="4B9C57F5"/>
    <w:rsid w:val="4B9C6C85"/>
    <w:rsid w:val="4B9D0115"/>
    <w:rsid w:val="4B9D1C09"/>
    <w:rsid w:val="4B9E0961"/>
    <w:rsid w:val="4B9E1324"/>
    <w:rsid w:val="4B9F148F"/>
    <w:rsid w:val="4B9F32EE"/>
    <w:rsid w:val="4BA001F4"/>
    <w:rsid w:val="4BA13CA3"/>
    <w:rsid w:val="4BA17856"/>
    <w:rsid w:val="4BA22AF7"/>
    <w:rsid w:val="4BA324B8"/>
    <w:rsid w:val="4BA32DDE"/>
    <w:rsid w:val="4BA40904"/>
    <w:rsid w:val="4BA57FE8"/>
    <w:rsid w:val="4BA64049"/>
    <w:rsid w:val="4BA803F5"/>
    <w:rsid w:val="4BA850B6"/>
    <w:rsid w:val="4BA97CC9"/>
    <w:rsid w:val="4BAA4D43"/>
    <w:rsid w:val="4BAB3E5A"/>
    <w:rsid w:val="4BAB52EA"/>
    <w:rsid w:val="4BAC0F6C"/>
    <w:rsid w:val="4BAC0FF5"/>
    <w:rsid w:val="4BAC677A"/>
    <w:rsid w:val="4BAD77B9"/>
    <w:rsid w:val="4BAD7FC9"/>
    <w:rsid w:val="4BAE27DB"/>
    <w:rsid w:val="4BAE4439"/>
    <w:rsid w:val="4BAE52DF"/>
    <w:rsid w:val="4BAE7FA5"/>
    <w:rsid w:val="4BAF1783"/>
    <w:rsid w:val="4BAF2857"/>
    <w:rsid w:val="4BAF3531"/>
    <w:rsid w:val="4BAF7C70"/>
    <w:rsid w:val="4BB01057"/>
    <w:rsid w:val="4BB072A9"/>
    <w:rsid w:val="4BB1115C"/>
    <w:rsid w:val="4BB14595"/>
    <w:rsid w:val="4BB17956"/>
    <w:rsid w:val="4BB225EC"/>
    <w:rsid w:val="4BB23021"/>
    <w:rsid w:val="4BB24DCF"/>
    <w:rsid w:val="4BB4664D"/>
    <w:rsid w:val="4BB5041C"/>
    <w:rsid w:val="4BB51B23"/>
    <w:rsid w:val="4BB52B12"/>
    <w:rsid w:val="4BB723E6"/>
    <w:rsid w:val="4BB74194"/>
    <w:rsid w:val="4BB87F0C"/>
    <w:rsid w:val="4BB943B0"/>
    <w:rsid w:val="4BBA0A13"/>
    <w:rsid w:val="4BBA394F"/>
    <w:rsid w:val="4BBA4D0E"/>
    <w:rsid w:val="4BBA6D9D"/>
    <w:rsid w:val="4BBB144B"/>
    <w:rsid w:val="4BBB76C8"/>
    <w:rsid w:val="4BBC0AF6"/>
    <w:rsid w:val="4BBD04D9"/>
    <w:rsid w:val="4BBE19C6"/>
    <w:rsid w:val="4BBE2CA0"/>
    <w:rsid w:val="4BC00812"/>
    <w:rsid w:val="4BC00F91"/>
    <w:rsid w:val="4BC01147"/>
    <w:rsid w:val="4BC10A32"/>
    <w:rsid w:val="4BC114B6"/>
    <w:rsid w:val="4BC13280"/>
    <w:rsid w:val="4BC306E2"/>
    <w:rsid w:val="4BC31D7F"/>
    <w:rsid w:val="4BC36FDC"/>
    <w:rsid w:val="4BC44B03"/>
    <w:rsid w:val="4BC52D55"/>
    <w:rsid w:val="4BC55E91"/>
    <w:rsid w:val="4BC575D2"/>
    <w:rsid w:val="4BC6087B"/>
    <w:rsid w:val="4BC60A62"/>
    <w:rsid w:val="4BC6655C"/>
    <w:rsid w:val="4BC66ACD"/>
    <w:rsid w:val="4BC700E2"/>
    <w:rsid w:val="4BC845F3"/>
    <w:rsid w:val="4BC93EC7"/>
    <w:rsid w:val="4BC95CA2"/>
    <w:rsid w:val="4BC973E3"/>
    <w:rsid w:val="4BCA7E9B"/>
    <w:rsid w:val="4BCB2CF2"/>
    <w:rsid w:val="4BCB40E3"/>
    <w:rsid w:val="4BCB7C3F"/>
    <w:rsid w:val="4BCC0084"/>
    <w:rsid w:val="4BCC42EE"/>
    <w:rsid w:val="4BCD1BD4"/>
    <w:rsid w:val="4BCD1C09"/>
    <w:rsid w:val="4BCD438F"/>
    <w:rsid w:val="4BCD7E5B"/>
    <w:rsid w:val="4BCE6AF6"/>
    <w:rsid w:val="4BCF2459"/>
    <w:rsid w:val="4BCF3BD3"/>
    <w:rsid w:val="4BD00919"/>
    <w:rsid w:val="4BD00EBC"/>
    <w:rsid w:val="4BD024E5"/>
    <w:rsid w:val="4BD028BE"/>
    <w:rsid w:val="4BD02FA4"/>
    <w:rsid w:val="4BD20D97"/>
    <w:rsid w:val="4BD21D75"/>
    <w:rsid w:val="4BD257FF"/>
    <w:rsid w:val="4BD27220"/>
    <w:rsid w:val="4BD411EA"/>
    <w:rsid w:val="4BD42F98"/>
    <w:rsid w:val="4BD532E1"/>
    <w:rsid w:val="4BD56D10"/>
    <w:rsid w:val="4BD56F78"/>
    <w:rsid w:val="4BD66E16"/>
    <w:rsid w:val="4BD72A88"/>
    <w:rsid w:val="4BD73B3D"/>
    <w:rsid w:val="4BD74836"/>
    <w:rsid w:val="4BD765E4"/>
    <w:rsid w:val="4BD9235C"/>
    <w:rsid w:val="4BD923FD"/>
    <w:rsid w:val="4BD95797"/>
    <w:rsid w:val="4BD96800"/>
    <w:rsid w:val="4BDA5A90"/>
    <w:rsid w:val="4BDA60D4"/>
    <w:rsid w:val="4BDB2578"/>
    <w:rsid w:val="4BDB662F"/>
    <w:rsid w:val="4BDB73CE"/>
    <w:rsid w:val="4BDB78EF"/>
    <w:rsid w:val="4BDC009E"/>
    <w:rsid w:val="4BDC1E4C"/>
    <w:rsid w:val="4BDD6A89"/>
    <w:rsid w:val="4BDD7D6C"/>
    <w:rsid w:val="4BDF1609"/>
    <w:rsid w:val="4BDF193C"/>
    <w:rsid w:val="4BDF2CD4"/>
    <w:rsid w:val="4BDF36EB"/>
    <w:rsid w:val="4BE11211"/>
    <w:rsid w:val="4BE13907"/>
    <w:rsid w:val="4BE26DD2"/>
    <w:rsid w:val="4BE3142D"/>
    <w:rsid w:val="4BE32B5B"/>
    <w:rsid w:val="4BE331DB"/>
    <w:rsid w:val="4BE34F89"/>
    <w:rsid w:val="4BE40D01"/>
    <w:rsid w:val="4BE428AA"/>
    <w:rsid w:val="4BE60F1D"/>
    <w:rsid w:val="4BE619D4"/>
    <w:rsid w:val="4BE62961"/>
    <w:rsid w:val="4BE62CCB"/>
    <w:rsid w:val="4BE64A79"/>
    <w:rsid w:val="4BE8259F"/>
    <w:rsid w:val="4BE86A43"/>
    <w:rsid w:val="4BEA168B"/>
    <w:rsid w:val="4BEA2EA8"/>
    <w:rsid w:val="4BEA4569"/>
    <w:rsid w:val="4BEA71A4"/>
    <w:rsid w:val="4BEB08D2"/>
    <w:rsid w:val="4BEB5EDF"/>
    <w:rsid w:val="4BEB6533"/>
    <w:rsid w:val="4BEB7E9C"/>
    <w:rsid w:val="4BEC277D"/>
    <w:rsid w:val="4BEC2CBC"/>
    <w:rsid w:val="4BEC5F10"/>
    <w:rsid w:val="4BED4059"/>
    <w:rsid w:val="4BEE5230"/>
    <w:rsid w:val="4BEF154D"/>
    <w:rsid w:val="4BEF1B80"/>
    <w:rsid w:val="4BEF7DD1"/>
    <w:rsid w:val="4BF0288C"/>
    <w:rsid w:val="4BF03B4A"/>
    <w:rsid w:val="4BF076A6"/>
    <w:rsid w:val="4BF113A3"/>
    <w:rsid w:val="4BF21670"/>
    <w:rsid w:val="4BF27A7E"/>
    <w:rsid w:val="4BF30F0E"/>
    <w:rsid w:val="4BF4363A"/>
    <w:rsid w:val="4BF453E8"/>
    <w:rsid w:val="4BF47872"/>
    <w:rsid w:val="4BF61160"/>
    <w:rsid w:val="4BF76C86"/>
    <w:rsid w:val="4BF76F1A"/>
    <w:rsid w:val="4BF8453E"/>
    <w:rsid w:val="4BF929FE"/>
    <w:rsid w:val="4BF92BE3"/>
    <w:rsid w:val="4BF92D90"/>
    <w:rsid w:val="4BF94A05"/>
    <w:rsid w:val="4BFA282F"/>
    <w:rsid w:val="4BFB1A82"/>
    <w:rsid w:val="4BFB2271"/>
    <w:rsid w:val="4BFB49C8"/>
    <w:rsid w:val="4BFB6776"/>
    <w:rsid w:val="4BFB7CD0"/>
    <w:rsid w:val="4BFC24EE"/>
    <w:rsid w:val="4BFC429C"/>
    <w:rsid w:val="4BFD21B6"/>
    <w:rsid w:val="4BFD3D72"/>
    <w:rsid w:val="4BFD74DA"/>
    <w:rsid w:val="4BFE0015"/>
    <w:rsid w:val="4BFF129C"/>
    <w:rsid w:val="4BFF4764"/>
    <w:rsid w:val="4C003D8D"/>
    <w:rsid w:val="4C0118B3"/>
    <w:rsid w:val="4C013661"/>
    <w:rsid w:val="4C023FF2"/>
    <w:rsid w:val="4C03387D"/>
    <w:rsid w:val="4C035AAC"/>
    <w:rsid w:val="4C0373D9"/>
    <w:rsid w:val="4C043151"/>
    <w:rsid w:val="4C04784B"/>
    <w:rsid w:val="4C06511B"/>
    <w:rsid w:val="4C067196"/>
    <w:rsid w:val="4C072AD9"/>
    <w:rsid w:val="4C076CEE"/>
    <w:rsid w:val="4C080E93"/>
    <w:rsid w:val="4C087B28"/>
    <w:rsid w:val="4C0917D0"/>
    <w:rsid w:val="4C094780"/>
    <w:rsid w:val="4C094875"/>
    <w:rsid w:val="4C097FBD"/>
    <w:rsid w:val="4C0A4C0B"/>
    <w:rsid w:val="4C0A5D05"/>
    <w:rsid w:val="4C0A69B9"/>
    <w:rsid w:val="4C0B2731"/>
    <w:rsid w:val="4C0B44E0"/>
    <w:rsid w:val="4C0D0258"/>
    <w:rsid w:val="4C0D46FC"/>
    <w:rsid w:val="4C0D64AA"/>
    <w:rsid w:val="4C0F2ADB"/>
    <w:rsid w:val="4C0F30D2"/>
    <w:rsid w:val="4C0F409C"/>
    <w:rsid w:val="4C100C5A"/>
    <w:rsid w:val="4C107D48"/>
    <w:rsid w:val="4C12586E"/>
    <w:rsid w:val="4C13731F"/>
    <w:rsid w:val="4C1415E6"/>
    <w:rsid w:val="4C143394"/>
    <w:rsid w:val="4C1438DE"/>
    <w:rsid w:val="4C147916"/>
    <w:rsid w:val="4C150504"/>
    <w:rsid w:val="4C152193"/>
    <w:rsid w:val="4C154C39"/>
    <w:rsid w:val="4C161DA9"/>
    <w:rsid w:val="4C1635B0"/>
    <w:rsid w:val="4C172150"/>
    <w:rsid w:val="4C177328"/>
    <w:rsid w:val="4C182F0D"/>
    <w:rsid w:val="4C187E5D"/>
    <w:rsid w:val="4C19436A"/>
    <w:rsid w:val="4C194E4E"/>
    <w:rsid w:val="4C196BFC"/>
    <w:rsid w:val="4C1A1042"/>
    <w:rsid w:val="4C1B50BF"/>
    <w:rsid w:val="4C1C049B"/>
    <w:rsid w:val="4C1C2949"/>
    <w:rsid w:val="4C1E560B"/>
    <w:rsid w:val="4C1E6394"/>
    <w:rsid w:val="4C211F55"/>
    <w:rsid w:val="4C213F8C"/>
    <w:rsid w:val="4C215AB1"/>
    <w:rsid w:val="4C223151"/>
    <w:rsid w:val="4C223EEC"/>
    <w:rsid w:val="4C23524A"/>
    <w:rsid w:val="4C235CCD"/>
    <w:rsid w:val="4C24147D"/>
    <w:rsid w:val="4C242A08"/>
    <w:rsid w:val="4C243F0A"/>
    <w:rsid w:val="4C250093"/>
    <w:rsid w:val="4C25290D"/>
    <w:rsid w:val="4C2555A1"/>
    <w:rsid w:val="4C2630C7"/>
    <w:rsid w:val="4C26756B"/>
    <w:rsid w:val="4C270E70"/>
    <w:rsid w:val="4C272902"/>
    <w:rsid w:val="4C273B59"/>
    <w:rsid w:val="4C2757BD"/>
    <w:rsid w:val="4C276021"/>
    <w:rsid w:val="4C282C44"/>
    <w:rsid w:val="4C2832E3"/>
    <w:rsid w:val="4C283ABE"/>
    <w:rsid w:val="4C285091"/>
    <w:rsid w:val="4C2864C7"/>
    <w:rsid w:val="4C2A3BAE"/>
    <w:rsid w:val="4C2A5200"/>
    <w:rsid w:val="4C2A705C"/>
    <w:rsid w:val="4C2B0E6B"/>
    <w:rsid w:val="4C2B6930"/>
    <w:rsid w:val="4C2C2DD4"/>
    <w:rsid w:val="4C2C5CAC"/>
    <w:rsid w:val="4C2C64CE"/>
    <w:rsid w:val="4C2D08FA"/>
    <w:rsid w:val="4C2D0C2F"/>
    <w:rsid w:val="4C2D4456"/>
    <w:rsid w:val="4C2E5100"/>
    <w:rsid w:val="4C303F46"/>
    <w:rsid w:val="4C311DFC"/>
    <w:rsid w:val="4C327CBE"/>
    <w:rsid w:val="4C341C88"/>
    <w:rsid w:val="4C343A36"/>
    <w:rsid w:val="4C343F17"/>
    <w:rsid w:val="4C3457E4"/>
    <w:rsid w:val="4C35155C"/>
    <w:rsid w:val="4C35765B"/>
    <w:rsid w:val="4C365A00"/>
    <w:rsid w:val="4C370EE5"/>
    <w:rsid w:val="4C371275"/>
    <w:rsid w:val="4C371778"/>
    <w:rsid w:val="4C374E73"/>
    <w:rsid w:val="4C38106A"/>
    <w:rsid w:val="4C386C5E"/>
    <w:rsid w:val="4C39104D"/>
    <w:rsid w:val="4C392213"/>
    <w:rsid w:val="4C39729F"/>
    <w:rsid w:val="4C3A3A12"/>
    <w:rsid w:val="4C3A7BE6"/>
    <w:rsid w:val="4C3B1A9E"/>
    <w:rsid w:val="4C3B239D"/>
    <w:rsid w:val="4C3B4DC5"/>
    <w:rsid w:val="4C3C1449"/>
    <w:rsid w:val="4C3C28EB"/>
    <w:rsid w:val="4C3C5617"/>
    <w:rsid w:val="4C3D0440"/>
    <w:rsid w:val="4C3D3A68"/>
    <w:rsid w:val="4C3D6D8F"/>
    <w:rsid w:val="4C3E34B4"/>
    <w:rsid w:val="4C3E6663"/>
    <w:rsid w:val="4C3E7628"/>
    <w:rsid w:val="4C4023DB"/>
    <w:rsid w:val="4C4179C2"/>
    <w:rsid w:val="4C417F01"/>
    <w:rsid w:val="4C420AEE"/>
    <w:rsid w:val="4C421E35"/>
    <w:rsid w:val="4C4243A5"/>
    <w:rsid w:val="4C427038"/>
    <w:rsid w:val="4C43011D"/>
    <w:rsid w:val="4C431ECB"/>
    <w:rsid w:val="4C435427"/>
    <w:rsid w:val="4C440A20"/>
    <w:rsid w:val="4C443323"/>
    <w:rsid w:val="4C445AB0"/>
    <w:rsid w:val="4C447246"/>
    <w:rsid w:val="4C452707"/>
    <w:rsid w:val="4C453E95"/>
    <w:rsid w:val="4C454C01"/>
    <w:rsid w:val="4C4579F1"/>
    <w:rsid w:val="4C461C46"/>
    <w:rsid w:val="4C46376A"/>
    <w:rsid w:val="4C4719BC"/>
    <w:rsid w:val="4C472D58"/>
    <w:rsid w:val="4C475409"/>
    <w:rsid w:val="4C481290"/>
    <w:rsid w:val="4C485734"/>
    <w:rsid w:val="4C4905C7"/>
    <w:rsid w:val="4C491119"/>
    <w:rsid w:val="4C4A0649"/>
    <w:rsid w:val="4C4A14AC"/>
    <w:rsid w:val="4C4B0D80"/>
    <w:rsid w:val="4C4D2D4A"/>
    <w:rsid w:val="4C4D4AF8"/>
    <w:rsid w:val="4C4D68A6"/>
    <w:rsid w:val="4C4E2FA9"/>
    <w:rsid w:val="4C4F261E"/>
    <w:rsid w:val="4C4F6AC2"/>
    <w:rsid w:val="4C4F7896"/>
    <w:rsid w:val="4C510D1C"/>
    <w:rsid w:val="4C5144E7"/>
    <w:rsid w:val="4C5145E8"/>
    <w:rsid w:val="4C516396"/>
    <w:rsid w:val="4C520F1C"/>
    <w:rsid w:val="4C523EBC"/>
    <w:rsid w:val="4C5324D7"/>
    <w:rsid w:val="4C5333E5"/>
    <w:rsid w:val="4C5441B0"/>
    <w:rsid w:val="4C546E1B"/>
    <w:rsid w:val="4C5479B0"/>
    <w:rsid w:val="4C561BFF"/>
    <w:rsid w:val="4C565206"/>
    <w:rsid w:val="4C56730E"/>
    <w:rsid w:val="4C57129F"/>
    <w:rsid w:val="4C572E2C"/>
    <w:rsid w:val="4C573788"/>
    <w:rsid w:val="4C577725"/>
    <w:rsid w:val="4C5900BC"/>
    <w:rsid w:val="4C5916EF"/>
    <w:rsid w:val="4C595E8C"/>
    <w:rsid w:val="4C5B29DC"/>
    <w:rsid w:val="4C5B6494"/>
    <w:rsid w:val="4C5C2F8D"/>
    <w:rsid w:val="4C5D0598"/>
    <w:rsid w:val="4C5D11DF"/>
    <w:rsid w:val="4C5D6381"/>
    <w:rsid w:val="4C5E0AB3"/>
    <w:rsid w:val="4C5E4F57"/>
    <w:rsid w:val="4C5E6D05"/>
    <w:rsid w:val="4C5F2E23"/>
    <w:rsid w:val="4C602A7D"/>
    <w:rsid w:val="4C60482B"/>
    <w:rsid w:val="4C604A40"/>
    <w:rsid w:val="4C6053BE"/>
    <w:rsid w:val="4C613E85"/>
    <w:rsid w:val="4C6228AF"/>
    <w:rsid w:val="4C623D3C"/>
    <w:rsid w:val="4C63256E"/>
    <w:rsid w:val="4C6356B3"/>
    <w:rsid w:val="4C6360CA"/>
    <w:rsid w:val="4C650094"/>
    <w:rsid w:val="4C653BF0"/>
    <w:rsid w:val="4C6608AF"/>
    <w:rsid w:val="4C663059"/>
    <w:rsid w:val="4C665275"/>
    <w:rsid w:val="4C665CD0"/>
    <w:rsid w:val="4C672C72"/>
    <w:rsid w:val="4C675BBA"/>
    <w:rsid w:val="4C681932"/>
    <w:rsid w:val="4C6836E0"/>
    <w:rsid w:val="4C6846A8"/>
    <w:rsid w:val="4C686721"/>
    <w:rsid w:val="4C687B84"/>
    <w:rsid w:val="4C696B2F"/>
    <w:rsid w:val="4C6A38FC"/>
    <w:rsid w:val="4C6A4346"/>
    <w:rsid w:val="4C6A7458"/>
    <w:rsid w:val="4C6B2057"/>
    <w:rsid w:val="4C6B31BA"/>
    <w:rsid w:val="4C6B4F7E"/>
    <w:rsid w:val="4C6B588C"/>
    <w:rsid w:val="4C6C17E5"/>
    <w:rsid w:val="4C6C5633"/>
    <w:rsid w:val="4C6D0CF6"/>
    <w:rsid w:val="4C6D439F"/>
    <w:rsid w:val="4C6D519A"/>
    <w:rsid w:val="4C6E4F35"/>
    <w:rsid w:val="4C6E6087"/>
    <w:rsid w:val="4C6F2859"/>
    <w:rsid w:val="4C6F2CC0"/>
    <w:rsid w:val="4C6F6911"/>
    <w:rsid w:val="4C6F6E0F"/>
    <w:rsid w:val="4C7042D7"/>
    <w:rsid w:val="4C710E7A"/>
    <w:rsid w:val="4C714C8A"/>
    <w:rsid w:val="4C714E75"/>
    <w:rsid w:val="4C716A38"/>
    <w:rsid w:val="4C737E2A"/>
    <w:rsid w:val="4C7402D7"/>
    <w:rsid w:val="4C746529"/>
    <w:rsid w:val="4C755810"/>
    <w:rsid w:val="4C760506"/>
    <w:rsid w:val="4C7622A1"/>
    <w:rsid w:val="4C781A7F"/>
    <w:rsid w:val="4C786019"/>
    <w:rsid w:val="4C787DC7"/>
    <w:rsid w:val="4C795E1C"/>
    <w:rsid w:val="4C79769B"/>
    <w:rsid w:val="4C7A7135"/>
    <w:rsid w:val="4C7B4571"/>
    <w:rsid w:val="4C7B49FD"/>
    <w:rsid w:val="4C7C507A"/>
    <w:rsid w:val="4C7D362F"/>
    <w:rsid w:val="4C7D7551"/>
    <w:rsid w:val="4C7E1155"/>
    <w:rsid w:val="4C7E4CB1"/>
    <w:rsid w:val="4C7E5ECA"/>
    <w:rsid w:val="4C7F13BD"/>
    <w:rsid w:val="4C7F7CD3"/>
    <w:rsid w:val="4C800A2A"/>
    <w:rsid w:val="4C8049A8"/>
    <w:rsid w:val="4C804ECE"/>
    <w:rsid w:val="4C8147A2"/>
    <w:rsid w:val="4C815CA2"/>
    <w:rsid w:val="4C8229F4"/>
    <w:rsid w:val="4C83051A"/>
    <w:rsid w:val="4C831652"/>
    <w:rsid w:val="4C845B43"/>
    <w:rsid w:val="4C854292"/>
    <w:rsid w:val="4C855949"/>
    <w:rsid w:val="4C856040"/>
    <w:rsid w:val="4C8621F1"/>
    <w:rsid w:val="4C871DB8"/>
    <w:rsid w:val="4C87556E"/>
    <w:rsid w:val="4C876AA5"/>
    <w:rsid w:val="4C883D82"/>
    <w:rsid w:val="4C890B36"/>
    <w:rsid w:val="4C891FD4"/>
    <w:rsid w:val="4C892931"/>
    <w:rsid w:val="4C8A18A8"/>
    <w:rsid w:val="4C8A5D4C"/>
    <w:rsid w:val="4C8A6EEA"/>
    <w:rsid w:val="4C8A7AFA"/>
    <w:rsid w:val="4C8B224F"/>
    <w:rsid w:val="4C8C3872"/>
    <w:rsid w:val="4C8C73CE"/>
    <w:rsid w:val="4C8D1AFD"/>
    <w:rsid w:val="4C8D3147"/>
    <w:rsid w:val="4C8E043C"/>
    <w:rsid w:val="4C8E5CA5"/>
    <w:rsid w:val="4C8E6C29"/>
    <w:rsid w:val="4C8F5111"/>
    <w:rsid w:val="4C8F6EBF"/>
    <w:rsid w:val="4C906CC2"/>
    <w:rsid w:val="4C912C37"/>
    <w:rsid w:val="4C9149E5"/>
    <w:rsid w:val="4C91592D"/>
    <w:rsid w:val="4C92075D"/>
    <w:rsid w:val="4C920B15"/>
    <w:rsid w:val="4C9232D6"/>
    <w:rsid w:val="4C926810"/>
    <w:rsid w:val="4C9269AF"/>
    <w:rsid w:val="4C940979"/>
    <w:rsid w:val="4C9420D8"/>
    <w:rsid w:val="4C943CC5"/>
    <w:rsid w:val="4C956D80"/>
    <w:rsid w:val="4C9659ED"/>
    <w:rsid w:val="4C96649F"/>
    <w:rsid w:val="4C984B2F"/>
    <w:rsid w:val="4C991AEB"/>
    <w:rsid w:val="4C994BE1"/>
    <w:rsid w:val="4C9A3C7F"/>
    <w:rsid w:val="4C9B1D07"/>
    <w:rsid w:val="4C9C152F"/>
    <w:rsid w:val="4C9C6D42"/>
    <w:rsid w:val="4C9D15DC"/>
    <w:rsid w:val="4C9D6AA1"/>
    <w:rsid w:val="4C9D782D"/>
    <w:rsid w:val="4C9E2B30"/>
    <w:rsid w:val="4C9E35A6"/>
    <w:rsid w:val="4C9E5354"/>
    <w:rsid w:val="4C9E7102"/>
    <w:rsid w:val="4CA010CC"/>
    <w:rsid w:val="4CA02E7A"/>
    <w:rsid w:val="4CA0731E"/>
    <w:rsid w:val="4CA15408"/>
    <w:rsid w:val="4CA15422"/>
    <w:rsid w:val="4CA23096"/>
    <w:rsid w:val="4CA24E44"/>
    <w:rsid w:val="4CA3296A"/>
    <w:rsid w:val="4CA36618"/>
    <w:rsid w:val="4CA46E0E"/>
    <w:rsid w:val="4CA50490"/>
    <w:rsid w:val="4CA52450"/>
    <w:rsid w:val="4CA5340D"/>
    <w:rsid w:val="4CA60321"/>
    <w:rsid w:val="4CA65BFD"/>
    <w:rsid w:val="4CA706AC"/>
    <w:rsid w:val="4CA71013"/>
    <w:rsid w:val="4CA77B53"/>
    <w:rsid w:val="4CA80FE3"/>
    <w:rsid w:val="4CA86EB5"/>
    <w:rsid w:val="4CA878C4"/>
    <w:rsid w:val="4CA87F80"/>
    <w:rsid w:val="4CAA00F5"/>
    <w:rsid w:val="4CAA019C"/>
    <w:rsid w:val="4CAA1F4A"/>
    <w:rsid w:val="4CAA4595"/>
    <w:rsid w:val="4CAA5AA7"/>
    <w:rsid w:val="4CAB3062"/>
    <w:rsid w:val="4CAD4E55"/>
    <w:rsid w:val="4CAF130F"/>
    <w:rsid w:val="4CB11380"/>
    <w:rsid w:val="4CB15087"/>
    <w:rsid w:val="4CB1584C"/>
    <w:rsid w:val="4CB20856"/>
    <w:rsid w:val="4CB20E78"/>
    <w:rsid w:val="4CB306D4"/>
    <w:rsid w:val="4CB30CC7"/>
    <w:rsid w:val="4CB37051"/>
    <w:rsid w:val="4CB4331E"/>
    <w:rsid w:val="4CB45D69"/>
    <w:rsid w:val="4CB52272"/>
    <w:rsid w:val="4CB61D51"/>
    <w:rsid w:val="4CB6269D"/>
    <w:rsid w:val="4CB701C3"/>
    <w:rsid w:val="4CB80E4F"/>
    <w:rsid w:val="4CB83BEB"/>
    <w:rsid w:val="4CB84667"/>
    <w:rsid w:val="4CB875D3"/>
    <w:rsid w:val="4CB9218D"/>
    <w:rsid w:val="4CBA03DF"/>
    <w:rsid w:val="4CBA4A9D"/>
    <w:rsid w:val="4CBA5FC0"/>
    <w:rsid w:val="4CBA5FC9"/>
    <w:rsid w:val="4CBB7CB4"/>
    <w:rsid w:val="4CBC77CC"/>
    <w:rsid w:val="4CBD7ED0"/>
    <w:rsid w:val="4CBE35B8"/>
    <w:rsid w:val="4CBF09AB"/>
    <w:rsid w:val="4CC00F87"/>
    <w:rsid w:val="4CC2421E"/>
    <w:rsid w:val="4CC254E6"/>
    <w:rsid w:val="4CC261BC"/>
    <w:rsid w:val="4CC27294"/>
    <w:rsid w:val="4CC307BC"/>
    <w:rsid w:val="4CC36B68"/>
    <w:rsid w:val="4CC40769"/>
    <w:rsid w:val="4CC44A4F"/>
    <w:rsid w:val="4CC528E0"/>
    <w:rsid w:val="4CC5694C"/>
    <w:rsid w:val="4CC56D84"/>
    <w:rsid w:val="4CC65DAC"/>
    <w:rsid w:val="4CC759FC"/>
    <w:rsid w:val="4CC81A5D"/>
    <w:rsid w:val="4CC81EDA"/>
    <w:rsid w:val="4CC823D1"/>
    <w:rsid w:val="4CC83899"/>
    <w:rsid w:val="4CC90623"/>
    <w:rsid w:val="4CC95D12"/>
    <w:rsid w:val="4CCA5ABE"/>
    <w:rsid w:val="4CCA6149"/>
    <w:rsid w:val="4CCB437C"/>
    <w:rsid w:val="4CCB6EF7"/>
    <w:rsid w:val="4CCC15A8"/>
    <w:rsid w:val="4CCC3C6F"/>
    <w:rsid w:val="4CCF19B1"/>
    <w:rsid w:val="4CCF550D"/>
    <w:rsid w:val="4CD0344F"/>
    <w:rsid w:val="4CD034F5"/>
    <w:rsid w:val="4CD07C03"/>
    <w:rsid w:val="4CD07FFD"/>
    <w:rsid w:val="4CD15729"/>
    <w:rsid w:val="4CD171C9"/>
    <w:rsid w:val="4CD23B8E"/>
    <w:rsid w:val="4CD24250"/>
    <w:rsid w:val="4CD24727"/>
    <w:rsid w:val="4CD2722C"/>
    <w:rsid w:val="4CD3324F"/>
    <w:rsid w:val="4CD35C15"/>
    <w:rsid w:val="4CD40000"/>
    <w:rsid w:val="4CD40D75"/>
    <w:rsid w:val="4CD44FFC"/>
    <w:rsid w:val="4CD4593A"/>
    <w:rsid w:val="4CD46FC7"/>
    <w:rsid w:val="4CD55219"/>
    <w:rsid w:val="4CD56315"/>
    <w:rsid w:val="4CD57D2F"/>
    <w:rsid w:val="4CD60F91"/>
    <w:rsid w:val="4CD62D3F"/>
    <w:rsid w:val="4CD70880"/>
    <w:rsid w:val="4CD754F1"/>
    <w:rsid w:val="4CD80866"/>
    <w:rsid w:val="4CD82614"/>
    <w:rsid w:val="4CD929E2"/>
    <w:rsid w:val="4CD9638C"/>
    <w:rsid w:val="4CDA2830"/>
    <w:rsid w:val="4CDB2104"/>
    <w:rsid w:val="4CDB589C"/>
    <w:rsid w:val="4CDC2F1E"/>
    <w:rsid w:val="4CDD06BD"/>
    <w:rsid w:val="4CDD5E7C"/>
    <w:rsid w:val="4CDD6A0A"/>
    <w:rsid w:val="4CDD7C2A"/>
    <w:rsid w:val="4CDE00FC"/>
    <w:rsid w:val="4CDE39A2"/>
    <w:rsid w:val="4CDF1BF4"/>
    <w:rsid w:val="4CDF7203"/>
    <w:rsid w:val="4CDF7E46"/>
    <w:rsid w:val="4CE03BBE"/>
    <w:rsid w:val="4CE0596C"/>
    <w:rsid w:val="4CE11174"/>
    <w:rsid w:val="4CE2366D"/>
    <w:rsid w:val="4CE27936"/>
    <w:rsid w:val="4CE27CEC"/>
    <w:rsid w:val="4CE27EB0"/>
    <w:rsid w:val="4CE337A8"/>
    <w:rsid w:val="4CE44949"/>
    <w:rsid w:val="4CE47AF5"/>
    <w:rsid w:val="4CE74F4D"/>
    <w:rsid w:val="4CE76CFB"/>
    <w:rsid w:val="4CE81047"/>
    <w:rsid w:val="4CE86476"/>
    <w:rsid w:val="4CE90CC5"/>
    <w:rsid w:val="4CE924D7"/>
    <w:rsid w:val="4CE92A73"/>
    <w:rsid w:val="4CE94821"/>
    <w:rsid w:val="4CE97906"/>
    <w:rsid w:val="4CEA0599"/>
    <w:rsid w:val="4CEB7B3F"/>
    <w:rsid w:val="4CEC2563"/>
    <w:rsid w:val="4CED7717"/>
    <w:rsid w:val="4CEE1E37"/>
    <w:rsid w:val="4CEE4718"/>
    <w:rsid w:val="4CEF282F"/>
    <w:rsid w:val="4CEF4C08"/>
    <w:rsid w:val="4CEF5BAF"/>
    <w:rsid w:val="4CEF6B2A"/>
    <w:rsid w:val="4CF00D65"/>
    <w:rsid w:val="4CF0343A"/>
    <w:rsid w:val="4CF10C69"/>
    <w:rsid w:val="4CF136D5"/>
    <w:rsid w:val="4CF2172A"/>
    <w:rsid w:val="4CF220F9"/>
    <w:rsid w:val="4CF229A2"/>
    <w:rsid w:val="4CF34932"/>
    <w:rsid w:val="4CF3569F"/>
    <w:rsid w:val="4CF3744D"/>
    <w:rsid w:val="4CF451F0"/>
    <w:rsid w:val="4CF465D6"/>
    <w:rsid w:val="4CF51418"/>
    <w:rsid w:val="4CF60210"/>
    <w:rsid w:val="4CF66F3E"/>
    <w:rsid w:val="4CF7150B"/>
    <w:rsid w:val="4CF74ADB"/>
    <w:rsid w:val="4CF775C0"/>
    <w:rsid w:val="4CF803E4"/>
    <w:rsid w:val="4CF84A35"/>
    <w:rsid w:val="4CF84A64"/>
    <w:rsid w:val="4CF907DC"/>
    <w:rsid w:val="4CFA088B"/>
    <w:rsid w:val="4CFB1E32"/>
    <w:rsid w:val="4CFD02CC"/>
    <w:rsid w:val="4CFD1C7A"/>
    <w:rsid w:val="4CFE19EE"/>
    <w:rsid w:val="4CFE4058"/>
    <w:rsid w:val="4CFF2509"/>
    <w:rsid w:val="4CFF634D"/>
    <w:rsid w:val="4CFF75D5"/>
    <w:rsid w:val="4D005B8D"/>
    <w:rsid w:val="4D0079CC"/>
    <w:rsid w:val="4D007DBC"/>
    <w:rsid w:val="4D021A66"/>
    <w:rsid w:val="4D023B34"/>
    <w:rsid w:val="4D027691"/>
    <w:rsid w:val="4D032986"/>
    <w:rsid w:val="4D037A91"/>
    <w:rsid w:val="4D037DBB"/>
    <w:rsid w:val="4D0409FA"/>
    <w:rsid w:val="4D0478AD"/>
    <w:rsid w:val="4D053A46"/>
    <w:rsid w:val="4D05599E"/>
    <w:rsid w:val="4D057181"/>
    <w:rsid w:val="4D07201E"/>
    <w:rsid w:val="4D07739D"/>
    <w:rsid w:val="4D090A1F"/>
    <w:rsid w:val="4D094369"/>
    <w:rsid w:val="4D0A1810"/>
    <w:rsid w:val="4D0A1FC6"/>
    <w:rsid w:val="4D0A5413"/>
    <w:rsid w:val="4D0C050F"/>
    <w:rsid w:val="4D0C49B3"/>
    <w:rsid w:val="4D0C6761"/>
    <w:rsid w:val="4D0D18D2"/>
    <w:rsid w:val="4D0D1EA9"/>
    <w:rsid w:val="4D0D4811"/>
    <w:rsid w:val="4D0D7D1D"/>
    <w:rsid w:val="4D0E00FB"/>
    <w:rsid w:val="4D0E4287"/>
    <w:rsid w:val="4D0F0ADB"/>
    <w:rsid w:val="4D0F117E"/>
    <w:rsid w:val="4D0F1B50"/>
    <w:rsid w:val="4D0F1DAD"/>
    <w:rsid w:val="4D0F1F02"/>
    <w:rsid w:val="4D1039FB"/>
    <w:rsid w:val="4D106251"/>
    <w:rsid w:val="4D111FCA"/>
    <w:rsid w:val="4D115B26"/>
    <w:rsid w:val="4D1216E3"/>
    <w:rsid w:val="4D13189E"/>
    <w:rsid w:val="4D134330"/>
    <w:rsid w:val="4D137251"/>
    <w:rsid w:val="4D137AF0"/>
    <w:rsid w:val="4D145493"/>
    <w:rsid w:val="4D1473C4"/>
    <w:rsid w:val="4D150064"/>
    <w:rsid w:val="4D1554C9"/>
    <w:rsid w:val="4D161547"/>
    <w:rsid w:val="4D1626E7"/>
    <w:rsid w:val="4D16630D"/>
    <w:rsid w:val="4D176606"/>
    <w:rsid w:val="4D176E22"/>
    <w:rsid w:val="4D18482C"/>
    <w:rsid w:val="4D1869E5"/>
    <w:rsid w:val="4D186EB4"/>
    <w:rsid w:val="4D1963E7"/>
    <w:rsid w:val="4D1A0E7E"/>
    <w:rsid w:val="4D1A2920"/>
    <w:rsid w:val="4D1A2C2C"/>
    <w:rsid w:val="4D1A4185"/>
    <w:rsid w:val="4D1A70D0"/>
    <w:rsid w:val="4D1B0752"/>
    <w:rsid w:val="4D1B2A1B"/>
    <w:rsid w:val="4D1B4383"/>
    <w:rsid w:val="4D1B69A4"/>
    <w:rsid w:val="4D1C0BF7"/>
    <w:rsid w:val="4D1C4D73"/>
    <w:rsid w:val="4D1C5662"/>
    <w:rsid w:val="4D1D096E"/>
    <w:rsid w:val="4D1D536F"/>
    <w:rsid w:val="4D1E3A2B"/>
    <w:rsid w:val="4D1E7702"/>
    <w:rsid w:val="4D1F0243"/>
    <w:rsid w:val="4D1F46E6"/>
    <w:rsid w:val="4D2025A6"/>
    <w:rsid w:val="4D203FBB"/>
    <w:rsid w:val="4D211BAD"/>
    <w:rsid w:val="4D221AE1"/>
    <w:rsid w:val="4D224CB2"/>
    <w:rsid w:val="4D227D33"/>
    <w:rsid w:val="4D233771"/>
    <w:rsid w:val="4D241CFD"/>
    <w:rsid w:val="4D242C7E"/>
    <w:rsid w:val="4D243AAB"/>
    <w:rsid w:val="4D244F88"/>
    <w:rsid w:val="4D245F1F"/>
    <w:rsid w:val="4D2523B7"/>
    <w:rsid w:val="4D256418"/>
    <w:rsid w:val="4D267823"/>
    <w:rsid w:val="4D285DC7"/>
    <w:rsid w:val="4D28656D"/>
    <w:rsid w:val="4D297313"/>
    <w:rsid w:val="4D2A01DA"/>
    <w:rsid w:val="4D2A0DFA"/>
    <w:rsid w:val="4D2A64DF"/>
    <w:rsid w:val="4D2A6BE7"/>
    <w:rsid w:val="4D2B228A"/>
    <w:rsid w:val="4D2B34E9"/>
    <w:rsid w:val="4D2B369F"/>
    <w:rsid w:val="4D2B4E39"/>
    <w:rsid w:val="4D2C2AA8"/>
    <w:rsid w:val="4D2C371A"/>
    <w:rsid w:val="4D2C4E5B"/>
    <w:rsid w:val="4D2C71A7"/>
    <w:rsid w:val="4D2E0486"/>
    <w:rsid w:val="4D2E2B7B"/>
    <w:rsid w:val="4D2E777B"/>
    <w:rsid w:val="4D2F0641"/>
    <w:rsid w:val="4D2F41FE"/>
    <w:rsid w:val="4D2F7535"/>
    <w:rsid w:val="4D3006A2"/>
    <w:rsid w:val="4D302450"/>
    <w:rsid w:val="4D304B40"/>
    <w:rsid w:val="4D31441A"/>
    <w:rsid w:val="4D3160FC"/>
    <w:rsid w:val="4D3161C8"/>
    <w:rsid w:val="4D317F76"/>
    <w:rsid w:val="4D3229C4"/>
    <w:rsid w:val="4D324993"/>
    <w:rsid w:val="4D33279B"/>
    <w:rsid w:val="4D341EAC"/>
    <w:rsid w:val="4D351FFA"/>
    <w:rsid w:val="4D357A66"/>
    <w:rsid w:val="4D364288"/>
    <w:rsid w:val="4D365A25"/>
    <w:rsid w:val="4D371A30"/>
    <w:rsid w:val="4D380F8D"/>
    <w:rsid w:val="4D384845"/>
    <w:rsid w:val="4D386DC7"/>
    <w:rsid w:val="4D3A1520"/>
    <w:rsid w:val="4D3A32CE"/>
    <w:rsid w:val="4D3A71AE"/>
    <w:rsid w:val="4D3B0DF4"/>
    <w:rsid w:val="4D3B0EF1"/>
    <w:rsid w:val="4D3B2BA3"/>
    <w:rsid w:val="4D3C262E"/>
    <w:rsid w:val="4D3C7046"/>
    <w:rsid w:val="4D3D2DBF"/>
    <w:rsid w:val="4D3D4B6D"/>
    <w:rsid w:val="4D3D691B"/>
    <w:rsid w:val="4D3E4128"/>
    <w:rsid w:val="4D4001B9"/>
    <w:rsid w:val="4D4128AF"/>
    <w:rsid w:val="4D41465D"/>
    <w:rsid w:val="4D415E97"/>
    <w:rsid w:val="4D427A0E"/>
    <w:rsid w:val="4D430511"/>
    <w:rsid w:val="4D4330E2"/>
    <w:rsid w:val="4D434468"/>
    <w:rsid w:val="4D4373FC"/>
    <w:rsid w:val="4D437596"/>
    <w:rsid w:val="4D44338E"/>
    <w:rsid w:val="4D44414D"/>
    <w:rsid w:val="4D445EFB"/>
    <w:rsid w:val="4D447CA9"/>
    <w:rsid w:val="4D461C73"/>
    <w:rsid w:val="4D466E92"/>
    <w:rsid w:val="4D47109A"/>
    <w:rsid w:val="4D471A63"/>
    <w:rsid w:val="4D473C76"/>
    <w:rsid w:val="4D4759EB"/>
    <w:rsid w:val="4D477799"/>
    <w:rsid w:val="4D482EF3"/>
    <w:rsid w:val="4D494383"/>
    <w:rsid w:val="4D4A6761"/>
    <w:rsid w:val="4D4B1038"/>
    <w:rsid w:val="4D4B1874"/>
    <w:rsid w:val="4D4B3C63"/>
    <w:rsid w:val="4D4B661B"/>
    <w:rsid w:val="4D4C0838"/>
    <w:rsid w:val="4D4C3002"/>
    <w:rsid w:val="4D4C3ECB"/>
    <w:rsid w:val="4D4C5F59"/>
    <w:rsid w:val="4D4D3536"/>
    <w:rsid w:val="4D4E28D6"/>
    <w:rsid w:val="4D502AF2"/>
    <w:rsid w:val="4D50723D"/>
    <w:rsid w:val="4D507F44"/>
    <w:rsid w:val="4D510618"/>
    <w:rsid w:val="4D513FA5"/>
    <w:rsid w:val="4D526B76"/>
    <w:rsid w:val="4D5325E2"/>
    <w:rsid w:val="4D536CE5"/>
    <w:rsid w:val="4D550108"/>
    <w:rsid w:val="4D551EB6"/>
    <w:rsid w:val="4D553DB6"/>
    <w:rsid w:val="4D5554F7"/>
    <w:rsid w:val="4D557BB5"/>
    <w:rsid w:val="4D565246"/>
    <w:rsid w:val="4D565C2E"/>
    <w:rsid w:val="4D577E17"/>
    <w:rsid w:val="4D5819A6"/>
    <w:rsid w:val="4D58349F"/>
    <w:rsid w:val="4D583754"/>
    <w:rsid w:val="4D587BF8"/>
    <w:rsid w:val="4D591D90"/>
    <w:rsid w:val="4D592737"/>
    <w:rsid w:val="4D597AF4"/>
    <w:rsid w:val="4D5A571F"/>
    <w:rsid w:val="4D5A6798"/>
    <w:rsid w:val="4D5C5EC8"/>
    <w:rsid w:val="4D5D0D6B"/>
    <w:rsid w:val="4D5D520F"/>
    <w:rsid w:val="4D5E1499"/>
    <w:rsid w:val="4D5E2ED5"/>
    <w:rsid w:val="4D5E5119"/>
    <w:rsid w:val="4D5F2D35"/>
    <w:rsid w:val="4D5F3B5F"/>
    <w:rsid w:val="4D5F4AE3"/>
    <w:rsid w:val="4D5F5C18"/>
    <w:rsid w:val="4D5F64BD"/>
    <w:rsid w:val="4D6046FD"/>
    <w:rsid w:val="4D607A39"/>
    <w:rsid w:val="4D61085B"/>
    <w:rsid w:val="4D61509F"/>
    <w:rsid w:val="4D6150D8"/>
    <w:rsid w:val="4D61529C"/>
    <w:rsid w:val="4D615D2E"/>
    <w:rsid w:val="4D616DCA"/>
    <w:rsid w:val="4D62072B"/>
    <w:rsid w:val="4D6245D3"/>
    <w:rsid w:val="4D637AFB"/>
    <w:rsid w:val="4D64034B"/>
    <w:rsid w:val="4D64659D"/>
    <w:rsid w:val="4D6538AB"/>
    <w:rsid w:val="4D654702"/>
    <w:rsid w:val="4D660252"/>
    <w:rsid w:val="4D662315"/>
    <w:rsid w:val="4D663E25"/>
    <w:rsid w:val="4D66647C"/>
    <w:rsid w:val="4D690E39"/>
    <w:rsid w:val="4D694DFD"/>
    <w:rsid w:val="4D695962"/>
    <w:rsid w:val="4D6959B0"/>
    <w:rsid w:val="4D6974BD"/>
    <w:rsid w:val="4D697710"/>
    <w:rsid w:val="4D6B3488"/>
    <w:rsid w:val="4D6B792C"/>
    <w:rsid w:val="4D6C0FAE"/>
    <w:rsid w:val="4D6C375C"/>
    <w:rsid w:val="4D6D065E"/>
    <w:rsid w:val="4D6D36A4"/>
    <w:rsid w:val="4D6D5452"/>
    <w:rsid w:val="4D6E2F78"/>
    <w:rsid w:val="4D6E5BC5"/>
    <w:rsid w:val="4D6F5C57"/>
    <w:rsid w:val="4D6F752D"/>
    <w:rsid w:val="4D7009BD"/>
    <w:rsid w:val="4D700A9E"/>
    <w:rsid w:val="4D707FB2"/>
    <w:rsid w:val="4D710BC6"/>
    <w:rsid w:val="4D710D8B"/>
    <w:rsid w:val="4D71358E"/>
    <w:rsid w:val="4D714816"/>
    <w:rsid w:val="4D720832"/>
    <w:rsid w:val="4D722A68"/>
    <w:rsid w:val="4D722AB1"/>
    <w:rsid w:val="4D727A2A"/>
    <w:rsid w:val="4D73058E"/>
    <w:rsid w:val="4D7306CC"/>
    <w:rsid w:val="4D7357F7"/>
    <w:rsid w:val="4D7367E0"/>
    <w:rsid w:val="4D743D7A"/>
    <w:rsid w:val="4D7463AE"/>
    <w:rsid w:val="4D74696D"/>
    <w:rsid w:val="4D7507CE"/>
    <w:rsid w:val="4D754306"/>
    <w:rsid w:val="4D75441B"/>
    <w:rsid w:val="4D754631"/>
    <w:rsid w:val="4D755D94"/>
    <w:rsid w:val="4D7560B4"/>
    <w:rsid w:val="4D763BCB"/>
    <w:rsid w:val="4D767417"/>
    <w:rsid w:val="4D77007F"/>
    <w:rsid w:val="4D783DF7"/>
    <w:rsid w:val="4D784E5B"/>
    <w:rsid w:val="4D793B0C"/>
    <w:rsid w:val="4D7A36CB"/>
    <w:rsid w:val="4D7C06A1"/>
    <w:rsid w:val="4D7C5695"/>
    <w:rsid w:val="4D7C7172"/>
    <w:rsid w:val="4D7D140D"/>
    <w:rsid w:val="4D8031C4"/>
    <w:rsid w:val="4D810EFD"/>
    <w:rsid w:val="4D812AEE"/>
    <w:rsid w:val="4D814A59"/>
    <w:rsid w:val="4D815FB0"/>
    <w:rsid w:val="4D8245AC"/>
    <w:rsid w:val="4D82484A"/>
    <w:rsid w:val="4D8409ED"/>
    <w:rsid w:val="4D842A50"/>
    <w:rsid w:val="4D843B9C"/>
    <w:rsid w:val="4D844549"/>
    <w:rsid w:val="4D8602C2"/>
    <w:rsid w:val="4D86319C"/>
    <w:rsid w:val="4D866514"/>
    <w:rsid w:val="4D872021"/>
    <w:rsid w:val="4D88228C"/>
    <w:rsid w:val="4D882DC6"/>
    <w:rsid w:val="4D891B60"/>
    <w:rsid w:val="4D896004"/>
    <w:rsid w:val="4D897DB2"/>
    <w:rsid w:val="4D8A33D6"/>
    <w:rsid w:val="4D8B4139"/>
    <w:rsid w:val="4D8B58D8"/>
    <w:rsid w:val="4D8C52E0"/>
    <w:rsid w:val="4D8C69CB"/>
    <w:rsid w:val="4D8E1073"/>
    <w:rsid w:val="4D8E361A"/>
    <w:rsid w:val="4D8E5020"/>
    <w:rsid w:val="4D8E608C"/>
    <w:rsid w:val="4D8E7176"/>
    <w:rsid w:val="4D90284C"/>
    <w:rsid w:val="4D902EEE"/>
    <w:rsid w:val="4D922B9F"/>
    <w:rsid w:val="4D92310A"/>
    <w:rsid w:val="4D924EB8"/>
    <w:rsid w:val="4D926C66"/>
    <w:rsid w:val="4D9329DF"/>
    <w:rsid w:val="4D932B4F"/>
    <w:rsid w:val="4D933EBD"/>
    <w:rsid w:val="4D93478D"/>
    <w:rsid w:val="4D94007C"/>
    <w:rsid w:val="4D9549A9"/>
    <w:rsid w:val="4D957DB8"/>
    <w:rsid w:val="4D97427D"/>
    <w:rsid w:val="4D986247"/>
    <w:rsid w:val="4D986739"/>
    <w:rsid w:val="4D996959"/>
    <w:rsid w:val="4D9A1FBF"/>
    <w:rsid w:val="4D9A572B"/>
    <w:rsid w:val="4D9A7089"/>
    <w:rsid w:val="4D9B019C"/>
    <w:rsid w:val="4D9B03ED"/>
    <w:rsid w:val="4D9B1B57"/>
    <w:rsid w:val="4D9C0BAD"/>
    <w:rsid w:val="4D9C10A9"/>
    <w:rsid w:val="4D9C5D37"/>
    <w:rsid w:val="4D9C6E02"/>
    <w:rsid w:val="4D9C7AE5"/>
    <w:rsid w:val="4D9C7C8B"/>
    <w:rsid w:val="4D9D560B"/>
    <w:rsid w:val="4D9E1AAF"/>
    <w:rsid w:val="4D9F30F3"/>
    <w:rsid w:val="4D9F62BA"/>
    <w:rsid w:val="4DA006E3"/>
    <w:rsid w:val="4DA04ECB"/>
    <w:rsid w:val="4DA1056C"/>
    <w:rsid w:val="4DA150FB"/>
    <w:rsid w:val="4DA22C22"/>
    <w:rsid w:val="4DA430A4"/>
    <w:rsid w:val="4DA44CDC"/>
    <w:rsid w:val="4DA46054"/>
    <w:rsid w:val="4DA4699A"/>
    <w:rsid w:val="4DA50D3D"/>
    <w:rsid w:val="4DA60964"/>
    <w:rsid w:val="4DA81FA0"/>
    <w:rsid w:val="4DA92202"/>
    <w:rsid w:val="4DAA7CFD"/>
    <w:rsid w:val="4DAB1AD6"/>
    <w:rsid w:val="4DAB1FDE"/>
    <w:rsid w:val="4DAB41CC"/>
    <w:rsid w:val="4DAB5F7A"/>
    <w:rsid w:val="4DAB7D28"/>
    <w:rsid w:val="4DAC139D"/>
    <w:rsid w:val="4DAC584E"/>
    <w:rsid w:val="4DAC5CED"/>
    <w:rsid w:val="4DAC6687"/>
    <w:rsid w:val="4DAD005E"/>
    <w:rsid w:val="4DAD19F9"/>
    <w:rsid w:val="4DAD3AA0"/>
    <w:rsid w:val="4DAD528A"/>
    <w:rsid w:val="4DAE5A6A"/>
    <w:rsid w:val="4DAE7818"/>
    <w:rsid w:val="4DAF7614"/>
    <w:rsid w:val="4DB0533F"/>
    <w:rsid w:val="4DB10A21"/>
    <w:rsid w:val="4DB12E65"/>
    <w:rsid w:val="4DB210B7"/>
    <w:rsid w:val="4DB27309"/>
    <w:rsid w:val="4DB3309D"/>
    <w:rsid w:val="4DB33341"/>
    <w:rsid w:val="4DB36BB4"/>
    <w:rsid w:val="4DB36BDD"/>
    <w:rsid w:val="4DB43081"/>
    <w:rsid w:val="4DB447D1"/>
    <w:rsid w:val="4DB706EB"/>
    <w:rsid w:val="4DB72327"/>
    <w:rsid w:val="4DB7491F"/>
    <w:rsid w:val="4DB82445"/>
    <w:rsid w:val="4DB90697"/>
    <w:rsid w:val="4DB96063"/>
    <w:rsid w:val="4DB96D44"/>
    <w:rsid w:val="4DB970C1"/>
    <w:rsid w:val="4DBA03B4"/>
    <w:rsid w:val="4DBA61BD"/>
    <w:rsid w:val="4DBA7F6B"/>
    <w:rsid w:val="4DBC35DF"/>
    <w:rsid w:val="4DBC3CE3"/>
    <w:rsid w:val="4DBD1DF1"/>
    <w:rsid w:val="4DBD7A5B"/>
    <w:rsid w:val="4DBE1B95"/>
    <w:rsid w:val="4DBE79DF"/>
    <w:rsid w:val="4DBF3B64"/>
    <w:rsid w:val="4DBF5582"/>
    <w:rsid w:val="4DC1579E"/>
    <w:rsid w:val="4DC1754C"/>
    <w:rsid w:val="4DC2330F"/>
    <w:rsid w:val="4DC25072"/>
    <w:rsid w:val="4DC31516"/>
    <w:rsid w:val="4DC32E36"/>
    <w:rsid w:val="4DC332C4"/>
    <w:rsid w:val="4DC33632"/>
    <w:rsid w:val="4DC36F0B"/>
    <w:rsid w:val="4DC40DEA"/>
    <w:rsid w:val="4DC46E97"/>
    <w:rsid w:val="4DC4703C"/>
    <w:rsid w:val="4DC5064E"/>
    <w:rsid w:val="4DC602E0"/>
    <w:rsid w:val="4DC6337E"/>
    <w:rsid w:val="4DC65738"/>
    <w:rsid w:val="4DC66910"/>
    <w:rsid w:val="4DC813F1"/>
    <w:rsid w:val="4DC81CD3"/>
    <w:rsid w:val="4DC86B2C"/>
    <w:rsid w:val="4DC91446"/>
    <w:rsid w:val="4DC9392A"/>
    <w:rsid w:val="4DC96FD3"/>
    <w:rsid w:val="4DCB03CA"/>
    <w:rsid w:val="4DCB3F26"/>
    <w:rsid w:val="4DCC2D77"/>
    <w:rsid w:val="4DCC40A8"/>
    <w:rsid w:val="4DCC4263"/>
    <w:rsid w:val="4DCD0DDA"/>
    <w:rsid w:val="4DCD4A82"/>
    <w:rsid w:val="4DCD751B"/>
    <w:rsid w:val="4DCF1E76"/>
    <w:rsid w:val="4DCF3FAA"/>
    <w:rsid w:val="4DD059E1"/>
    <w:rsid w:val="4DD21759"/>
    <w:rsid w:val="4DD3727F"/>
    <w:rsid w:val="4DD44C37"/>
    <w:rsid w:val="4DD46B7D"/>
    <w:rsid w:val="4DD5108E"/>
    <w:rsid w:val="4DD52D49"/>
    <w:rsid w:val="4DD551A1"/>
    <w:rsid w:val="4DD632E9"/>
    <w:rsid w:val="4DD728CB"/>
    <w:rsid w:val="4DD729F9"/>
    <w:rsid w:val="4DD85F43"/>
    <w:rsid w:val="4DD86643"/>
    <w:rsid w:val="4DD92AE7"/>
    <w:rsid w:val="4DD94604"/>
    <w:rsid w:val="4DD94895"/>
    <w:rsid w:val="4DD9505C"/>
    <w:rsid w:val="4DDA23BB"/>
    <w:rsid w:val="4DDA7481"/>
    <w:rsid w:val="4DDC145E"/>
    <w:rsid w:val="4DDC39DD"/>
    <w:rsid w:val="4DDC3F49"/>
    <w:rsid w:val="4DDC6134"/>
    <w:rsid w:val="4DDC7F13"/>
    <w:rsid w:val="4DDD65AE"/>
    <w:rsid w:val="4DDE00FE"/>
    <w:rsid w:val="4DDE0F4B"/>
    <w:rsid w:val="4DDF5C24"/>
    <w:rsid w:val="4DE02688"/>
    <w:rsid w:val="4DE1199C"/>
    <w:rsid w:val="4DE1374A"/>
    <w:rsid w:val="4DE30CDF"/>
    <w:rsid w:val="4DE33966"/>
    <w:rsid w:val="4DE3517A"/>
    <w:rsid w:val="4DE35714"/>
    <w:rsid w:val="4DE4323A"/>
    <w:rsid w:val="4DE44FE8"/>
    <w:rsid w:val="4DE473E9"/>
    <w:rsid w:val="4DE568B7"/>
    <w:rsid w:val="4DE65204"/>
    <w:rsid w:val="4DE66FB2"/>
    <w:rsid w:val="4DE67660"/>
    <w:rsid w:val="4DE80F7C"/>
    <w:rsid w:val="4DE82925"/>
    <w:rsid w:val="4DE84AD8"/>
    <w:rsid w:val="4DE90850"/>
    <w:rsid w:val="4DE90EB2"/>
    <w:rsid w:val="4DEA5A8F"/>
    <w:rsid w:val="4DEA5FE1"/>
    <w:rsid w:val="4DEB2042"/>
    <w:rsid w:val="4DEB45C9"/>
    <w:rsid w:val="4DEB6377"/>
    <w:rsid w:val="4DEB7471"/>
    <w:rsid w:val="4DEC4FB0"/>
    <w:rsid w:val="4DED20EF"/>
    <w:rsid w:val="4DED6593"/>
    <w:rsid w:val="4DEE5DF2"/>
    <w:rsid w:val="4DEE5E67"/>
    <w:rsid w:val="4DEE6A1E"/>
    <w:rsid w:val="4DEF230B"/>
    <w:rsid w:val="4DEF40B9"/>
    <w:rsid w:val="4DF01E53"/>
    <w:rsid w:val="4DF02412"/>
    <w:rsid w:val="4DF036EE"/>
    <w:rsid w:val="4DF06083"/>
    <w:rsid w:val="4DF165FD"/>
    <w:rsid w:val="4DF221AF"/>
    <w:rsid w:val="4DF22E52"/>
    <w:rsid w:val="4DF23BA9"/>
    <w:rsid w:val="4DF2714E"/>
    <w:rsid w:val="4DF30E2D"/>
    <w:rsid w:val="4DF34F55"/>
    <w:rsid w:val="4DF41807"/>
    <w:rsid w:val="4DF44835"/>
    <w:rsid w:val="4DF50FCD"/>
    <w:rsid w:val="4DF521E1"/>
    <w:rsid w:val="4DF55447"/>
    <w:rsid w:val="4DF558BF"/>
    <w:rsid w:val="4DF55974"/>
    <w:rsid w:val="4DF64584"/>
    <w:rsid w:val="4DF65033"/>
    <w:rsid w:val="4DF711BF"/>
    <w:rsid w:val="4DF73BB0"/>
    <w:rsid w:val="4DF74D1B"/>
    <w:rsid w:val="4DF80A94"/>
    <w:rsid w:val="4DF9529F"/>
    <w:rsid w:val="4DF973E7"/>
    <w:rsid w:val="4DFA0CB0"/>
    <w:rsid w:val="4DFA0FB9"/>
    <w:rsid w:val="4DFA2A5E"/>
    <w:rsid w:val="4DFB01D4"/>
    <w:rsid w:val="4DFC0584"/>
    <w:rsid w:val="4DFC17E7"/>
    <w:rsid w:val="4DFC4A28"/>
    <w:rsid w:val="4DFD21FD"/>
    <w:rsid w:val="4DFD2C5F"/>
    <w:rsid w:val="4DFD59B5"/>
    <w:rsid w:val="4DFE254E"/>
    <w:rsid w:val="4DFE60AA"/>
    <w:rsid w:val="4DFF0074"/>
    <w:rsid w:val="4E01203E"/>
    <w:rsid w:val="4E015B9A"/>
    <w:rsid w:val="4E023BB8"/>
    <w:rsid w:val="4E026E39"/>
    <w:rsid w:val="4E0336C0"/>
    <w:rsid w:val="4E035DB6"/>
    <w:rsid w:val="4E0410BB"/>
    <w:rsid w:val="4E04568A"/>
    <w:rsid w:val="4E047810"/>
    <w:rsid w:val="4E0538DC"/>
    <w:rsid w:val="4E053B18"/>
    <w:rsid w:val="4E06019C"/>
    <w:rsid w:val="4E0631B0"/>
    <w:rsid w:val="4E075D8A"/>
    <w:rsid w:val="4E0833CC"/>
    <w:rsid w:val="4E086F29"/>
    <w:rsid w:val="4E0929FA"/>
    <w:rsid w:val="4E092CA1"/>
    <w:rsid w:val="4E094A4F"/>
    <w:rsid w:val="4E0A0EF3"/>
    <w:rsid w:val="4E0A1846"/>
    <w:rsid w:val="4E0A3AB2"/>
    <w:rsid w:val="4E0A4298"/>
    <w:rsid w:val="4E0B6A19"/>
    <w:rsid w:val="4E0B6A5B"/>
    <w:rsid w:val="4E0D2791"/>
    <w:rsid w:val="4E0E49F1"/>
    <w:rsid w:val="4E0E53DC"/>
    <w:rsid w:val="4E0F1A32"/>
    <w:rsid w:val="4E10120E"/>
    <w:rsid w:val="4E102281"/>
    <w:rsid w:val="4E105DDD"/>
    <w:rsid w:val="4E125683"/>
    <w:rsid w:val="4E13572D"/>
    <w:rsid w:val="4E141D71"/>
    <w:rsid w:val="4E1458CD"/>
    <w:rsid w:val="4E147B0D"/>
    <w:rsid w:val="4E151645"/>
    <w:rsid w:val="4E152F56"/>
    <w:rsid w:val="4E157A52"/>
    <w:rsid w:val="4E167FD1"/>
    <w:rsid w:val="4E172D37"/>
    <w:rsid w:val="4E1753BE"/>
    <w:rsid w:val="4E175ACF"/>
    <w:rsid w:val="4E184475"/>
    <w:rsid w:val="4E191136"/>
    <w:rsid w:val="4E1924EF"/>
    <w:rsid w:val="4E192EE4"/>
    <w:rsid w:val="4E197388"/>
    <w:rsid w:val="4E1A111B"/>
    <w:rsid w:val="4E1A6C5C"/>
    <w:rsid w:val="4E1B2170"/>
    <w:rsid w:val="4E1B5446"/>
    <w:rsid w:val="4E1C0E70"/>
    <w:rsid w:val="4E1C274E"/>
    <w:rsid w:val="4E1C29D4"/>
    <w:rsid w:val="4E1C4782"/>
    <w:rsid w:val="4E1C5915"/>
    <w:rsid w:val="4E1D7719"/>
    <w:rsid w:val="4E1D7B05"/>
    <w:rsid w:val="4E1E674C"/>
    <w:rsid w:val="4E1F24C4"/>
    <w:rsid w:val="4E1F4272"/>
    <w:rsid w:val="4E200716"/>
    <w:rsid w:val="4E2077F1"/>
    <w:rsid w:val="4E2146FA"/>
    <w:rsid w:val="4E21623C"/>
    <w:rsid w:val="4E217FEA"/>
    <w:rsid w:val="4E220638"/>
    <w:rsid w:val="4E223465"/>
    <w:rsid w:val="4E223FB9"/>
    <w:rsid w:val="4E231FA2"/>
    <w:rsid w:val="4E231FB4"/>
    <w:rsid w:val="4E2323E4"/>
    <w:rsid w:val="4E233D62"/>
    <w:rsid w:val="4E235B10"/>
    <w:rsid w:val="4E24034F"/>
    <w:rsid w:val="4E2416EF"/>
    <w:rsid w:val="4E2521D3"/>
    <w:rsid w:val="4E252DBF"/>
    <w:rsid w:val="4E265601"/>
    <w:rsid w:val="4E281379"/>
    <w:rsid w:val="4E2875CB"/>
    <w:rsid w:val="4E290FFB"/>
    <w:rsid w:val="4E292366"/>
    <w:rsid w:val="4E29260B"/>
    <w:rsid w:val="4E2A0023"/>
    <w:rsid w:val="4E2B0E85"/>
    <w:rsid w:val="4E2B70BB"/>
    <w:rsid w:val="4E2D2877"/>
    <w:rsid w:val="4E2D342F"/>
    <w:rsid w:val="4E2D4BE1"/>
    <w:rsid w:val="4E2D698F"/>
    <w:rsid w:val="4E2D7002"/>
    <w:rsid w:val="4E307A8F"/>
    <w:rsid w:val="4E313347"/>
    <w:rsid w:val="4E320449"/>
    <w:rsid w:val="4E3221F7"/>
    <w:rsid w:val="4E323FA5"/>
    <w:rsid w:val="4E330017"/>
    <w:rsid w:val="4E331F2D"/>
    <w:rsid w:val="4E344269"/>
    <w:rsid w:val="4E350587"/>
    <w:rsid w:val="4E35193A"/>
    <w:rsid w:val="4E361CE8"/>
    <w:rsid w:val="4E392C18"/>
    <w:rsid w:val="4E3B5550"/>
    <w:rsid w:val="4E3B6FCA"/>
    <w:rsid w:val="4E3C53C0"/>
    <w:rsid w:val="4E3C5F73"/>
    <w:rsid w:val="4E3D04D0"/>
    <w:rsid w:val="4E3D18EA"/>
    <w:rsid w:val="4E3D6F1E"/>
    <w:rsid w:val="4E3E1419"/>
    <w:rsid w:val="4E3F594B"/>
    <w:rsid w:val="4E3F66C2"/>
    <w:rsid w:val="4E3F7B04"/>
    <w:rsid w:val="4E40026B"/>
    <w:rsid w:val="4E404401"/>
    <w:rsid w:val="4E404914"/>
    <w:rsid w:val="4E41243B"/>
    <w:rsid w:val="4E420B15"/>
    <w:rsid w:val="4E422B8B"/>
    <w:rsid w:val="4E42401A"/>
    <w:rsid w:val="4E427482"/>
    <w:rsid w:val="4E434405"/>
    <w:rsid w:val="4E4361B3"/>
    <w:rsid w:val="4E437F61"/>
    <w:rsid w:val="4E45740C"/>
    <w:rsid w:val="4E463586"/>
    <w:rsid w:val="4E4640DD"/>
    <w:rsid w:val="4E465CA3"/>
    <w:rsid w:val="4E475783"/>
    <w:rsid w:val="4E4759A0"/>
    <w:rsid w:val="4E4803A1"/>
    <w:rsid w:val="4E481E04"/>
    <w:rsid w:val="4E4837C9"/>
    <w:rsid w:val="4E4869FD"/>
    <w:rsid w:val="4E487C6D"/>
    <w:rsid w:val="4E4A0B70"/>
    <w:rsid w:val="4E4A5793"/>
    <w:rsid w:val="4E4A7541"/>
    <w:rsid w:val="4E4B5067"/>
    <w:rsid w:val="4E4B738D"/>
    <w:rsid w:val="4E4D2943"/>
    <w:rsid w:val="4E4D2BD1"/>
    <w:rsid w:val="4E4D6C3E"/>
    <w:rsid w:val="4E4D7031"/>
    <w:rsid w:val="4E4E3EF1"/>
    <w:rsid w:val="4E4F3251"/>
    <w:rsid w:val="4E4F4B57"/>
    <w:rsid w:val="4E4F5CAA"/>
    <w:rsid w:val="4E5008D0"/>
    <w:rsid w:val="4E50267E"/>
    <w:rsid w:val="4E5142C2"/>
    <w:rsid w:val="4E5154E5"/>
    <w:rsid w:val="4E516261"/>
    <w:rsid w:val="4E521322"/>
    <w:rsid w:val="4E5215FF"/>
    <w:rsid w:val="4E52289A"/>
    <w:rsid w:val="4E5251EF"/>
    <w:rsid w:val="4E526C20"/>
    <w:rsid w:val="4E526C3C"/>
    <w:rsid w:val="4E544139"/>
    <w:rsid w:val="4E553374"/>
    <w:rsid w:val="4E557C94"/>
    <w:rsid w:val="4E572490"/>
    <w:rsid w:val="4E577EB0"/>
    <w:rsid w:val="4E593C28"/>
    <w:rsid w:val="4E5959D6"/>
    <w:rsid w:val="4E5A52AA"/>
    <w:rsid w:val="4E5B4F82"/>
    <w:rsid w:val="4E5C54C6"/>
    <w:rsid w:val="4E5D1996"/>
    <w:rsid w:val="4E5D283A"/>
    <w:rsid w:val="4E5D7793"/>
    <w:rsid w:val="4E5E4AC2"/>
    <w:rsid w:val="4E5E4D9B"/>
    <w:rsid w:val="4E5F0CDE"/>
    <w:rsid w:val="4E600B13"/>
    <w:rsid w:val="4E611736"/>
    <w:rsid w:val="4E611D50"/>
    <w:rsid w:val="4E61488B"/>
    <w:rsid w:val="4E616713"/>
    <w:rsid w:val="4E624C5E"/>
    <w:rsid w:val="4E6323B1"/>
    <w:rsid w:val="4E636855"/>
    <w:rsid w:val="4E6525CD"/>
    <w:rsid w:val="4E65467D"/>
    <w:rsid w:val="4E654842"/>
    <w:rsid w:val="4E656A55"/>
    <w:rsid w:val="4E6600F3"/>
    <w:rsid w:val="4E661EA1"/>
    <w:rsid w:val="4E675647"/>
    <w:rsid w:val="4E683DEB"/>
    <w:rsid w:val="4E683E6B"/>
    <w:rsid w:val="4E685FE7"/>
    <w:rsid w:val="4E686288"/>
    <w:rsid w:val="4E687C8E"/>
    <w:rsid w:val="4E6A1991"/>
    <w:rsid w:val="4E6A2087"/>
    <w:rsid w:val="4E6A2FE8"/>
    <w:rsid w:val="4E6A373F"/>
    <w:rsid w:val="4E6A7BE3"/>
    <w:rsid w:val="4E6B144B"/>
    <w:rsid w:val="4E6B254F"/>
    <w:rsid w:val="4E6B4968"/>
    <w:rsid w:val="4E6B6980"/>
    <w:rsid w:val="4E6B74B7"/>
    <w:rsid w:val="4E6C14ED"/>
    <w:rsid w:val="4E6C3227"/>
    <w:rsid w:val="4E6D2B88"/>
    <w:rsid w:val="4E6E0616"/>
    <w:rsid w:val="4E6F51FA"/>
    <w:rsid w:val="4E6F6FA8"/>
    <w:rsid w:val="4E703038"/>
    <w:rsid w:val="4E712D20"/>
    <w:rsid w:val="4E7144BC"/>
    <w:rsid w:val="4E717099"/>
    <w:rsid w:val="4E720846"/>
    <w:rsid w:val="4E724CEA"/>
    <w:rsid w:val="4E733164"/>
    <w:rsid w:val="4E7342B8"/>
    <w:rsid w:val="4E734FE6"/>
    <w:rsid w:val="4E740A62"/>
    <w:rsid w:val="4E742CF4"/>
    <w:rsid w:val="4E7445BE"/>
    <w:rsid w:val="4E750C9D"/>
    <w:rsid w:val="4E7520E4"/>
    <w:rsid w:val="4E754B22"/>
    <w:rsid w:val="4E760336"/>
    <w:rsid w:val="4E760C3B"/>
    <w:rsid w:val="4E772300"/>
    <w:rsid w:val="4E775E5C"/>
    <w:rsid w:val="4E7768A5"/>
    <w:rsid w:val="4E787E3E"/>
    <w:rsid w:val="4E7916C5"/>
    <w:rsid w:val="4E796F6C"/>
    <w:rsid w:val="4E7C16C5"/>
    <w:rsid w:val="4E7D41AC"/>
    <w:rsid w:val="4E7D563C"/>
    <w:rsid w:val="4E7D6677"/>
    <w:rsid w:val="4E7D6857"/>
    <w:rsid w:val="4E7D6A9E"/>
    <w:rsid w:val="4E7D6D7D"/>
    <w:rsid w:val="4E7E368F"/>
    <w:rsid w:val="4E7E543D"/>
    <w:rsid w:val="4E7E71EB"/>
    <w:rsid w:val="4E7F41F5"/>
    <w:rsid w:val="4E7F4647"/>
    <w:rsid w:val="4E800286"/>
    <w:rsid w:val="4E810F58"/>
    <w:rsid w:val="4E816B8E"/>
    <w:rsid w:val="4E824F2D"/>
    <w:rsid w:val="4E82702E"/>
    <w:rsid w:val="4E830B56"/>
    <w:rsid w:val="4E830CA5"/>
    <w:rsid w:val="4E840ACD"/>
    <w:rsid w:val="4E84255A"/>
    <w:rsid w:val="4E8430BC"/>
    <w:rsid w:val="4E847A61"/>
    <w:rsid w:val="4E854A1D"/>
    <w:rsid w:val="4E854E72"/>
    <w:rsid w:val="4E8567CB"/>
    <w:rsid w:val="4E862EC6"/>
    <w:rsid w:val="4E8642F1"/>
    <w:rsid w:val="4E872A00"/>
    <w:rsid w:val="4E8741C6"/>
    <w:rsid w:val="4E874532"/>
    <w:rsid w:val="4E880069"/>
    <w:rsid w:val="4E8924B7"/>
    <w:rsid w:val="4E894836"/>
    <w:rsid w:val="4E895B21"/>
    <w:rsid w:val="4E8A2033"/>
    <w:rsid w:val="4E8A3DE2"/>
    <w:rsid w:val="4E8A462F"/>
    <w:rsid w:val="4E8A5B90"/>
    <w:rsid w:val="4E8A7EF1"/>
    <w:rsid w:val="4E8B126F"/>
    <w:rsid w:val="4E8B18E1"/>
    <w:rsid w:val="4E8C08AC"/>
    <w:rsid w:val="4E8C3CA1"/>
    <w:rsid w:val="4E8C5DAC"/>
    <w:rsid w:val="4E8D38D2"/>
    <w:rsid w:val="4E8D5680"/>
    <w:rsid w:val="4E8E65C1"/>
    <w:rsid w:val="4E8F764A"/>
    <w:rsid w:val="4E9043F7"/>
    <w:rsid w:val="4E914A93"/>
    <w:rsid w:val="4E915170"/>
    <w:rsid w:val="4E920EE8"/>
    <w:rsid w:val="4E922C96"/>
    <w:rsid w:val="4E93713A"/>
    <w:rsid w:val="4E9407BC"/>
    <w:rsid w:val="4E942433"/>
    <w:rsid w:val="4E944C60"/>
    <w:rsid w:val="4E956F33"/>
    <w:rsid w:val="4E9751BE"/>
    <w:rsid w:val="4E977924"/>
    <w:rsid w:val="4E982244"/>
    <w:rsid w:val="4E984750"/>
    <w:rsid w:val="4E98538E"/>
    <w:rsid w:val="4E9904C8"/>
    <w:rsid w:val="4E994025"/>
    <w:rsid w:val="4E9B2306"/>
    <w:rsid w:val="4E9B5FEF"/>
    <w:rsid w:val="4E9C32B0"/>
    <w:rsid w:val="4E9C3B15"/>
    <w:rsid w:val="4E9C47D7"/>
    <w:rsid w:val="4E9D0FD8"/>
    <w:rsid w:val="4E9D1D67"/>
    <w:rsid w:val="4E9D5D56"/>
    <w:rsid w:val="4E9E5B56"/>
    <w:rsid w:val="4E9E60B6"/>
    <w:rsid w:val="4E9E77F7"/>
    <w:rsid w:val="4E9F0C87"/>
    <w:rsid w:val="4E9F244A"/>
    <w:rsid w:val="4EA11F9B"/>
    <w:rsid w:val="4EA12ED9"/>
    <w:rsid w:val="4EA2737D"/>
    <w:rsid w:val="4EA34EA3"/>
    <w:rsid w:val="4EA408F5"/>
    <w:rsid w:val="4EA40C60"/>
    <w:rsid w:val="4EA54AF9"/>
    <w:rsid w:val="4EA57B48"/>
    <w:rsid w:val="4EA61338"/>
    <w:rsid w:val="4EA63AD4"/>
    <w:rsid w:val="4EA745E2"/>
    <w:rsid w:val="4EA74993"/>
    <w:rsid w:val="4EA7534F"/>
    <w:rsid w:val="4EA75572"/>
    <w:rsid w:val="4EA81D39"/>
    <w:rsid w:val="4EA824BA"/>
    <w:rsid w:val="4EAA7FE0"/>
    <w:rsid w:val="4EAB24DF"/>
    <w:rsid w:val="4EAB44B9"/>
    <w:rsid w:val="4EAC14FD"/>
    <w:rsid w:val="4EAC1FAA"/>
    <w:rsid w:val="4EAC3DD8"/>
    <w:rsid w:val="4EAC7A56"/>
    <w:rsid w:val="4EAD1F34"/>
    <w:rsid w:val="4EAD5D22"/>
    <w:rsid w:val="4EAD7AD0"/>
    <w:rsid w:val="4EAF1A9A"/>
    <w:rsid w:val="4EAF2208"/>
    <w:rsid w:val="4EAF3848"/>
    <w:rsid w:val="4EB01C0C"/>
    <w:rsid w:val="4EB175C0"/>
    <w:rsid w:val="4EB244E8"/>
    <w:rsid w:val="4EB26E94"/>
    <w:rsid w:val="4EB270FD"/>
    <w:rsid w:val="4EB3058D"/>
    <w:rsid w:val="4EB42C0C"/>
    <w:rsid w:val="4EB66985"/>
    <w:rsid w:val="4EB726FD"/>
    <w:rsid w:val="4EB728A6"/>
    <w:rsid w:val="4EB86936"/>
    <w:rsid w:val="4EBA6FF1"/>
    <w:rsid w:val="4EBB21ED"/>
    <w:rsid w:val="4EBC17DC"/>
    <w:rsid w:val="4EBC2D80"/>
    <w:rsid w:val="4EBC44CE"/>
    <w:rsid w:val="4EBD6C96"/>
    <w:rsid w:val="4EBE15C5"/>
    <w:rsid w:val="4EBF6B30"/>
    <w:rsid w:val="4EC00FAD"/>
    <w:rsid w:val="4EC015B1"/>
    <w:rsid w:val="4EC050A9"/>
    <w:rsid w:val="4EC07803"/>
    <w:rsid w:val="4EC07C27"/>
    <w:rsid w:val="4EC11450"/>
    <w:rsid w:val="4EC15544"/>
    <w:rsid w:val="4EC204EF"/>
    <w:rsid w:val="4EC217CD"/>
    <w:rsid w:val="4EC2357B"/>
    <w:rsid w:val="4EC254B1"/>
    <w:rsid w:val="4EC33F0B"/>
    <w:rsid w:val="4EC372F3"/>
    <w:rsid w:val="4EC47DD1"/>
    <w:rsid w:val="4EC5306C"/>
    <w:rsid w:val="4EC56BC8"/>
    <w:rsid w:val="4EC63F31"/>
    <w:rsid w:val="4EC63F6E"/>
    <w:rsid w:val="4EC70B92"/>
    <w:rsid w:val="4EC74768"/>
    <w:rsid w:val="4EC866B8"/>
    <w:rsid w:val="4EC86F99"/>
    <w:rsid w:val="4EC91AB9"/>
    <w:rsid w:val="4EC969CC"/>
    <w:rsid w:val="4EC973A0"/>
    <w:rsid w:val="4EC975A7"/>
    <w:rsid w:val="4ECA2430"/>
    <w:rsid w:val="4ECC1A70"/>
    <w:rsid w:val="4ECC264C"/>
    <w:rsid w:val="4ECC40B5"/>
    <w:rsid w:val="4ECC43FA"/>
    <w:rsid w:val="4ECC7F56"/>
    <w:rsid w:val="4ECD0FFC"/>
    <w:rsid w:val="4ECD3D05"/>
    <w:rsid w:val="4ECD69CE"/>
    <w:rsid w:val="4ECD7F0A"/>
    <w:rsid w:val="4ECE1A55"/>
    <w:rsid w:val="4ECE3A54"/>
    <w:rsid w:val="4ECF7A46"/>
    <w:rsid w:val="4ED02686"/>
    <w:rsid w:val="4ED10F45"/>
    <w:rsid w:val="4ED13B16"/>
    <w:rsid w:val="4ED212E5"/>
    <w:rsid w:val="4ED2501F"/>
    <w:rsid w:val="4ED27537"/>
    <w:rsid w:val="4ED36296"/>
    <w:rsid w:val="4ED41007"/>
    <w:rsid w:val="4ED60DD5"/>
    <w:rsid w:val="4ED768DF"/>
    <w:rsid w:val="4ED82187"/>
    <w:rsid w:val="4ED82D9F"/>
    <w:rsid w:val="4ED86812"/>
    <w:rsid w:val="4ED908C5"/>
    <w:rsid w:val="4ED910EA"/>
    <w:rsid w:val="4ED94B37"/>
    <w:rsid w:val="4ED96B17"/>
    <w:rsid w:val="4ED96F93"/>
    <w:rsid w:val="4EDA1999"/>
    <w:rsid w:val="4EDA2D48"/>
    <w:rsid w:val="4EDB0170"/>
    <w:rsid w:val="4EDB2A0C"/>
    <w:rsid w:val="4EDB463D"/>
    <w:rsid w:val="4EDB7799"/>
    <w:rsid w:val="4EDC4BFE"/>
    <w:rsid w:val="4EDD03B5"/>
    <w:rsid w:val="4EDD5024"/>
    <w:rsid w:val="4EDD6607"/>
    <w:rsid w:val="4EDE4C8A"/>
    <w:rsid w:val="4EDE5B00"/>
    <w:rsid w:val="4EDF237F"/>
    <w:rsid w:val="4EE01C53"/>
    <w:rsid w:val="4EE106C8"/>
    <w:rsid w:val="4EE21EFB"/>
    <w:rsid w:val="4EE2777A"/>
    <w:rsid w:val="4EE3108F"/>
    <w:rsid w:val="4EE31744"/>
    <w:rsid w:val="4EE334F2"/>
    <w:rsid w:val="4EE40FAA"/>
    <w:rsid w:val="4EE5084A"/>
    <w:rsid w:val="4EE554BC"/>
    <w:rsid w:val="4EE5726A"/>
    <w:rsid w:val="4EE62D0A"/>
    <w:rsid w:val="4EE6341B"/>
    <w:rsid w:val="4EE71234"/>
    <w:rsid w:val="4EE748AB"/>
    <w:rsid w:val="4EE74D90"/>
    <w:rsid w:val="4EE80B08"/>
    <w:rsid w:val="4EE81D11"/>
    <w:rsid w:val="4EE84FF5"/>
    <w:rsid w:val="4EE87715"/>
    <w:rsid w:val="4EE91CD3"/>
    <w:rsid w:val="4EEA2AD2"/>
    <w:rsid w:val="4EEC05F8"/>
    <w:rsid w:val="4EED3171"/>
    <w:rsid w:val="4EEE25C2"/>
    <w:rsid w:val="4EEE2FCC"/>
    <w:rsid w:val="4EEE303D"/>
    <w:rsid w:val="4EEE36A2"/>
    <w:rsid w:val="4EEE3858"/>
    <w:rsid w:val="4EEE3AA9"/>
    <w:rsid w:val="4EEE4370"/>
    <w:rsid w:val="4EEF00E8"/>
    <w:rsid w:val="4EEF27B9"/>
    <w:rsid w:val="4EEF633A"/>
    <w:rsid w:val="4EF120B3"/>
    <w:rsid w:val="4EF157D5"/>
    <w:rsid w:val="4EF15C0F"/>
    <w:rsid w:val="4EF179BD"/>
    <w:rsid w:val="4EF34B7E"/>
    <w:rsid w:val="4EF37BD9"/>
    <w:rsid w:val="4EF456FF"/>
    <w:rsid w:val="4EF4681B"/>
    <w:rsid w:val="4EF5033F"/>
    <w:rsid w:val="4EF55099"/>
    <w:rsid w:val="4EF5643D"/>
    <w:rsid w:val="4EF67834"/>
    <w:rsid w:val="4EF72139"/>
    <w:rsid w:val="4EF74C52"/>
    <w:rsid w:val="4EF851EF"/>
    <w:rsid w:val="4EF86F9D"/>
    <w:rsid w:val="4EF90150"/>
    <w:rsid w:val="4EF914DA"/>
    <w:rsid w:val="4EF91787"/>
    <w:rsid w:val="4EF94AC3"/>
    <w:rsid w:val="4EF9696B"/>
    <w:rsid w:val="4EFA15E0"/>
    <w:rsid w:val="4EFA6A25"/>
    <w:rsid w:val="4EFB083B"/>
    <w:rsid w:val="4EFB1625"/>
    <w:rsid w:val="4EFB244C"/>
    <w:rsid w:val="4EFB41B1"/>
    <w:rsid w:val="4EFB6A8D"/>
    <w:rsid w:val="4EFB6C75"/>
    <w:rsid w:val="4EFB71DC"/>
    <w:rsid w:val="4EFD0A57"/>
    <w:rsid w:val="4EFD45B3"/>
    <w:rsid w:val="4EFD4D67"/>
    <w:rsid w:val="4EFD4F1D"/>
    <w:rsid w:val="4EFD637E"/>
    <w:rsid w:val="4EFF4EDE"/>
    <w:rsid w:val="4EFF657E"/>
    <w:rsid w:val="4EFF7A3F"/>
    <w:rsid w:val="4F0019DC"/>
    <w:rsid w:val="4F0040A4"/>
    <w:rsid w:val="4F005E52"/>
    <w:rsid w:val="4F025EB9"/>
    <w:rsid w:val="4F02606E"/>
    <w:rsid w:val="4F027E1C"/>
    <w:rsid w:val="4F035942"/>
    <w:rsid w:val="4F042935"/>
    <w:rsid w:val="4F045AA2"/>
    <w:rsid w:val="4F0516BA"/>
    <w:rsid w:val="4F053468"/>
    <w:rsid w:val="4F054FD8"/>
    <w:rsid w:val="4F05790C"/>
    <w:rsid w:val="4F07680E"/>
    <w:rsid w:val="4F07768F"/>
    <w:rsid w:val="4F0929C5"/>
    <w:rsid w:val="4F095074"/>
    <w:rsid w:val="4F0A0A7E"/>
    <w:rsid w:val="4F0B013B"/>
    <w:rsid w:val="4F0B76AB"/>
    <w:rsid w:val="4F0B7C1B"/>
    <w:rsid w:val="4F0C0C9A"/>
    <w:rsid w:val="4F0C2A48"/>
    <w:rsid w:val="4F0E4A13"/>
    <w:rsid w:val="4F0E67C1"/>
    <w:rsid w:val="4F0F2043"/>
    <w:rsid w:val="4F0F2376"/>
    <w:rsid w:val="4F102BE2"/>
    <w:rsid w:val="4F110FA8"/>
    <w:rsid w:val="4F127432"/>
    <w:rsid w:val="4F1310F7"/>
    <w:rsid w:val="4F132029"/>
    <w:rsid w:val="4F1338C8"/>
    <w:rsid w:val="4F134486"/>
    <w:rsid w:val="4F135B85"/>
    <w:rsid w:val="4F137B35"/>
    <w:rsid w:val="4F1418FD"/>
    <w:rsid w:val="4F145898"/>
    <w:rsid w:val="4F147B4F"/>
    <w:rsid w:val="4F160DB9"/>
    <w:rsid w:val="4F1634D1"/>
    <w:rsid w:val="4F1638C7"/>
    <w:rsid w:val="4F165675"/>
    <w:rsid w:val="4F166E11"/>
    <w:rsid w:val="4F17609F"/>
    <w:rsid w:val="4F18038A"/>
    <w:rsid w:val="4F184D47"/>
    <w:rsid w:val="4F18763F"/>
    <w:rsid w:val="4F196F13"/>
    <w:rsid w:val="4F1A0776"/>
    <w:rsid w:val="4F1A19B6"/>
    <w:rsid w:val="4F1A33B7"/>
    <w:rsid w:val="4F1B2C8C"/>
    <w:rsid w:val="4F1B712F"/>
    <w:rsid w:val="4F1C13C3"/>
    <w:rsid w:val="4F1C3B57"/>
    <w:rsid w:val="4F1D067A"/>
    <w:rsid w:val="4F1D07B2"/>
    <w:rsid w:val="4F1D2EA8"/>
    <w:rsid w:val="4F1D5298"/>
    <w:rsid w:val="4F1E452A"/>
    <w:rsid w:val="4F1E630D"/>
    <w:rsid w:val="4F1F1E6B"/>
    <w:rsid w:val="4F1F277C"/>
    <w:rsid w:val="4F1F363D"/>
    <w:rsid w:val="4F204746"/>
    <w:rsid w:val="4F2204BE"/>
    <w:rsid w:val="4F221F2D"/>
    <w:rsid w:val="4F2237D3"/>
    <w:rsid w:val="4F225FB1"/>
    <w:rsid w:val="4F231B40"/>
    <w:rsid w:val="4F237DE7"/>
    <w:rsid w:val="4F240CB8"/>
    <w:rsid w:val="4F242A36"/>
    <w:rsid w:val="4F244236"/>
    <w:rsid w:val="4F245FE4"/>
    <w:rsid w:val="4F247D92"/>
    <w:rsid w:val="4F2558B8"/>
    <w:rsid w:val="4F264677"/>
    <w:rsid w:val="4F266579"/>
    <w:rsid w:val="4F2677F1"/>
    <w:rsid w:val="4F271D3E"/>
    <w:rsid w:val="4F272DEC"/>
    <w:rsid w:val="4F273E19"/>
    <w:rsid w:val="4F275AD4"/>
    <w:rsid w:val="4F276058"/>
    <w:rsid w:val="4F28585C"/>
    <w:rsid w:val="4F2935FA"/>
    <w:rsid w:val="4F293E28"/>
    <w:rsid w:val="4F294A17"/>
    <w:rsid w:val="4F2A1121"/>
    <w:rsid w:val="4F2A2D3C"/>
    <w:rsid w:val="4F2A2ECF"/>
    <w:rsid w:val="4F2A6F7E"/>
    <w:rsid w:val="4F2B6097"/>
    <w:rsid w:val="4F2C30EB"/>
    <w:rsid w:val="4F2C5BB0"/>
    <w:rsid w:val="4F2D2F1E"/>
    <w:rsid w:val="4F2E0A82"/>
    <w:rsid w:val="4F2E38FA"/>
    <w:rsid w:val="4F2E4B0F"/>
    <w:rsid w:val="4F2F0601"/>
    <w:rsid w:val="4F2F5D3D"/>
    <w:rsid w:val="4F2F6737"/>
    <w:rsid w:val="4F3021BF"/>
    <w:rsid w:val="4F302BDB"/>
    <w:rsid w:val="4F304989"/>
    <w:rsid w:val="4F3056D2"/>
    <w:rsid w:val="4F313935"/>
    <w:rsid w:val="4F326E51"/>
    <w:rsid w:val="4F337FD5"/>
    <w:rsid w:val="4F344342"/>
    <w:rsid w:val="4F344880"/>
    <w:rsid w:val="4F3501F1"/>
    <w:rsid w:val="4F3557D2"/>
    <w:rsid w:val="4F362D26"/>
    <w:rsid w:val="4F3700F2"/>
    <w:rsid w:val="4F3705D9"/>
    <w:rsid w:val="4F376450"/>
    <w:rsid w:val="4F381A8F"/>
    <w:rsid w:val="4F38383D"/>
    <w:rsid w:val="4F3847D5"/>
    <w:rsid w:val="4F3855EC"/>
    <w:rsid w:val="4F3860E4"/>
    <w:rsid w:val="4F391364"/>
    <w:rsid w:val="4F392015"/>
    <w:rsid w:val="4F3A75B6"/>
    <w:rsid w:val="4F3B1580"/>
    <w:rsid w:val="4F3B1644"/>
    <w:rsid w:val="4F3B50DC"/>
    <w:rsid w:val="4F3D2C02"/>
    <w:rsid w:val="4F3F712A"/>
    <w:rsid w:val="4F400944"/>
    <w:rsid w:val="4F4026F2"/>
    <w:rsid w:val="4F423122"/>
    <w:rsid w:val="4F424C52"/>
    <w:rsid w:val="4F425205"/>
    <w:rsid w:val="4F427227"/>
    <w:rsid w:val="4F427818"/>
    <w:rsid w:val="4F44241B"/>
    <w:rsid w:val="4F443F90"/>
    <w:rsid w:val="4F4442A1"/>
    <w:rsid w:val="4F453B86"/>
    <w:rsid w:val="4F455BC5"/>
    <w:rsid w:val="4F460C2D"/>
    <w:rsid w:val="4F463C9F"/>
    <w:rsid w:val="4F4641AC"/>
    <w:rsid w:val="4F466F82"/>
    <w:rsid w:val="4F471CD3"/>
    <w:rsid w:val="4F4829CA"/>
    <w:rsid w:val="4F490ACF"/>
    <w:rsid w:val="4F4915A7"/>
    <w:rsid w:val="4F49280D"/>
    <w:rsid w:val="4F493C9D"/>
    <w:rsid w:val="4F49480A"/>
    <w:rsid w:val="4F495A4B"/>
    <w:rsid w:val="4F4A3571"/>
    <w:rsid w:val="4F4A6568"/>
    <w:rsid w:val="4F4B62FA"/>
    <w:rsid w:val="4F4B65B4"/>
    <w:rsid w:val="4F4C1097"/>
    <w:rsid w:val="4F4C72E9"/>
    <w:rsid w:val="4F4D610B"/>
    <w:rsid w:val="4F4E005F"/>
    <w:rsid w:val="4F4E4EE9"/>
    <w:rsid w:val="4F4E6379"/>
    <w:rsid w:val="4F5148FF"/>
    <w:rsid w:val="4F530677"/>
    <w:rsid w:val="4F530D5B"/>
    <w:rsid w:val="4F5368C9"/>
    <w:rsid w:val="4F552641"/>
    <w:rsid w:val="4F5543EF"/>
    <w:rsid w:val="4F554DBC"/>
    <w:rsid w:val="4F564693"/>
    <w:rsid w:val="4F572E08"/>
    <w:rsid w:val="4F577103"/>
    <w:rsid w:val="4F581671"/>
    <w:rsid w:val="4F587A3C"/>
    <w:rsid w:val="4F594BCD"/>
    <w:rsid w:val="4F5A1A06"/>
    <w:rsid w:val="4F5A4BDB"/>
    <w:rsid w:val="4F5A7C58"/>
    <w:rsid w:val="4F5C05D6"/>
    <w:rsid w:val="4F5C39D0"/>
    <w:rsid w:val="4F5C6154"/>
    <w:rsid w:val="4F5D14F6"/>
    <w:rsid w:val="4F5D1E0D"/>
    <w:rsid w:val="4F5D25C0"/>
    <w:rsid w:val="4F5E0646"/>
    <w:rsid w:val="4F5E5E6E"/>
    <w:rsid w:val="4F5F191B"/>
    <w:rsid w:val="4F5F468C"/>
    <w:rsid w:val="4F5F526E"/>
    <w:rsid w:val="4F60078E"/>
    <w:rsid w:val="4F602D94"/>
    <w:rsid w:val="4F604B42"/>
    <w:rsid w:val="4F605C65"/>
    <w:rsid w:val="4F614F3C"/>
    <w:rsid w:val="4F616354"/>
    <w:rsid w:val="4F61706A"/>
    <w:rsid w:val="4F6178F6"/>
    <w:rsid w:val="4F6208BA"/>
    <w:rsid w:val="4F622668"/>
    <w:rsid w:val="4F62701A"/>
    <w:rsid w:val="4F630850"/>
    <w:rsid w:val="4F635BE7"/>
    <w:rsid w:val="4F640757"/>
    <w:rsid w:val="4F642D99"/>
    <w:rsid w:val="4F6476F0"/>
    <w:rsid w:val="4F6603AB"/>
    <w:rsid w:val="4F6608E0"/>
    <w:rsid w:val="4F6651D6"/>
    <w:rsid w:val="4F665964"/>
    <w:rsid w:val="4F672375"/>
    <w:rsid w:val="4F6756C9"/>
    <w:rsid w:val="4F675ED1"/>
    <w:rsid w:val="4F682182"/>
    <w:rsid w:val="4F68340D"/>
    <w:rsid w:val="4F691313"/>
    <w:rsid w:val="4F691C49"/>
    <w:rsid w:val="4F697932"/>
    <w:rsid w:val="4F6A4411"/>
    <w:rsid w:val="4F6A474D"/>
    <w:rsid w:val="4F6A7E99"/>
    <w:rsid w:val="4F6B58A1"/>
    <w:rsid w:val="4F6C1739"/>
    <w:rsid w:val="4F6C798B"/>
    <w:rsid w:val="4F6C7A17"/>
    <w:rsid w:val="4F6D44D3"/>
    <w:rsid w:val="4F6E0759"/>
    <w:rsid w:val="4F6E54B1"/>
    <w:rsid w:val="4F6E725F"/>
    <w:rsid w:val="4F70129F"/>
    <w:rsid w:val="4F702FD7"/>
    <w:rsid w:val="4F705C01"/>
    <w:rsid w:val="4F712E54"/>
    <w:rsid w:val="4F714FA1"/>
    <w:rsid w:val="4F717CEE"/>
    <w:rsid w:val="4F734876"/>
    <w:rsid w:val="4F745502"/>
    <w:rsid w:val="4F7505EE"/>
    <w:rsid w:val="4F761B88"/>
    <w:rsid w:val="4F766114"/>
    <w:rsid w:val="4F775266"/>
    <w:rsid w:val="4F7768D5"/>
    <w:rsid w:val="4F7800DE"/>
    <w:rsid w:val="4F786330"/>
    <w:rsid w:val="4F786C4F"/>
    <w:rsid w:val="4F790606"/>
    <w:rsid w:val="4F791797"/>
    <w:rsid w:val="4F792A76"/>
    <w:rsid w:val="4F7A3E56"/>
    <w:rsid w:val="4F7B197C"/>
    <w:rsid w:val="4F7B372A"/>
    <w:rsid w:val="4F7B426E"/>
    <w:rsid w:val="4F7C5E20"/>
    <w:rsid w:val="4F7D2A5D"/>
    <w:rsid w:val="4F7D3629"/>
    <w:rsid w:val="4F7D3946"/>
    <w:rsid w:val="4F7D56F4"/>
    <w:rsid w:val="4F7D74E5"/>
    <w:rsid w:val="4F7E0144"/>
    <w:rsid w:val="4F7E2395"/>
    <w:rsid w:val="4F7E6690"/>
    <w:rsid w:val="4F7F0132"/>
    <w:rsid w:val="4F7F146C"/>
    <w:rsid w:val="4F7F321A"/>
    <w:rsid w:val="4F7F68E8"/>
    <w:rsid w:val="4F7F76BE"/>
    <w:rsid w:val="4F80357A"/>
    <w:rsid w:val="4F806F93"/>
    <w:rsid w:val="4F812140"/>
    <w:rsid w:val="4F820F5D"/>
    <w:rsid w:val="4F823DD9"/>
    <w:rsid w:val="4F824AB9"/>
    <w:rsid w:val="4F835269"/>
    <w:rsid w:val="4F837A42"/>
    <w:rsid w:val="4F840831"/>
    <w:rsid w:val="4F844CD5"/>
    <w:rsid w:val="4F846A83"/>
    <w:rsid w:val="4F8545A9"/>
    <w:rsid w:val="4F860A4D"/>
    <w:rsid w:val="4F860A91"/>
    <w:rsid w:val="4F8627FB"/>
    <w:rsid w:val="4F8646AF"/>
    <w:rsid w:val="4F866111"/>
    <w:rsid w:val="4F8675C0"/>
    <w:rsid w:val="4F870321"/>
    <w:rsid w:val="4F871E4C"/>
    <w:rsid w:val="4F876573"/>
    <w:rsid w:val="4F8767B8"/>
    <w:rsid w:val="4F8847C5"/>
    <w:rsid w:val="4F892F7D"/>
    <w:rsid w:val="4F8A0E2A"/>
    <w:rsid w:val="4F8B1BBF"/>
    <w:rsid w:val="4F8B5CA7"/>
    <w:rsid w:val="4F8B7AAD"/>
    <w:rsid w:val="4F8C5937"/>
    <w:rsid w:val="4F8D0EEC"/>
    <w:rsid w:val="4F8D1DDB"/>
    <w:rsid w:val="4F8D56E9"/>
    <w:rsid w:val="4F8D7A48"/>
    <w:rsid w:val="4F8E345D"/>
    <w:rsid w:val="4F8E51C8"/>
    <w:rsid w:val="4F8E54C1"/>
    <w:rsid w:val="4F8E622C"/>
    <w:rsid w:val="4F8E740C"/>
    <w:rsid w:val="4F8E7901"/>
    <w:rsid w:val="4F8F0371"/>
    <w:rsid w:val="4F8F16C3"/>
    <w:rsid w:val="4F900B6C"/>
    <w:rsid w:val="4F901652"/>
    <w:rsid w:val="4F90367A"/>
    <w:rsid w:val="4F9053DB"/>
    <w:rsid w:val="4F905CF6"/>
    <w:rsid w:val="4F913729"/>
    <w:rsid w:val="4F92218D"/>
    <w:rsid w:val="4F9273F2"/>
    <w:rsid w:val="4F9308B0"/>
    <w:rsid w:val="4F93316A"/>
    <w:rsid w:val="4F934F18"/>
    <w:rsid w:val="4F943D29"/>
    <w:rsid w:val="4F950B0E"/>
    <w:rsid w:val="4F952A3E"/>
    <w:rsid w:val="4F9547EC"/>
    <w:rsid w:val="4F961B9F"/>
    <w:rsid w:val="4F962A07"/>
    <w:rsid w:val="4F964BD7"/>
    <w:rsid w:val="4F964D9C"/>
    <w:rsid w:val="4F973130"/>
    <w:rsid w:val="4F977EA3"/>
    <w:rsid w:val="4F98396C"/>
    <w:rsid w:val="4F9842DC"/>
    <w:rsid w:val="4F9843DC"/>
    <w:rsid w:val="4F986736"/>
    <w:rsid w:val="4F9A0054"/>
    <w:rsid w:val="4F9A219E"/>
    <w:rsid w:val="4F9A2425"/>
    <w:rsid w:val="4F9A34F0"/>
    <w:rsid w:val="4F9A62A6"/>
    <w:rsid w:val="4F9B4283"/>
    <w:rsid w:val="4F9B52B8"/>
    <w:rsid w:val="4F9C3DCC"/>
    <w:rsid w:val="4F9E3A19"/>
    <w:rsid w:val="4F9F1719"/>
    <w:rsid w:val="4F9F1B0F"/>
    <w:rsid w:val="4F9F38BD"/>
    <w:rsid w:val="4F9F566B"/>
    <w:rsid w:val="4FA17635"/>
    <w:rsid w:val="4FA20FD2"/>
    <w:rsid w:val="4FA21C82"/>
    <w:rsid w:val="4FA230B5"/>
    <w:rsid w:val="4FA2515B"/>
    <w:rsid w:val="4FA36352"/>
    <w:rsid w:val="4FA42499"/>
    <w:rsid w:val="4FA42C81"/>
    <w:rsid w:val="4FA459E5"/>
    <w:rsid w:val="4FA47125"/>
    <w:rsid w:val="4FA47173"/>
    <w:rsid w:val="4FA61921"/>
    <w:rsid w:val="4FA83A30"/>
    <w:rsid w:val="4FA843B3"/>
    <w:rsid w:val="4FA85B4A"/>
    <w:rsid w:val="4FA90297"/>
    <w:rsid w:val="4FA96F84"/>
    <w:rsid w:val="4FAA6D90"/>
    <w:rsid w:val="4FAB04B3"/>
    <w:rsid w:val="4FAB0BD5"/>
    <w:rsid w:val="4FAB2261"/>
    <w:rsid w:val="4FAB2D34"/>
    <w:rsid w:val="4FAD5775"/>
    <w:rsid w:val="4FAD5FDA"/>
    <w:rsid w:val="4FAE1D52"/>
    <w:rsid w:val="4FAE23B1"/>
    <w:rsid w:val="4FAE58AE"/>
    <w:rsid w:val="4FB01A77"/>
    <w:rsid w:val="4FB07891"/>
    <w:rsid w:val="4FB14184"/>
    <w:rsid w:val="4FB1539E"/>
    <w:rsid w:val="4FB17E88"/>
    <w:rsid w:val="4FB21842"/>
    <w:rsid w:val="4FB235F0"/>
    <w:rsid w:val="4FB276A0"/>
    <w:rsid w:val="4FB32C3B"/>
    <w:rsid w:val="4FB355BA"/>
    <w:rsid w:val="4FB37368"/>
    <w:rsid w:val="4FB44097"/>
    <w:rsid w:val="4FB56C3C"/>
    <w:rsid w:val="4FB629B4"/>
    <w:rsid w:val="4FB72A18"/>
    <w:rsid w:val="4FB73395"/>
    <w:rsid w:val="4FB7572D"/>
    <w:rsid w:val="4FB76E58"/>
    <w:rsid w:val="4FB8497E"/>
    <w:rsid w:val="4FB92995"/>
    <w:rsid w:val="4FB936B3"/>
    <w:rsid w:val="4FB95338"/>
    <w:rsid w:val="4FBA5557"/>
    <w:rsid w:val="4FBB71FC"/>
    <w:rsid w:val="4FBB7FCB"/>
    <w:rsid w:val="4FBC446F"/>
    <w:rsid w:val="4FBC75FA"/>
    <w:rsid w:val="4FBD1F95"/>
    <w:rsid w:val="4FBD3D43"/>
    <w:rsid w:val="4FBD412C"/>
    <w:rsid w:val="4FBE01E7"/>
    <w:rsid w:val="4FBE6624"/>
    <w:rsid w:val="4FBE7D1A"/>
    <w:rsid w:val="4FBF11AA"/>
    <w:rsid w:val="4FBF3F5F"/>
    <w:rsid w:val="4FBF5D0D"/>
    <w:rsid w:val="4FBF7ABB"/>
    <w:rsid w:val="4FC07A46"/>
    <w:rsid w:val="4FC151B1"/>
    <w:rsid w:val="4FC20108"/>
    <w:rsid w:val="4FC20942"/>
    <w:rsid w:val="4FC357FD"/>
    <w:rsid w:val="4FC35891"/>
    <w:rsid w:val="4FC40B75"/>
    <w:rsid w:val="4FC44956"/>
    <w:rsid w:val="4FC4501C"/>
    <w:rsid w:val="4FC45172"/>
    <w:rsid w:val="4FC47F1B"/>
    <w:rsid w:val="4FC62A8C"/>
    <w:rsid w:val="4FC74BC1"/>
    <w:rsid w:val="4FC7696F"/>
    <w:rsid w:val="4FC774A8"/>
    <w:rsid w:val="4FC82E13"/>
    <w:rsid w:val="4FC8399D"/>
    <w:rsid w:val="4FC861DA"/>
    <w:rsid w:val="4FC9093A"/>
    <w:rsid w:val="4FC910B7"/>
    <w:rsid w:val="4FC955E3"/>
    <w:rsid w:val="4FC96B8B"/>
    <w:rsid w:val="4FC979FE"/>
    <w:rsid w:val="4FCB1D46"/>
    <w:rsid w:val="4FCB4CA8"/>
    <w:rsid w:val="4FCC3F86"/>
    <w:rsid w:val="4FCD637F"/>
    <w:rsid w:val="4FCD667C"/>
    <w:rsid w:val="4FCE1264"/>
    <w:rsid w:val="4FD00101"/>
    <w:rsid w:val="4FD03A76"/>
    <w:rsid w:val="4FD06F21"/>
    <w:rsid w:val="4FD149FD"/>
    <w:rsid w:val="4FD16558"/>
    <w:rsid w:val="4FD23C92"/>
    <w:rsid w:val="4FD25A40"/>
    <w:rsid w:val="4FD277EE"/>
    <w:rsid w:val="4FD31B9F"/>
    <w:rsid w:val="4FD33566"/>
    <w:rsid w:val="4FD35314"/>
    <w:rsid w:val="4FD43E75"/>
    <w:rsid w:val="4FD44A54"/>
    <w:rsid w:val="4FD45920"/>
    <w:rsid w:val="4FD51E3B"/>
    <w:rsid w:val="4FD535CD"/>
    <w:rsid w:val="4FD55530"/>
    <w:rsid w:val="4FD63DB7"/>
    <w:rsid w:val="4FD67431"/>
    <w:rsid w:val="4FD708C1"/>
    <w:rsid w:val="4FD71353"/>
    <w:rsid w:val="4FD74E04"/>
    <w:rsid w:val="4FD8342C"/>
    <w:rsid w:val="4FD8374B"/>
    <w:rsid w:val="4FD87C64"/>
    <w:rsid w:val="4FD90B81"/>
    <w:rsid w:val="4FDA0983"/>
    <w:rsid w:val="4FDA2B47"/>
    <w:rsid w:val="4FDA48F5"/>
    <w:rsid w:val="4FDA66A3"/>
    <w:rsid w:val="4FDB1942"/>
    <w:rsid w:val="4FDC241B"/>
    <w:rsid w:val="4FDC68BF"/>
    <w:rsid w:val="4FDC74D0"/>
    <w:rsid w:val="4FDD6193"/>
    <w:rsid w:val="4FDE3DE5"/>
    <w:rsid w:val="4FDE6121"/>
    <w:rsid w:val="4FDE6471"/>
    <w:rsid w:val="4FE0060C"/>
    <w:rsid w:val="4FE030B4"/>
    <w:rsid w:val="4FE11FE3"/>
    <w:rsid w:val="4FE17A31"/>
    <w:rsid w:val="4FE20F0D"/>
    <w:rsid w:val="4FE218D4"/>
    <w:rsid w:val="4FE237A9"/>
    <w:rsid w:val="4FE259D4"/>
    <w:rsid w:val="4FE319FB"/>
    <w:rsid w:val="4FE37C4D"/>
    <w:rsid w:val="4FE404A3"/>
    <w:rsid w:val="4FE439C5"/>
    <w:rsid w:val="4FE442AD"/>
    <w:rsid w:val="4FE45773"/>
    <w:rsid w:val="4FE51552"/>
    <w:rsid w:val="4FE5517E"/>
    <w:rsid w:val="4FE55A96"/>
    <w:rsid w:val="4FE771FD"/>
    <w:rsid w:val="4FE848EC"/>
    <w:rsid w:val="4FE85264"/>
    <w:rsid w:val="4FE86A92"/>
    <w:rsid w:val="4FE92F84"/>
    <w:rsid w:val="4FE94B38"/>
    <w:rsid w:val="4FEB1908"/>
    <w:rsid w:val="4FEB2953"/>
    <w:rsid w:val="4FEB4D54"/>
    <w:rsid w:val="4FEB6B02"/>
    <w:rsid w:val="4FED2B8D"/>
    <w:rsid w:val="4FEE214E"/>
    <w:rsid w:val="4FEE7580"/>
    <w:rsid w:val="4FF020B5"/>
    <w:rsid w:val="4FF02BA9"/>
    <w:rsid w:val="4FF14039"/>
    <w:rsid w:val="4FF14DF7"/>
    <w:rsid w:val="4FF21C3E"/>
    <w:rsid w:val="4FF260E2"/>
    <w:rsid w:val="4FF2671E"/>
    <w:rsid w:val="4FF3544A"/>
    <w:rsid w:val="4FF37764"/>
    <w:rsid w:val="4FF42823"/>
    <w:rsid w:val="4FF43C08"/>
    <w:rsid w:val="4FF43C1B"/>
    <w:rsid w:val="4FF52D6F"/>
    <w:rsid w:val="4FF5558B"/>
    <w:rsid w:val="4FF64553"/>
    <w:rsid w:val="4FF652DA"/>
    <w:rsid w:val="4FF82E38"/>
    <w:rsid w:val="4FF84D7B"/>
    <w:rsid w:val="4FF87A6B"/>
    <w:rsid w:val="4FFA4F97"/>
    <w:rsid w:val="4FFA6D45"/>
    <w:rsid w:val="4FFC0D0F"/>
    <w:rsid w:val="4FFC24CA"/>
    <w:rsid w:val="4FFC288D"/>
    <w:rsid w:val="4FFC2FB6"/>
    <w:rsid w:val="4FFC6B42"/>
    <w:rsid w:val="4FFD18A8"/>
    <w:rsid w:val="4FFD476E"/>
    <w:rsid w:val="4FFD6EE7"/>
    <w:rsid w:val="4FFD7502"/>
    <w:rsid w:val="4FFE6835"/>
    <w:rsid w:val="4FFF25AD"/>
    <w:rsid w:val="500110B1"/>
    <w:rsid w:val="50011267"/>
    <w:rsid w:val="50011E81"/>
    <w:rsid w:val="50016EE2"/>
    <w:rsid w:val="50033095"/>
    <w:rsid w:val="50047BC4"/>
    <w:rsid w:val="5005195A"/>
    <w:rsid w:val="5005565E"/>
    <w:rsid w:val="50062F91"/>
    <w:rsid w:val="50067498"/>
    <w:rsid w:val="5008118B"/>
    <w:rsid w:val="50083210"/>
    <w:rsid w:val="5008526E"/>
    <w:rsid w:val="50086015"/>
    <w:rsid w:val="50091EEE"/>
    <w:rsid w:val="500951DA"/>
    <w:rsid w:val="500A2FF2"/>
    <w:rsid w:val="500A342C"/>
    <w:rsid w:val="500A5505"/>
    <w:rsid w:val="500B0F52"/>
    <w:rsid w:val="500B26E3"/>
    <w:rsid w:val="500B2D00"/>
    <w:rsid w:val="500B71A4"/>
    <w:rsid w:val="500D2764"/>
    <w:rsid w:val="500D4CCA"/>
    <w:rsid w:val="500D554B"/>
    <w:rsid w:val="500E022E"/>
    <w:rsid w:val="500E27F0"/>
    <w:rsid w:val="500E2E45"/>
    <w:rsid w:val="50100A52"/>
    <w:rsid w:val="50100B3A"/>
    <w:rsid w:val="50102193"/>
    <w:rsid w:val="5010240B"/>
    <w:rsid w:val="501025C1"/>
    <w:rsid w:val="5010292C"/>
    <w:rsid w:val="501047BA"/>
    <w:rsid w:val="50106568"/>
    <w:rsid w:val="50120532"/>
    <w:rsid w:val="501222E0"/>
    <w:rsid w:val="50125E3D"/>
    <w:rsid w:val="50137E07"/>
    <w:rsid w:val="501457EA"/>
    <w:rsid w:val="50146059"/>
    <w:rsid w:val="50150863"/>
    <w:rsid w:val="50153B7F"/>
    <w:rsid w:val="50153F35"/>
    <w:rsid w:val="5015592D"/>
    <w:rsid w:val="50160BFF"/>
    <w:rsid w:val="5017007B"/>
    <w:rsid w:val="501716A5"/>
    <w:rsid w:val="5017326A"/>
    <w:rsid w:val="50175B49"/>
    <w:rsid w:val="50175FC5"/>
    <w:rsid w:val="5019366F"/>
    <w:rsid w:val="5019541D"/>
    <w:rsid w:val="50195854"/>
    <w:rsid w:val="50195C1B"/>
    <w:rsid w:val="501A1195"/>
    <w:rsid w:val="501B106C"/>
    <w:rsid w:val="501B72A6"/>
    <w:rsid w:val="501C0736"/>
    <w:rsid w:val="501C315F"/>
    <w:rsid w:val="501C4F0D"/>
    <w:rsid w:val="501C7D9B"/>
    <w:rsid w:val="501E0EA8"/>
    <w:rsid w:val="501E5474"/>
    <w:rsid w:val="501E6ED7"/>
    <w:rsid w:val="501F0559"/>
    <w:rsid w:val="501F4C50"/>
    <w:rsid w:val="501F70B7"/>
    <w:rsid w:val="502021C0"/>
    <w:rsid w:val="50202C67"/>
    <w:rsid w:val="50203FF1"/>
    <w:rsid w:val="502057DC"/>
    <w:rsid w:val="50207A01"/>
    <w:rsid w:val="502149B8"/>
    <w:rsid w:val="50224D62"/>
    <w:rsid w:val="5023629C"/>
    <w:rsid w:val="50242062"/>
    <w:rsid w:val="50244588"/>
    <w:rsid w:val="50245AB2"/>
    <w:rsid w:val="50245C68"/>
    <w:rsid w:val="5026374E"/>
    <w:rsid w:val="50265D8C"/>
    <w:rsid w:val="50270062"/>
    <w:rsid w:val="50273554"/>
    <w:rsid w:val="50277BC9"/>
    <w:rsid w:val="5028099F"/>
    <w:rsid w:val="502833CE"/>
    <w:rsid w:val="502838B2"/>
    <w:rsid w:val="5028586C"/>
    <w:rsid w:val="50291307"/>
    <w:rsid w:val="502913D8"/>
    <w:rsid w:val="502918AA"/>
    <w:rsid w:val="50292A4C"/>
    <w:rsid w:val="50295B11"/>
    <w:rsid w:val="502A41CA"/>
    <w:rsid w:val="502A587C"/>
    <w:rsid w:val="502C022B"/>
    <w:rsid w:val="502C1871"/>
    <w:rsid w:val="502C341E"/>
    <w:rsid w:val="502D0509"/>
    <w:rsid w:val="502D16BB"/>
    <w:rsid w:val="502D711A"/>
    <w:rsid w:val="502D73C5"/>
    <w:rsid w:val="502D7C51"/>
    <w:rsid w:val="502E0F0D"/>
    <w:rsid w:val="502E2BC3"/>
    <w:rsid w:val="502E69EF"/>
    <w:rsid w:val="502F36DD"/>
    <w:rsid w:val="502F6BAC"/>
    <w:rsid w:val="503009B9"/>
    <w:rsid w:val="50304B3C"/>
    <w:rsid w:val="50306E04"/>
    <w:rsid w:val="50307513"/>
    <w:rsid w:val="5032028D"/>
    <w:rsid w:val="503264DF"/>
    <w:rsid w:val="50326C26"/>
    <w:rsid w:val="503314C3"/>
    <w:rsid w:val="5033552D"/>
    <w:rsid w:val="5035213F"/>
    <w:rsid w:val="50354221"/>
    <w:rsid w:val="50355FCF"/>
    <w:rsid w:val="50357E4D"/>
    <w:rsid w:val="50360FCA"/>
    <w:rsid w:val="5036276D"/>
    <w:rsid w:val="50371D47"/>
    <w:rsid w:val="50373AF5"/>
    <w:rsid w:val="50377F99"/>
    <w:rsid w:val="50395ABF"/>
    <w:rsid w:val="503A02AE"/>
    <w:rsid w:val="503A2AB3"/>
    <w:rsid w:val="503A35E5"/>
    <w:rsid w:val="503B1837"/>
    <w:rsid w:val="503C110B"/>
    <w:rsid w:val="503C5D4C"/>
    <w:rsid w:val="503C65DF"/>
    <w:rsid w:val="503C7D20"/>
    <w:rsid w:val="503D0049"/>
    <w:rsid w:val="503E1327"/>
    <w:rsid w:val="503E4E84"/>
    <w:rsid w:val="503F29AA"/>
    <w:rsid w:val="503F518E"/>
    <w:rsid w:val="50414BBA"/>
    <w:rsid w:val="50416722"/>
    <w:rsid w:val="50423217"/>
    <w:rsid w:val="50424B13"/>
    <w:rsid w:val="5043249A"/>
    <w:rsid w:val="50447942"/>
    <w:rsid w:val="50454464"/>
    <w:rsid w:val="50460D34"/>
    <w:rsid w:val="50461F8A"/>
    <w:rsid w:val="50462262"/>
    <w:rsid w:val="5047736B"/>
    <w:rsid w:val="50484BF2"/>
    <w:rsid w:val="50487AB0"/>
    <w:rsid w:val="504908E4"/>
    <w:rsid w:val="50493828"/>
    <w:rsid w:val="504968C3"/>
    <w:rsid w:val="504A1A7A"/>
    <w:rsid w:val="504A4014"/>
    <w:rsid w:val="504A65CA"/>
    <w:rsid w:val="504B134F"/>
    <w:rsid w:val="504B29FB"/>
    <w:rsid w:val="504B4C44"/>
    <w:rsid w:val="504B75A0"/>
    <w:rsid w:val="504C60D4"/>
    <w:rsid w:val="504D50C7"/>
    <w:rsid w:val="504E2012"/>
    <w:rsid w:val="504F52E3"/>
    <w:rsid w:val="504F5C3E"/>
    <w:rsid w:val="50504BB7"/>
    <w:rsid w:val="50504C4B"/>
    <w:rsid w:val="5051105B"/>
    <w:rsid w:val="505333D6"/>
    <w:rsid w:val="50533AEF"/>
    <w:rsid w:val="5054476F"/>
    <w:rsid w:val="505563DC"/>
    <w:rsid w:val="505622BB"/>
    <w:rsid w:val="50566671"/>
    <w:rsid w:val="505671DF"/>
    <w:rsid w:val="505677D6"/>
    <w:rsid w:val="50575F4B"/>
    <w:rsid w:val="50577CF3"/>
    <w:rsid w:val="505843D2"/>
    <w:rsid w:val="50586E5B"/>
    <w:rsid w:val="50593A6B"/>
    <w:rsid w:val="50594CB7"/>
    <w:rsid w:val="505A33CB"/>
    <w:rsid w:val="505A5A36"/>
    <w:rsid w:val="505A6EC0"/>
    <w:rsid w:val="505B3C87"/>
    <w:rsid w:val="505B4777"/>
    <w:rsid w:val="505B6B08"/>
    <w:rsid w:val="505C0F03"/>
    <w:rsid w:val="505C17AE"/>
    <w:rsid w:val="505D51FE"/>
    <w:rsid w:val="505F1978"/>
    <w:rsid w:val="505F30B9"/>
    <w:rsid w:val="506202F9"/>
    <w:rsid w:val="50626A9F"/>
    <w:rsid w:val="506348EA"/>
    <w:rsid w:val="50642410"/>
    <w:rsid w:val="506445D8"/>
    <w:rsid w:val="506503BB"/>
    <w:rsid w:val="50650662"/>
    <w:rsid w:val="5066185A"/>
    <w:rsid w:val="5066262C"/>
    <w:rsid w:val="5066314E"/>
    <w:rsid w:val="50666188"/>
    <w:rsid w:val="50680152"/>
    <w:rsid w:val="50681F00"/>
    <w:rsid w:val="5068416B"/>
    <w:rsid w:val="506863A4"/>
    <w:rsid w:val="506877E0"/>
    <w:rsid w:val="50687B4B"/>
    <w:rsid w:val="506A1275"/>
    <w:rsid w:val="506A24D3"/>
    <w:rsid w:val="506A2CF6"/>
    <w:rsid w:val="506A5C79"/>
    <w:rsid w:val="506D113F"/>
    <w:rsid w:val="506D39BB"/>
    <w:rsid w:val="506D6934"/>
    <w:rsid w:val="506D6B4D"/>
    <w:rsid w:val="506E7FDD"/>
    <w:rsid w:val="506F7896"/>
    <w:rsid w:val="50715259"/>
    <w:rsid w:val="50720FD1"/>
    <w:rsid w:val="50731DEB"/>
    <w:rsid w:val="507408A5"/>
    <w:rsid w:val="50740B35"/>
    <w:rsid w:val="50746AF7"/>
    <w:rsid w:val="50747653"/>
    <w:rsid w:val="50753CCC"/>
    <w:rsid w:val="50760AC1"/>
    <w:rsid w:val="5076286F"/>
    <w:rsid w:val="507704E4"/>
    <w:rsid w:val="507845D4"/>
    <w:rsid w:val="5079410E"/>
    <w:rsid w:val="507A1C34"/>
    <w:rsid w:val="507B60D8"/>
    <w:rsid w:val="507C1E50"/>
    <w:rsid w:val="507C3BFE"/>
    <w:rsid w:val="507C49F1"/>
    <w:rsid w:val="507C775A"/>
    <w:rsid w:val="507D3F33"/>
    <w:rsid w:val="507E7976"/>
    <w:rsid w:val="508036EE"/>
    <w:rsid w:val="50811214"/>
    <w:rsid w:val="50813882"/>
    <w:rsid w:val="508141C6"/>
    <w:rsid w:val="5082112D"/>
    <w:rsid w:val="50823763"/>
    <w:rsid w:val="50830AE8"/>
    <w:rsid w:val="50830C96"/>
    <w:rsid w:val="50833C49"/>
    <w:rsid w:val="50836D3A"/>
    <w:rsid w:val="50842203"/>
    <w:rsid w:val="50845F89"/>
    <w:rsid w:val="508467BD"/>
    <w:rsid w:val="508478C0"/>
    <w:rsid w:val="508508D7"/>
    <w:rsid w:val="50852AB2"/>
    <w:rsid w:val="50853693"/>
    <w:rsid w:val="50855FDF"/>
    <w:rsid w:val="508605D9"/>
    <w:rsid w:val="50862ABB"/>
    <w:rsid w:val="50863682"/>
    <w:rsid w:val="50866422"/>
    <w:rsid w:val="508676F4"/>
    <w:rsid w:val="50870B84"/>
    <w:rsid w:val="508807F5"/>
    <w:rsid w:val="5088116D"/>
    <w:rsid w:val="50886E1D"/>
    <w:rsid w:val="50894BE5"/>
    <w:rsid w:val="508A00C9"/>
    <w:rsid w:val="508A39A2"/>
    <w:rsid w:val="508A5EB8"/>
    <w:rsid w:val="508A6075"/>
    <w:rsid w:val="508A631B"/>
    <w:rsid w:val="508C2093"/>
    <w:rsid w:val="508C4C23"/>
    <w:rsid w:val="508D5E0B"/>
    <w:rsid w:val="508E1BC4"/>
    <w:rsid w:val="508E3509"/>
    <w:rsid w:val="508E5E86"/>
    <w:rsid w:val="508E75C7"/>
    <w:rsid w:val="508F0A87"/>
    <w:rsid w:val="508F3931"/>
    <w:rsid w:val="508F7316"/>
    <w:rsid w:val="50901457"/>
    <w:rsid w:val="50920766"/>
    <w:rsid w:val="509251CF"/>
    <w:rsid w:val="50925C97"/>
    <w:rsid w:val="50926F7D"/>
    <w:rsid w:val="50935AA8"/>
    <w:rsid w:val="50940F47"/>
    <w:rsid w:val="50946380"/>
    <w:rsid w:val="50950266"/>
    <w:rsid w:val="50955D59"/>
    <w:rsid w:val="50962F12"/>
    <w:rsid w:val="50971607"/>
    <w:rsid w:val="50971B68"/>
    <w:rsid w:val="50972428"/>
    <w:rsid w:val="50980FC9"/>
    <w:rsid w:val="5099772C"/>
    <w:rsid w:val="509B4084"/>
    <w:rsid w:val="509B4D1B"/>
    <w:rsid w:val="509B5BC2"/>
    <w:rsid w:val="509B6904"/>
    <w:rsid w:val="509C1BAA"/>
    <w:rsid w:val="509C604E"/>
    <w:rsid w:val="509C6E7C"/>
    <w:rsid w:val="509C7DFC"/>
    <w:rsid w:val="509E3AE8"/>
    <w:rsid w:val="509E5922"/>
    <w:rsid w:val="509F155E"/>
    <w:rsid w:val="509F4F5A"/>
    <w:rsid w:val="509F545A"/>
    <w:rsid w:val="509F60FC"/>
    <w:rsid w:val="50A0029B"/>
    <w:rsid w:val="50A0169A"/>
    <w:rsid w:val="50A05B3E"/>
    <w:rsid w:val="50A12A22"/>
    <w:rsid w:val="50A218B6"/>
    <w:rsid w:val="50A2578C"/>
    <w:rsid w:val="50A32F39"/>
    <w:rsid w:val="50A373DC"/>
    <w:rsid w:val="50A54F03"/>
    <w:rsid w:val="50A62A29"/>
    <w:rsid w:val="50A70C7B"/>
    <w:rsid w:val="50A730EE"/>
    <w:rsid w:val="50A82C45"/>
    <w:rsid w:val="50A844D3"/>
    <w:rsid w:val="50A849F3"/>
    <w:rsid w:val="50A92561"/>
    <w:rsid w:val="50A971EA"/>
    <w:rsid w:val="50AA0C9C"/>
    <w:rsid w:val="50AB1B04"/>
    <w:rsid w:val="50AC0013"/>
    <w:rsid w:val="50AD0C01"/>
    <w:rsid w:val="50AE51DE"/>
    <w:rsid w:val="50AF4CDE"/>
    <w:rsid w:val="50AF51FF"/>
    <w:rsid w:val="50AF5D81"/>
    <w:rsid w:val="50AF7848"/>
    <w:rsid w:val="50AF7B2F"/>
    <w:rsid w:val="50B04973"/>
    <w:rsid w:val="50B04A39"/>
    <w:rsid w:val="50B11220"/>
    <w:rsid w:val="50B11AF9"/>
    <w:rsid w:val="50B138A7"/>
    <w:rsid w:val="50B213CE"/>
    <w:rsid w:val="50B21D10"/>
    <w:rsid w:val="50B25872"/>
    <w:rsid w:val="50B4249F"/>
    <w:rsid w:val="50B45146"/>
    <w:rsid w:val="50B46C20"/>
    <w:rsid w:val="50B52C6C"/>
    <w:rsid w:val="50B54D9E"/>
    <w:rsid w:val="50B60EBE"/>
    <w:rsid w:val="50B63EE9"/>
    <w:rsid w:val="50B72CDF"/>
    <w:rsid w:val="50B743C0"/>
    <w:rsid w:val="50B74C36"/>
    <w:rsid w:val="50B76522"/>
    <w:rsid w:val="50B769E4"/>
    <w:rsid w:val="50B909AE"/>
    <w:rsid w:val="50B93564"/>
    <w:rsid w:val="50B9375A"/>
    <w:rsid w:val="50B96C00"/>
    <w:rsid w:val="50BA2A91"/>
    <w:rsid w:val="50BA3A13"/>
    <w:rsid w:val="50BB4726"/>
    <w:rsid w:val="50BB4DB6"/>
    <w:rsid w:val="50BB64D4"/>
    <w:rsid w:val="50BB7A74"/>
    <w:rsid w:val="50BC224C"/>
    <w:rsid w:val="50BC27B1"/>
    <w:rsid w:val="50BD1350"/>
    <w:rsid w:val="50BD285D"/>
    <w:rsid w:val="50BD3AD5"/>
    <w:rsid w:val="50BE4216"/>
    <w:rsid w:val="50BE7150"/>
    <w:rsid w:val="50BE7D72"/>
    <w:rsid w:val="50BF1E35"/>
    <w:rsid w:val="50BF42B9"/>
    <w:rsid w:val="50BF738F"/>
    <w:rsid w:val="50C01D3C"/>
    <w:rsid w:val="50C1205C"/>
    <w:rsid w:val="50C134FA"/>
    <w:rsid w:val="50C17863"/>
    <w:rsid w:val="50C25AB5"/>
    <w:rsid w:val="50C3182D"/>
    <w:rsid w:val="50C335DB"/>
    <w:rsid w:val="50C35389"/>
    <w:rsid w:val="50C555A5"/>
    <w:rsid w:val="50C56894"/>
    <w:rsid w:val="50C57353"/>
    <w:rsid w:val="50C64757"/>
    <w:rsid w:val="50C64B87"/>
    <w:rsid w:val="50C6566D"/>
    <w:rsid w:val="50C80BE8"/>
    <w:rsid w:val="50C866AA"/>
    <w:rsid w:val="50C86E43"/>
    <w:rsid w:val="50CA16AC"/>
    <w:rsid w:val="50CA6717"/>
    <w:rsid w:val="50CB46FA"/>
    <w:rsid w:val="50CC06E1"/>
    <w:rsid w:val="50CD1D3A"/>
    <w:rsid w:val="50CE3319"/>
    <w:rsid w:val="50CE4984"/>
    <w:rsid w:val="50CE4A5A"/>
    <w:rsid w:val="50CE76FD"/>
    <w:rsid w:val="50CF01D2"/>
    <w:rsid w:val="50CF1F80"/>
    <w:rsid w:val="50CF47A9"/>
    <w:rsid w:val="50CF7392"/>
    <w:rsid w:val="50D13F4A"/>
    <w:rsid w:val="50D22837"/>
    <w:rsid w:val="50D2381E"/>
    <w:rsid w:val="50D255EC"/>
    <w:rsid w:val="50D43A3A"/>
    <w:rsid w:val="50D4425E"/>
    <w:rsid w:val="50D457E8"/>
    <w:rsid w:val="50D47596"/>
    <w:rsid w:val="50D5177D"/>
    <w:rsid w:val="50D61560"/>
    <w:rsid w:val="50D650BC"/>
    <w:rsid w:val="50D67A61"/>
    <w:rsid w:val="50D67EE4"/>
    <w:rsid w:val="50D70E34"/>
    <w:rsid w:val="50D71373"/>
    <w:rsid w:val="50D73A23"/>
    <w:rsid w:val="50D806DD"/>
    <w:rsid w:val="50D91B6D"/>
    <w:rsid w:val="50D92DFE"/>
    <w:rsid w:val="50D93080"/>
    <w:rsid w:val="50DA3146"/>
    <w:rsid w:val="50DA3711"/>
    <w:rsid w:val="50DB26D2"/>
    <w:rsid w:val="50DB3513"/>
    <w:rsid w:val="50DB3F55"/>
    <w:rsid w:val="50DB448D"/>
    <w:rsid w:val="50DC291C"/>
    <w:rsid w:val="50DD28EE"/>
    <w:rsid w:val="50DE1D29"/>
    <w:rsid w:val="50DE21C3"/>
    <w:rsid w:val="50DE2E0E"/>
    <w:rsid w:val="50DE7239"/>
    <w:rsid w:val="50DF1053"/>
    <w:rsid w:val="50DF59E4"/>
    <w:rsid w:val="50DF7F4F"/>
    <w:rsid w:val="50E05F3B"/>
    <w:rsid w:val="50E20972"/>
    <w:rsid w:val="50E377D9"/>
    <w:rsid w:val="50E46C80"/>
    <w:rsid w:val="50E52CE1"/>
    <w:rsid w:val="50E56140"/>
    <w:rsid w:val="50E61077"/>
    <w:rsid w:val="50E615A0"/>
    <w:rsid w:val="50E61D11"/>
    <w:rsid w:val="50E644CA"/>
    <w:rsid w:val="50E6454A"/>
    <w:rsid w:val="50E752AD"/>
    <w:rsid w:val="50E752F7"/>
    <w:rsid w:val="50E7551B"/>
    <w:rsid w:val="50E772C9"/>
    <w:rsid w:val="50E85C87"/>
    <w:rsid w:val="50E96661"/>
    <w:rsid w:val="50E978D7"/>
    <w:rsid w:val="50E97F21"/>
    <w:rsid w:val="50EA1D68"/>
    <w:rsid w:val="50EA73C4"/>
    <w:rsid w:val="50EC48E0"/>
    <w:rsid w:val="50EC68A2"/>
    <w:rsid w:val="50EE6231"/>
    <w:rsid w:val="50EF38F8"/>
    <w:rsid w:val="50EF617E"/>
    <w:rsid w:val="50EF670D"/>
    <w:rsid w:val="50F03FCE"/>
    <w:rsid w:val="50F04E24"/>
    <w:rsid w:val="50F1639A"/>
    <w:rsid w:val="50F17AAA"/>
    <w:rsid w:val="50F22714"/>
    <w:rsid w:val="50F32112"/>
    <w:rsid w:val="50F419E6"/>
    <w:rsid w:val="50F42920"/>
    <w:rsid w:val="50F43794"/>
    <w:rsid w:val="50F45034"/>
    <w:rsid w:val="50F46775"/>
    <w:rsid w:val="50F578FE"/>
    <w:rsid w:val="50F57C05"/>
    <w:rsid w:val="50F64586"/>
    <w:rsid w:val="50F6575E"/>
    <w:rsid w:val="50F80318"/>
    <w:rsid w:val="50F8563F"/>
    <w:rsid w:val="50F9524E"/>
    <w:rsid w:val="50F96FFC"/>
    <w:rsid w:val="50FB0FC7"/>
    <w:rsid w:val="50FB4B23"/>
    <w:rsid w:val="50FB4D30"/>
    <w:rsid w:val="50FB5C92"/>
    <w:rsid w:val="50FC37C6"/>
    <w:rsid w:val="50FC3CFB"/>
    <w:rsid w:val="50FC4BB4"/>
    <w:rsid w:val="50FC6397"/>
    <w:rsid w:val="50FD3D3E"/>
    <w:rsid w:val="50FD6667"/>
    <w:rsid w:val="50FE0106"/>
    <w:rsid w:val="50FE0AB7"/>
    <w:rsid w:val="50FE14F1"/>
    <w:rsid w:val="50FE2865"/>
    <w:rsid w:val="50FE48D0"/>
    <w:rsid w:val="5100038B"/>
    <w:rsid w:val="51002139"/>
    <w:rsid w:val="510065DD"/>
    <w:rsid w:val="51025EB1"/>
    <w:rsid w:val="51027638"/>
    <w:rsid w:val="51031C29"/>
    <w:rsid w:val="51031CC2"/>
    <w:rsid w:val="51036FE5"/>
    <w:rsid w:val="51037E7B"/>
    <w:rsid w:val="51045D31"/>
    <w:rsid w:val="510460CD"/>
    <w:rsid w:val="5105314D"/>
    <w:rsid w:val="51053BF3"/>
    <w:rsid w:val="5106063D"/>
    <w:rsid w:val="51065A9E"/>
    <w:rsid w:val="51071719"/>
    <w:rsid w:val="51071EDF"/>
    <w:rsid w:val="51071EFE"/>
    <w:rsid w:val="510814BC"/>
    <w:rsid w:val="51081AD6"/>
    <w:rsid w:val="51082987"/>
    <w:rsid w:val="51082D46"/>
    <w:rsid w:val="510A2FB8"/>
    <w:rsid w:val="510B10B5"/>
    <w:rsid w:val="510B10F6"/>
    <w:rsid w:val="510B66E1"/>
    <w:rsid w:val="510C6D30"/>
    <w:rsid w:val="510D2AA8"/>
    <w:rsid w:val="510D4856"/>
    <w:rsid w:val="510D6187"/>
    <w:rsid w:val="510E36AA"/>
    <w:rsid w:val="510E552C"/>
    <w:rsid w:val="510F6820"/>
    <w:rsid w:val="511107EA"/>
    <w:rsid w:val="51114346"/>
    <w:rsid w:val="51115C9D"/>
    <w:rsid w:val="5111761B"/>
    <w:rsid w:val="51121E6C"/>
    <w:rsid w:val="511222BC"/>
    <w:rsid w:val="5112254B"/>
    <w:rsid w:val="51122ACE"/>
    <w:rsid w:val="511300BE"/>
    <w:rsid w:val="51132DE2"/>
    <w:rsid w:val="51134562"/>
    <w:rsid w:val="51136CEF"/>
    <w:rsid w:val="51141ABA"/>
    <w:rsid w:val="5114461E"/>
    <w:rsid w:val="51151A89"/>
    <w:rsid w:val="51153049"/>
    <w:rsid w:val="5116195C"/>
    <w:rsid w:val="51163E4F"/>
    <w:rsid w:val="511800B0"/>
    <w:rsid w:val="5119769F"/>
    <w:rsid w:val="511B5283"/>
    <w:rsid w:val="511C3DE5"/>
    <w:rsid w:val="511C53AE"/>
    <w:rsid w:val="511C63D3"/>
    <w:rsid w:val="511D0F3D"/>
    <w:rsid w:val="511D1D2F"/>
    <w:rsid w:val="511D2CEB"/>
    <w:rsid w:val="511D4DBE"/>
    <w:rsid w:val="511D6E11"/>
    <w:rsid w:val="511E3D7E"/>
    <w:rsid w:val="511E4CB5"/>
    <w:rsid w:val="511F1731"/>
    <w:rsid w:val="511F2F07"/>
    <w:rsid w:val="51200A2D"/>
    <w:rsid w:val="51215BBC"/>
    <w:rsid w:val="512200B2"/>
    <w:rsid w:val="51220301"/>
    <w:rsid w:val="512247A5"/>
    <w:rsid w:val="51226553"/>
    <w:rsid w:val="5123020B"/>
    <w:rsid w:val="512306CC"/>
    <w:rsid w:val="512322CB"/>
    <w:rsid w:val="51237AAF"/>
    <w:rsid w:val="5124051D"/>
    <w:rsid w:val="51242133"/>
    <w:rsid w:val="51244B06"/>
    <w:rsid w:val="51253B27"/>
    <w:rsid w:val="51254295"/>
    <w:rsid w:val="51256043"/>
    <w:rsid w:val="5125662C"/>
    <w:rsid w:val="51263104"/>
    <w:rsid w:val="51266A33"/>
    <w:rsid w:val="51275918"/>
    <w:rsid w:val="51284AA6"/>
    <w:rsid w:val="5128556D"/>
    <w:rsid w:val="51286434"/>
    <w:rsid w:val="51287E8A"/>
    <w:rsid w:val="51295B34"/>
    <w:rsid w:val="512978E2"/>
    <w:rsid w:val="512A18AC"/>
    <w:rsid w:val="512A30FC"/>
    <w:rsid w:val="512A365A"/>
    <w:rsid w:val="512A6844"/>
    <w:rsid w:val="512C2F2E"/>
    <w:rsid w:val="512C3D24"/>
    <w:rsid w:val="512E314A"/>
    <w:rsid w:val="512F2A1E"/>
    <w:rsid w:val="513040D0"/>
    <w:rsid w:val="51312C3A"/>
    <w:rsid w:val="513302DF"/>
    <w:rsid w:val="51330760"/>
    <w:rsid w:val="51331037"/>
    <w:rsid w:val="5133145B"/>
    <w:rsid w:val="5133250E"/>
    <w:rsid w:val="51340212"/>
    <w:rsid w:val="51346287"/>
    <w:rsid w:val="51352640"/>
    <w:rsid w:val="51363DAD"/>
    <w:rsid w:val="51364E00"/>
    <w:rsid w:val="51367962"/>
    <w:rsid w:val="5137242C"/>
    <w:rsid w:val="51380117"/>
    <w:rsid w:val="5138246A"/>
    <w:rsid w:val="51384413"/>
    <w:rsid w:val="5139564B"/>
    <w:rsid w:val="513B40E8"/>
    <w:rsid w:val="513B6904"/>
    <w:rsid w:val="513B7615"/>
    <w:rsid w:val="513B77C9"/>
    <w:rsid w:val="513C4F3B"/>
    <w:rsid w:val="513E0EB3"/>
    <w:rsid w:val="513F5357"/>
    <w:rsid w:val="513F7105"/>
    <w:rsid w:val="513F75DA"/>
    <w:rsid w:val="51402E7D"/>
    <w:rsid w:val="51414812"/>
    <w:rsid w:val="5141620C"/>
    <w:rsid w:val="51422751"/>
    <w:rsid w:val="51426BF5"/>
    <w:rsid w:val="5143528C"/>
    <w:rsid w:val="514364CA"/>
    <w:rsid w:val="5144505A"/>
    <w:rsid w:val="51462A93"/>
    <w:rsid w:val="5146601D"/>
    <w:rsid w:val="51475FBA"/>
    <w:rsid w:val="51477D68"/>
    <w:rsid w:val="51480685"/>
    <w:rsid w:val="514851E9"/>
    <w:rsid w:val="51491D32"/>
    <w:rsid w:val="51493AE0"/>
    <w:rsid w:val="514A0EFA"/>
    <w:rsid w:val="514A3689"/>
    <w:rsid w:val="514A7858"/>
    <w:rsid w:val="514B1E8F"/>
    <w:rsid w:val="514B52F6"/>
    <w:rsid w:val="514C074E"/>
    <w:rsid w:val="514C35D0"/>
    <w:rsid w:val="514E2BB9"/>
    <w:rsid w:val="514E559A"/>
    <w:rsid w:val="514F0810"/>
    <w:rsid w:val="51513513"/>
    <w:rsid w:val="515156C6"/>
    <w:rsid w:val="51523EFE"/>
    <w:rsid w:val="5153495F"/>
    <w:rsid w:val="51542485"/>
    <w:rsid w:val="51563A00"/>
    <w:rsid w:val="5156444F"/>
    <w:rsid w:val="51566FA2"/>
    <w:rsid w:val="51570432"/>
    <w:rsid w:val="515818C2"/>
    <w:rsid w:val="51582241"/>
    <w:rsid w:val="51582501"/>
    <w:rsid w:val="51586419"/>
    <w:rsid w:val="51592273"/>
    <w:rsid w:val="51594493"/>
    <w:rsid w:val="515B1A65"/>
    <w:rsid w:val="515B3813"/>
    <w:rsid w:val="515B74D7"/>
    <w:rsid w:val="515C4CC4"/>
    <w:rsid w:val="515D57DD"/>
    <w:rsid w:val="515D758B"/>
    <w:rsid w:val="515F1555"/>
    <w:rsid w:val="515F763E"/>
    <w:rsid w:val="51600E2A"/>
    <w:rsid w:val="516052CE"/>
    <w:rsid w:val="51606CA5"/>
    <w:rsid w:val="5160707C"/>
    <w:rsid w:val="51612C25"/>
    <w:rsid w:val="51612D86"/>
    <w:rsid w:val="516140B5"/>
    <w:rsid w:val="51621046"/>
    <w:rsid w:val="5162104E"/>
    <w:rsid w:val="51637B78"/>
    <w:rsid w:val="51637D72"/>
    <w:rsid w:val="5164091A"/>
    <w:rsid w:val="5164479E"/>
    <w:rsid w:val="516528E4"/>
    <w:rsid w:val="51654ECA"/>
    <w:rsid w:val="516552B0"/>
    <w:rsid w:val="51660060"/>
    <w:rsid w:val="5166169E"/>
    <w:rsid w:val="5167317E"/>
    <w:rsid w:val="51675356"/>
    <w:rsid w:val="5167665C"/>
    <w:rsid w:val="51676F9F"/>
    <w:rsid w:val="516923D4"/>
    <w:rsid w:val="51694182"/>
    <w:rsid w:val="516A1CA8"/>
    <w:rsid w:val="516A3A56"/>
    <w:rsid w:val="516A7924"/>
    <w:rsid w:val="516B68A8"/>
    <w:rsid w:val="516C3454"/>
    <w:rsid w:val="516C77CE"/>
    <w:rsid w:val="516D11C8"/>
    <w:rsid w:val="516D160A"/>
    <w:rsid w:val="516D2658"/>
    <w:rsid w:val="516D4BF6"/>
    <w:rsid w:val="516E1798"/>
    <w:rsid w:val="516E1AB0"/>
    <w:rsid w:val="516E3547"/>
    <w:rsid w:val="516E79EA"/>
    <w:rsid w:val="516F0D03"/>
    <w:rsid w:val="516F3138"/>
    <w:rsid w:val="517033E1"/>
    <w:rsid w:val="51703763"/>
    <w:rsid w:val="51713BAA"/>
    <w:rsid w:val="517174DB"/>
    <w:rsid w:val="517302A5"/>
    <w:rsid w:val="51735B5C"/>
    <w:rsid w:val="517364CA"/>
    <w:rsid w:val="51737A4E"/>
    <w:rsid w:val="517433B9"/>
    <w:rsid w:val="517448D5"/>
    <w:rsid w:val="517474B0"/>
    <w:rsid w:val="51750DEA"/>
    <w:rsid w:val="5175252B"/>
    <w:rsid w:val="51752B27"/>
    <w:rsid w:val="51753DF8"/>
    <w:rsid w:val="5176064D"/>
    <w:rsid w:val="5176542A"/>
    <w:rsid w:val="51774E4B"/>
    <w:rsid w:val="51777A1C"/>
    <w:rsid w:val="517803CE"/>
    <w:rsid w:val="51782617"/>
    <w:rsid w:val="5178776B"/>
    <w:rsid w:val="517A013D"/>
    <w:rsid w:val="517B2107"/>
    <w:rsid w:val="517B3EB5"/>
    <w:rsid w:val="517C0CB4"/>
    <w:rsid w:val="517C4963"/>
    <w:rsid w:val="517C60EC"/>
    <w:rsid w:val="517D1575"/>
    <w:rsid w:val="517D19DC"/>
    <w:rsid w:val="517D2FBF"/>
    <w:rsid w:val="517D3A01"/>
    <w:rsid w:val="517E38C2"/>
    <w:rsid w:val="517F39A6"/>
    <w:rsid w:val="517F5754"/>
    <w:rsid w:val="517F61AE"/>
    <w:rsid w:val="518134BD"/>
    <w:rsid w:val="5181771E"/>
    <w:rsid w:val="51826FF2"/>
    <w:rsid w:val="51831EE8"/>
    <w:rsid w:val="51840FBC"/>
    <w:rsid w:val="51842D6A"/>
    <w:rsid w:val="51844B18"/>
    <w:rsid w:val="51856AE2"/>
    <w:rsid w:val="51864D34"/>
    <w:rsid w:val="5186663A"/>
    <w:rsid w:val="51867E54"/>
    <w:rsid w:val="51870AAC"/>
    <w:rsid w:val="5188302A"/>
    <w:rsid w:val="51890380"/>
    <w:rsid w:val="518965D2"/>
    <w:rsid w:val="518A0215"/>
    <w:rsid w:val="518A2886"/>
    <w:rsid w:val="518A5EA7"/>
    <w:rsid w:val="518C1C1F"/>
    <w:rsid w:val="518C2E1A"/>
    <w:rsid w:val="518C579C"/>
    <w:rsid w:val="518C60C3"/>
    <w:rsid w:val="518D59C0"/>
    <w:rsid w:val="518E3BE9"/>
    <w:rsid w:val="518F170F"/>
    <w:rsid w:val="51902100"/>
    <w:rsid w:val="51905BB3"/>
    <w:rsid w:val="51912D1E"/>
    <w:rsid w:val="51914BA1"/>
    <w:rsid w:val="51922734"/>
    <w:rsid w:val="519242E6"/>
    <w:rsid w:val="51932FAD"/>
    <w:rsid w:val="51933119"/>
    <w:rsid w:val="5194714C"/>
    <w:rsid w:val="519531C9"/>
    <w:rsid w:val="51954F77"/>
    <w:rsid w:val="51956D25"/>
    <w:rsid w:val="519614B1"/>
    <w:rsid w:val="519805C3"/>
    <w:rsid w:val="5198792D"/>
    <w:rsid w:val="519909BB"/>
    <w:rsid w:val="51996A8F"/>
    <w:rsid w:val="519A22EC"/>
    <w:rsid w:val="519A258E"/>
    <w:rsid w:val="519B00B4"/>
    <w:rsid w:val="519B4246"/>
    <w:rsid w:val="519B6306"/>
    <w:rsid w:val="519C4558"/>
    <w:rsid w:val="519D3E2C"/>
    <w:rsid w:val="519D6944"/>
    <w:rsid w:val="519D6B66"/>
    <w:rsid w:val="519E5189"/>
    <w:rsid w:val="519F4057"/>
    <w:rsid w:val="519F57A2"/>
    <w:rsid w:val="519F7BA4"/>
    <w:rsid w:val="51A056CA"/>
    <w:rsid w:val="51A229D8"/>
    <w:rsid w:val="51A258E6"/>
    <w:rsid w:val="51A3303A"/>
    <w:rsid w:val="51A33D40"/>
    <w:rsid w:val="51A34AEB"/>
    <w:rsid w:val="51A40D23"/>
    <w:rsid w:val="51A42B2B"/>
    <w:rsid w:val="51A451BA"/>
    <w:rsid w:val="51A452F8"/>
    <w:rsid w:val="51A475E2"/>
    <w:rsid w:val="51A5084C"/>
    <w:rsid w:val="51A56BE3"/>
    <w:rsid w:val="51A60F32"/>
    <w:rsid w:val="51A727E9"/>
    <w:rsid w:val="51A90A23"/>
    <w:rsid w:val="51AA0F5B"/>
    <w:rsid w:val="51AA7C10"/>
    <w:rsid w:val="51AB01B9"/>
    <w:rsid w:val="51AB133D"/>
    <w:rsid w:val="51AC3EDA"/>
    <w:rsid w:val="51AC406F"/>
    <w:rsid w:val="51AD419E"/>
    <w:rsid w:val="51AE44A9"/>
    <w:rsid w:val="51AE7DE7"/>
    <w:rsid w:val="51B00003"/>
    <w:rsid w:val="51B055D9"/>
    <w:rsid w:val="51B224CD"/>
    <w:rsid w:val="51B2610E"/>
    <w:rsid w:val="51B26804"/>
    <w:rsid w:val="51B318A1"/>
    <w:rsid w:val="51B32FF8"/>
    <w:rsid w:val="51B334EA"/>
    <w:rsid w:val="51B3364F"/>
    <w:rsid w:val="51B353FD"/>
    <w:rsid w:val="51B353FF"/>
    <w:rsid w:val="51B51175"/>
    <w:rsid w:val="51B549B9"/>
    <w:rsid w:val="51B55619"/>
    <w:rsid w:val="51B66C9C"/>
    <w:rsid w:val="51B6738D"/>
    <w:rsid w:val="51B6770D"/>
    <w:rsid w:val="51B710C6"/>
    <w:rsid w:val="51B72CFF"/>
    <w:rsid w:val="51B74890"/>
    <w:rsid w:val="51B760F6"/>
    <w:rsid w:val="51B77CD6"/>
    <w:rsid w:val="51B8422D"/>
    <w:rsid w:val="51B8433C"/>
    <w:rsid w:val="51B86C95"/>
    <w:rsid w:val="51B86EB8"/>
    <w:rsid w:val="51B8783B"/>
    <w:rsid w:val="51B90429"/>
    <w:rsid w:val="51B94BFE"/>
    <w:rsid w:val="51BA1DB3"/>
    <w:rsid w:val="51BA49DE"/>
    <w:rsid w:val="51BA5A6F"/>
    <w:rsid w:val="51BB5909"/>
    <w:rsid w:val="51BB7325"/>
    <w:rsid w:val="51BD002A"/>
    <w:rsid w:val="51BD0E26"/>
    <w:rsid w:val="51BD44CE"/>
    <w:rsid w:val="51BE0A70"/>
    <w:rsid w:val="51BE1D8B"/>
    <w:rsid w:val="51BF3C41"/>
    <w:rsid w:val="51C04E17"/>
    <w:rsid w:val="51C15D6C"/>
    <w:rsid w:val="51C21AE4"/>
    <w:rsid w:val="51C26554"/>
    <w:rsid w:val="51C31420"/>
    <w:rsid w:val="51C413B8"/>
    <w:rsid w:val="51C41A90"/>
    <w:rsid w:val="51C43DA1"/>
    <w:rsid w:val="51C55131"/>
    <w:rsid w:val="51C573A5"/>
    <w:rsid w:val="51C57711"/>
    <w:rsid w:val="51C6120B"/>
    <w:rsid w:val="51C66964"/>
    <w:rsid w:val="51C671F0"/>
    <w:rsid w:val="51C712C4"/>
    <w:rsid w:val="51C770FB"/>
    <w:rsid w:val="51C8534D"/>
    <w:rsid w:val="51C91193"/>
    <w:rsid w:val="51C91FBD"/>
    <w:rsid w:val="51C9315E"/>
    <w:rsid w:val="51CB0999"/>
    <w:rsid w:val="51CB2747"/>
    <w:rsid w:val="51CB7186"/>
    <w:rsid w:val="51CC08A6"/>
    <w:rsid w:val="51CC3074"/>
    <w:rsid w:val="51CC4711"/>
    <w:rsid w:val="51CC5C50"/>
    <w:rsid w:val="51CC64BF"/>
    <w:rsid w:val="51CD2372"/>
    <w:rsid w:val="51CD2963"/>
    <w:rsid w:val="51CE0489"/>
    <w:rsid w:val="51CE0565"/>
    <w:rsid w:val="51CE66DB"/>
    <w:rsid w:val="51CF6E62"/>
    <w:rsid w:val="51D03892"/>
    <w:rsid w:val="51D04E92"/>
    <w:rsid w:val="51D17A3A"/>
    <w:rsid w:val="51D21809"/>
    <w:rsid w:val="51D27F79"/>
    <w:rsid w:val="51D33CF1"/>
    <w:rsid w:val="51D37506"/>
    <w:rsid w:val="51D412F6"/>
    <w:rsid w:val="51D41662"/>
    <w:rsid w:val="51D52940"/>
    <w:rsid w:val="51D57A6A"/>
    <w:rsid w:val="51D610EC"/>
    <w:rsid w:val="51D61265"/>
    <w:rsid w:val="51D66CF6"/>
    <w:rsid w:val="51D75590"/>
    <w:rsid w:val="51D830B6"/>
    <w:rsid w:val="51D90B73"/>
    <w:rsid w:val="51D92715"/>
    <w:rsid w:val="51D9480F"/>
    <w:rsid w:val="51D960CB"/>
    <w:rsid w:val="51D96CF9"/>
    <w:rsid w:val="51DA0BDC"/>
    <w:rsid w:val="51DA5080"/>
    <w:rsid w:val="51DA6E2E"/>
    <w:rsid w:val="51DB16D8"/>
    <w:rsid w:val="51DC0DF8"/>
    <w:rsid w:val="51DC2BA6"/>
    <w:rsid w:val="51DD06CC"/>
    <w:rsid w:val="51DD0AD8"/>
    <w:rsid w:val="51DD55EC"/>
    <w:rsid w:val="51DE0059"/>
    <w:rsid w:val="51DE392F"/>
    <w:rsid w:val="51DF4444"/>
    <w:rsid w:val="51DF6252"/>
    <w:rsid w:val="51E02979"/>
    <w:rsid w:val="51E036BA"/>
    <w:rsid w:val="51E101BC"/>
    <w:rsid w:val="51E113E5"/>
    <w:rsid w:val="51E11D1B"/>
    <w:rsid w:val="51E11F6A"/>
    <w:rsid w:val="51E14F57"/>
    <w:rsid w:val="51E1554A"/>
    <w:rsid w:val="51E15998"/>
    <w:rsid w:val="51E1640E"/>
    <w:rsid w:val="51E27A91"/>
    <w:rsid w:val="51E33C89"/>
    <w:rsid w:val="51E41789"/>
    <w:rsid w:val="51E4696F"/>
    <w:rsid w:val="51E541F9"/>
    <w:rsid w:val="51E66C69"/>
    <w:rsid w:val="51E67581"/>
    <w:rsid w:val="51E72F65"/>
    <w:rsid w:val="51E75DD6"/>
    <w:rsid w:val="51E839F2"/>
    <w:rsid w:val="51E8779D"/>
    <w:rsid w:val="51E90E1F"/>
    <w:rsid w:val="51E91150"/>
    <w:rsid w:val="51E93115"/>
    <w:rsid w:val="51E9516C"/>
    <w:rsid w:val="51EA29DE"/>
    <w:rsid w:val="51EB2DE9"/>
    <w:rsid w:val="51EB4B97"/>
    <w:rsid w:val="51EB7A8C"/>
    <w:rsid w:val="51ED19A1"/>
    <w:rsid w:val="51ED6B61"/>
    <w:rsid w:val="51EE28D9"/>
    <w:rsid w:val="51EE4CA0"/>
    <w:rsid w:val="51EE7F7C"/>
    <w:rsid w:val="51EF06EA"/>
    <w:rsid w:val="51F00EF1"/>
    <w:rsid w:val="51F021AD"/>
    <w:rsid w:val="51F06651"/>
    <w:rsid w:val="51F073C9"/>
    <w:rsid w:val="51F07D1F"/>
    <w:rsid w:val="51F167D1"/>
    <w:rsid w:val="51F2145C"/>
    <w:rsid w:val="51F21B4B"/>
    <w:rsid w:val="51F25A25"/>
    <w:rsid w:val="51F27C49"/>
    <w:rsid w:val="51F31C9E"/>
    <w:rsid w:val="51F54737"/>
    <w:rsid w:val="51F54E50"/>
    <w:rsid w:val="51F6353C"/>
    <w:rsid w:val="51F65B08"/>
    <w:rsid w:val="51F662E0"/>
    <w:rsid w:val="51F708CF"/>
    <w:rsid w:val="51F7178E"/>
    <w:rsid w:val="51F73D8A"/>
    <w:rsid w:val="51F76521"/>
    <w:rsid w:val="51F779E0"/>
    <w:rsid w:val="51F85506"/>
    <w:rsid w:val="51F94C61"/>
    <w:rsid w:val="51FB7581"/>
    <w:rsid w:val="51FC2152"/>
    <w:rsid w:val="51FC4FF6"/>
    <w:rsid w:val="51FC6DA4"/>
    <w:rsid w:val="51FD2269"/>
    <w:rsid w:val="51FD48CA"/>
    <w:rsid w:val="51FE0D6E"/>
    <w:rsid w:val="51FE3331"/>
    <w:rsid w:val="51FF14CF"/>
    <w:rsid w:val="51FF438E"/>
    <w:rsid w:val="51FF4AE6"/>
    <w:rsid w:val="51FF6894"/>
    <w:rsid w:val="51FF7392"/>
    <w:rsid w:val="52001F63"/>
    <w:rsid w:val="520143BB"/>
    <w:rsid w:val="520174DB"/>
    <w:rsid w:val="52017A03"/>
    <w:rsid w:val="52020133"/>
    <w:rsid w:val="520216E1"/>
    <w:rsid w:val="52021EE1"/>
    <w:rsid w:val="52031A97"/>
    <w:rsid w:val="520514AA"/>
    <w:rsid w:val="520619D1"/>
    <w:rsid w:val="52062614"/>
    <w:rsid w:val="52075749"/>
    <w:rsid w:val="520774F7"/>
    <w:rsid w:val="52081BED"/>
    <w:rsid w:val="5208399B"/>
    <w:rsid w:val="520914C1"/>
    <w:rsid w:val="5209637B"/>
    <w:rsid w:val="520966DA"/>
    <w:rsid w:val="520A0128"/>
    <w:rsid w:val="520A44A5"/>
    <w:rsid w:val="520B2E8D"/>
    <w:rsid w:val="520B348B"/>
    <w:rsid w:val="520C043D"/>
    <w:rsid w:val="520C0506"/>
    <w:rsid w:val="520C2D5F"/>
    <w:rsid w:val="520D088B"/>
    <w:rsid w:val="520D0FB1"/>
    <w:rsid w:val="520D221B"/>
    <w:rsid w:val="520D408B"/>
    <w:rsid w:val="520D41CD"/>
    <w:rsid w:val="520E2E26"/>
    <w:rsid w:val="520E4374"/>
    <w:rsid w:val="520E4D2A"/>
    <w:rsid w:val="520E5250"/>
    <w:rsid w:val="520E7DB3"/>
    <w:rsid w:val="521045FE"/>
    <w:rsid w:val="52120376"/>
    <w:rsid w:val="521265C8"/>
    <w:rsid w:val="52126D35"/>
    <w:rsid w:val="52132340"/>
    <w:rsid w:val="521340EE"/>
    <w:rsid w:val="5215515F"/>
    <w:rsid w:val="52163E03"/>
    <w:rsid w:val="521640C9"/>
    <w:rsid w:val="52165C7B"/>
    <w:rsid w:val="521701EA"/>
    <w:rsid w:val="52173BDE"/>
    <w:rsid w:val="52190810"/>
    <w:rsid w:val="52197863"/>
    <w:rsid w:val="521B0509"/>
    <w:rsid w:val="521C11F4"/>
    <w:rsid w:val="521C5F69"/>
    <w:rsid w:val="521D4F6D"/>
    <w:rsid w:val="521D6D1B"/>
    <w:rsid w:val="521E103E"/>
    <w:rsid w:val="521E4266"/>
    <w:rsid w:val="521E787F"/>
    <w:rsid w:val="521F224C"/>
    <w:rsid w:val="521F2A93"/>
    <w:rsid w:val="521F2FAF"/>
    <w:rsid w:val="521F42F7"/>
    <w:rsid w:val="5221514B"/>
    <w:rsid w:val="52224331"/>
    <w:rsid w:val="522245B6"/>
    <w:rsid w:val="52227C0E"/>
    <w:rsid w:val="522307D5"/>
    <w:rsid w:val="52232583"/>
    <w:rsid w:val="52233BBC"/>
    <w:rsid w:val="522343BC"/>
    <w:rsid w:val="52235642"/>
    <w:rsid w:val="522400A9"/>
    <w:rsid w:val="5224400C"/>
    <w:rsid w:val="5224454D"/>
    <w:rsid w:val="522462FB"/>
    <w:rsid w:val="522527EE"/>
    <w:rsid w:val="522639DC"/>
    <w:rsid w:val="52271947"/>
    <w:rsid w:val="5227510E"/>
    <w:rsid w:val="52285DEB"/>
    <w:rsid w:val="52287B99"/>
    <w:rsid w:val="52291CD0"/>
    <w:rsid w:val="522A0EBE"/>
    <w:rsid w:val="522A54B6"/>
    <w:rsid w:val="522B1438"/>
    <w:rsid w:val="522B768A"/>
    <w:rsid w:val="522D3402"/>
    <w:rsid w:val="522D51B0"/>
    <w:rsid w:val="522E2CD6"/>
    <w:rsid w:val="522E717A"/>
    <w:rsid w:val="523012D4"/>
    <w:rsid w:val="523018A1"/>
    <w:rsid w:val="52302EF2"/>
    <w:rsid w:val="52307901"/>
    <w:rsid w:val="52313BA2"/>
    <w:rsid w:val="52316837"/>
    <w:rsid w:val="52320A18"/>
    <w:rsid w:val="52322221"/>
    <w:rsid w:val="523227C6"/>
    <w:rsid w:val="52326C6A"/>
    <w:rsid w:val="523302EC"/>
    <w:rsid w:val="523336B1"/>
    <w:rsid w:val="52336282"/>
    <w:rsid w:val="5233653E"/>
    <w:rsid w:val="52350F6C"/>
    <w:rsid w:val="52360967"/>
    <w:rsid w:val="52362032"/>
    <w:rsid w:val="52362271"/>
    <w:rsid w:val="5237602E"/>
    <w:rsid w:val="52377DDC"/>
    <w:rsid w:val="52394808"/>
    <w:rsid w:val="523967E6"/>
    <w:rsid w:val="52397FF8"/>
    <w:rsid w:val="523A0E49"/>
    <w:rsid w:val="523A167B"/>
    <w:rsid w:val="523A6563"/>
    <w:rsid w:val="523A6994"/>
    <w:rsid w:val="523A6D37"/>
    <w:rsid w:val="523B4A14"/>
    <w:rsid w:val="523C1897"/>
    <w:rsid w:val="523C48AF"/>
    <w:rsid w:val="523C5EA4"/>
    <w:rsid w:val="523D0094"/>
    <w:rsid w:val="523D3D99"/>
    <w:rsid w:val="523E07C4"/>
    <w:rsid w:val="523E1829"/>
    <w:rsid w:val="523E73BD"/>
    <w:rsid w:val="523F3135"/>
    <w:rsid w:val="523F4BEA"/>
    <w:rsid w:val="523F6EA4"/>
    <w:rsid w:val="52405E60"/>
    <w:rsid w:val="52410AE3"/>
    <w:rsid w:val="52416EDB"/>
    <w:rsid w:val="52420518"/>
    <w:rsid w:val="52435D77"/>
    <w:rsid w:val="5244074B"/>
    <w:rsid w:val="524424F9"/>
    <w:rsid w:val="52443F2A"/>
    <w:rsid w:val="52444636"/>
    <w:rsid w:val="52455AC6"/>
    <w:rsid w:val="5245699D"/>
    <w:rsid w:val="52465DD6"/>
    <w:rsid w:val="52466271"/>
    <w:rsid w:val="52475395"/>
    <w:rsid w:val="52477B70"/>
    <w:rsid w:val="5248023B"/>
    <w:rsid w:val="5248054A"/>
    <w:rsid w:val="524806C4"/>
    <w:rsid w:val="52481FEA"/>
    <w:rsid w:val="52494A49"/>
    <w:rsid w:val="52495D62"/>
    <w:rsid w:val="524A02D1"/>
    <w:rsid w:val="524A2826"/>
    <w:rsid w:val="524B3888"/>
    <w:rsid w:val="524B7D2C"/>
    <w:rsid w:val="524E3378"/>
    <w:rsid w:val="524F15CA"/>
    <w:rsid w:val="52505342"/>
    <w:rsid w:val="525057AA"/>
    <w:rsid w:val="52506A55"/>
    <w:rsid w:val="525070F0"/>
    <w:rsid w:val="52516C3A"/>
    <w:rsid w:val="52524C16"/>
    <w:rsid w:val="5253162D"/>
    <w:rsid w:val="525418F8"/>
    <w:rsid w:val="525420E5"/>
    <w:rsid w:val="52550093"/>
    <w:rsid w:val="52554706"/>
    <w:rsid w:val="525564B4"/>
    <w:rsid w:val="5256161C"/>
    <w:rsid w:val="52566240"/>
    <w:rsid w:val="52567807"/>
    <w:rsid w:val="52576838"/>
    <w:rsid w:val="52583F3C"/>
    <w:rsid w:val="52592449"/>
    <w:rsid w:val="525940D0"/>
    <w:rsid w:val="52595FA5"/>
    <w:rsid w:val="525A3ACB"/>
    <w:rsid w:val="525B4035"/>
    <w:rsid w:val="525B6B2A"/>
    <w:rsid w:val="525C06CF"/>
    <w:rsid w:val="525C548E"/>
    <w:rsid w:val="525C5A95"/>
    <w:rsid w:val="525C76C9"/>
    <w:rsid w:val="525D47AE"/>
    <w:rsid w:val="525E180D"/>
    <w:rsid w:val="525E66F7"/>
    <w:rsid w:val="525E7A5F"/>
    <w:rsid w:val="525F123E"/>
    <w:rsid w:val="525F1C3B"/>
    <w:rsid w:val="525F5585"/>
    <w:rsid w:val="525F7333"/>
    <w:rsid w:val="526026CE"/>
    <w:rsid w:val="526037D7"/>
    <w:rsid w:val="52607B0E"/>
    <w:rsid w:val="52611553"/>
    <w:rsid w:val="52630BD1"/>
    <w:rsid w:val="5263104F"/>
    <w:rsid w:val="52636E23"/>
    <w:rsid w:val="52642B9B"/>
    <w:rsid w:val="5264494A"/>
    <w:rsid w:val="52650DED"/>
    <w:rsid w:val="52651081"/>
    <w:rsid w:val="52652B6E"/>
    <w:rsid w:val="52657621"/>
    <w:rsid w:val="526606C2"/>
    <w:rsid w:val="52664B77"/>
    <w:rsid w:val="52666914"/>
    <w:rsid w:val="52666F88"/>
    <w:rsid w:val="52667A40"/>
    <w:rsid w:val="52676984"/>
    <w:rsid w:val="5268268C"/>
    <w:rsid w:val="52683A31"/>
    <w:rsid w:val="52685E34"/>
    <w:rsid w:val="52694A76"/>
    <w:rsid w:val="52697A92"/>
    <w:rsid w:val="526A01B2"/>
    <w:rsid w:val="526B5CD8"/>
    <w:rsid w:val="526C74C3"/>
    <w:rsid w:val="526D545F"/>
    <w:rsid w:val="526D7CA2"/>
    <w:rsid w:val="526E4B06"/>
    <w:rsid w:val="526F0C2B"/>
    <w:rsid w:val="526F52CF"/>
    <w:rsid w:val="526F66CB"/>
    <w:rsid w:val="52701540"/>
    <w:rsid w:val="52705E6E"/>
    <w:rsid w:val="52707792"/>
    <w:rsid w:val="52711843"/>
    <w:rsid w:val="52711F4D"/>
    <w:rsid w:val="5272350A"/>
    <w:rsid w:val="52724976"/>
    <w:rsid w:val="527252B8"/>
    <w:rsid w:val="52727066"/>
    <w:rsid w:val="527276B4"/>
    <w:rsid w:val="52731152"/>
    <w:rsid w:val="52732276"/>
    <w:rsid w:val="52742DDF"/>
    <w:rsid w:val="52744BA5"/>
    <w:rsid w:val="52750905"/>
    <w:rsid w:val="52754DA9"/>
    <w:rsid w:val="52762CE8"/>
    <w:rsid w:val="52766673"/>
    <w:rsid w:val="527674C5"/>
    <w:rsid w:val="52770B21"/>
    <w:rsid w:val="527722DC"/>
    <w:rsid w:val="527821A3"/>
    <w:rsid w:val="52783526"/>
    <w:rsid w:val="5278409B"/>
    <w:rsid w:val="52787170"/>
    <w:rsid w:val="527903F5"/>
    <w:rsid w:val="5279491B"/>
    <w:rsid w:val="527962BF"/>
    <w:rsid w:val="52796647"/>
    <w:rsid w:val="527A0A17"/>
    <w:rsid w:val="527A416D"/>
    <w:rsid w:val="527B1EA7"/>
    <w:rsid w:val="527B23BF"/>
    <w:rsid w:val="527B3B61"/>
    <w:rsid w:val="527B72D6"/>
    <w:rsid w:val="527C0302"/>
    <w:rsid w:val="527C230F"/>
    <w:rsid w:val="527C6137"/>
    <w:rsid w:val="527C7EE5"/>
    <w:rsid w:val="527E1EAF"/>
    <w:rsid w:val="527E3C5D"/>
    <w:rsid w:val="527E55A2"/>
    <w:rsid w:val="527E5A0B"/>
    <w:rsid w:val="527E7398"/>
    <w:rsid w:val="527F1783"/>
    <w:rsid w:val="527F3531"/>
    <w:rsid w:val="52804C6C"/>
    <w:rsid w:val="528079D5"/>
    <w:rsid w:val="5281033C"/>
    <w:rsid w:val="52812290"/>
    <w:rsid w:val="52816712"/>
    <w:rsid w:val="528172AA"/>
    <w:rsid w:val="528208B0"/>
    <w:rsid w:val="5282561A"/>
    <w:rsid w:val="52825A68"/>
    <w:rsid w:val="5283192B"/>
    <w:rsid w:val="52843870"/>
    <w:rsid w:val="528509F8"/>
    <w:rsid w:val="52852F59"/>
    <w:rsid w:val="528648C0"/>
    <w:rsid w:val="52865A20"/>
    <w:rsid w:val="5288301B"/>
    <w:rsid w:val="52886438"/>
    <w:rsid w:val="528943B0"/>
    <w:rsid w:val="52895574"/>
    <w:rsid w:val="528A0854"/>
    <w:rsid w:val="528A2602"/>
    <w:rsid w:val="528B0128"/>
    <w:rsid w:val="528B1ED6"/>
    <w:rsid w:val="528C0A30"/>
    <w:rsid w:val="528C2E2C"/>
    <w:rsid w:val="528C3333"/>
    <w:rsid w:val="528C4735"/>
    <w:rsid w:val="528D20F2"/>
    <w:rsid w:val="528D3EA0"/>
    <w:rsid w:val="528E7814"/>
    <w:rsid w:val="528F0090"/>
    <w:rsid w:val="528F19C6"/>
    <w:rsid w:val="528F2803"/>
    <w:rsid w:val="528F408F"/>
    <w:rsid w:val="528F5E6A"/>
    <w:rsid w:val="529009CE"/>
    <w:rsid w:val="52900D39"/>
    <w:rsid w:val="52905E25"/>
    <w:rsid w:val="52910142"/>
    <w:rsid w:val="52917DD7"/>
    <w:rsid w:val="5292029E"/>
    <w:rsid w:val="529214B7"/>
    <w:rsid w:val="52926C9E"/>
    <w:rsid w:val="529274B0"/>
    <w:rsid w:val="52927709"/>
    <w:rsid w:val="529360E1"/>
    <w:rsid w:val="529411F1"/>
    <w:rsid w:val="52943481"/>
    <w:rsid w:val="52951015"/>
    <w:rsid w:val="52952D55"/>
    <w:rsid w:val="529537C4"/>
    <w:rsid w:val="529557BB"/>
    <w:rsid w:val="5295792D"/>
    <w:rsid w:val="529620AE"/>
    <w:rsid w:val="52963B69"/>
    <w:rsid w:val="529671F9"/>
    <w:rsid w:val="529728EA"/>
    <w:rsid w:val="52972F71"/>
    <w:rsid w:val="52990A97"/>
    <w:rsid w:val="52994C42"/>
    <w:rsid w:val="529A320D"/>
    <w:rsid w:val="529C1AA0"/>
    <w:rsid w:val="529D2670"/>
    <w:rsid w:val="529E3882"/>
    <w:rsid w:val="529E42FF"/>
    <w:rsid w:val="529E5241"/>
    <w:rsid w:val="529E60AD"/>
    <w:rsid w:val="529E7E5B"/>
    <w:rsid w:val="529F12A2"/>
    <w:rsid w:val="529F1C9E"/>
    <w:rsid w:val="529F3053"/>
    <w:rsid w:val="529F5982"/>
    <w:rsid w:val="529F66D1"/>
    <w:rsid w:val="52A01E26"/>
    <w:rsid w:val="52A02732"/>
    <w:rsid w:val="52A10FF1"/>
    <w:rsid w:val="52A15B9E"/>
    <w:rsid w:val="52A2256B"/>
    <w:rsid w:val="52A31916"/>
    <w:rsid w:val="52A32C5E"/>
    <w:rsid w:val="52A365A8"/>
    <w:rsid w:val="52A42F98"/>
    <w:rsid w:val="52A511EA"/>
    <w:rsid w:val="52A6489B"/>
    <w:rsid w:val="52A74542"/>
    <w:rsid w:val="52A82A88"/>
    <w:rsid w:val="52A837CC"/>
    <w:rsid w:val="52A847D6"/>
    <w:rsid w:val="52A86F2C"/>
    <w:rsid w:val="52A9519F"/>
    <w:rsid w:val="52A97E8B"/>
    <w:rsid w:val="52AA4A52"/>
    <w:rsid w:val="52AA63B5"/>
    <w:rsid w:val="52AA6800"/>
    <w:rsid w:val="52AB07CA"/>
    <w:rsid w:val="52AB2578"/>
    <w:rsid w:val="52AB4326"/>
    <w:rsid w:val="52AB4C74"/>
    <w:rsid w:val="52AB4E6C"/>
    <w:rsid w:val="52AB79F1"/>
    <w:rsid w:val="52AD009F"/>
    <w:rsid w:val="52AD38A6"/>
    <w:rsid w:val="52AD62F0"/>
    <w:rsid w:val="52AF2D02"/>
    <w:rsid w:val="52AF3C79"/>
    <w:rsid w:val="52B0193D"/>
    <w:rsid w:val="52B02051"/>
    <w:rsid w:val="52B07391"/>
    <w:rsid w:val="52B136B7"/>
    <w:rsid w:val="52B15DE1"/>
    <w:rsid w:val="52B15FA1"/>
    <w:rsid w:val="52B21B59"/>
    <w:rsid w:val="52B35FD7"/>
    <w:rsid w:val="52B37355"/>
    <w:rsid w:val="52B4142D"/>
    <w:rsid w:val="52B44653"/>
    <w:rsid w:val="52B47EF4"/>
    <w:rsid w:val="52B513BE"/>
    <w:rsid w:val="52B551A5"/>
    <w:rsid w:val="52B61649"/>
    <w:rsid w:val="52B633F7"/>
    <w:rsid w:val="52B70F1D"/>
    <w:rsid w:val="52B749B2"/>
    <w:rsid w:val="52B753C1"/>
    <w:rsid w:val="52B910F3"/>
    <w:rsid w:val="52B91E49"/>
    <w:rsid w:val="52BB0A0D"/>
    <w:rsid w:val="52BB23C2"/>
    <w:rsid w:val="52BB2879"/>
    <w:rsid w:val="52BB5FDC"/>
    <w:rsid w:val="52BB7262"/>
    <w:rsid w:val="52BB733A"/>
    <w:rsid w:val="52BC29D7"/>
    <w:rsid w:val="52BD1C5A"/>
    <w:rsid w:val="52BE2DEE"/>
    <w:rsid w:val="52BE30EA"/>
    <w:rsid w:val="52BE405A"/>
    <w:rsid w:val="52BF5CBB"/>
    <w:rsid w:val="52BF6E89"/>
    <w:rsid w:val="52BF7DD2"/>
    <w:rsid w:val="52C00EF1"/>
    <w:rsid w:val="52C036A4"/>
    <w:rsid w:val="52C06024"/>
    <w:rsid w:val="52C11D9C"/>
    <w:rsid w:val="52C13B4A"/>
    <w:rsid w:val="52C13B9B"/>
    <w:rsid w:val="52C1595A"/>
    <w:rsid w:val="52C2463C"/>
    <w:rsid w:val="52C25E7E"/>
    <w:rsid w:val="52C27FEE"/>
    <w:rsid w:val="52C339E3"/>
    <w:rsid w:val="52C33D66"/>
    <w:rsid w:val="52C45CEE"/>
    <w:rsid w:val="52C5188C"/>
    <w:rsid w:val="52C5444B"/>
    <w:rsid w:val="52C553E8"/>
    <w:rsid w:val="52C673B2"/>
    <w:rsid w:val="52C764D4"/>
    <w:rsid w:val="52C8137C"/>
    <w:rsid w:val="52C84ED8"/>
    <w:rsid w:val="52C94AB1"/>
    <w:rsid w:val="52CA29FF"/>
    <w:rsid w:val="52CB0DE9"/>
    <w:rsid w:val="52CB56EE"/>
    <w:rsid w:val="52CC02BF"/>
    <w:rsid w:val="52CC754C"/>
    <w:rsid w:val="52CD24EF"/>
    <w:rsid w:val="52CD6993"/>
    <w:rsid w:val="52CE29C0"/>
    <w:rsid w:val="52CE47C8"/>
    <w:rsid w:val="52CF406F"/>
    <w:rsid w:val="52CF6267"/>
    <w:rsid w:val="52D01FDF"/>
    <w:rsid w:val="52D03D8D"/>
    <w:rsid w:val="52D050D4"/>
    <w:rsid w:val="52D054FF"/>
    <w:rsid w:val="52D11560"/>
    <w:rsid w:val="52D14985"/>
    <w:rsid w:val="52D17C52"/>
    <w:rsid w:val="52D24131"/>
    <w:rsid w:val="52D25CE1"/>
    <w:rsid w:val="52D26A50"/>
    <w:rsid w:val="52D41ACF"/>
    <w:rsid w:val="52D42F85"/>
    <w:rsid w:val="52D4387D"/>
    <w:rsid w:val="52D46EF9"/>
    <w:rsid w:val="52D479A6"/>
    <w:rsid w:val="52D62C91"/>
    <w:rsid w:val="52D63A99"/>
    <w:rsid w:val="52D65847"/>
    <w:rsid w:val="52D71204"/>
    <w:rsid w:val="52D71FC3"/>
    <w:rsid w:val="52D7336D"/>
    <w:rsid w:val="52D733C5"/>
    <w:rsid w:val="52D92222"/>
    <w:rsid w:val="52D958BD"/>
    <w:rsid w:val="52D970E6"/>
    <w:rsid w:val="52DA43B8"/>
    <w:rsid w:val="52DB10B0"/>
    <w:rsid w:val="52DB2E5E"/>
    <w:rsid w:val="52DB4368"/>
    <w:rsid w:val="52DB4C0C"/>
    <w:rsid w:val="52DB6B01"/>
    <w:rsid w:val="52DC0984"/>
    <w:rsid w:val="52DC2732"/>
    <w:rsid w:val="52DD0334"/>
    <w:rsid w:val="52DD1244"/>
    <w:rsid w:val="52DD64E6"/>
    <w:rsid w:val="52DE26C8"/>
    <w:rsid w:val="52DE46FC"/>
    <w:rsid w:val="52DF14E7"/>
    <w:rsid w:val="52DF2496"/>
    <w:rsid w:val="52DF3B64"/>
    <w:rsid w:val="52E02222"/>
    <w:rsid w:val="52E02C7D"/>
    <w:rsid w:val="52E141EC"/>
    <w:rsid w:val="52E16484"/>
    <w:rsid w:val="52E224E5"/>
    <w:rsid w:val="52E22572"/>
    <w:rsid w:val="52E323A9"/>
    <w:rsid w:val="52E33AC0"/>
    <w:rsid w:val="52E33F0B"/>
    <w:rsid w:val="52E361B6"/>
    <w:rsid w:val="52E36BBE"/>
    <w:rsid w:val="52E3784B"/>
    <w:rsid w:val="52E37F64"/>
    <w:rsid w:val="52E405D0"/>
    <w:rsid w:val="52E431BD"/>
    <w:rsid w:val="52E5041A"/>
    <w:rsid w:val="52E50E66"/>
    <w:rsid w:val="52E53A99"/>
    <w:rsid w:val="52E57838"/>
    <w:rsid w:val="52E71DAC"/>
    <w:rsid w:val="52E720EE"/>
    <w:rsid w:val="52E77A54"/>
    <w:rsid w:val="52E837CD"/>
    <w:rsid w:val="52E8557B"/>
    <w:rsid w:val="52E86357"/>
    <w:rsid w:val="52E87329"/>
    <w:rsid w:val="52E956CD"/>
    <w:rsid w:val="52E964FA"/>
    <w:rsid w:val="52EA0FEE"/>
    <w:rsid w:val="52EA4CE3"/>
    <w:rsid w:val="52EC1F74"/>
    <w:rsid w:val="52EC6168"/>
    <w:rsid w:val="52EC6E19"/>
    <w:rsid w:val="52EC71DD"/>
    <w:rsid w:val="52ED0D39"/>
    <w:rsid w:val="52ED287F"/>
    <w:rsid w:val="52ED2B91"/>
    <w:rsid w:val="52EE03C2"/>
    <w:rsid w:val="52EE1C4E"/>
    <w:rsid w:val="52EF1AEC"/>
    <w:rsid w:val="52EF3DF8"/>
    <w:rsid w:val="52EF4B5B"/>
    <w:rsid w:val="52F05F79"/>
    <w:rsid w:val="52F061DD"/>
    <w:rsid w:val="52F12681"/>
    <w:rsid w:val="52F1442F"/>
    <w:rsid w:val="52F21FDA"/>
    <w:rsid w:val="52F249C6"/>
    <w:rsid w:val="52F263F9"/>
    <w:rsid w:val="52F43F1F"/>
    <w:rsid w:val="52F474CB"/>
    <w:rsid w:val="52F52504"/>
    <w:rsid w:val="52F52B4A"/>
    <w:rsid w:val="52F61A46"/>
    <w:rsid w:val="52F757BE"/>
    <w:rsid w:val="52F83A10"/>
    <w:rsid w:val="52F91536"/>
    <w:rsid w:val="52F932E4"/>
    <w:rsid w:val="52F97788"/>
    <w:rsid w:val="52FA0374"/>
    <w:rsid w:val="52FA4256"/>
    <w:rsid w:val="52FB52AE"/>
    <w:rsid w:val="52FC2DD4"/>
    <w:rsid w:val="52FC5C5D"/>
    <w:rsid w:val="52FD61A9"/>
    <w:rsid w:val="52FE2585"/>
    <w:rsid w:val="52FE4D9E"/>
    <w:rsid w:val="52FE5A5D"/>
    <w:rsid w:val="52FE6B4C"/>
    <w:rsid w:val="52FF2ECC"/>
    <w:rsid w:val="5301063F"/>
    <w:rsid w:val="53051C89"/>
    <w:rsid w:val="5305327E"/>
    <w:rsid w:val="5305612D"/>
    <w:rsid w:val="5305617D"/>
    <w:rsid w:val="53065A01"/>
    <w:rsid w:val="53066D0F"/>
    <w:rsid w:val="53071EA5"/>
    <w:rsid w:val="53081779"/>
    <w:rsid w:val="53082668"/>
    <w:rsid w:val="53083527"/>
    <w:rsid w:val="53095C1D"/>
    <w:rsid w:val="53096DD1"/>
    <w:rsid w:val="530A3743"/>
    <w:rsid w:val="530A52C4"/>
    <w:rsid w:val="530A6B20"/>
    <w:rsid w:val="530C3872"/>
    <w:rsid w:val="530C5752"/>
    <w:rsid w:val="530D3420"/>
    <w:rsid w:val="530D54A1"/>
    <w:rsid w:val="530D6D8F"/>
    <w:rsid w:val="530E3233"/>
    <w:rsid w:val="530E67AE"/>
    <w:rsid w:val="53100FB1"/>
    <w:rsid w:val="53101A23"/>
    <w:rsid w:val="5311062D"/>
    <w:rsid w:val="53111D1D"/>
    <w:rsid w:val="53112FB9"/>
    <w:rsid w:val="53114997"/>
    <w:rsid w:val="5311687F"/>
    <w:rsid w:val="531169F3"/>
    <w:rsid w:val="53120101"/>
    <w:rsid w:val="531225F7"/>
    <w:rsid w:val="53122CFD"/>
    <w:rsid w:val="53123703"/>
    <w:rsid w:val="531254ED"/>
    <w:rsid w:val="53131313"/>
    <w:rsid w:val="53142E77"/>
    <w:rsid w:val="53144422"/>
    <w:rsid w:val="531445C2"/>
    <w:rsid w:val="53144943"/>
    <w:rsid w:val="53144E64"/>
    <w:rsid w:val="53157CE4"/>
    <w:rsid w:val="531620E8"/>
    <w:rsid w:val="53166804"/>
    <w:rsid w:val="5317053D"/>
    <w:rsid w:val="5317082C"/>
    <w:rsid w:val="53172865"/>
    <w:rsid w:val="53175E9D"/>
    <w:rsid w:val="53195734"/>
    <w:rsid w:val="531968C6"/>
    <w:rsid w:val="531A11E6"/>
    <w:rsid w:val="531A3B9B"/>
    <w:rsid w:val="531A6615"/>
    <w:rsid w:val="531B0AB3"/>
    <w:rsid w:val="531B2676"/>
    <w:rsid w:val="531B4414"/>
    <w:rsid w:val="531D3476"/>
    <w:rsid w:val="531F0C4B"/>
    <w:rsid w:val="531F31B0"/>
    <w:rsid w:val="531F4122"/>
    <w:rsid w:val="53200E2F"/>
    <w:rsid w:val="53200FE5"/>
    <w:rsid w:val="532042F0"/>
    <w:rsid w:val="53204D14"/>
    <w:rsid w:val="53205058"/>
    <w:rsid w:val="532134F5"/>
    <w:rsid w:val="53214FE1"/>
    <w:rsid w:val="5322679F"/>
    <w:rsid w:val="53226F6B"/>
    <w:rsid w:val="53227B62"/>
    <w:rsid w:val="5323217C"/>
    <w:rsid w:val="5323287D"/>
    <w:rsid w:val="532358E2"/>
    <w:rsid w:val="532365B3"/>
    <w:rsid w:val="53236DB5"/>
    <w:rsid w:val="5325057D"/>
    <w:rsid w:val="53253513"/>
    <w:rsid w:val="53253909"/>
    <w:rsid w:val="53263D65"/>
    <w:rsid w:val="53270C19"/>
    <w:rsid w:val="532742F5"/>
    <w:rsid w:val="53275A8C"/>
    <w:rsid w:val="53275AA3"/>
    <w:rsid w:val="532760A3"/>
    <w:rsid w:val="532837EA"/>
    <w:rsid w:val="532854B2"/>
    <w:rsid w:val="53294C7A"/>
    <w:rsid w:val="532A16EF"/>
    <w:rsid w:val="532B759A"/>
    <w:rsid w:val="532C33DD"/>
    <w:rsid w:val="532D38FF"/>
    <w:rsid w:val="532D5625"/>
    <w:rsid w:val="532E3BC0"/>
    <w:rsid w:val="532F35F5"/>
    <w:rsid w:val="532F4F57"/>
    <w:rsid w:val="532F6D06"/>
    <w:rsid w:val="53302189"/>
    <w:rsid w:val="53312A7E"/>
    <w:rsid w:val="5331436C"/>
    <w:rsid w:val="5332099B"/>
    <w:rsid w:val="53320D06"/>
    <w:rsid w:val="53326621"/>
    <w:rsid w:val="53332C9A"/>
    <w:rsid w:val="53334A48"/>
    <w:rsid w:val="53340868"/>
    <w:rsid w:val="53355DEE"/>
    <w:rsid w:val="533662E6"/>
    <w:rsid w:val="53370E01"/>
    <w:rsid w:val="5338706E"/>
    <w:rsid w:val="53387B58"/>
    <w:rsid w:val="53390C47"/>
    <w:rsid w:val="53391C31"/>
    <w:rsid w:val="53394028"/>
    <w:rsid w:val="533A1405"/>
    <w:rsid w:val="533B3D2D"/>
    <w:rsid w:val="533B4E30"/>
    <w:rsid w:val="533B56AA"/>
    <w:rsid w:val="533B708F"/>
    <w:rsid w:val="533B7DA0"/>
    <w:rsid w:val="533C3C56"/>
    <w:rsid w:val="533D58C6"/>
    <w:rsid w:val="533D7674"/>
    <w:rsid w:val="533E31D8"/>
    <w:rsid w:val="533E33EC"/>
    <w:rsid w:val="533E519B"/>
    <w:rsid w:val="533E58C9"/>
    <w:rsid w:val="533F05E1"/>
    <w:rsid w:val="533F4446"/>
    <w:rsid w:val="53400330"/>
    <w:rsid w:val="53400F13"/>
    <w:rsid w:val="53402FC3"/>
    <w:rsid w:val="534053B7"/>
    <w:rsid w:val="53422EDD"/>
    <w:rsid w:val="53426A39"/>
    <w:rsid w:val="534356DB"/>
    <w:rsid w:val="53443B03"/>
    <w:rsid w:val="5345143A"/>
    <w:rsid w:val="53462ACF"/>
    <w:rsid w:val="534641A2"/>
    <w:rsid w:val="53467F62"/>
    <w:rsid w:val="53470203"/>
    <w:rsid w:val="534722A1"/>
    <w:rsid w:val="53484908"/>
    <w:rsid w:val="53484D9D"/>
    <w:rsid w:val="53486019"/>
    <w:rsid w:val="53494264"/>
    <w:rsid w:val="5349426B"/>
    <w:rsid w:val="534B0014"/>
    <w:rsid w:val="534B2BC4"/>
    <w:rsid w:val="534C3D5B"/>
    <w:rsid w:val="534C78B7"/>
    <w:rsid w:val="534D108E"/>
    <w:rsid w:val="534D3630"/>
    <w:rsid w:val="534D404D"/>
    <w:rsid w:val="534D4075"/>
    <w:rsid w:val="534D53DE"/>
    <w:rsid w:val="534E02B7"/>
    <w:rsid w:val="534E2140"/>
    <w:rsid w:val="534E3FB7"/>
    <w:rsid w:val="534E5504"/>
    <w:rsid w:val="534E7AD3"/>
    <w:rsid w:val="534F15BC"/>
    <w:rsid w:val="534F55FA"/>
    <w:rsid w:val="53504F11"/>
    <w:rsid w:val="53505621"/>
    <w:rsid w:val="53506828"/>
    <w:rsid w:val="53513120"/>
    <w:rsid w:val="53514ECE"/>
    <w:rsid w:val="5352679A"/>
    <w:rsid w:val="53530C46"/>
    <w:rsid w:val="53541376"/>
    <w:rsid w:val="53546519"/>
    <w:rsid w:val="53560736"/>
    <w:rsid w:val="535624E4"/>
    <w:rsid w:val="53563C96"/>
    <w:rsid w:val="53564F4A"/>
    <w:rsid w:val="53573212"/>
    <w:rsid w:val="53574132"/>
    <w:rsid w:val="53575B94"/>
    <w:rsid w:val="53577CF7"/>
    <w:rsid w:val="535844AE"/>
    <w:rsid w:val="53592875"/>
    <w:rsid w:val="53593159"/>
    <w:rsid w:val="5359563B"/>
    <w:rsid w:val="535A2065"/>
    <w:rsid w:val="535A6678"/>
    <w:rsid w:val="535B3F9E"/>
    <w:rsid w:val="535B408F"/>
    <w:rsid w:val="535B7AFB"/>
    <w:rsid w:val="535E0BC6"/>
    <w:rsid w:val="535E583D"/>
    <w:rsid w:val="535F191F"/>
    <w:rsid w:val="53603363"/>
    <w:rsid w:val="536040EB"/>
    <w:rsid w:val="53605111"/>
    <w:rsid w:val="536072D8"/>
    <w:rsid w:val="53607807"/>
    <w:rsid w:val="53607919"/>
    <w:rsid w:val="53620356"/>
    <w:rsid w:val="53622A9C"/>
    <w:rsid w:val="53634C01"/>
    <w:rsid w:val="53641925"/>
    <w:rsid w:val="53642E53"/>
    <w:rsid w:val="53645841"/>
    <w:rsid w:val="536522FB"/>
    <w:rsid w:val="536522FF"/>
    <w:rsid w:val="53653608"/>
    <w:rsid w:val="53654E1D"/>
    <w:rsid w:val="53656BCB"/>
    <w:rsid w:val="536576DB"/>
    <w:rsid w:val="53667620"/>
    <w:rsid w:val="53671FD0"/>
    <w:rsid w:val="536746F1"/>
    <w:rsid w:val="5367649F"/>
    <w:rsid w:val="53677C45"/>
    <w:rsid w:val="53690469"/>
    <w:rsid w:val="536919E3"/>
    <w:rsid w:val="5369498A"/>
    <w:rsid w:val="53695B54"/>
    <w:rsid w:val="536A2C0A"/>
    <w:rsid w:val="536A32A3"/>
    <w:rsid w:val="536A5F90"/>
    <w:rsid w:val="536B75FD"/>
    <w:rsid w:val="536C018C"/>
    <w:rsid w:val="536C05EF"/>
    <w:rsid w:val="536C17E8"/>
    <w:rsid w:val="536C1D08"/>
    <w:rsid w:val="536D0954"/>
    <w:rsid w:val="536E11E4"/>
    <w:rsid w:val="536F17F8"/>
    <w:rsid w:val="536F55B6"/>
    <w:rsid w:val="536F59D2"/>
    <w:rsid w:val="536F7A4A"/>
    <w:rsid w:val="53715570"/>
    <w:rsid w:val="5371731E"/>
    <w:rsid w:val="53721F73"/>
    <w:rsid w:val="537312E8"/>
    <w:rsid w:val="53733096"/>
    <w:rsid w:val="5373753A"/>
    <w:rsid w:val="53745413"/>
    <w:rsid w:val="53746E0E"/>
    <w:rsid w:val="53751DF0"/>
    <w:rsid w:val="53760DD8"/>
    <w:rsid w:val="53761B3F"/>
    <w:rsid w:val="537627C1"/>
    <w:rsid w:val="53762B86"/>
    <w:rsid w:val="53764934"/>
    <w:rsid w:val="5376752B"/>
    <w:rsid w:val="53780771"/>
    <w:rsid w:val="537825A4"/>
    <w:rsid w:val="537918EC"/>
    <w:rsid w:val="53795E91"/>
    <w:rsid w:val="537A03C2"/>
    <w:rsid w:val="537A08C9"/>
    <w:rsid w:val="537A201C"/>
    <w:rsid w:val="537A50EC"/>
    <w:rsid w:val="537A64D6"/>
    <w:rsid w:val="537B1F4B"/>
    <w:rsid w:val="537B5B70"/>
    <w:rsid w:val="537C2959"/>
    <w:rsid w:val="537D280B"/>
    <w:rsid w:val="537E1A3B"/>
    <w:rsid w:val="537E4D84"/>
    <w:rsid w:val="537E76B7"/>
    <w:rsid w:val="537E7D7B"/>
    <w:rsid w:val="537F0882"/>
    <w:rsid w:val="537F7C8D"/>
    <w:rsid w:val="5380117C"/>
    <w:rsid w:val="53802E1F"/>
    <w:rsid w:val="53803A05"/>
    <w:rsid w:val="5380423F"/>
    <w:rsid w:val="538057B3"/>
    <w:rsid w:val="53811823"/>
    <w:rsid w:val="53815CF0"/>
    <w:rsid w:val="53816DEA"/>
    <w:rsid w:val="53822CB3"/>
    <w:rsid w:val="538239D5"/>
    <w:rsid w:val="5383014F"/>
    <w:rsid w:val="53834DEB"/>
    <w:rsid w:val="53835884"/>
    <w:rsid w:val="53842532"/>
    <w:rsid w:val="53842536"/>
    <w:rsid w:val="538434F5"/>
    <w:rsid w:val="5387008F"/>
    <w:rsid w:val="53870D4D"/>
    <w:rsid w:val="53874D93"/>
    <w:rsid w:val="53875695"/>
    <w:rsid w:val="53876ACA"/>
    <w:rsid w:val="53890B0C"/>
    <w:rsid w:val="538912C2"/>
    <w:rsid w:val="53894668"/>
    <w:rsid w:val="53896B1D"/>
    <w:rsid w:val="538A03E0"/>
    <w:rsid w:val="538A2B86"/>
    <w:rsid w:val="538A58B4"/>
    <w:rsid w:val="538B4884"/>
    <w:rsid w:val="538C0FCF"/>
    <w:rsid w:val="538C23AA"/>
    <w:rsid w:val="538C4158"/>
    <w:rsid w:val="538C5F06"/>
    <w:rsid w:val="538C7248"/>
    <w:rsid w:val="538D2768"/>
    <w:rsid w:val="538E1C7E"/>
    <w:rsid w:val="538E1E04"/>
    <w:rsid w:val="538E5AE1"/>
    <w:rsid w:val="538E7ED0"/>
    <w:rsid w:val="538F0B31"/>
    <w:rsid w:val="538F3C48"/>
    <w:rsid w:val="538F69F8"/>
    <w:rsid w:val="538F76E3"/>
    <w:rsid w:val="53901E9A"/>
    <w:rsid w:val="53907E88"/>
    <w:rsid w:val="5391176E"/>
    <w:rsid w:val="53927AEA"/>
    <w:rsid w:val="53933738"/>
    <w:rsid w:val="53933A15"/>
    <w:rsid w:val="53940307"/>
    <w:rsid w:val="539439B5"/>
    <w:rsid w:val="53951F82"/>
    <w:rsid w:val="5396336E"/>
    <w:rsid w:val="53964FD7"/>
    <w:rsid w:val="53965D09"/>
    <w:rsid w:val="53966D85"/>
    <w:rsid w:val="5397181B"/>
    <w:rsid w:val="539721FF"/>
    <w:rsid w:val="539725B9"/>
    <w:rsid w:val="53982AFD"/>
    <w:rsid w:val="53984ED9"/>
    <w:rsid w:val="53986FA1"/>
    <w:rsid w:val="53987EBC"/>
    <w:rsid w:val="53990623"/>
    <w:rsid w:val="539A267B"/>
    <w:rsid w:val="539A4623"/>
    <w:rsid w:val="539A4AC7"/>
    <w:rsid w:val="539A6875"/>
    <w:rsid w:val="539B3A61"/>
    <w:rsid w:val="539B3B0B"/>
    <w:rsid w:val="539C55CE"/>
    <w:rsid w:val="539D0113"/>
    <w:rsid w:val="539D0D97"/>
    <w:rsid w:val="539D6365"/>
    <w:rsid w:val="539D78BB"/>
    <w:rsid w:val="539E01E9"/>
    <w:rsid w:val="539E0D4B"/>
    <w:rsid w:val="539E6894"/>
    <w:rsid w:val="539F3E8B"/>
    <w:rsid w:val="539F5829"/>
    <w:rsid w:val="53A039CC"/>
    <w:rsid w:val="53A12AE0"/>
    <w:rsid w:val="53A1322B"/>
    <w:rsid w:val="53A1505A"/>
    <w:rsid w:val="53A21BCD"/>
    <w:rsid w:val="53A25729"/>
    <w:rsid w:val="53A26D3B"/>
    <w:rsid w:val="53A271D4"/>
    <w:rsid w:val="53A277B9"/>
    <w:rsid w:val="53A3031B"/>
    <w:rsid w:val="53A312FA"/>
    <w:rsid w:val="53A3372D"/>
    <w:rsid w:val="53A35C92"/>
    <w:rsid w:val="53A40070"/>
    <w:rsid w:val="53A44BEF"/>
    <w:rsid w:val="53A45945"/>
    <w:rsid w:val="53A506B6"/>
    <w:rsid w:val="53A546CE"/>
    <w:rsid w:val="53A56FC8"/>
    <w:rsid w:val="53A60C1E"/>
    <w:rsid w:val="53A616BE"/>
    <w:rsid w:val="53A625F7"/>
    <w:rsid w:val="53A70F92"/>
    <w:rsid w:val="53A72D40"/>
    <w:rsid w:val="53A90D96"/>
    <w:rsid w:val="53A92F5C"/>
    <w:rsid w:val="53A95833"/>
    <w:rsid w:val="53AB0485"/>
    <w:rsid w:val="53AB5C87"/>
    <w:rsid w:val="53AC0356"/>
    <w:rsid w:val="53AC334F"/>
    <w:rsid w:val="53AC5A5E"/>
    <w:rsid w:val="53AD76DF"/>
    <w:rsid w:val="53AD7D9F"/>
    <w:rsid w:val="53AE0572"/>
    <w:rsid w:val="53AE0840"/>
    <w:rsid w:val="53B10062"/>
    <w:rsid w:val="53B11E10"/>
    <w:rsid w:val="53B14659"/>
    <w:rsid w:val="53B33222"/>
    <w:rsid w:val="53B35B89"/>
    <w:rsid w:val="53B360CA"/>
    <w:rsid w:val="53B4545D"/>
    <w:rsid w:val="53B51901"/>
    <w:rsid w:val="53B536AF"/>
    <w:rsid w:val="53B549A3"/>
    <w:rsid w:val="53B55B42"/>
    <w:rsid w:val="53B7469D"/>
    <w:rsid w:val="53B75E62"/>
    <w:rsid w:val="53B84F4D"/>
    <w:rsid w:val="53B86CFB"/>
    <w:rsid w:val="53B8749A"/>
    <w:rsid w:val="53B87967"/>
    <w:rsid w:val="53B90038"/>
    <w:rsid w:val="53B92A73"/>
    <w:rsid w:val="53B94568"/>
    <w:rsid w:val="53B97602"/>
    <w:rsid w:val="53BA0CC5"/>
    <w:rsid w:val="53BA6F17"/>
    <w:rsid w:val="53BB67EB"/>
    <w:rsid w:val="53BB68FF"/>
    <w:rsid w:val="53BC2C8F"/>
    <w:rsid w:val="53BD0482"/>
    <w:rsid w:val="53BD07B5"/>
    <w:rsid w:val="53BD6A07"/>
    <w:rsid w:val="53BF0089"/>
    <w:rsid w:val="53BF62DB"/>
    <w:rsid w:val="53BF71EE"/>
    <w:rsid w:val="53C02053"/>
    <w:rsid w:val="53C070F8"/>
    <w:rsid w:val="53C12912"/>
    <w:rsid w:val="53C15826"/>
    <w:rsid w:val="53C2107F"/>
    <w:rsid w:val="53C2251F"/>
    <w:rsid w:val="53C276C4"/>
    <w:rsid w:val="53C27B7A"/>
    <w:rsid w:val="53C36CC0"/>
    <w:rsid w:val="53C402D2"/>
    <w:rsid w:val="53C41B44"/>
    <w:rsid w:val="53C441A7"/>
    <w:rsid w:val="53C5766A"/>
    <w:rsid w:val="53C658BC"/>
    <w:rsid w:val="53C66AC7"/>
    <w:rsid w:val="53C71634"/>
    <w:rsid w:val="53C720F6"/>
    <w:rsid w:val="53C733E2"/>
    <w:rsid w:val="53C75190"/>
    <w:rsid w:val="53C7717A"/>
    <w:rsid w:val="53C8058C"/>
    <w:rsid w:val="53C910D8"/>
    <w:rsid w:val="53CA4C80"/>
    <w:rsid w:val="53CB1124"/>
    <w:rsid w:val="53CB22B0"/>
    <w:rsid w:val="53CB5A7A"/>
    <w:rsid w:val="53CC09F8"/>
    <w:rsid w:val="53CC27A6"/>
    <w:rsid w:val="53CC6C4A"/>
    <w:rsid w:val="53CE00DE"/>
    <w:rsid w:val="53CE29C2"/>
    <w:rsid w:val="53CE3C9A"/>
    <w:rsid w:val="53CE651E"/>
    <w:rsid w:val="53CE7C90"/>
    <w:rsid w:val="53D05DA2"/>
    <w:rsid w:val="53D0673A"/>
    <w:rsid w:val="53D11E6D"/>
    <w:rsid w:val="53D129E2"/>
    <w:rsid w:val="53D14261"/>
    <w:rsid w:val="53D21AAF"/>
    <w:rsid w:val="53D224B3"/>
    <w:rsid w:val="53D31D87"/>
    <w:rsid w:val="53D37FD9"/>
    <w:rsid w:val="53D53476"/>
    <w:rsid w:val="53D55AFF"/>
    <w:rsid w:val="53D578AD"/>
    <w:rsid w:val="53D60548"/>
    <w:rsid w:val="53D60679"/>
    <w:rsid w:val="53D65ED8"/>
    <w:rsid w:val="53D7283F"/>
    <w:rsid w:val="53D763CB"/>
    <w:rsid w:val="53D77A4C"/>
    <w:rsid w:val="53D77AC9"/>
    <w:rsid w:val="53D8114B"/>
    <w:rsid w:val="53D83AAD"/>
    <w:rsid w:val="53D855EF"/>
    <w:rsid w:val="53D97FB8"/>
    <w:rsid w:val="53DA0B8E"/>
    <w:rsid w:val="53DA1367"/>
    <w:rsid w:val="53DA3115"/>
    <w:rsid w:val="53DA4EC3"/>
    <w:rsid w:val="53DB09E3"/>
    <w:rsid w:val="53DB0C3B"/>
    <w:rsid w:val="53DB1277"/>
    <w:rsid w:val="53DC2107"/>
    <w:rsid w:val="53DC242E"/>
    <w:rsid w:val="53DC50DF"/>
    <w:rsid w:val="53DC6240"/>
    <w:rsid w:val="53DD0E57"/>
    <w:rsid w:val="53DD26EC"/>
    <w:rsid w:val="53DD365A"/>
    <w:rsid w:val="53DF2A81"/>
    <w:rsid w:val="53E046F1"/>
    <w:rsid w:val="53E04DBD"/>
    <w:rsid w:val="53E06252"/>
    <w:rsid w:val="53E126F6"/>
    <w:rsid w:val="53E16172"/>
    <w:rsid w:val="53E1704A"/>
    <w:rsid w:val="53E21FCA"/>
    <w:rsid w:val="53E24A58"/>
    <w:rsid w:val="53E2646E"/>
    <w:rsid w:val="53E421E6"/>
    <w:rsid w:val="53E50FED"/>
    <w:rsid w:val="53E619C7"/>
    <w:rsid w:val="53E61ABA"/>
    <w:rsid w:val="53E65BFB"/>
    <w:rsid w:val="53E67D0C"/>
    <w:rsid w:val="53E70726"/>
    <w:rsid w:val="53E73A84"/>
    <w:rsid w:val="53E75832"/>
    <w:rsid w:val="53E775E0"/>
    <w:rsid w:val="53E83831"/>
    <w:rsid w:val="53E915AA"/>
    <w:rsid w:val="53E932F1"/>
    <w:rsid w:val="53E93358"/>
    <w:rsid w:val="53E94C32"/>
    <w:rsid w:val="53EA0DAA"/>
    <w:rsid w:val="53EA39B9"/>
    <w:rsid w:val="53EB5322"/>
    <w:rsid w:val="53EB70D0"/>
    <w:rsid w:val="53EC2E48"/>
    <w:rsid w:val="53EC4BF7"/>
    <w:rsid w:val="53ED4843"/>
    <w:rsid w:val="53EE096F"/>
    <w:rsid w:val="53EE34C9"/>
    <w:rsid w:val="53EE4D91"/>
    <w:rsid w:val="53EE6BC1"/>
    <w:rsid w:val="53EF174F"/>
    <w:rsid w:val="53EF24A5"/>
    <w:rsid w:val="53F0416B"/>
    <w:rsid w:val="53F046E7"/>
    <w:rsid w:val="53F131C4"/>
    <w:rsid w:val="53F24654"/>
    <w:rsid w:val="53F266B1"/>
    <w:rsid w:val="53F341D7"/>
    <w:rsid w:val="53F346E2"/>
    <w:rsid w:val="53F36F74"/>
    <w:rsid w:val="53F56AB4"/>
    <w:rsid w:val="53F65A75"/>
    <w:rsid w:val="53F65E0B"/>
    <w:rsid w:val="53F71F19"/>
    <w:rsid w:val="53F73CC7"/>
    <w:rsid w:val="53F8359B"/>
    <w:rsid w:val="53F85BCC"/>
    <w:rsid w:val="53FA37B7"/>
    <w:rsid w:val="53FA7B35"/>
    <w:rsid w:val="53FA7D1C"/>
    <w:rsid w:val="53FB308C"/>
    <w:rsid w:val="53FB4E0A"/>
    <w:rsid w:val="53FC12DE"/>
    <w:rsid w:val="53FC2EA8"/>
    <w:rsid w:val="53FD0BB2"/>
    <w:rsid w:val="53FD1767"/>
    <w:rsid w:val="53FD1AA3"/>
    <w:rsid w:val="53FD2283"/>
    <w:rsid w:val="53FD4338"/>
    <w:rsid w:val="53FD6E04"/>
    <w:rsid w:val="53FE7F50"/>
    <w:rsid w:val="53FF1DCA"/>
    <w:rsid w:val="53FF2B7C"/>
    <w:rsid w:val="53FF3FA4"/>
    <w:rsid w:val="53FF492A"/>
    <w:rsid w:val="540168F4"/>
    <w:rsid w:val="540208BE"/>
    <w:rsid w:val="54030C73"/>
    <w:rsid w:val="5403622D"/>
    <w:rsid w:val="54040192"/>
    <w:rsid w:val="54041058"/>
    <w:rsid w:val="54041F40"/>
    <w:rsid w:val="540463E4"/>
    <w:rsid w:val="54063E08"/>
    <w:rsid w:val="54063F0A"/>
    <w:rsid w:val="54071A30"/>
    <w:rsid w:val="540824A2"/>
    <w:rsid w:val="540939FA"/>
    <w:rsid w:val="54095C24"/>
    <w:rsid w:val="54096145"/>
    <w:rsid w:val="540A31BF"/>
    <w:rsid w:val="540A4CC2"/>
    <w:rsid w:val="540A58B9"/>
    <w:rsid w:val="540B1521"/>
    <w:rsid w:val="540B32CF"/>
    <w:rsid w:val="540C135A"/>
    <w:rsid w:val="540C5299"/>
    <w:rsid w:val="540C7047"/>
    <w:rsid w:val="540E1011"/>
    <w:rsid w:val="540E2DBF"/>
    <w:rsid w:val="540E7263"/>
    <w:rsid w:val="540F6034"/>
    <w:rsid w:val="540F674D"/>
    <w:rsid w:val="54107E50"/>
    <w:rsid w:val="5411106D"/>
    <w:rsid w:val="5411465D"/>
    <w:rsid w:val="54114AFF"/>
    <w:rsid w:val="54120752"/>
    <w:rsid w:val="541303D5"/>
    <w:rsid w:val="54134879"/>
    <w:rsid w:val="54136627"/>
    <w:rsid w:val="54137614"/>
    <w:rsid w:val="5414351A"/>
    <w:rsid w:val="541505F1"/>
    <w:rsid w:val="5415414D"/>
    <w:rsid w:val="54156484"/>
    <w:rsid w:val="54172B38"/>
    <w:rsid w:val="54174F0C"/>
    <w:rsid w:val="54175901"/>
    <w:rsid w:val="54176117"/>
    <w:rsid w:val="54177835"/>
    <w:rsid w:val="541977FF"/>
    <w:rsid w:val="541A5C08"/>
    <w:rsid w:val="541A601C"/>
    <w:rsid w:val="541A79B6"/>
    <w:rsid w:val="541B047C"/>
    <w:rsid w:val="541B4CF0"/>
    <w:rsid w:val="541B5DEB"/>
    <w:rsid w:val="541D2934"/>
    <w:rsid w:val="541E2DD9"/>
    <w:rsid w:val="541F321E"/>
    <w:rsid w:val="541F69F7"/>
    <w:rsid w:val="54202231"/>
    <w:rsid w:val="54205F91"/>
    <w:rsid w:val="54210B62"/>
    <w:rsid w:val="54214D2C"/>
    <w:rsid w:val="54216F96"/>
    <w:rsid w:val="54221FF2"/>
    <w:rsid w:val="54224ABC"/>
    <w:rsid w:val="54224BC3"/>
    <w:rsid w:val="54232D0E"/>
    <w:rsid w:val="54235725"/>
    <w:rsid w:val="54240834"/>
    <w:rsid w:val="54251DB4"/>
    <w:rsid w:val="542520B4"/>
    <w:rsid w:val="54252797"/>
    <w:rsid w:val="54257C29"/>
    <w:rsid w:val="54260108"/>
    <w:rsid w:val="542645AC"/>
    <w:rsid w:val="5426635A"/>
    <w:rsid w:val="542707DE"/>
    <w:rsid w:val="54271E31"/>
    <w:rsid w:val="542720D3"/>
    <w:rsid w:val="5427219D"/>
    <w:rsid w:val="54273E81"/>
    <w:rsid w:val="542809AE"/>
    <w:rsid w:val="54280B64"/>
    <w:rsid w:val="542919A7"/>
    <w:rsid w:val="54293BF2"/>
    <w:rsid w:val="5429409D"/>
    <w:rsid w:val="54295E4B"/>
    <w:rsid w:val="542A1CC7"/>
    <w:rsid w:val="542B03F1"/>
    <w:rsid w:val="542B146E"/>
    <w:rsid w:val="542B33AE"/>
    <w:rsid w:val="542B433A"/>
    <w:rsid w:val="542C0846"/>
    <w:rsid w:val="542C4131"/>
    <w:rsid w:val="542C7D94"/>
    <w:rsid w:val="542D76E9"/>
    <w:rsid w:val="542E16B3"/>
    <w:rsid w:val="542E520F"/>
    <w:rsid w:val="54310657"/>
    <w:rsid w:val="543126D9"/>
    <w:rsid w:val="54316668"/>
    <w:rsid w:val="54321AE7"/>
    <w:rsid w:val="54322FB4"/>
    <w:rsid w:val="54330A56"/>
    <w:rsid w:val="54330A77"/>
    <w:rsid w:val="54332825"/>
    <w:rsid w:val="5433375D"/>
    <w:rsid w:val="54335B48"/>
    <w:rsid w:val="54336CC9"/>
    <w:rsid w:val="543437E8"/>
    <w:rsid w:val="54352A41"/>
    <w:rsid w:val="543547EF"/>
    <w:rsid w:val="54354E9B"/>
    <w:rsid w:val="543640C4"/>
    <w:rsid w:val="54370568"/>
    <w:rsid w:val="54372316"/>
    <w:rsid w:val="54375424"/>
    <w:rsid w:val="543842E0"/>
    <w:rsid w:val="5438608E"/>
    <w:rsid w:val="54390279"/>
    <w:rsid w:val="543A3BB4"/>
    <w:rsid w:val="543B1D02"/>
    <w:rsid w:val="543B42DA"/>
    <w:rsid w:val="543C4C81"/>
    <w:rsid w:val="543D649F"/>
    <w:rsid w:val="543E008A"/>
    <w:rsid w:val="543F11CA"/>
    <w:rsid w:val="543F741C"/>
    <w:rsid w:val="544113E6"/>
    <w:rsid w:val="54414309"/>
    <w:rsid w:val="544215DC"/>
    <w:rsid w:val="54422A68"/>
    <w:rsid w:val="54422A6C"/>
    <w:rsid w:val="54426F70"/>
    <w:rsid w:val="54432B5E"/>
    <w:rsid w:val="54442C85"/>
    <w:rsid w:val="544430B4"/>
    <w:rsid w:val="5445361A"/>
    <w:rsid w:val="544640D3"/>
    <w:rsid w:val="544650DD"/>
    <w:rsid w:val="544671B5"/>
    <w:rsid w:val="544762D1"/>
    <w:rsid w:val="54483B09"/>
    <w:rsid w:val="54484523"/>
    <w:rsid w:val="544868DE"/>
    <w:rsid w:val="5449029B"/>
    <w:rsid w:val="54492049"/>
    <w:rsid w:val="54492650"/>
    <w:rsid w:val="54493DF7"/>
    <w:rsid w:val="544946C7"/>
    <w:rsid w:val="544B4013"/>
    <w:rsid w:val="544B6A31"/>
    <w:rsid w:val="544B7B6F"/>
    <w:rsid w:val="544D38E7"/>
    <w:rsid w:val="54501629"/>
    <w:rsid w:val="54505185"/>
    <w:rsid w:val="54506B40"/>
    <w:rsid w:val="54520EFE"/>
    <w:rsid w:val="545215C9"/>
    <w:rsid w:val="545253A1"/>
    <w:rsid w:val="545254D7"/>
    <w:rsid w:val="545304B1"/>
    <w:rsid w:val="54530E20"/>
    <w:rsid w:val="545311AD"/>
    <w:rsid w:val="54532EC8"/>
    <w:rsid w:val="54534C76"/>
    <w:rsid w:val="5454111A"/>
    <w:rsid w:val="545509EE"/>
    <w:rsid w:val="54556311"/>
    <w:rsid w:val="54564A2B"/>
    <w:rsid w:val="5456633A"/>
    <w:rsid w:val="54582E7D"/>
    <w:rsid w:val="545904E0"/>
    <w:rsid w:val="545A24A8"/>
    <w:rsid w:val="545A4256"/>
    <w:rsid w:val="545A6004"/>
    <w:rsid w:val="545B2249"/>
    <w:rsid w:val="545B25C6"/>
    <w:rsid w:val="545B76B8"/>
    <w:rsid w:val="545C7FCE"/>
    <w:rsid w:val="545D78A2"/>
    <w:rsid w:val="545E1D76"/>
    <w:rsid w:val="545E3862"/>
    <w:rsid w:val="545F361A"/>
    <w:rsid w:val="545F7ABE"/>
    <w:rsid w:val="54604B65"/>
    <w:rsid w:val="54613836"/>
    <w:rsid w:val="546334E6"/>
    <w:rsid w:val="54640C31"/>
    <w:rsid w:val="546450D5"/>
    <w:rsid w:val="54660AAC"/>
    <w:rsid w:val="54662BFB"/>
    <w:rsid w:val="546734A8"/>
    <w:rsid w:val="54674B3C"/>
    <w:rsid w:val="54680721"/>
    <w:rsid w:val="54687DC6"/>
    <w:rsid w:val="546926EB"/>
    <w:rsid w:val="54694499"/>
    <w:rsid w:val="54695134"/>
    <w:rsid w:val="54697358"/>
    <w:rsid w:val="546A2443"/>
    <w:rsid w:val="546A70A7"/>
    <w:rsid w:val="546B2FE2"/>
    <w:rsid w:val="546C7CDD"/>
    <w:rsid w:val="546D1A44"/>
    <w:rsid w:val="546D455B"/>
    <w:rsid w:val="546D5D37"/>
    <w:rsid w:val="546E09D2"/>
    <w:rsid w:val="546E1AAF"/>
    <w:rsid w:val="546E3963"/>
    <w:rsid w:val="546E7D01"/>
    <w:rsid w:val="546F6672"/>
    <w:rsid w:val="54702D57"/>
    <w:rsid w:val="54703A7A"/>
    <w:rsid w:val="54705621"/>
    <w:rsid w:val="54705828"/>
    <w:rsid w:val="54705DB4"/>
    <w:rsid w:val="5471010A"/>
    <w:rsid w:val="54714874"/>
    <w:rsid w:val="54720283"/>
    <w:rsid w:val="5472078A"/>
    <w:rsid w:val="547215A0"/>
    <w:rsid w:val="5472334E"/>
    <w:rsid w:val="54723AC7"/>
    <w:rsid w:val="54736A71"/>
    <w:rsid w:val="54736A8D"/>
    <w:rsid w:val="5473746C"/>
    <w:rsid w:val="547411E7"/>
    <w:rsid w:val="5474189A"/>
    <w:rsid w:val="54741D03"/>
    <w:rsid w:val="547437B3"/>
    <w:rsid w:val="54754BEC"/>
    <w:rsid w:val="54761444"/>
    <w:rsid w:val="54766E20"/>
    <w:rsid w:val="5477021B"/>
    <w:rsid w:val="54774E08"/>
    <w:rsid w:val="54776BB6"/>
    <w:rsid w:val="547816AB"/>
    <w:rsid w:val="547846DC"/>
    <w:rsid w:val="54790B80"/>
    <w:rsid w:val="5479292E"/>
    <w:rsid w:val="547A2466"/>
    <w:rsid w:val="547A48F8"/>
    <w:rsid w:val="547A53CC"/>
    <w:rsid w:val="547A66A6"/>
    <w:rsid w:val="547B273C"/>
    <w:rsid w:val="547B3FB2"/>
    <w:rsid w:val="547C0049"/>
    <w:rsid w:val="547C241E"/>
    <w:rsid w:val="547C2BFD"/>
    <w:rsid w:val="547C5F7A"/>
    <w:rsid w:val="547D05BF"/>
    <w:rsid w:val="547D1CF3"/>
    <w:rsid w:val="547E0169"/>
    <w:rsid w:val="547E1787"/>
    <w:rsid w:val="547E6196"/>
    <w:rsid w:val="547E7DFE"/>
    <w:rsid w:val="547E7F44"/>
    <w:rsid w:val="547F1F0F"/>
    <w:rsid w:val="547F69AD"/>
    <w:rsid w:val="548117E3"/>
    <w:rsid w:val="54813591"/>
    <w:rsid w:val="54815C87"/>
    <w:rsid w:val="54826A6F"/>
    <w:rsid w:val="54836392"/>
    <w:rsid w:val="54837309"/>
    <w:rsid w:val="5484229F"/>
    <w:rsid w:val="5484281F"/>
    <w:rsid w:val="548529D5"/>
    <w:rsid w:val="5486504B"/>
    <w:rsid w:val="54877ACD"/>
    <w:rsid w:val="54883D71"/>
    <w:rsid w:val="548A1661"/>
    <w:rsid w:val="548A2B09"/>
    <w:rsid w:val="548A4B3B"/>
    <w:rsid w:val="548B08B3"/>
    <w:rsid w:val="548B2661"/>
    <w:rsid w:val="548B440F"/>
    <w:rsid w:val="548C2946"/>
    <w:rsid w:val="548E0DEC"/>
    <w:rsid w:val="548E1F2F"/>
    <w:rsid w:val="548E4AD9"/>
    <w:rsid w:val="548E5012"/>
    <w:rsid w:val="548E5CAE"/>
    <w:rsid w:val="548E64A2"/>
    <w:rsid w:val="548F0560"/>
    <w:rsid w:val="548F554B"/>
    <w:rsid w:val="548F658E"/>
    <w:rsid w:val="54901A26"/>
    <w:rsid w:val="54902503"/>
    <w:rsid w:val="54906B74"/>
    <w:rsid w:val="54917275"/>
    <w:rsid w:val="54920AF3"/>
    <w:rsid w:val="54921956"/>
    <w:rsid w:val="549239F0"/>
    <w:rsid w:val="54924E23"/>
    <w:rsid w:val="54947768"/>
    <w:rsid w:val="549534E0"/>
    <w:rsid w:val="54953697"/>
    <w:rsid w:val="5495528E"/>
    <w:rsid w:val="549607D8"/>
    <w:rsid w:val="549635BC"/>
    <w:rsid w:val="5497736B"/>
    <w:rsid w:val="54977805"/>
    <w:rsid w:val="54980C95"/>
    <w:rsid w:val="54985739"/>
    <w:rsid w:val="549A2043"/>
    <w:rsid w:val="549A28A4"/>
    <w:rsid w:val="549A35B5"/>
    <w:rsid w:val="549A6B33"/>
    <w:rsid w:val="549B4D55"/>
    <w:rsid w:val="549B4D68"/>
    <w:rsid w:val="549C32EC"/>
    <w:rsid w:val="549D3762"/>
    <w:rsid w:val="549E05E7"/>
    <w:rsid w:val="549E0D64"/>
    <w:rsid w:val="549E1410"/>
    <w:rsid w:val="549E4AC8"/>
    <w:rsid w:val="549F2C45"/>
    <w:rsid w:val="549F610D"/>
    <w:rsid w:val="549F7EBB"/>
    <w:rsid w:val="54A0435F"/>
    <w:rsid w:val="54A11E85"/>
    <w:rsid w:val="54A14421"/>
    <w:rsid w:val="54A14FC5"/>
    <w:rsid w:val="54A159E1"/>
    <w:rsid w:val="54A20D14"/>
    <w:rsid w:val="54A274E9"/>
    <w:rsid w:val="54A30979"/>
    <w:rsid w:val="54A36658"/>
    <w:rsid w:val="54A43723"/>
    <w:rsid w:val="54A51975"/>
    <w:rsid w:val="54A53408"/>
    <w:rsid w:val="54A57392"/>
    <w:rsid w:val="54A6069F"/>
    <w:rsid w:val="54A656ED"/>
    <w:rsid w:val="54A6749B"/>
    <w:rsid w:val="54A766B1"/>
    <w:rsid w:val="54A83213"/>
    <w:rsid w:val="54A84FC1"/>
    <w:rsid w:val="54A904AA"/>
    <w:rsid w:val="54AA453A"/>
    <w:rsid w:val="54AA5C7B"/>
    <w:rsid w:val="54AA6F8B"/>
    <w:rsid w:val="54AB6860"/>
    <w:rsid w:val="54AC3F53"/>
    <w:rsid w:val="54AD6A7C"/>
    <w:rsid w:val="54AF5040"/>
    <w:rsid w:val="54B003AC"/>
    <w:rsid w:val="54B01AED"/>
    <w:rsid w:val="54B1183C"/>
    <w:rsid w:val="54B140FC"/>
    <w:rsid w:val="54B22733"/>
    <w:rsid w:val="54B24092"/>
    <w:rsid w:val="54B27BEE"/>
    <w:rsid w:val="54B35714"/>
    <w:rsid w:val="54B36ED2"/>
    <w:rsid w:val="54B41297"/>
    <w:rsid w:val="54B5148C"/>
    <w:rsid w:val="54B55930"/>
    <w:rsid w:val="54B576DE"/>
    <w:rsid w:val="54B57B0B"/>
    <w:rsid w:val="54B61257"/>
    <w:rsid w:val="54B631A4"/>
    <w:rsid w:val="54B716A8"/>
    <w:rsid w:val="54B75204"/>
    <w:rsid w:val="54B80D9F"/>
    <w:rsid w:val="54B814E6"/>
    <w:rsid w:val="54B81A07"/>
    <w:rsid w:val="54B90F7D"/>
    <w:rsid w:val="54B95188"/>
    <w:rsid w:val="54B971CF"/>
    <w:rsid w:val="54BA4CF5"/>
    <w:rsid w:val="54BA6AA3"/>
    <w:rsid w:val="54BB2F47"/>
    <w:rsid w:val="54BC281B"/>
    <w:rsid w:val="54BC63AB"/>
    <w:rsid w:val="54BC6C04"/>
    <w:rsid w:val="54BE2A37"/>
    <w:rsid w:val="54BE47E5"/>
    <w:rsid w:val="54BE48DB"/>
    <w:rsid w:val="54BF230B"/>
    <w:rsid w:val="54C0055D"/>
    <w:rsid w:val="54C0235A"/>
    <w:rsid w:val="54C03FAD"/>
    <w:rsid w:val="54C067AF"/>
    <w:rsid w:val="54C07EA1"/>
    <w:rsid w:val="54C11331"/>
    <w:rsid w:val="54C20706"/>
    <w:rsid w:val="54C3004D"/>
    <w:rsid w:val="54C307BB"/>
    <w:rsid w:val="54C35392"/>
    <w:rsid w:val="54C36822"/>
    <w:rsid w:val="54C44284"/>
    <w:rsid w:val="54C51142"/>
    <w:rsid w:val="54C538CE"/>
    <w:rsid w:val="54C55B73"/>
    <w:rsid w:val="54C608A6"/>
    <w:rsid w:val="54C618EB"/>
    <w:rsid w:val="54C62388"/>
    <w:rsid w:val="54C6402E"/>
    <w:rsid w:val="54C70797"/>
    <w:rsid w:val="54C77A15"/>
    <w:rsid w:val="54C80111"/>
    <w:rsid w:val="54C811C0"/>
    <w:rsid w:val="54C85664"/>
    <w:rsid w:val="54C870BC"/>
    <w:rsid w:val="54C87412"/>
    <w:rsid w:val="54C91DFE"/>
    <w:rsid w:val="54C95E27"/>
    <w:rsid w:val="54CB0CB0"/>
    <w:rsid w:val="54CB1875"/>
    <w:rsid w:val="54CB1B54"/>
    <w:rsid w:val="54CB4FB3"/>
    <w:rsid w:val="54CC5154"/>
    <w:rsid w:val="54CC581E"/>
    <w:rsid w:val="54CD377B"/>
    <w:rsid w:val="54CD3EF6"/>
    <w:rsid w:val="54CD4A28"/>
    <w:rsid w:val="54CD67D6"/>
    <w:rsid w:val="54CE0D4B"/>
    <w:rsid w:val="54CE0DDF"/>
    <w:rsid w:val="54CF51E4"/>
    <w:rsid w:val="54D04518"/>
    <w:rsid w:val="54D062C6"/>
    <w:rsid w:val="54D10E25"/>
    <w:rsid w:val="54D16921"/>
    <w:rsid w:val="54D222B5"/>
    <w:rsid w:val="54D23DEC"/>
    <w:rsid w:val="54D264E2"/>
    <w:rsid w:val="54D40939"/>
    <w:rsid w:val="54D45DB6"/>
    <w:rsid w:val="54D47B64"/>
    <w:rsid w:val="54D51B2F"/>
    <w:rsid w:val="54D538DD"/>
    <w:rsid w:val="54D92188"/>
    <w:rsid w:val="54DA0A47"/>
    <w:rsid w:val="54DA6C95"/>
    <w:rsid w:val="54DB17D9"/>
    <w:rsid w:val="54DC2EBD"/>
    <w:rsid w:val="54DD0B09"/>
    <w:rsid w:val="54DD2D7F"/>
    <w:rsid w:val="54DE4E87"/>
    <w:rsid w:val="54DE6C35"/>
    <w:rsid w:val="54DF5299"/>
    <w:rsid w:val="54DF6509"/>
    <w:rsid w:val="54DF6C90"/>
    <w:rsid w:val="54E0475B"/>
    <w:rsid w:val="54E04EB5"/>
    <w:rsid w:val="54E15D3E"/>
    <w:rsid w:val="54E3249D"/>
    <w:rsid w:val="54E35FFA"/>
    <w:rsid w:val="54E42564"/>
    <w:rsid w:val="54E4729B"/>
    <w:rsid w:val="54E507B0"/>
    <w:rsid w:val="54E51D72"/>
    <w:rsid w:val="54E56216"/>
    <w:rsid w:val="54E66781"/>
    <w:rsid w:val="54E72305"/>
    <w:rsid w:val="54E81862"/>
    <w:rsid w:val="54E844DB"/>
    <w:rsid w:val="54EA19CC"/>
    <w:rsid w:val="54EA310D"/>
    <w:rsid w:val="54EA382C"/>
    <w:rsid w:val="54EA4D9C"/>
    <w:rsid w:val="54EA799E"/>
    <w:rsid w:val="54EB1352"/>
    <w:rsid w:val="54EB20DA"/>
    <w:rsid w:val="54EB24DE"/>
    <w:rsid w:val="54EB3100"/>
    <w:rsid w:val="54EC26AA"/>
    <w:rsid w:val="54EC5D2B"/>
    <w:rsid w:val="54ED4457"/>
    <w:rsid w:val="54ED44E0"/>
    <w:rsid w:val="54ED50CA"/>
    <w:rsid w:val="54EF0E42"/>
    <w:rsid w:val="54EF2BF0"/>
    <w:rsid w:val="54EF4872"/>
    <w:rsid w:val="54F0311A"/>
    <w:rsid w:val="54F0707D"/>
    <w:rsid w:val="54F07237"/>
    <w:rsid w:val="54F11D24"/>
    <w:rsid w:val="54F13146"/>
    <w:rsid w:val="54F16968"/>
    <w:rsid w:val="54F2189F"/>
    <w:rsid w:val="54F226E1"/>
    <w:rsid w:val="54F32D2F"/>
    <w:rsid w:val="54F40B1A"/>
    <w:rsid w:val="54F46459"/>
    <w:rsid w:val="54F47187"/>
    <w:rsid w:val="54F5564F"/>
    <w:rsid w:val="54F64668"/>
    <w:rsid w:val="54F73313"/>
    <w:rsid w:val="54F75F49"/>
    <w:rsid w:val="54F77B76"/>
    <w:rsid w:val="54F77CF7"/>
    <w:rsid w:val="54F77DBF"/>
    <w:rsid w:val="54F80955"/>
    <w:rsid w:val="54F81551"/>
    <w:rsid w:val="54F830CB"/>
    <w:rsid w:val="54F906EF"/>
    <w:rsid w:val="54F91B48"/>
    <w:rsid w:val="54F93A6F"/>
    <w:rsid w:val="54F9581D"/>
    <w:rsid w:val="54FA14C1"/>
    <w:rsid w:val="54FA151A"/>
    <w:rsid w:val="54FB1595"/>
    <w:rsid w:val="54FC70BB"/>
    <w:rsid w:val="54FC789B"/>
    <w:rsid w:val="54FD018D"/>
    <w:rsid w:val="54FD58D4"/>
    <w:rsid w:val="54FD69B2"/>
    <w:rsid w:val="54FE2844"/>
    <w:rsid w:val="54FE2A13"/>
    <w:rsid w:val="54FE4BE1"/>
    <w:rsid w:val="54FE72D7"/>
    <w:rsid w:val="55004DFD"/>
    <w:rsid w:val="55006BC3"/>
    <w:rsid w:val="550146D2"/>
    <w:rsid w:val="55015040"/>
    <w:rsid w:val="5501635D"/>
    <w:rsid w:val="5501642C"/>
    <w:rsid w:val="55020B76"/>
    <w:rsid w:val="55024CC4"/>
    <w:rsid w:val="55032824"/>
    <w:rsid w:val="550348EE"/>
    <w:rsid w:val="55035D70"/>
    <w:rsid w:val="55040DD2"/>
    <w:rsid w:val="5504431A"/>
    <w:rsid w:val="55045191"/>
    <w:rsid w:val="55045BF8"/>
    <w:rsid w:val="55050666"/>
    <w:rsid w:val="55052414"/>
    <w:rsid w:val="55055F70"/>
    <w:rsid w:val="55063C61"/>
    <w:rsid w:val="55067A64"/>
    <w:rsid w:val="55067F3A"/>
    <w:rsid w:val="550735B3"/>
    <w:rsid w:val="550754D2"/>
    <w:rsid w:val="55081F04"/>
    <w:rsid w:val="550845CF"/>
    <w:rsid w:val="55085A60"/>
    <w:rsid w:val="55097544"/>
    <w:rsid w:val="550A0FB6"/>
    <w:rsid w:val="550A1B3B"/>
    <w:rsid w:val="550A7A2A"/>
    <w:rsid w:val="550B0F24"/>
    <w:rsid w:val="550B72B2"/>
    <w:rsid w:val="550C1B16"/>
    <w:rsid w:val="550C1CD4"/>
    <w:rsid w:val="550C37A2"/>
    <w:rsid w:val="550C38D6"/>
    <w:rsid w:val="550D3076"/>
    <w:rsid w:val="550E303B"/>
    <w:rsid w:val="550F306D"/>
    <w:rsid w:val="550F40C4"/>
    <w:rsid w:val="550F79D3"/>
    <w:rsid w:val="55111367"/>
    <w:rsid w:val="55116550"/>
    <w:rsid w:val="5512068D"/>
    <w:rsid w:val="55125438"/>
    <w:rsid w:val="55127EEB"/>
    <w:rsid w:val="551337A9"/>
    <w:rsid w:val="55133FEB"/>
    <w:rsid w:val="5513742F"/>
    <w:rsid w:val="55144405"/>
    <w:rsid w:val="55160C9A"/>
    <w:rsid w:val="55164621"/>
    <w:rsid w:val="55164A10"/>
    <w:rsid w:val="55173EF5"/>
    <w:rsid w:val="55180399"/>
    <w:rsid w:val="55186626"/>
    <w:rsid w:val="55191A1B"/>
    <w:rsid w:val="55195EBF"/>
    <w:rsid w:val="551B1F3B"/>
    <w:rsid w:val="551B39E5"/>
    <w:rsid w:val="551B5793"/>
    <w:rsid w:val="551C4892"/>
    <w:rsid w:val="551C775D"/>
    <w:rsid w:val="551D0EAE"/>
    <w:rsid w:val="551D59AF"/>
    <w:rsid w:val="551E1251"/>
    <w:rsid w:val="551E4D8F"/>
    <w:rsid w:val="551E5284"/>
    <w:rsid w:val="551E6AB9"/>
    <w:rsid w:val="551E7032"/>
    <w:rsid w:val="551F126F"/>
    <w:rsid w:val="551F2369"/>
    <w:rsid w:val="55201005"/>
    <w:rsid w:val="55202DAA"/>
    <w:rsid w:val="55202F57"/>
    <w:rsid w:val="552053D0"/>
    <w:rsid w:val="5520724E"/>
    <w:rsid w:val="55230AEC"/>
    <w:rsid w:val="552328B1"/>
    <w:rsid w:val="55235D69"/>
    <w:rsid w:val="552377BA"/>
    <w:rsid w:val="552438F8"/>
    <w:rsid w:val="55254496"/>
    <w:rsid w:val="55254864"/>
    <w:rsid w:val="55256612"/>
    <w:rsid w:val="55261D66"/>
    <w:rsid w:val="552704DE"/>
    <w:rsid w:val="552705DC"/>
    <w:rsid w:val="55271C1F"/>
    <w:rsid w:val="5527238A"/>
    <w:rsid w:val="55284354"/>
    <w:rsid w:val="55286102"/>
    <w:rsid w:val="552A3C28"/>
    <w:rsid w:val="552A57F4"/>
    <w:rsid w:val="552A59CF"/>
    <w:rsid w:val="552A7962"/>
    <w:rsid w:val="552B4F4E"/>
    <w:rsid w:val="552C79A0"/>
    <w:rsid w:val="552D1A7A"/>
    <w:rsid w:val="552D54C7"/>
    <w:rsid w:val="552D6F21"/>
    <w:rsid w:val="552E23F2"/>
    <w:rsid w:val="552E2AC8"/>
    <w:rsid w:val="552E2C7E"/>
    <w:rsid w:val="552E57E0"/>
    <w:rsid w:val="552E67FE"/>
    <w:rsid w:val="552F188F"/>
    <w:rsid w:val="552F1F7F"/>
    <w:rsid w:val="552F6C70"/>
    <w:rsid w:val="552F7491"/>
    <w:rsid w:val="55302CD1"/>
    <w:rsid w:val="55306D65"/>
    <w:rsid w:val="55314FB7"/>
    <w:rsid w:val="55315F7D"/>
    <w:rsid w:val="55320D2F"/>
    <w:rsid w:val="55326F81"/>
    <w:rsid w:val="55342CF9"/>
    <w:rsid w:val="55344AA7"/>
    <w:rsid w:val="553453CD"/>
    <w:rsid w:val="55347222"/>
    <w:rsid w:val="55347F50"/>
    <w:rsid w:val="553510E5"/>
    <w:rsid w:val="55352AE2"/>
    <w:rsid w:val="553535EC"/>
    <w:rsid w:val="55357863"/>
    <w:rsid w:val="5536081F"/>
    <w:rsid w:val="55365402"/>
    <w:rsid w:val="55367C26"/>
    <w:rsid w:val="553915A0"/>
    <w:rsid w:val="553920BD"/>
    <w:rsid w:val="55392C94"/>
    <w:rsid w:val="55394034"/>
    <w:rsid w:val="553A6954"/>
    <w:rsid w:val="553A7116"/>
    <w:rsid w:val="553B4087"/>
    <w:rsid w:val="553B6729"/>
    <w:rsid w:val="553C1243"/>
    <w:rsid w:val="553C49CA"/>
    <w:rsid w:val="553D1BAE"/>
    <w:rsid w:val="553D5CA2"/>
    <w:rsid w:val="553D6107"/>
    <w:rsid w:val="553E1482"/>
    <w:rsid w:val="553E4092"/>
    <w:rsid w:val="553E52D5"/>
    <w:rsid w:val="553E661E"/>
    <w:rsid w:val="553F399A"/>
    <w:rsid w:val="5540169E"/>
    <w:rsid w:val="5540344C"/>
    <w:rsid w:val="554046D1"/>
    <w:rsid w:val="554051FA"/>
    <w:rsid w:val="55411085"/>
    <w:rsid w:val="55434CEA"/>
    <w:rsid w:val="55442755"/>
    <w:rsid w:val="55454C5D"/>
    <w:rsid w:val="55456CB4"/>
    <w:rsid w:val="5547140C"/>
    <w:rsid w:val="55472A2C"/>
    <w:rsid w:val="554760F5"/>
    <w:rsid w:val="55480552"/>
    <w:rsid w:val="55482300"/>
    <w:rsid w:val="55482ADB"/>
    <w:rsid w:val="55486498"/>
    <w:rsid w:val="554A3878"/>
    <w:rsid w:val="554A6079"/>
    <w:rsid w:val="554A6449"/>
    <w:rsid w:val="554C11A0"/>
    <w:rsid w:val="554C1DF1"/>
    <w:rsid w:val="554C3B9F"/>
    <w:rsid w:val="554C6B20"/>
    <w:rsid w:val="554D5B69"/>
    <w:rsid w:val="554E3689"/>
    <w:rsid w:val="554E3DBB"/>
    <w:rsid w:val="554F316F"/>
    <w:rsid w:val="5550356A"/>
    <w:rsid w:val="555076EA"/>
    <w:rsid w:val="555170A7"/>
    <w:rsid w:val="55517407"/>
    <w:rsid w:val="55522EBD"/>
    <w:rsid w:val="5552317F"/>
    <w:rsid w:val="555304F9"/>
    <w:rsid w:val="5553075C"/>
    <w:rsid w:val="555313D1"/>
    <w:rsid w:val="55532EC4"/>
    <w:rsid w:val="55535A57"/>
    <w:rsid w:val="55540CA5"/>
    <w:rsid w:val="55545149"/>
    <w:rsid w:val="555649EC"/>
    <w:rsid w:val="555667CB"/>
    <w:rsid w:val="55566A95"/>
    <w:rsid w:val="55570796"/>
    <w:rsid w:val="5558300C"/>
    <w:rsid w:val="555836E3"/>
    <w:rsid w:val="55583898"/>
    <w:rsid w:val="555869E7"/>
    <w:rsid w:val="5559450E"/>
    <w:rsid w:val="555946E3"/>
    <w:rsid w:val="555962BC"/>
    <w:rsid w:val="555A07E2"/>
    <w:rsid w:val="555A181E"/>
    <w:rsid w:val="555A6E78"/>
    <w:rsid w:val="555B0C27"/>
    <w:rsid w:val="555B64D8"/>
    <w:rsid w:val="555C5C8D"/>
    <w:rsid w:val="555C7B5A"/>
    <w:rsid w:val="555D2250"/>
    <w:rsid w:val="555D3FFE"/>
    <w:rsid w:val="555D5DAC"/>
    <w:rsid w:val="555E14DF"/>
    <w:rsid w:val="555E38D2"/>
    <w:rsid w:val="555F5D4F"/>
    <w:rsid w:val="555F60C6"/>
    <w:rsid w:val="555F7C3C"/>
    <w:rsid w:val="55603AEE"/>
    <w:rsid w:val="55604F39"/>
    <w:rsid w:val="5560589C"/>
    <w:rsid w:val="55606412"/>
    <w:rsid w:val="55622F8F"/>
    <w:rsid w:val="556233C2"/>
    <w:rsid w:val="55625776"/>
    <w:rsid w:val="55630EE8"/>
    <w:rsid w:val="55631BDD"/>
    <w:rsid w:val="5563538C"/>
    <w:rsid w:val="55641BC1"/>
    <w:rsid w:val="55643BA9"/>
    <w:rsid w:val="55652AA6"/>
    <w:rsid w:val="55674E7D"/>
    <w:rsid w:val="5568597E"/>
    <w:rsid w:val="55690472"/>
    <w:rsid w:val="556952B1"/>
    <w:rsid w:val="55695E7F"/>
    <w:rsid w:val="556A04C9"/>
    <w:rsid w:val="556A14B6"/>
    <w:rsid w:val="556A2277"/>
    <w:rsid w:val="556A4428"/>
    <w:rsid w:val="556A671B"/>
    <w:rsid w:val="556B42F2"/>
    <w:rsid w:val="556C0634"/>
    <w:rsid w:val="556C0A00"/>
    <w:rsid w:val="556C52F7"/>
    <w:rsid w:val="556C5FEF"/>
    <w:rsid w:val="556C762F"/>
    <w:rsid w:val="556D3118"/>
    <w:rsid w:val="556D3E6B"/>
    <w:rsid w:val="556E3B96"/>
    <w:rsid w:val="556E7FB9"/>
    <w:rsid w:val="556F2FDE"/>
    <w:rsid w:val="556F5ADF"/>
    <w:rsid w:val="55703EB9"/>
    <w:rsid w:val="55711857"/>
    <w:rsid w:val="5572737D"/>
    <w:rsid w:val="557309E2"/>
    <w:rsid w:val="55734432"/>
    <w:rsid w:val="55734753"/>
    <w:rsid w:val="557355CF"/>
    <w:rsid w:val="55741347"/>
    <w:rsid w:val="557430F6"/>
    <w:rsid w:val="55750332"/>
    <w:rsid w:val="55752CD1"/>
    <w:rsid w:val="55753C2C"/>
    <w:rsid w:val="557650C0"/>
    <w:rsid w:val="55766B43"/>
    <w:rsid w:val="55767585"/>
    <w:rsid w:val="55774994"/>
    <w:rsid w:val="557767E7"/>
    <w:rsid w:val="55777C50"/>
    <w:rsid w:val="55782AF7"/>
    <w:rsid w:val="55794BB0"/>
    <w:rsid w:val="5579695E"/>
    <w:rsid w:val="557979E1"/>
    <w:rsid w:val="557B26D6"/>
    <w:rsid w:val="557B3584"/>
    <w:rsid w:val="557B4484"/>
    <w:rsid w:val="557B5277"/>
    <w:rsid w:val="557B674C"/>
    <w:rsid w:val="557C1E00"/>
    <w:rsid w:val="557C1FAA"/>
    <w:rsid w:val="557C43AB"/>
    <w:rsid w:val="557D3E71"/>
    <w:rsid w:val="557E3F74"/>
    <w:rsid w:val="557E5D22"/>
    <w:rsid w:val="55801A9A"/>
    <w:rsid w:val="55807CEC"/>
    <w:rsid w:val="55812B78"/>
    <w:rsid w:val="55817BF5"/>
    <w:rsid w:val="558225F0"/>
    <w:rsid w:val="558275C0"/>
    <w:rsid w:val="5583158B"/>
    <w:rsid w:val="55833339"/>
    <w:rsid w:val="5583482C"/>
    <w:rsid w:val="55841BAC"/>
    <w:rsid w:val="55843BD0"/>
    <w:rsid w:val="55843C96"/>
    <w:rsid w:val="558465DA"/>
    <w:rsid w:val="558477DD"/>
    <w:rsid w:val="55853555"/>
    <w:rsid w:val="55855303"/>
    <w:rsid w:val="5587536D"/>
    <w:rsid w:val="558772CD"/>
    <w:rsid w:val="55877794"/>
    <w:rsid w:val="55881DC4"/>
    <w:rsid w:val="55886BA1"/>
    <w:rsid w:val="55892ECD"/>
    <w:rsid w:val="558A0B6B"/>
    <w:rsid w:val="558A2919"/>
    <w:rsid w:val="558A46C7"/>
    <w:rsid w:val="558B4D6C"/>
    <w:rsid w:val="558C043F"/>
    <w:rsid w:val="558C48E3"/>
    <w:rsid w:val="558C6691"/>
    <w:rsid w:val="558D38CF"/>
    <w:rsid w:val="558D469E"/>
    <w:rsid w:val="558E065B"/>
    <w:rsid w:val="558F253F"/>
    <w:rsid w:val="558F441E"/>
    <w:rsid w:val="559057B7"/>
    <w:rsid w:val="55907CB6"/>
    <w:rsid w:val="55911EF9"/>
    <w:rsid w:val="55913CA7"/>
    <w:rsid w:val="55924389"/>
    <w:rsid w:val="55924656"/>
    <w:rsid w:val="55924DCB"/>
    <w:rsid w:val="559317CE"/>
    <w:rsid w:val="55931DB1"/>
    <w:rsid w:val="559335AF"/>
    <w:rsid w:val="55935C72"/>
    <w:rsid w:val="55941140"/>
    <w:rsid w:val="55943798"/>
    <w:rsid w:val="55944FC0"/>
    <w:rsid w:val="559509EF"/>
    <w:rsid w:val="55953D2D"/>
    <w:rsid w:val="559617B6"/>
    <w:rsid w:val="5596306C"/>
    <w:rsid w:val="5596662C"/>
    <w:rsid w:val="55967510"/>
    <w:rsid w:val="55970077"/>
    <w:rsid w:val="55986DE4"/>
    <w:rsid w:val="55991B71"/>
    <w:rsid w:val="55997039"/>
    <w:rsid w:val="559B174B"/>
    <w:rsid w:val="559B44B1"/>
    <w:rsid w:val="559B68D4"/>
    <w:rsid w:val="559D089E"/>
    <w:rsid w:val="559D264C"/>
    <w:rsid w:val="559E0611"/>
    <w:rsid w:val="559E2CDA"/>
    <w:rsid w:val="559E63C4"/>
    <w:rsid w:val="559F4616"/>
    <w:rsid w:val="55A0038E"/>
    <w:rsid w:val="55A05B02"/>
    <w:rsid w:val="55A06976"/>
    <w:rsid w:val="55A12C72"/>
    <w:rsid w:val="55A25EB5"/>
    <w:rsid w:val="55A27B5B"/>
    <w:rsid w:val="55A27C63"/>
    <w:rsid w:val="55A336BC"/>
    <w:rsid w:val="55A40749"/>
    <w:rsid w:val="55A44A45"/>
    <w:rsid w:val="55A45428"/>
    <w:rsid w:val="55A468C7"/>
    <w:rsid w:val="55A559A5"/>
    <w:rsid w:val="55A57753"/>
    <w:rsid w:val="55A62DFB"/>
    <w:rsid w:val="55A66DA3"/>
    <w:rsid w:val="55A679FF"/>
    <w:rsid w:val="55A7171D"/>
    <w:rsid w:val="55A75279"/>
    <w:rsid w:val="55A81A65"/>
    <w:rsid w:val="55A95DCF"/>
    <w:rsid w:val="55A96F01"/>
    <w:rsid w:val="55AA1478"/>
    <w:rsid w:val="55AA4D69"/>
    <w:rsid w:val="55AA6B17"/>
    <w:rsid w:val="55AC3A35"/>
    <w:rsid w:val="55AC59C0"/>
    <w:rsid w:val="55AC6D33"/>
    <w:rsid w:val="55AC7009"/>
    <w:rsid w:val="55AC71F8"/>
    <w:rsid w:val="55AD03B6"/>
    <w:rsid w:val="55AE2AAB"/>
    <w:rsid w:val="55AE4859"/>
    <w:rsid w:val="55AE6607"/>
    <w:rsid w:val="55AF05D2"/>
    <w:rsid w:val="55AF1EFF"/>
    <w:rsid w:val="55AF412E"/>
    <w:rsid w:val="55AF4167"/>
    <w:rsid w:val="55B16A87"/>
    <w:rsid w:val="55B17EA6"/>
    <w:rsid w:val="55B300C2"/>
    <w:rsid w:val="55B41744"/>
    <w:rsid w:val="55B47996"/>
    <w:rsid w:val="55B50122"/>
    <w:rsid w:val="55B50E69"/>
    <w:rsid w:val="55B55BE8"/>
    <w:rsid w:val="55B61960"/>
    <w:rsid w:val="55B6370E"/>
    <w:rsid w:val="55B81234"/>
    <w:rsid w:val="55B856D8"/>
    <w:rsid w:val="55B94FAC"/>
    <w:rsid w:val="55BA1427"/>
    <w:rsid w:val="55BA1450"/>
    <w:rsid w:val="55BA31FE"/>
    <w:rsid w:val="55BA680E"/>
    <w:rsid w:val="55BB2E72"/>
    <w:rsid w:val="55BB6F76"/>
    <w:rsid w:val="55BC3B9A"/>
    <w:rsid w:val="55BC5BB0"/>
    <w:rsid w:val="55BD2B2A"/>
    <w:rsid w:val="55BD684B"/>
    <w:rsid w:val="55BE54A3"/>
    <w:rsid w:val="55BF0815"/>
    <w:rsid w:val="55BF0FDE"/>
    <w:rsid w:val="55BF2853"/>
    <w:rsid w:val="55BF2D2A"/>
    <w:rsid w:val="55BF2FC7"/>
    <w:rsid w:val="55C01FBB"/>
    <w:rsid w:val="55C33ACC"/>
    <w:rsid w:val="55C51FC7"/>
    <w:rsid w:val="55C53951"/>
    <w:rsid w:val="55C65992"/>
    <w:rsid w:val="55C7076F"/>
    <w:rsid w:val="55C8156B"/>
    <w:rsid w:val="55C83F8C"/>
    <w:rsid w:val="55C951EF"/>
    <w:rsid w:val="55C9615A"/>
    <w:rsid w:val="55C9753C"/>
    <w:rsid w:val="55CA0F67"/>
    <w:rsid w:val="55CA70DE"/>
    <w:rsid w:val="55CA76DF"/>
    <w:rsid w:val="55CB21FF"/>
    <w:rsid w:val="55CB540B"/>
    <w:rsid w:val="55CB589B"/>
    <w:rsid w:val="55CC3AA5"/>
    <w:rsid w:val="55CC6F60"/>
    <w:rsid w:val="55CC757B"/>
    <w:rsid w:val="55CD0EBB"/>
    <w:rsid w:val="55CE0CF4"/>
    <w:rsid w:val="55CF3842"/>
    <w:rsid w:val="55CF657E"/>
    <w:rsid w:val="55D10E3F"/>
    <w:rsid w:val="55D14930"/>
    <w:rsid w:val="55D1561B"/>
    <w:rsid w:val="55D16071"/>
    <w:rsid w:val="55D1679A"/>
    <w:rsid w:val="55D27501"/>
    <w:rsid w:val="55D30991"/>
    <w:rsid w:val="55D342C0"/>
    <w:rsid w:val="55D41DE6"/>
    <w:rsid w:val="55D42011"/>
    <w:rsid w:val="55D429E4"/>
    <w:rsid w:val="55D50038"/>
    <w:rsid w:val="55D549F2"/>
    <w:rsid w:val="55D63DB0"/>
    <w:rsid w:val="55D65B5E"/>
    <w:rsid w:val="55D82D0E"/>
    <w:rsid w:val="55D82DF4"/>
    <w:rsid w:val="55D83373"/>
    <w:rsid w:val="55D83684"/>
    <w:rsid w:val="55D87E1A"/>
    <w:rsid w:val="55D92384"/>
    <w:rsid w:val="55D92874"/>
    <w:rsid w:val="55DA55F1"/>
    <w:rsid w:val="55DA564E"/>
    <w:rsid w:val="55DA73FC"/>
    <w:rsid w:val="55DB0DC3"/>
    <w:rsid w:val="55DB13C7"/>
    <w:rsid w:val="55DB1F32"/>
    <w:rsid w:val="55DB668D"/>
    <w:rsid w:val="55DC22F6"/>
    <w:rsid w:val="55DC4F9E"/>
    <w:rsid w:val="55DD1A43"/>
    <w:rsid w:val="55DD513F"/>
    <w:rsid w:val="55DD6EED"/>
    <w:rsid w:val="55DE2FC3"/>
    <w:rsid w:val="55DF0EB7"/>
    <w:rsid w:val="55DF279A"/>
    <w:rsid w:val="55DF2C65"/>
    <w:rsid w:val="55DF4A13"/>
    <w:rsid w:val="55E0078B"/>
    <w:rsid w:val="55E02539"/>
    <w:rsid w:val="55E15A92"/>
    <w:rsid w:val="55E24503"/>
    <w:rsid w:val="55E2564B"/>
    <w:rsid w:val="55E4027B"/>
    <w:rsid w:val="55E53FF3"/>
    <w:rsid w:val="55E649DD"/>
    <w:rsid w:val="55E7186E"/>
    <w:rsid w:val="55E7352C"/>
    <w:rsid w:val="55E77D6B"/>
    <w:rsid w:val="55EA1ACA"/>
    <w:rsid w:val="55EA1FEA"/>
    <w:rsid w:val="55EA33B8"/>
    <w:rsid w:val="55EB160A"/>
    <w:rsid w:val="55EB5A20"/>
    <w:rsid w:val="55EB785C"/>
    <w:rsid w:val="55EC0491"/>
    <w:rsid w:val="55EC7130"/>
    <w:rsid w:val="55ED2F71"/>
    <w:rsid w:val="55ED4109"/>
    <w:rsid w:val="55EE2EA8"/>
    <w:rsid w:val="55EE4C56"/>
    <w:rsid w:val="55EE73CD"/>
    <w:rsid w:val="55EF2C4F"/>
    <w:rsid w:val="55F05E30"/>
    <w:rsid w:val="55F078D7"/>
    <w:rsid w:val="55F24934"/>
    <w:rsid w:val="55F25ECE"/>
    <w:rsid w:val="55F304BE"/>
    <w:rsid w:val="55F4140B"/>
    <w:rsid w:val="55F45FE4"/>
    <w:rsid w:val="55F52488"/>
    <w:rsid w:val="55F61D5C"/>
    <w:rsid w:val="55F63D2B"/>
    <w:rsid w:val="55F668FC"/>
    <w:rsid w:val="55F67AD7"/>
    <w:rsid w:val="55F71C3C"/>
    <w:rsid w:val="55F7664B"/>
    <w:rsid w:val="55F83D27"/>
    <w:rsid w:val="55F84E9E"/>
    <w:rsid w:val="55F85AD5"/>
    <w:rsid w:val="55F85EF6"/>
    <w:rsid w:val="55F90F87"/>
    <w:rsid w:val="55F926AC"/>
    <w:rsid w:val="55F935FB"/>
    <w:rsid w:val="55FA274D"/>
    <w:rsid w:val="55FA7A9F"/>
    <w:rsid w:val="55FB7373"/>
    <w:rsid w:val="55FB74A8"/>
    <w:rsid w:val="55FD133D"/>
    <w:rsid w:val="55FD2188"/>
    <w:rsid w:val="55FD758F"/>
    <w:rsid w:val="55FF3307"/>
    <w:rsid w:val="55FF50B5"/>
    <w:rsid w:val="560069AF"/>
    <w:rsid w:val="56006FA6"/>
    <w:rsid w:val="56024BA5"/>
    <w:rsid w:val="56032C07"/>
    <w:rsid w:val="560426CB"/>
    <w:rsid w:val="56044479"/>
    <w:rsid w:val="560501F2"/>
    <w:rsid w:val="56054AC6"/>
    <w:rsid w:val="56064695"/>
    <w:rsid w:val="56064CB0"/>
    <w:rsid w:val="56064CFB"/>
    <w:rsid w:val="56066443"/>
    <w:rsid w:val="56067310"/>
    <w:rsid w:val="5606767B"/>
    <w:rsid w:val="5607531B"/>
    <w:rsid w:val="560761F8"/>
    <w:rsid w:val="56076A84"/>
    <w:rsid w:val="56076DEF"/>
    <w:rsid w:val="560875D0"/>
    <w:rsid w:val="5609092B"/>
    <w:rsid w:val="56095F34"/>
    <w:rsid w:val="56097CE2"/>
    <w:rsid w:val="560B32E9"/>
    <w:rsid w:val="560B7692"/>
    <w:rsid w:val="560C332E"/>
    <w:rsid w:val="560C77D2"/>
    <w:rsid w:val="560D6B29"/>
    <w:rsid w:val="560D7115"/>
    <w:rsid w:val="560E5E74"/>
    <w:rsid w:val="561072C2"/>
    <w:rsid w:val="56111C07"/>
    <w:rsid w:val="56111CB6"/>
    <w:rsid w:val="56114DE8"/>
    <w:rsid w:val="56130B44"/>
    <w:rsid w:val="5613290E"/>
    <w:rsid w:val="561404EA"/>
    <w:rsid w:val="56151E85"/>
    <w:rsid w:val="561548D9"/>
    <w:rsid w:val="561623FF"/>
    <w:rsid w:val="56180996"/>
    <w:rsid w:val="56187F25"/>
    <w:rsid w:val="561A3C9D"/>
    <w:rsid w:val="561A5A4B"/>
    <w:rsid w:val="561B37E9"/>
    <w:rsid w:val="561B48A4"/>
    <w:rsid w:val="561C5C67"/>
    <w:rsid w:val="561D1AA7"/>
    <w:rsid w:val="561D553B"/>
    <w:rsid w:val="561D6ED6"/>
    <w:rsid w:val="561E1D7E"/>
    <w:rsid w:val="561F12B3"/>
    <w:rsid w:val="561F290A"/>
    <w:rsid w:val="561F2928"/>
    <w:rsid w:val="561F3061"/>
    <w:rsid w:val="561F3D4D"/>
    <w:rsid w:val="561F441A"/>
    <w:rsid w:val="561F7505"/>
    <w:rsid w:val="562006F1"/>
    <w:rsid w:val="5621502B"/>
    <w:rsid w:val="562179E3"/>
    <w:rsid w:val="56222B52"/>
    <w:rsid w:val="56223209"/>
    <w:rsid w:val="56224489"/>
    <w:rsid w:val="56226FF5"/>
    <w:rsid w:val="56234C21"/>
    <w:rsid w:val="56235919"/>
    <w:rsid w:val="56237289"/>
    <w:rsid w:val="56261B79"/>
    <w:rsid w:val="5626540F"/>
    <w:rsid w:val="562670D0"/>
    <w:rsid w:val="56270168"/>
    <w:rsid w:val="56273D07"/>
    <w:rsid w:val="5627460C"/>
    <w:rsid w:val="5627572A"/>
    <w:rsid w:val="562763BA"/>
    <w:rsid w:val="562809AC"/>
    <w:rsid w:val="56283FE0"/>
    <w:rsid w:val="562846B0"/>
    <w:rsid w:val="56290384"/>
    <w:rsid w:val="56293EE0"/>
    <w:rsid w:val="562969ED"/>
    <w:rsid w:val="562A0268"/>
    <w:rsid w:val="562B40FC"/>
    <w:rsid w:val="562B5EAA"/>
    <w:rsid w:val="562C39D0"/>
    <w:rsid w:val="562C577E"/>
    <w:rsid w:val="562C69CB"/>
    <w:rsid w:val="562D0092"/>
    <w:rsid w:val="562D7668"/>
    <w:rsid w:val="562E14F6"/>
    <w:rsid w:val="562E3B14"/>
    <w:rsid w:val="562E599A"/>
    <w:rsid w:val="563025D1"/>
    <w:rsid w:val="56310FE7"/>
    <w:rsid w:val="56312D95"/>
    <w:rsid w:val="56322421"/>
    <w:rsid w:val="56327239"/>
    <w:rsid w:val="56327E49"/>
    <w:rsid w:val="56334D5F"/>
    <w:rsid w:val="56335103"/>
    <w:rsid w:val="56335BD0"/>
    <w:rsid w:val="56336B0D"/>
    <w:rsid w:val="5634166F"/>
    <w:rsid w:val="56344627"/>
    <w:rsid w:val="5634755A"/>
    <w:rsid w:val="56352885"/>
    <w:rsid w:val="56354032"/>
    <w:rsid w:val="56354874"/>
    <w:rsid w:val="563665FD"/>
    <w:rsid w:val="563805C7"/>
    <w:rsid w:val="56382375"/>
    <w:rsid w:val="563A433F"/>
    <w:rsid w:val="563A7E9B"/>
    <w:rsid w:val="563B3C13"/>
    <w:rsid w:val="563B5030"/>
    <w:rsid w:val="563B5586"/>
    <w:rsid w:val="563D5BDD"/>
    <w:rsid w:val="563D798B"/>
    <w:rsid w:val="563E2521"/>
    <w:rsid w:val="563F2958"/>
    <w:rsid w:val="563F4655"/>
    <w:rsid w:val="5640034C"/>
    <w:rsid w:val="5640122A"/>
    <w:rsid w:val="56407A11"/>
    <w:rsid w:val="564162D0"/>
    <w:rsid w:val="56417FB7"/>
    <w:rsid w:val="56423AB4"/>
    <w:rsid w:val="5645019F"/>
    <w:rsid w:val="564501D7"/>
    <w:rsid w:val="56464A92"/>
    <w:rsid w:val="56466840"/>
    <w:rsid w:val="56471856"/>
    <w:rsid w:val="564725B8"/>
    <w:rsid w:val="564735D2"/>
    <w:rsid w:val="564830C8"/>
    <w:rsid w:val="56486A5C"/>
    <w:rsid w:val="564B1F53"/>
    <w:rsid w:val="564D4072"/>
    <w:rsid w:val="564D4873"/>
    <w:rsid w:val="564D5B0B"/>
    <w:rsid w:val="564E1B99"/>
    <w:rsid w:val="564E3947"/>
    <w:rsid w:val="564F0FA5"/>
    <w:rsid w:val="564F1AF8"/>
    <w:rsid w:val="564F3968"/>
    <w:rsid w:val="56501B9C"/>
    <w:rsid w:val="56502428"/>
    <w:rsid w:val="56503B63"/>
    <w:rsid w:val="565054B7"/>
    <w:rsid w:val="56510530"/>
    <w:rsid w:val="56510B52"/>
    <w:rsid w:val="56510C3A"/>
    <w:rsid w:val="56511311"/>
    <w:rsid w:val="56513437"/>
    <w:rsid w:val="565151E5"/>
    <w:rsid w:val="565166AD"/>
    <w:rsid w:val="56520377"/>
    <w:rsid w:val="56531B75"/>
    <w:rsid w:val="56532714"/>
    <w:rsid w:val="56546B51"/>
    <w:rsid w:val="56554CD5"/>
    <w:rsid w:val="565571EC"/>
    <w:rsid w:val="5656536A"/>
    <w:rsid w:val="565730C7"/>
    <w:rsid w:val="56576C9F"/>
    <w:rsid w:val="56580B20"/>
    <w:rsid w:val="56581589"/>
    <w:rsid w:val="56582A17"/>
    <w:rsid w:val="565847C5"/>
    <w:rsid w:val="56586D1A"/>
    <w:rsid w:val="56590FBF"/>
    <w:rsid w:val="565A053D"/>
    <w:rsid w:val="565A22EB"/>
    <w:rsid w:val="565A74E2"/>
    <w:rsid w:val="565C42B5"/>
    <w:rsid w:val="565D002E"/>
    <w:rsid w:val="565D0930"/>
    <w:rsid w:val="565D1DDC"/>
    <w:rsid w:val="565D5492"/>
    <w:rsid w:val="565E452F"/>
    <w:rsid w:val="565E627F"/>
    <w:rsid w:val="565F0154"/>
    <w:rsid w:val="565F3782"/>
    <w:rsid w:val="565F3AEE"/>
    <w:rsid w:val="565F7902"/>
    <w:rsid w:val="5661367A"/>
    <w:rsid w:val="56616D4A"/>
    <w:rsid w:val="56617B1E"/>
    <w:rsid w:val="56624F9E"/>
    <w:rsid w:val="56625644"/>
    <w:rsid w:val="56634F9D"/>
    <w:rsid w:val="5664316A"/>
    <w:rsid w:val="56644F18"/>
    <w:rsid w:val="56646C56"/>
    <w:rsid w:val="5665366A"/>
    <w:rsid w:val="56660C90"/>
    <w:rsid w:val="56666EE2"/>
    <w:rsid w:val="56670B85"/>
    <w:rsid w:val="56677707"/>
    <w:rsid w:val="5668147B"/>
    <w:rsid w:val="5668404C"/>
    <w:rsid w:val="56691BCD"/>
    <w:rsid w:val="566B44F9"/>
    <w:rsid w:val="566B62A7"/>
    <w:rsid w:val="566C774E"/>
    <w:rsid w:val="566E162A"/>
    <w:rsid w:val="566E649D"/>
    <w:rsid w:val="566F16D1"/>
    <w:rsid w:val="566F2C09"/>
    <w:rsid w:val="56701B0F"/>
    <w:rsid w:val="56705FB3"/>
    <w:rsid w:val="5671683F"/>
    <w:rsid w:val="56717635"/>
    <w:rsid w:val="56721CD3"/>
    <w:rsid w:val="56725887"/>
    <w:rsid w:val="5673115F"/>
    <w:rsid w:val="567315FF"/>
    <w:rsid w:val="56734218"/>
    <w:rsid w:val="56743D30"/>
    <w:rsid w:val="567649A8"/>
    <w:rsid w:val="56764C4B"/>
    <w:rsid w:val="56775C33"/>
    <w:rsid w:val="56777341"/>
    <w:rsid w:val="56777AE0"/>
    <w:rsid w:val="567825A4"/>
    <w:rsid w:val="56786C15"/>
    <w:rsid w:val="56794BA7"/>
    <w:rsid w:val="56794E67"/>
    <w:rsid w:val="567A2A6A"/>
    <w:rsid w:val="567A311B"/>
    <w:rsid w:val="567B1298"/>
    <w:rsid w:val="567B7416"/>
    <w:rsid w:val="567B78F1"/>
    <w:rsid w:val="567C04B4"/>
    <w:rsid w:val="567C1E86"/>
    <w:rsid w:val="567C6706"/>
    <w:rsid w:val="567D422C"/>
    <w:rsid w:val="567D5FDA"/>
    <w:rsid w:val="567D6779"/>
    <w:rsid w:val="567E247E"/>
    <w:rsid w:val="567E79B3"/>
    <w:rsid w:val="567F61F6"/>
    <w:rsid w:val="5680041D"/>
    <w:rsid w:val="56811F6E"/>
    <w:rsid w:val="56826DF8"/>
    <w:rsid w:val="568315AE"/>
    <w:rsid w:val="5683561C"/>
    <w:rsid w:val="56835CE6"/>
    <w:rsid w:val="56837A94"/>
    <w:rsid w:val="568455BA"/>
    <w:rsid w:val="56845680"/>
    <w:rsid w:val="56847368"/>
    <w:rsid w:val="56861332"/>
    <w:rsid w:val="568832FC"/>
    <w:rsid w:val="56890E23"/>
    <w:rsid w:val="56892F91"/>
    <w:rsid w:val="568A3285"/>
    <w:rsid w:val="568A7075"/>
    <w:rsid w:val="568B2322"/>
    <w:rsid w:val="568B2D64"/>
    <w:rsid w:val="568B73E6"/>
    <w:rsid w:val="568D446F"/>
    <w:rsid w:val="568E01E7"/>
    <w:rsid w:val="568E6439"/>
    <w:rsid w:val="568F4D52"/>
    <w:rsid w:val="568F71F7"/>
    <w:rsid w:val="56905D0D"/>
    <w:rsid w:val="56906D60"/>
    <w:rsid w:val="569112CD"/>
    <w:rsid w:val="56915B71"/>
    <w:rsid w:val="56925F29"/>
    <w:rsid w:val="569272B9"/>
    <w:rsid w:val="56930749"/>
    <w:rsid w:val="5693407B"/>
    <w:rsid w:val="56935705"/>
    <w:rsid w:val="569357FD"/>
    <w:rsid w:val="56941CA1"/>
    <w:rsid w:val="56951575"/>
    <w:rsid w:val="56955A19"/>
    <w:rsid w:val="56956551"/>
    <w:rsid w:val="569577C7"/>
    <w:rsid w:val="56963DC0"/>
    <w:rsid w:val="56965C3A"/>
    <w:rsid w:val="56971BE9"/>
    <w:rsid w:val="5697353F"/>
    <w:rsid w:val="5697411D"/>
    <w:rsid w:val="5697709C"/>
    <w:rsid w:val="56981066"/>
    <w:rsid w:val="569869C4"/>
    <w:rsid w:val="56992593"/>
    <w:rsid w:val="569A3030"/>
    <w:rsid w:val="569A4429"/>
    <w:rsid w:val="569A68B2"/>
    <w:rsid w:val="569B3224"/>
    <w:rsid w:val="569C2904"/>
    <w:rsid w:val="569C35BB"/>
    <w:rsid w:val="569C6DA8"/>
    <w:rsid w:val="569D43CC"/>
    <w:rsid w:val="569E1568"/>
    <w:rsid w:val="569E48CE"/>
    <w:rsid w:val="569E585C"/>
    <w:rsid w:val="569E667C"/>
    <w:rsid w:val="569F0646"/>
    <w:rsid w:val="569F41A2"/>
    <w:rsid w:val="56A10E3F"/>
    <w:rsid w:val="56A1616C"/>
    <w:rsid w:val="56A22F22"/>
    <w:rsid w:val="56A25A40"/>
    <w:rsid w:val="56A30136"/>
    <w:rsid w:val="56A30651"/>
    <w:rsid w:val="56A33100"/>
    <w:rsid w:val="56A33C92"/>
    <w:rsid w:val="56A416CE"/>
    <w:rsid w:val="56A45C5C"/>
    <w:rsid w:val="56A46172"/>
    <w:rsid w:val="56A60FEC"/>
    <w:rsid w:val="56A65531"/>
    <w:rsid w:val="56A73E69"/>
    <w:rsid w:val="56A7750B"/>
    <w:rsid w:val="56A80902"/>
    <w:rsid w:val="56A86C06"/>
    <w:rsid w:val="56A879B3"/>
    <w:rsid w:val="56A96844"/>
    <w:rsid w:val="56AA0CBE"/>
    <w:rsid w:val="56AB0D99"/>
    <w:rsid w:val="56AB2D7B"/>
    <w:rsid w:val="56AB6FEB"/>
    <w:rsid w:val="56AC3ADE"/>
    <w:rsid w:val="56AC55F0"/>
    <w:rsid w:val="56AD2D63"/>
    <w:rsid w:val="56AD3EC1"/>
    <w:rsid w:val="56AD4B11"/>
    <w:rsid w:val="56AD75EE"/>
    <w:rsid w:val="56AE2637"/>
    <w:rsid w:val="56AE5060"/>
    <w:rsid w:val="56AF0889"/>
    <w:rsid w:val="56AF6ADB"/>
    <w:rsid w:val="56B04601"/>
    <w:rsid w:val="56B158B6"/>
    <w:rsid w:val="56B17176"/>
    <w:rsid w:val="56B22A9C"/>
    <w:rsid w:val="56B239A0"/>
    <w:rsid w:val="56B27E3A"/>
    <w:rsid w:val="56B37C4E"/>
    <w:rsid w:val="56B40C7B"/>
    <w:rsid w:val="56B45E9F"/>
    <w:rsid w:val="56B50F12"/>
    <w:rsid w:val="56B52653"/>
    <w:rsid w:val="56B530F2"/>
    <w:rsid w:val="56B57E6A"/>
    <w:rsid w:val="56B60714"/>
    <w:rsid w:val="56B61ABA"/>
    <w:rsid w:val="56B714EC"/>
    <w:rsid w:val="56B7174F"/>
    <w:rsid w:val="56B85264"/>
    <w:rsid w:val="56B86B1E"/>
    <w:rsid w:val="56B934B6"/>
    <w:rsid w:val="56BA2859"/>
    <w:rsid w:val="56BA722E"/>
    <w:rsid w:val="56BB0D2A"/>
    <w:rsid w:val="56BC0DE5"/>
    <w:rsid w:val="56BC12B9"/>
    <w:rsid w:val="56BC4F55"/>
    <w:rsid w:val="56BC6B02"/>
    <w:rsid w:val="56BC7408"/>
    <w:rsid w:val="56BF20BE"/>
    <w:rsid w:val="56BF4844"/>
    <w:rsid w:val="56BF56FC"/>
    <w:rsid w:val="56BF62D6"/>
    <w:rsid w:val="56BF65F2"/>
    <w:rsid w:val="56C02A96"/>
    <w:rsid w:val="56C07766"/>
    <w:rsid w:val="56C14519"/>
    <w:rsid w:val="56C1680E"/>
    <w:rsid w:val="56C24C57"/>
    <w:rsid w:val="56C318C7"/>
    <w:rsid w:val="56C34335"/>
    <w:rsid w:val="56C34D75"/>
    <w:rsid w:val="56C35C5A"/>
    <w:rsid w:val="56C377A0"/>
    <w:rsid w:val="56C439FE"/>
    <w:rsid w:val="56C43C09"/>
    <w:rsid w:val="56C445B4"/>
    <w:rsid w:val="56C47577"/>
    <w:rsid w:val="56C476C0"/>
    <w:rsid w:val="56C54297"/>
    <w:rsid w:val="56C55981"/>
    <w:rsid w:val="56C62E6D"/>
    <w:rsid w:val="56C635D8"/>
    <w:rsid w:val="56C63E25"/>
    <w:rsid w:val="56C67981"/>
    <w:rsid w:val="56C704E3"/>
    <w:rsid w:val="56C73327"/>
    <w:rsid w:val="56C81A05"/>
    <w:rsid w:val="56C90818"/>
    <w:rsid w:val="56C90DDF"/>
    <w:rsid w:val="56C9121F"/>
    <w:rsid w:val="56C92580"/>
    <w:rsid w:val="56CA56C3"/>
    <w:rsid w:val="56CB31E9"/>
    <w:rsid w:val="56CB4F97"/>
    <w:rsid w:val="56CC7330"/>
    <w:rsid w:val="56CD51B3"/>
    <w:rsid w:val="56CD6B54"/>
    <w:rsid w:val="56CD6F61"/>
    <w:rsid w:val="56CE3832"/>
    <w:rsid w:val="56CE602C"/>
    <w:rsid w:val="56CF59E9"/>
    <w:rsid w:val="56CF6878"/>
    <w:rsid w:val="56D007FF"/>
    <w:rsid w:val="56D00F17"/>
    <w:rsid w:val="56D03958"/>
    <w:rsid w:val="56D05FA6"/>
    <w:rsid w:val="56D133FC"/>
    <w:rsid w:val="56D14745"/>
    <w:rsid w:val="56D227CA"/>
    <w:rsid w:val="56D24B3D"/>
    <w:rsid w:val="56D26326"/>
    <w:rsid w:val="56D301B7"/>
    <w:rsid w:val="56D316F3"/>
    <w:rsid w:val="56D3309D"/>
    <w:rsid w:val="56D3671E"/>
    <w:rsid w:val="56D4209E"/>
    <w:rsid w:val="56D450FE"/>
    <w:rsid w:val="56D45CC7"/>
    <w:rsid w:val="56D4706C"/>
    <w:rsid w:val="56D47BA4"/>
    <w:rsid w:val="56D54068"/>
    <w:rsid w:val="56D55E16"/>
    <w:rsid w:val="56D7393C"/>
    <w:rsid w:val="56D91391"/>
    <w:rsid w:val="56D93325"/>
    <w:rsid w:val="56D976B4"/>
    <w:rsid w:val="56DA167E"/>
    <w:rsid w:val="56DA39AB"/>
    <w:rsid w:val="56DB78D1"/>
    <w:rsid w:val="56DC003D"/>
    <w:rsid w:val="56DD0123"/>
    <w:rsid w:val="56DD0C0B"/>
    <w:rsid w:val="56DD194B"/>
    <w:rsid w:val="56DE011E"/>
    <w:rsid w:val="56DE4CCA"/>
    <w:rsid w:val="56DF05CA"/>
    <w:rsid w:val="56DF0AB4"/>
    <w:rsid w:val="56DF0B75"/>
    <w:rsid w:val="56DF2672"/>
    <w:rsid w:val="56DF2712"/>
    <w:rsid w:val="56E04EE6"/>
    <w:rsid w:val="56E10C5F"/>
    <w:rsid w:val="56E16569"/>
    <w:rsid w:val="56E3499B"/>
    <w:rsid w:val="56E46059"/>
    <w:rsid w:val="56E524FD"/>
    <w:rsid w:val="56E542AB"/>
    <w:rsid w:val="56E60023"/>
    <w:rsid w:val="56E61481"/>
    <w:rsid w:val="56E61DD1"/>
    <w:rsid w:val="56E62340"/>
    <w:rsid w:val="56E66275"/>
    <w:rsid w:val="56E71183"/>
    <w:rsid w:val="56E83DA1"/>
    <w:rsid w:val="56E86972"/>
    <w:rsid w:val="56E9366F"/>
    <w:rsid w:val="56EA1292"/>
    <w:rsid w:val="56EA776E"/>
    <w:rsid w:val="56EC52F3"/>
    <w:rsid w:val="56ED13B1"/>
    <w:rsid w:val="56ED315F"/>
    <w:rsid w:val="56EE022D"/>
    <w:rsid w:val="56EE0C86"/>
    <w:rsid w:val="56EE190C"/>
    <w:rsid w:val="56EE51C0"/>
    <w:rsid w:val="56EE6055"/>
    <w:rsid w:val="56EF42BA"/>
    <w:rsid w:val="56EF4FC6"/>
    <w:rsid w:val="56EF6ED8"/>
    <w:rsid w:val="56F00EA2"/>
    <w:rsid w:val="56F04A26"/>
    <w:rsid w:val="56F20776"/>
    <w:rsid w:val="56F2200F"/>
    <w:rsid w:val="56F269C8"/>
    <w:rsid w:val="56F27A24"/>
    <w:rsid w:val="56F33856"/>
    <w:rsid w:val="56F33F72"/>
    <w:rsid w:val="56F42F35"/>
    <w:rsid w:val="56F50266"/>
    <w:rsid w:val="56F5663D"/>
    <w:rsid w:val="56F619C9"/>
    <w:rsid w:val="56F6302C"/>
    <w:rsid w:val="56F664B8"/>
    <w:rsid w:val="56F72230"/>
    <w:rsid w:val="56F75D8C"/>
    <w:rsid w:val="56F820BD"/>
    <w:rsid w:val="56F83D27"/>
    <w:rsid w:val="56F84D77"/>
    <w:rsid w:val="56F86467"/>
    <w:rsid w:val="56F91B04"/>
    <w:rsid w:val="56F97F9E"/>
    <w:rsid w:val="56FA762A"/>
    <w:rsid w:val="56FC14ED"/>
    <w:rsid w:val="56FC196A"/>
    <w:rsid w:val="56FC4DE8"/>
    <w:rsid w:val="56FC54D9"/>
    <w:rsid w:val="56FC6477"/>
    <w:rsid w:val="56FD2FBA"/>
    <w:rsid w:val="56FD6F02"/>
    <w:rsid w:val="56FD7377"/>
    <w:rsid w:val="56FE00DA"/>
    <w:rsid w:val="56FE278F"/>
    <w:rsid w:val="56FE35BF"/>
    <w:rsid w:val="56FE49D8"/>
    <w:rsid w:val="56FE536D"/>
    <w:rsid w:val="56FE620B"/>
    <w:rsid w:val="56FF6FDB"/>
    <w:rsid w:val="570001EC"/>
    <w:rsid w:val="57004191"/>
    <w:rsid w:val="570044FC"/>
    <w:rsid w:val="570109B9"/>
    <w:rsid w:val="57014E5D"/>
    <w:rsid w:val="57016C0B"/>
    <w:rsid w:val="5702085E"/>
    <w:rsid w:val="57034731"/>
    <w:rsid w:val="570358F9"/>
    <w:rsid w:val="570404A9"/>
    <w:rsid w:val="57041E39"/>
    <w:rsid w:val="570566FB"/>
    <w:rsid w:val="570606C5"/>
    <w:rsid w:val="57062473"/>
    <w:rsid w:val="57081D47"/>
    <w:rsid w:val="5709258B"/>
    <w:rsid w:val="570C5CDB"/>
    <w:rsid w:val="570D015C"/>
    <w:rsid w:val="570D1A54"/>
    <w:rsid w:val="570D55B0"/>
    <w:rsid w:val="570E1D0A"/>
    <w:rsid w:val="570E71FA"/>
    <w:rsid w:val="570F30D6"/>
    <w:rsid w:val="570F3A83"/>
    <w:rsid w:val="570F757A"/>
    <w:rsid w:val="57102FAD"/>
    <w:rsid w:val="57106E4E"/>
    <w:rsid w:val="571132F2"/>
    <w:rsid w:val="5711709A"/>
    <w:rsid w:val="57117B7D"/>
    <w:rsid w:val="57120E18"/>
    <w:rsid w:val="5712706A"/>
    <w:rsid w:val="5713230A"/>
    <w:rsid w:val="571406EC"/>
    <w:rsid w:val="571435D4"/>
    <w:rsid w:val="57146882"/>
    <w:rsid w:val="57151371"/>
    <w:rsid w:val="571701DC"/>
    <w:rsid w:val="5717555E"/>
    <w:rsid w:val="5718779D"/>
    <w:rsid w:val="57197B09"/>
    <w:rsid w:val="571A1A7B"/>
    <w:rsid w:val="571B1C69"/>
    <w:rsid w:val="571B7CCD"/>
    <w:rsid w:val="571C25CE"/>
    <w:rsid w:val="571C3A45"/>
    <w:rsid w:val="571E156B"/>
    <w:rsid w:val="571E16F7"/>
    <w:rsid w:val="571E5A0F"/>
    <w:rsid w:val="571F5B19"/>
    <w:rsid w:val="571F64CE"/>
    <w:rsid w:val="571F7091"/>
    <w:rsid w:val="57203535"/>
    <w:rsid w:val="572052E3"/>
    <w:rsid w:val="5721105B"/>
    <w:rsid w:val="572172AD"/>
    <w:rsid w:val="57220840"/>
    <w:rsid w:val="572245B8"/>
    <w:rsid w:val="57236B81"/>
    <w:rsid w:val="57237F93"/>
    <w:rsid w:val="5726041F"/>
    <w:rsid w:val="57270A88"/>
    <w:rsid w:val="57272B15"/>
    <w:rsid w:val="57273370"/>
    <w:rsid w:val="57275EA1"/>
    <w:rsid w:val="5728063B"/>
    <w:rsid w:val="57284198"/>
    <w:rsid w:val="57291C6D"/>
    <w:rsid w:val="57295295"/>
    <w:rsid w:val="572A43B4"/>
    <w:rsid w:val="572A6162"/>
    <w:rsid w:val="572A7F10"/>
    <w:rsid w:val="572B0E10"/>
    <w:rsid w:val="572B30A2"/>
    <w:rsid w:val="572B52CB"/>
    <w:rsid w:val="572B5BE9"/>
    <w:rsid w:val="572B7BB5"/>
    <w:rsid w:val="572C1BBD"/>
    <w:rsid w:val="572C1D8F"/>
    <w:rsid w:val="572C3601"/>
    <w:rsid w:val="572C6AA5"/>
    <w:rsid w:val="572D4037"/>
    <w:rsid w:val="572D5C52"/>
    <w:rsid w:val="572D5EB9"/>
    <w:rsid w:val="572E0929"/>
    <w:rsid w:val="572E4C25"/>
    <w:rsid w:val="572E7B25"/>
    <w:rsid w:val="572F1107"/>
    <w:rsid w:val="572F19CA"/>
    <w:rsid w:val="572F5526"/>
    <w:rsid w:val="57312116"/>
    <w:rsid w:val="57315510"/>
    <w:rsid w:val="57315742"/>
    <w:rsid w:val="573174F0"/>
    <w:rsid w:val="57320C56"/>
    <w:rsid w:val="57323268"/>
    <w:rsid w:val="57324EB7"/>
    <w:rsid w:val="57325016"/>
    <w:rsid w:val="573423A8"/>
    <w:rsid w:val="5735078A"/>
    <w:rsid w:val="57351938"/>
    <w:rsid w:val="573568B4"/>
    <w:rsid w:val="57362D58"/>
    <w:rsid w:val="57364B06"/>
    <w:rsid w:val="57366409"/>
    <w:rsid w:val="57371162"/>
    <w:rsid w:val="5737262D"/>
    <w:rsid w:val="57376AD1"/>
    <w:rsid w:val="57377899"/>
    <w:rsid w:val="57383475"/>
    <w:rsid w:val="573878F3"/>
    <w:rsid w:val="57396626"/>
    <w:rsid w:val="5739721D"/>
    <w:rsid w:val="573A3ECB"/>
    <w:rsid w:val="573B036F"/>
    <w:rsid w:val="573B211D"/>
    <w:rsid w:val="573B7A5A"/>
    <w:rsid w:val="573C40E7"/>
    <w:rsid w:val="573C5E95"/>
    <w:rsid w:val="573D370B"/>
    <w:rsid w:val="573D6FAB"/>
    <w:rsid w:val="573E1C0D"/>
    <w:rsid w:val="573E4B9B"/>
    <w:rsid w:val="573E7E5F"/>
    <w:rsid w:val="574014E1"/>
    <w:rsid w:val="57411DDB"/>
    <w:rsid w:val="57414B76"/>
    <w:rsid w:val="57415259"/>
    <w:rsid w:val="574216FD"/>
    <w:rsid w:val="57430FD1"/>
    <w:rsid w:val="57435BF8"/>
    <w:rsid w:val="57435E3C"/>
    <w:rsid w:val="57437223"/>
    <w:rsid w:val="57444E15"/>
    <w:rsid w:val="574472CC"/>
    <w:rsid w:val="574511ED"/>
    <w:rsid w:val="57454D4A"/>
    <w:rsid w:val="57462870"/>
    <w:rsid w:val="57465EFE"/>
    <w:rsid w:val="57475C4D"/>
    <w:rsid w:val="5748483A"/>
    <w:rsid w:val="5749487F"/>
    <w:rsid w:val="574962EB"/>
    <w:rsid w:val="574A04A7"/>
    <w:rsid w:val="574A05B2"/>
    <w:rsid w:val="574A2360"/>
    <w:rsid w:val="574B719F"/>
    <w:rsid w:val="574C062F"/>
    <w:rsid w:val="574C432A"/>
    <w:rsid w:val="574D1E50"/>
    <w:rsid w:val="574D3BFE"/>
    <w:rsid w:val="574D4690"/>
    <w:rsid w:val="574D7A64"/>
    <w:rsid w:val="574E2F4F"/>
    <w:rsid w:val="574E38BF"/>
    <w:rsid w:val="574E441C"/>
    <w:rsid w:val="574F3973"/>
    <w:rsid w:val="574F3E1A"/>
    <w:rsid w:val="574F519D"/>
    <w:rsid w:val="574F7976"/>
    <w:rsid w:val="5750172E"/>
    <w:rsid w:val="575020F6"/>
    <w:rsid w:val="575061EC"/>
    <w:rsid w:val="57521D0B"/>
    <w:rsid w:val="57522ACE"/>
    <w:rsid w:val="5753039F"/>
    <w:rsid w:val="575431DF"/>
    <w:rsid w:val="57544A87"/>
    <w:rsid w:val="57544F8D"/>
    <w:rsid w:val="57546DC1"/>
    <w:rsid w:val="575516E1"/>
    <w:rsid w:val="5755628B"/>
    <w:rsid w:val="57560D05"/>
    <w:rsid w:val="57564798"/>
    <w:rsid w:val="575651A9"/>
    <w:rsid w:val="57566F57"/>
    <w:rsid w:val="57575742"/>
    <w:rsid w:val="57580F21"/>
    <w:rsid w:val="57585396"/>
    <w:rsid w:val="57590396"/>
    <w:rsid w:val="575907F5"/>
    <w:rsid w:val="5759132B"/>
    <w:rsid w:val="575A3DD1"/>
    <w:rsid w:val="575A40C3"/>
    <w:rsid w:val="575B27BF"/>
    <w:rsid w:val="575B4970"/>
    <w:rsid w:val="575C02E5"/>
    <w:rsid w:val="575D60AD"/>
    <w:rsid w:val="575D6537"/>
    <w:rsid w:val="575E1CAF"/>
    <w:rsid w:val="575E4DE2"/>
    <w:rsid w:val="575E5615"/>
    <w:rsid w:val="575E6AC3"/>
    <w:rsid w:val="575F3A9F"/>
    <w:rsid w:val="57603931"/>
    <w:rsid w:val="57622855"/>
    <w:rsid w:val="5762331D"/>
    <w:rsid w:val="57623B4D"/>
    <w:rsid w:val="57632ECD"/>
    <w:rsid w:val="57633422"/>
    <w:rsid w:val="57635426"/>
    <w:rsid w:val="576553EC"/>
    <w:rsid w:val="5765589C"/>
    <w:rsid w:val="57664CC0"/>
    <w:rsid w:val="576668AC"/>
    <w:rsid w:val="5766713A"/>
    <w:rsid w:val="57671164"/>
    <w:rsid w:val="57680A38"/>
    <w:rsid w:val="57684EDC"/>
    <w:rsid w:val="5768650F"/>
    <w:rsid w:val="576866C7"/>
    <w:rsid w:val="57697304"/>
    <w:rsid w:val="576A0C54"/>
    <w:rsid w:val="576A3BB8"/>
    <w:rsid w:val="576A46B7"/>
    <w:rsid w:val="576A5036"/>
    <w:rsid w:val="576C0528"/>
    <w:rsid w:val="576C1ACE"/>
    <w:rsid w:val="576C796C"/>
    <w:rsid w:val="576D42A0"/>
    <w:rsid w:val="576D573A"/>
    <w:rsid w:val="576D604E"/>
    <w:rsid w:val="576D7F4B"/>
    <w:rsid w:val="576E4220"/>
    <w:rsid w:val="576E58A2"/>
    <w:rsid w:val="576F1DC6"/>
    <w:rsid w:val="576F39C9"/>
    <w:rsid w:val="57703D73"/>
    <w:rsid w:val="57707A2A"/>
    <w:rsid w:val="57713D91"/>
    <w:rsid w:val="57714D30"/>
    <w:rsid w:val="57721191"/>
    <w:rsid w:val="577218B7"/>
    <w:rsid w:val="57727B09"/>
    <w:rsid w:val="57727E3C"/>
    <w:rsid w:val="577357BA"/>
    <w:rsid w:val="57743881"/>
    <w:rsid w:val="57746DAC"/>
    <w:rsid w:val="57776ECD"/>
    <w:rsid w:val="5778511F"/>
    <w:rsid w:val="57792C45"/>
    <w:rsid w:val="577A0392"/>
    <w:rsid w:val="577B1F6C"/>
    <w:rsid w:val="577B4C0F"/>
    <w:rsid w:val="577B69BD"/>
    <w:rsid w:val="577C44E3"/>
    <w:rsid w:val="577D2735"/>
    <w:rsid w:val="577D5EEF"/>
    <w:rsid w:val="577D7A34"/>
    <w:rsid w:val="577E025B"/>
    <w:rsid w:val="57803FD4"/>
    <w:rsid w:val="57804BEF"/>
    <w:rsid w:val="57812F2D"/>
    <w:rsid w:val="57813C86"/>
    <w:rsid w:val="578151D8"/>
    <w:rsid w:val="57820578"/>
    <w:rsid w:val="57821AC3"/>
    <w:rsid w:val="578239E3"/>
    <w:rsid w:val="57831589"/>
    <w:rsid w:val="57844525"/>
    <w:rsid w:val="578515EA"/>
    <w:rsid w:val="57853398"/>
    <w:rsid w:val="57853648"/>
    <w:rsid w:val="57855BEF"/>
    <w:rsid w:val="5785783C"/>
    <w:rsid w:val="578647C5"/>
    <w:rsid w:val="578718CF"/>
    <w:rsid w:val="57874821"/>
    <w:rsid w:val="57874DBC"/>
    <w:rsid w:val="57875362"/>
    <w:rsid w:val="578810DA"/>
    <w:rsid w:val="57882E88"/>
    <w:rsid w:val="57885F59"/>
    <w:rsid w:val="578A30A4"/>
    <w:rsid w:val="578A31A2"/>
    <w:rsid w:val="578A6C00"/>
    <w:rsid w:val="578A6DE2"/>
    <w:rsid w:val="578B5303"/>
    <w:rsid w:val="578B5549"/>
    <w:rsid w:val="578C0BCA"/>
    <w:rsid w:val="578C4091"/>
    <w:rsid w:val="578D2243"/>
    <w:rsid w:val="578E03E2"/>
    <w:rsid w:val="578E2779"/>
    <w:rsid w:val="578F2469"/>
    <w:rsid w:val="578F2F08"/>
    <w:rsid w:val="578F51FC"/>
    <w:rsid w:val="578F614C"/>
    <w:rsid w:val="579104A4"/>
    <w:rsid w:val="579161E1"/>
    <w:rsid w:val="57925AB5"/>
    <w:rsid w:val="5794182D"/>
    <w:rsid w:val="57946598"/>
    <w:rsid w:val="57956F99"/>
    <w:rsid w:val="57961A49"/>
    <w:rsid w:val="579637F7"/>
    <w:rsid w:val="579655A5"/>
    <w:rsid w:val="57966237"/>
    <w:rsid w:val="57971413"/>
    <w:rsid w:val="579730CB"/>
    <w:rsid w:val="57983ED6"/>
    <w:rsid w:val="57986F5F"/>
    <w:rsid w:val="579900C6"/>
    <w:rsid w:val="579932E7"/>
    <w:rsid w:val="579954F5"/>
    <w:rsid w:val="579A3DB1"/>
    <w:rsid w:val="579B345A"/>
    <w:rsid w:val="579D2DD8"/>
    <w:rsid w:val="579E08FE"/>
    <w:rsid w:val="579E26AC"/>
    <w:rsid w:val="579E2AA8"/>
    <w:rsid w:val="579E445A"/>
    <w:rsid w:val="579E5B42"/>
    <w:rsid w:val="57A001D2"/>
    <w:rsid w:val="57A01936"/>
    <w:rsid w:val="57A04973"/>
    <w:rsid w:val="57A06424"/>
    <w:rsid w:val="57A21D21"/>
    <w:rsid w:val="57A2219C"/>
    <w:rsid w:val="57A314E8"/>
    <w:rsid w:val="57A31A70"/>
    <w:rsid w:val="57A34E48"/>
    <w:rsid w:val="57A3611E"/>
    <w:rsid w:val="57A51342"/>
    <w:rsid w:val="57A51C8C"/>
    <w:rsid w:val="57A56669"/>
    <w:rsid w:val="57A6123A"/>
    <w:rsid w:val="57A620E7"/>
    <w:rsid w:val="57A64F49"/>
    <w:rsid w:val="57A75A04"/>
    <w:rsid w:val="57A7700B"/>
    <w:rsid w:val="57A82A8F"/>
    <w:rsid w:val="57A8395C"/>
    <w:rsid w:val="57A84A31"/>
    <w:rsid w:val="57A91901"/>
    <w:rsid w:val="57AA2DFF"/>
    <w:rsid w:val="57AA3E01"/>
    <w:rsid w:val="57AB1C2B"/>
    <w:rsid w:val="57AC12E1"/>
    <w:rsid w:val="57AC301B"/>
    <w:rsid w:val="57AC6B77"/>
    <w:rsid w:val="57AC711A"/>
    <w:rsid w:val="57AD03DC"/>
    <w:rsid w:val="57AD4DFB"/>
    <w:rsid w:val="57AF2ABD"/>
    <w:rsid w:val="57AF32E4"/>
    <w:rsid w:val="57AF48B9"/>
    <w:rsid w:val="57B03E37"/>
    <w:rsid w:val="57B07508"/>
    <w:rsid w:val="57B10631"/>
    <w:rsid w:val="57B123DF"/>
    <w:rsid w:val="57B13CA2"/>
    <w:rsid w:val="57B1418D"/>
    <w:rsid w:val="57B20595"/>
    <w:rsid w:val="57B221F9"/>
    <w:rsid w:val="57B27F05"/>
    <w:rsid w:val="57B343A9"/>
    <w:rsid w:val="57B40121"/>
    <w:rsid w:val="57B468D1"/>
    <w:rsid w:val="57B47300"/>
    <w:rsid w:val="57B47A69"/>
    <w:rsid w:val="57B51FFA"/>
    <w:rsid w:val="57B65C47"/>
    <w:rsid w:val="57B679F5"/>
    <w:rsid w:val="57B721BF"/>
    <w:rsid w:val="57B72A76"/>
    <w:rsid w:val="57B74DD8"/>
    <w:rsid w:val="57B75313"/>
    <w:rsid w:val="57B7551B"/>
    <w:rsid w:val="57B77C21"/>
    <w:rsid w:val="57B77E84"/>
    <w:rsid w:val="57B8364E"/>
    <w:rsid w:val="57B84080"/>
    <w:rsid w:val="57B94ADE"/>
    <w:rsid w:val="57B951F1"/>
    <w:rsid w:val="57B974E6"/>
    <w:rsid w:val="57BA33AA"/>
    <w:rsid w:val="57BA5057"/>
    <w:rsid w:val="57BA55C7"/>
    <w:rsid w:val="57BB14B0"/>
    <w:rsid w:val="57BB1FCF"/>
    <w:rsid w:val="57BB319C"/>
    <w:rsid w:val="57BB636D"/>
    <w:rsid w:val="57BC2B32"/>
    <w:rsid w:val="57BC345F"/>
    <w:rsid w:val="57C01BA4"/>
    <w:rsid w:val="57C11EF9"/>
    <w:rsid w:val="57C21903"/>
    <w:rsid w:val="57C23525"/>
    <w:rsid w:val="57C245EC"/>
    <w:rsid w:val="57C27F27"/>
    <w:rsid w:val="57C33EC0"/>
    <w:rsid w:val="57C3426C"/>
    <w:rsid w:val="57C46859"/>
    <w:rsid w:val="57C554DF"/>
    <w:rsid w:val="57C6318B"/>
    <w:rsid w:val="57C71C02"/>
    <w:rsid w:val="57C7233A"/>
    <w:rsid w:val="57C7238E"/>
    <w:rsid w:val="57C77E54"/>
    <w:rsid w:val="57C81A02"/>
    <w:rsid w:val="57C925C8"/>
    <w:rsid w:val="57CA34A1"/>
    <w:rsid w:val="57CA61FB"/>
    <w:rsid w:val="57CA6EF3"/>
    <w:rsid w:val="57CB0383"/>
    <w:rsid w:val="57CB0EBA"/>
    <w:rsid w:val="57CC332F"/>
    <w:rsid w:val="57CD4D3F"/>
    <w:rsid w:val="57CE1F93"/>
    <w:rsid w:val="57CE2659"/>
    <w:rsid w:val="57CE2F91"/>
    <w:rsid w:val="57CF0AB7"/>
    <w:rsid w:val="57CF4705"/>
    <w:rsid w:val="57CF6D04"/>
    <w:rsid w:val="57D12517"/>
    <w:rsid w:val="57D129E9"/>
    <w:rsid w:val="57D12A81"/>
    <w:rsid w:val="57D13704"/>
    <w:rsid w:val="57D13A15"/>
    <w:rsid w:val="57D14B4B"/>
    <w:rsid w:val="57D165DD"/>
    <w:rsid w:val="57D2300E"/>
    <w:rsid w:val="57D25685"/>
    <w:rsid w:val="57D30256"/>
    <w:rsid w:val="57D32355"/>
    <w:rsid w:val="57D367F9"/>
    <w:rsid w:val="57D4036C"/>
    <w:rsid w:val="57D4238E"/>
    <w:rsid w:val="57D45EC6"/>
    <w:rsid w:val="57D52571"/>
    <w:rsid w:val="57D60097"/>
    <w:rsid w:val="57D61A53"/>
    <w:rsid w:val="57D63ECC"/>
    <w:rsid w:val="57D64CC4"/>
    <w:rsid w:val="57D77BCC"/>
    <w:rsid w:val="57D85BBE"/>
    <w:rsid w:val="57D91936"/>
    <w:rsid w:val="57D936E4"/>
    <w:rsid w:val="57DA0118"/>
    <w:rsid w:val="57DB16B2"/>
    <w:rsid w:val="57DB3900"/>
    <w:rsid w:val="57DB56AE"/>
    <w:rsid w:val="57DB72AE"/>
    <w:rsid w:val="57DB745C"/>
    <w:rsid w:val="57DD4F82"/>
    <w:rsid w:val="57DD5C4B"/>
    <w:rsid w:val="57DF1866"/>
    <w:rsid w:val="57DF4E52"/>
    <w:rsid w:val="57DF6DD5"/>
    <w:rsid w:val="57E00F16"/>
    <w:rsid w:val="57E0285A"/>
    <w:rsid w:val="57E030D0"/>
    <w:rsid w:val="57E04A72"/>
    <w:rsid w:val="57E20BA8"/>
    <w:rsid w:val="57E26A3C"/>
    <w:rsid w:val="57E34F50"/>
    <w:rsid w:val="57E36310"/>
    <w:rsid w:val="57E378FB"/>
    <w:rsid w:val="57E427B4"/>
    <w:rsid w:val="57E44562"/>
    <w:rsid w:val="57E52089"/>
    <w:rsid w:val="57E53AFB"/>
    <w:rsid w:val="57E61F93"/>
    <w:rsid w:val="57E722A5"/>
    <w:rsid w:val="57E72C95"/>
    <w:rsid w:val="57E74053"/>
    <w:rsid w:val="57E75E01"/>
    <w:rsid w:val="57E83927"/>
    <w:rsid w:val="57E84FD9"/>
    <w:rsid w:val="57E91301"/>
    <w:rsid w:val="57E91B79"/>
    <w:rsid w:val="57E9504D"/>
    <w:rsid w:val="57E96070"/>
    <w:rsid w:val="57EA584B"/>
    <w:rsid w:val="57EA769F"/>
    <w:rsid w:val="57EB3FB9"/>
    <w:rsid w:val="57EB6225"/>
    <w:rsid w:val="57EB796D"/>
    <w:rsid w:val="57ED10E3"/>
    <w:rsid w:val="57ED228D"/>
    <w:rsid w:val="57ED34CA"/>
    <w:rsid w:val="57EE0EDB"/>
    <w:rsid w:val="57EF1159"/>
    <w:rsid w:val="57EF4CB5"/>
    <w:rsid w:val="57F0234F"/>
    <w:rsid w:val="57F1209E"/>
    <w:rsid w:val="57F16C7F"/>
    <w:rsid w:val="57F31D4B"/>
    <w:rsid w:val="57F329F7"/>
    <w:rsid w:val="57F347A6"/>
    <w:rsid w:val="57F37FCC"/>
    <w:rsid w:val="57F4051E"/>
    <w:rsid w:val="57F40CD0"/>
    <w:rsid w:val="57F4295D"/>
    <w:rsid w:val="57F46EB6"/>
    <w:rsid w:val="57F4758F"/>
    <w:rsid w:val="57F65106"/>
    <w:rsid w:val="57F71355"/>
    <w:rsid w:val="57F81DBC"/>
    <w:rsid w:val="57F86260"/>
    <w:rsid w:val="57F9006C"/>
    <w:rsid w:val="57F95B34"/>
    <w:rsid w:val="57FA3D86"/>
    <w:rsid w:val="57FA4D18"/>
    <w:rsid w:val="57FA5FD2"/>
    <w:rsid w:val="57FB18AC"/>
    <w:rsid w:val="57FB365A"/>
    <w:rsid w:val="57FB7462"/>
    <w:rsid w:val="57FB7AFE"/>
    <w:rsid w:val="57FD1D82"/>
    <w:rsid w:val="57FD5624"/>
    <w:rsid w:val="57FE314A"/>
    <w:rsid w:val="57FE49CA"/>
    <w:rsid w:val="57FF139C"/>
    <w:rsid w:val="57FF75EE"/>
    <w:rsid w:val="58003366"/>
    <w:rsid w:val="58010C67"/>
    <w:rsid w:val="58020E8D"/>
    <w:rsid w:val="58021F66"/>
    <w:rsid w:val="580225B1"/>
    <w:rsid w:val="58023023"/>
    <w:rsid w:val="58024764"/>
    <w:rsid w:val="5803005A"/>
    <w:rsid w:val="58032324"/>
    <w:rsid w:val="58036411"/>
    <w:rsid w:val="58040170"/>
    <w:rsid w:val="580469B3"/>
    <w:rsid w:val="58052478"/>
    <w:rsid w:val="5805272B"/>
    <w:rsid w:val="580538F1"/>
    <w:rsid w:val="580544B5"/>
    <w:rsid w:val="5806097D"/>
    <w:rsid w:val="58064366"/>
    <w:rsid w:val="5806440C"/>
    <w:rsid w:val="580671EF"/>
    <w:rsid w:val="58071B4E"/>
    <w:rsid w:val="580746F5"/>
    <w:rsid w:val="580805D6"/>
    <w:rsid w:val="5808145E"/>
    <w:rsid w:val="58090CCA"/>
    <w:rsid w:val="58093FC9"/>
    <w:rsid w:val="58097784"/>
    <w:rsid w:val="580A5195"/>
    <w:rsid w:val="580B3336"/>
    <w:rsid w:val="580B5F93"/>
    <w:rsid w:val="580B6F57"/>
    <w:rsid w:val="580B79F1"/>
    <w:rsid w:val="580C3AB9"/>
    <w:rsid w:val="580C5867"/>
    <w:rsid w:val="580C6CA6"/>
    <w:rsid w:val="580E10BC"/>
    <w:rsid w:val="580E15DF"/>
    <w:rsid w:val="580E7831"/>
    <w:rsid w:val="58101653"/>
    <w:rsid w:val="58101A31"/>
    <w:rsid w:val="581035A9"/>
    <w:rsid w:val="58107DD8"/>
    <w:rsid w:val="581110D0"/>
    <w:rsid w:val="5811240B"/>
    <w:rsid w:val="58112E7E"/>
    <w:rsid w:val="58122859"/>
    <w:rsid w:val="5812294D"/>
    <w:rsid w:val="58122E6D"/>
    <w:rsid w:val="5813309A"/>
    <w:rsid w:val="58133915"/>
    <w:rsid w:val="5814471C"/>
    <w:rsid w:val="5814758F"/>
    <w:rsid w:val="58147DC1"/>
    <w:rsid w:val="58150009"/>
    <w:rsid w:val="58150BC0"/>
    <w:rsid w:val="58160494"/>
    <w:rsid w:val="58165F74"/>
    <w:rsid w:val="581667FF"/>
    <w:rsid w:val="58183AC4"/>
    <w:rsid w:val="5819155B"/>
    <w:rsid w:val="58191578"/>
    <w:rsid w:val="581941E1"/>
    <w:rsid w:val="58197C2F"/>
    <w:rsid w:val="581A12F1"/>
    <w:rsid w:val="581A396B"/>
    <w:rsid w:val="581A61D6"/>
    <w:rsid w:val="581B13FE"/>
    <w:rsid w:val="581B1F4E"/>
    <w:rsid w:val="581B3CFC"/>
    <w:rsid w:val="581B530B"/>
    <w:rsid w:val="581B7115"/>
    <w:rsid w:val="581D7A74"/>
    <w:rsid w:val="581E2F41"/>
    <w:rsid w:val="581E5446"/>
    <w:rsid w:val="581F1A3E"/>
    <w:rsid w:val="58202630"/>
    <w:rsid w:val="58205520"/>
    <w:rsid w:val="582157B7"/>
    <w:rsid w:val="58216C5D"/>
    <w:rsid w:val="5821763B"/>
    <w:rsid w:val="58223AF1"/>
    <w:rsid w:val="58223E5C"/>
    <w:rsid w:val="5822508B"/>
    <w:rsid w:val="5822788F"/>
    <w:rsid w:val="58232D3B"/>
    <w:rsid w:val="58247055"/>
    <w:rsid w:val="5825678F"/>
    <w:rsid w:val="58256929"/>
    <w:rsid w:val="582622EE"/>
    <w:rsid w:val="58262DCD"/>
    <w:rsid w:val="582726A1"/>
    <w:rsid w:val="58277B5D"/>
    <w:rsid w:val="58283866"/>
    <w:rsid w:val="58284BA9"/>
    <w:rsid w:val="58285A13"/>
    <w:rsid w:val="582B03E3"/>
    <w:rsid w:val="582B2191"/>
    <w:rsid w:val="582C415B"/>
    <w:rsid w:val="582C5232"/>
    <w:rsid w:val="582C7CDE"/>
    <w:rsid w:val="582D0FFC"/>
    <w:rsid w:val="582E1C82"/>
    <w:rsid w:val="582E3A30"/>
    <w:rsid w:val="582E410F"/>
    <w:rsid w:val="582E57DE"/>
    <w:rsid w:val="582F1556"/>
    <w:rsid w:val="582F3781"/>
    <w:rsid w:val="58300E77"/>
    <w:rsid w:val="583077A8"/>
    <w:rsid w:val="58312587"/>
    <w:rsid w:val="583152CE"/>
    <w:rsid w:val="58323FB4"/>
    <w:rsid w:val="58325E36"/>
    <w:rsid w:val="58333B00"/>
    <w:rsid w:val="583354EA"/>
    <w:rsid w:val="5834210C"/>
    <w:rsid w:val="58346163"/>
    <w:rsid w:val="58346B6C"/>
    <w:rsid w:val="58354DBE"/>
    <w:rsid w:val="58355CF1"/>
    <w:rsid w:val="58355EB2"/>
    <w:rsid w:val="58360B36"/>
    <w:rsid w:val="58365DDC"/>
    <w:rsid w:val="58366D88"/>
    <w:rsid w:val="58372679"/>
    <w:rsid w:val="58372C70"/>
    <w:rsid w:val="583821C2"/>
    <w:rsid w:val="5838665C"/>
    <w:rsid w:val="583938F5"/>
    <w:rsid w:val="583A3465"/>
    <w:rsid w:val="583A6878"/>
    <w:rsid w:val="583B614D"/>
    <w:rsid w:val="583B6CB8"/>
    <w:rsid w:val="583C439E"/>
    <w:rsid w:val="583C472A"/>
    <w:rsid w:val="583C52D6"/>
    <w:rsid w:val="583C5D85"/>
    <w:rsid w:val="583D0117"/>
    <w:rsid w:val="583D1EC5"/>
    <w:rsid w:val="583E4EEE"/>
    <w:rsid w:val="583F3E8F"/>
    <w:rsid w:val="583F79EB"/>
    <w:rsid w:val="584036D8"/>
    <w:rsid w:val="58405511"/>
    <w:rsid w:val="58407CFE"/>
    <w:rsid w:val="58412230"/>
    <w:rsid w:val="584140FB"/>
    <w:rsid w:val="58417C07"/>
    <w:rsid w:val="58421289"/>
    <w:rsid w:val="584274DB"/>
    <w:rsid w:val="584366C5"/>
    <w:rsid w:val="584414A5"/>
    <w:rsid w:val="58445001"/>
    <w:rsid w:val="584470E8"/>
    <w:rsid w:val="58474AF1"/>
    <w:rsid w:val="58475690"/>
    <w:rsid w:val="5847689F"/>
    <w:rsid w:val="58482C7F"/>
    <w:rsid w:val="58485A69"/>
    <w:rsid w:val="58493626"/>
    <w:rsid w:val="584957B8"/>
    <w:rsid w:val="584A7A39"/>
    <w:rsid w:val="584B2834"/>
    <w:rsid w:val="584B45E2"/>
    <w:rsid w:val="584B4822"/>
    <w:rsid w:val="584C3B8F"/>
    <w:rsid w:val="584C41EB"/>
    <w:rsid w:val="584E2691"/>
    <w:rsid w:val="584E5E80"/>
    <w:rsid w:val="584E7C2E"/>
    <w:rsid w:val="584F0CD6"/>
    <w:rsid w:val="584F50F7"/>
    <w:rsid w:val="584F5DF2"/>
    <w:rsid w:val="58501BF8"/>
    <w:rsid w:val="58503617"/>
    <w:rsid w:val="58520E0A"/>
    <w:rsid w:val="58523BC2"/>
    <w:rsid w:val="58532B7C"/>
    <w:rsid w:val="58532E83"/>
    <w:rsid w:val="58532F19"/>
    <w:rsid w:val="58533496"/>
    <w:rsid w:val="58535244"/>
    <w:rsid w:val="5854400C"/>
    <w:rsid w:val="58547171"/>
    <w:rsid w:val="5855720E"/>
    <w:rsid w:val="5855757F"/>
    <w:rsid w:val="58560B8D"/>
    <w:rsid w:val="58564D34"/>
    <w:rsid w:val="585651F5"/>
    <w:rsid w:val="58572CAE"/>
    <w:rsid w:val="58576E0B"/>
    <w:rsid w:val="58584602"/>
    <w:rsid w:val="58586AC7"/>
    <w:rsid w:val="58590AD0"/>
    <w:rsid w:val="585969EE"/>
    <w:rsid w:val="585A7E7E"/>
    <w:rsid w:val="585B7E33"/>
    <w:rsid w:val="585C4E6E"/>
    <w:rsid w:val="585D3491"/>
    <w:rsid w:val="585D4315"/>
    <w:rsid w:val="585D60C3"/>
    <w:rsid w:val="585F008D"/>
    <w:rsid w:val="585F3E4A"/>
    <w:rsid w:val="586048F0"/>
    <w:rsid w:val="58605180"/>
    <w:rsid w:val="58611097"/>
    <w:rsid w:val="58613A3F"/>
    <w:rsid w:val="58613E05"/>
    <w:rsid w:val="58615BB3"/>
    <w:rsid w:val="58627B7D"/>
    <w:rsid w:val="58630F30"/>
    <w:rsid w:val="586311A8"/>
    <w:rsid w:val="58641890"/>
    <w:rsid w:val="5864436E"/>
    <w:rsid w:val="586456A3"/>
    <w:rsid w:val="58646875"/>
    <w:rsid w:val="5865530E"/>
    <w:rsid w:val="5865762E"/>
    <w:rsid w:val="5866141B"/>
    <w:rsid w:val="586631C9"/>
    <w:rsid w:val="58666731"/>
    <w:rsid w:val="58670D41"/>
    <w:rsid w:val="58672A43"/>
    <w:rsid w:val="58676F42"/>
    <w:rsid w:val="58681B55"/>
    <w:rsid w:val="58690F0C"/>
    <w:rsid w:val="58692CBA"/>
    <w:rsid w:val="58694333"/>
    <w:rsid w:val="586A7ED7"/>
    <w:rsid w:val="586B07E0"/>
    <w:rsid w:val="586B2293"/>
    <w:rsid w:val="586B4F13"/>
    <w:rsid w:val="586B6A32"/>
    <w:rsid w:val="586C27AA"/>
    <w:rsid w:val="586C6306"/>
    <w:rsid w:val="586D0721"/>
    <w:rsid w:val="586D09FC"/>
    <w:rsid w:val="586D0C62"/>
    <w:rsid w:val="586D2AC4"/>
    <w:rsid w:val="586E207E"/>
    <w:rsid w:val="586E6522"/>
    <w:rsid w:val="586E7784"/>
    <w:rsid w:val="586F5A44"/>
    <w:rsid w:val="5870229A"/>
    <w:rsid w:val="58704048"/>
    <w:rsid w:val="5870546C"/>
    <w:rsid w:val="58705DF6"/>
    <w:rsid w:val="58713534"/>
    <w:rsid w:val="58726E3B"/>
    <w:rsid w:val="58730438"/>
    <w:rsid w:val="587326BB"/>
    <w:rsid w:val="58733B38"/>
    <w:rsid w:val="587358E6"/>
    <w:rsid w:val="5875165E"/>
    <w:rsid w:val="5875340D"/>
    <w:rsid w:val="58760619"/>
    <w:rsid w:val="58761C4F"/>
    <w:rsid w:val="58761D2A"/>
    <w:rsid w:val="5876212B"/>
    <w:rsid w:val="587753D7"/>
    <w:rsid w:val="58782EFD"/>
    <w:rsid w:val="587830F6"/>
    <w:rsid w:val="58786083"/>
    <w:rsid w:val="58792193"/>
    <w:rsid w:val="587924FF"/>
    <w:rsid w:val="587A0EC6"/>
    <w:rsid w:val="587A13E7"/>
    <w:rsid w:val="587A4EC7"/>
    <w:rsid w:val="587A6A50"/>
    <w:rsid w:val="587B3670"/>
    <w:rsid w:val="587B59B6"/>
    <w:rsid w:val="587C0647"/>
    <w:rsid w:val="587C0C3F"/>
    <w:rsid w:val="587C1217"/>
    <w:rsid w:val="587D0F2F"/>
    <w:rsid w:val="587E02F5"/>
    <w:rsid w:val="587E23E5"/>
    <w:rsid w:val="587F072F"/>
    <w:rsid w:val="587F332E"/>
    <w:rsid w:val="587F6283"/>
    <w:rsid w:val="58800458"/>
    <w:rsid w:val="58801DB1"/>
    <w:rsid w:val="58810003"/>
    <w:rsid w:val="5881560A"/>
    <w:rsid w:val="58817055"/>
    <w:rsid w:val="5882708A"/>
    <w:rsid w:val="5883183D"/>
    <w:rsid w:val="58836A33"/>
    <w:rsid w:val="58836DD9"/>
    <w:rsid w:val="58847AF3"/>
    <w:rsid w:val="588500FC"/>
    <w:rsid w:val="588517BA"/>
    <w:rsid w:val="58852E3A"/>
    <w:rsid w:val="5885445A"/>
    <w:rsid w:val="588576B1"/>
    <w:rsid w:val="58860AD6"/>
    <w:rsid w:val="588642CA"/>
    <w:rsid w:val="5886561A"/>
    <w:rsid w:val="588673C8"/>
    <w:rsid w:val="58873140"/>
    <w:rsid w:val="588743D1"/>
    <w:rsid w:val="5887701A"/>
    <w:rsid w:val="588936EC"/>
    <w:rsid w:val="5889510A"/>
    <w:rsid w:val="588A46D5"/>
    <w:rsid w:val="588B2C30"/>
    <w:rsid w:val="588B432B"/>
    <w:rsid w:val="588B6D5C"/>
    <w:rsid w:val="588C42AB"/>
    <w:rsid w:val="588C55E3"/>
    <w:rsid w:val="588C69A8"/>
    <w:rsid w:val="588D419D"/>
    <w:rsid w:val="588D4BFA"/>
    <w:rsid w:val="588D5626"/>
    <w:rsid w:val="588D58A4"/>
    <w:rsid w:val="588E2720"/>
    <w:rsid w:val="588E40ED"/>
    <w:rsid w:val="588E44CE"/>
    <w:rsid w:val="588F36C7"/>
    <w:rsid w:val="58906498"/>
    <w:rsid w:val="5890733F"/>
    <w:rsid w:val="58910F35"/>
    <w:rsid w:val="58922210"/>
    <w:rsid w:val="589368CE"/>
    <w:rsid w:val="58937D37"/>
    <w:rsid w:val="58941529"/>
    <w:rsid w:val="58942B03"/>
    <w:rsid w:val="58943EC1"/>
    <w:rsid w:val="5895292F"/>
    <w:rsid w:val="58953AAF"/>
    <w:rsid w:val="5895714E"/>
    <w:rsid w:val="5896376B"/>
    <w:rsid w:val="589715D5"/>
    <w:rsid w:val="58977E20"/>
    <w:rsid w:val="589812B0"/>
    <w:rsid w:val="5898359F"/>
    <w:rsid w:val="589860F2"/>
    <w:rsid w:val="589870FB"/>
    <w:rsid w:val="58992740"/>
    <w:rsid w:val="589A2E73"/>
    <w:rsid w:val="589A3BD0"/>
    <w:rsid w:val="589A626B"/>
    <w:rsid w:val="589C2978"/>
    <w:rsid w:val="589C308F"/>
    <w:rsid w:val="589D0BB5"/>
    <w:rsid w:val="589D2963"/>
    <w:rsid w:val="589D6645"/>
    <w:rsid w:val="589D7E14"/>
    <w:rsid w:val="589E6E07"/>
    <w:rsid w:val="589F0489"/>
    <w:rsid w:val="58A00230"/>
    <w:rsid w:val="58A10472"/>
    <w:rsid w:val="58A12453"/>
    <w:rsid w:val="58A22782"/>
    <w:rsid w:val="58A304C9"/>
    <w:rsid w:val="58A32001"/>
    <w:rsid w:val="58A3441E"/>
    <w:rsid w:val="58A362A8"/>
    <w:rsid w:val="58A40196"/>
    <w:rsid w:val="58A41E81"/>
    <w:rsid w:val="58A433CA"/>
    <w:rsid w:val="58A43CF2"/>
    <w:rsid w:val="58A53B75"/>
    <w:rsid w:val="58A65CBC"/>
    <w:rsid w:val="58A67DD1"/>
    <w:rsid w:val="58A75590"/>
    <w:rsid w:val="58A76217"/>
    <w:rsid w:val="58A81A34"/>
    <w:rsid w:val="58A85694"/>
    <w:rsid w:val="58A91308"/>
    <w:rsid w:val="58A957AC"/>
    <w:rsid w:val="58AA2D6A"/>
    <w:rsid w:val="58AA6296"/>
    <w:rsid w:val="58AB1524"/>
    <w:rsid w:val="58AB72E7"/>
    <w:rsid w:val="58AC2BA6"/>
    <w:rsid w:val="58AD0DF8"/>
    <w:rsid w:val="58AD585C"/>
    <w:rsid w:val="58AD6A04"/>
    <w:rsid w:val="58AD704A"/>
    <w:rsid w:val="58AE4B70"/>
    <w:rsid w:val="58AF4966"/>
    <w:rsid w:val="58B02697"/>
    <w:rsid w:val="58B05ED7"/>
    <w:rsid w:val="58B06B3A"/>
    <w:rsid w:val="58B06F1C"/>
    <w:rsid w:val="58B101BD"/>
    <w:rsid w:val="58B23558"/>
    <w:rsid w:val="58B2421E"/>
    <w:rsid w:val="58B2555A"/>
    <w:rsid w:val="58B2640F"/>
    <w:rsid w:val="58B303D9"/>
    <w:rsid w:val="58B33BE7"/>
    <w:rsid w:val="58B35B51"/>
    <w:rsid w:val="58B41ECA"/>
    <w:rsid w:val="58B442C6"/>
    <w:rsid w:val="58B4505C"/>
    <w:rsid w:val="58B52A3A"/>
    <w:rsid w:val="58B54151"/>
    <w:rsid w:val="58B54EB4"/>
    <w:rsid w:val="58B57CAD"/>
    <w:rsid w:val="58B61C68"/>
    <w:rsid w:val="58B6641D"/>
    <w:rsid w:val="58B71934"/>
    <w:rsid w:val="58B71C77"/>
    <w:rsid w:val="58B73641"/>
    <w:rsid w:val="58B8154B"/>
    <w:rsid w:val="58B852E0"/>
    <w:rsid w:val="58BA3515"/>
    <w:rsid w:val="58BA52C3"/>
    <w:rsid w:val="58BB4F5B"/>
    <w:rsid w:val="58BC0970"/>
    <w:rsid w:val="58BC4221"/>
    <w:rsid w:val="58BC54DF"/>
    <w:rsid w:val="58BC728D"/>
    <w:rsid w:val="58BD150F"/>
    <w:rsid w:val="58BE0D7B"/>
    <w:rsid w:val="58BE1257"/>
    <w:rsid w:val="58BF0B2C"/>
    <w:rsid w:val="58BF6D7E"/>
    <w:rsid w:val="58C03568"/>
    <w:rsid w:val="58C148A4"/>
    <w:rsid w:val="58C2138D"/>
    <w:rsid w:val="58C24F41"/>
    <w:rsid w:val="58C25462"/>
    <w:rsid w:val="58C25617"/>
    <w:rsid w:val="58C3434A"/>
    <w:rsid w:val="58C346B5"/>
    <w:rsid w:val="58C3686E"/>
    <w:rsid w:val="58C45F54"/>
    <w:rsid w:val="58C502CD"/>
    <w:rsid w:val="58C51501"/>
    <w:rsid w:val="58C61EBA"/>
    <w:rsid w:val="58C66426"/>
    <w:rsid w:val="58C7006B"/>
    <w:rsid w:val="58C845D8"/>
    <w:rsid w:val="58CA3C80"/>
    <w:rsid w:val="58CA7BFC"/>
    <w:rsid w:val="58CB47D1"/>
    <w:rsid w:val="58CB5722"/>
    <w:rsid w:val="58CD149A"/>
    <w:rsid w:val="58CD3249"/>
    <w:rsid w:val="58CD3877"/>
    <w:rsid w:val="58CD4FF7"/>
    <w:rsid w:val="58CD6E31"/>
    <w:rsid w:val="58CE0A9D"/>
    <w:rsid w:val="58D02D39"/>
    <w:rsid w:val="58D06B21"/>
    <w:rsid w:val="58D07FB1"/>
    <w:rsid w:val="58D16DB9"/>
    <w:rsid w:val="58D2085F"/>
    <w:rsid w:val="58D21983"/>
    <w:rsid w:val="58D2260D"/>
    <w:rsid w:val="58D228D1"/>
    <w:rsid w:val="58D2291D"/>
    <w:rsid w:val="58D269C6"/>
    <w:rsid w:val="58D26AB1"/>
    <w:rsid w:val="58D33D61"/>
    <w:rsid w:val="58D370E4"/>
    <w:rsid w:val="58D42BCA"/>
    <w:rsid w:val="58D451F1"/>
    <w:rsid w:val="58D62C38"/>
    <w:rsid w:val="58D72319"/>
    <w:rsid w:val="58D76ACB"/>
    <w:rsid w:val="58D77C23"/>
    <w:rsid w:val="58D81BED"/>
    <w:rsid w:val="58D8399B"/>
    <w:rsid w:val="58D90218"/>
    <w:rsid w:val="58D968EA"/>
    <w:rsid w:val="58D97E3F"/>
    <w:rsid w:val="58DA27A4"/>
    <w:rsid w:val="58DA530F"/>
    <w:rsid w:val="58DA7713"/>
    <w:rsid w:val="58DC16DE"/>
    <w:rsid w:val="58DC348C"/>
    <w:rsid w:val="58DC50C4"/>
    <w:rsid w:val="58DC7930"/>
    <w:rsid w:val="58DD0301"/>
    <w:rsid w:val="58DE1F85"/>
    <w:rsid w:val="58DE2AF2"/>
    <w:rsid w:val="58DE2E5D"/>
    <w:rsid w:val="58DE31AC"/>
    <w:rsid w:val="58DE5456"/>
    <w:rsid w:val="58DE7204"/>
    <w:rsid w:val="58DF0893"/>
    <w:rsid w:val="58DF14D8"/>
    <w:rsid w:val="58DF19DA"/>
    <w:rsid w:val="58DF1EFB"/>
    <w:rsid w:val="58DF2266"/>
    <w:rsid w:val="58DF399F"/>
    <w:rsid w:val="58DF3D9A"/>
    <w:rsid w:val="58DF3E78"/>
    <w:rsid w:val="58DF4D2A"/>
    <w:rsid w:val="58E01304"/>
    <w:rsid w:val="58E01999"/>
    <w:rsid w:val="58E056A4"/>
    <w:rsid w:val="58E14F46"/>
    <w:rsid w:val="58E16CF4"/>
    <w:rsid w:val="58E16E01"/>
    <w:rsid w:val="58E17A56"/>
    <w:rsid w:val="58E230FD"/>
    <w:rsid w:val="58E30232"/>
    <w:rsid w:val="58E30CBE"/>
    <w:rsid w:val="58E3481A"/>
    <w:rsid w:val="58E43968"/>
    <w:rsid w:val="58E6430A"/>
    <w:rsid w:val="58E67940"/>
    <w:rsid w:val="58E67F89"/>
    <w:rsid w:val="58E723D0"/>
    <w:rsid w:val="58E80082"/>
    <w:rsid w:val="58E81E30"/>
    <w:rsid w:val="58E82F9E"/>
    <w:rsid w:val="58E86238"/>
    <w:rsid w:val="58E97957"/>
    <w:rsid w:val="58EB1921"/>
    <w:rsid w:val="58EB1FE8"/>
    <w:rsid w:val="58EC60B5"/>
    <w:rsid w:val="58ED38EB"/>
    <w:rsid w:val="58EE786F"/>
    <w:rsid w:val="58EF7663"/>
    <w:rsid w:val="58F007A4"/>
    <w:rsid w:val="58F00CE5"/>
    <w:rsid w:val="58F03289"/>
    <w:rsid w:val="58F033DB"/>
    <w:rsid w:val="58F06F37"/>
    <w:rsid w:val="58F20F01"/>
    <w:rsid w:val="58F24A5D"/>
    <w:rsid w:val="58F419FA"/>
    <w:rsid w:val="58F4665B"/>
    <w:rsid w:val="58F509F1"/>
    <w:rsid w:val="58F71DF8"/>
    <w:rsid w:val="58F72073"/>
    <w:rsid w:val="58F76492"/>
    <w:rsid w:val="58F76517"/>
    <w:rsid w:val="58F8004F"/>
    <w:rsid w:val="58FA1B64"/>
    <w:rsid w:val="58FA6F0C"/>
    <w:rsid w:val="58FB7741"/>
    <w:rsid w:val="58FC3B2E"/>
    <w:rsid w:val="58FC6629"/>
    <w:rsid w:val="58FD6DB4"/>
    <w:rsid w:val="58FE1654"/>
    <w:rsid w:val="58FE78A6"/>
    <w:rsid w:val="58FF29A1"/>
    <w:rsid w:val="58FF6E67"/>
    <w:rsid w:val="59020E1C"/>
    <w:rsid w:val="590316FF"/>
    <w:rsid w:val="5903310E"/>
    <w:rsid w:val="59034EBC"/>
    <w:rsid w:val="590429E2"/>
    <w:rsid w:val="59042B8F"/>
    <w:rsid w:val="590454E8"/>
    <w:rsid w:val="59046035"/>
    <w:rsid w:val="59055760"/>
    <w:rsid w:val="5905624B"/>
    <w:rsid w:val="59060509"/>
    <w:rsid w:val="59066BF0"/>
    <w:rsid w:val="59080725"/>
    <w:rsid w:val="59081510"/>
    <w:rsid w:val="590824D3"/>
    <w:rsid w:val="59083F15"/>
    <w:rsid w:val="590840E1"/>
    <w:rsid w:val="59091DA7"/>
    <w:rsid w:val="5909450C"/>
    <w:rsid w:val="59097FF9"/>
    <w:rsid w:val="590A46F9"/>
    <w:rsid w:val="590A624B"/>
    <w:rsid w:val="590B03C5"/>
    <w:rsid w:val="590B1FC3"/>
    <w:rsid w:val="590B20BD"/>
    <w:rsid w:val="590B5208"/>
    <w:rsid w:val="590C0B28"/>
    <w:rsid w:val="590C13B8"/>
    <w:rsid w:val="590C5701"/>
    <w:rsid w:val="590C5CE8"/>
    <w:rsid w:val="590D0758"/>
    <w:rsid w:val="590D463D"/>
    <w:rsid w:val="590D47E9"/>
    <w:rsid w:val="590E4EFC"/>
    <w:rsid w:val="590E560F"/>
    <w:rsid w:val="590F13E3"/>
    <w:rsid w:val="59101262"/>
    <w:rsid w:val="59102873"/>
    <w:rsid w:val="591039B5"/>
    <w:rsid w:val="591049A4"/>
    <w:rsid w:val="59115444"/>
    <w:rsid w:val="59123351"/>
    <w:rsid w:val="591250FF"/>
    <w:rsid w:val="59126EAD"/>
    <w:rsid w:val="59140E77"/>
    <w:rsid w:val="59145A38"/>
    <w:rsid w:val="5915074C"/>
    <w:rsid w:val="5915699E"/>
    <w:rsid w:val="5916322E"/>
    <w:rsid w:val="59175C79"/>
    <w:rsid w:val="59181005"/>
    <w:rsid w:val="5919648E"/>
    <w:rsid w:val="591A2206"/>
    <w:rsid w:val="591A2837"/>
    <w:rsid w:val="591A2D58"/>
    <w:rsid w:val="591B0440"/>
    <w:rsid w:val="591B10C7"/>
    <w:rsid w:val="591B6A92"/>
    <w:rsid w:val="591C41D0"/>
    <w:rsid w:val="591C5F7E"/>
    <w:rsid w:val="591D0D36"/>
    <w:rsid w:val="591E275F"/>
    <w:rsid w:val="591E5852"/>
    <w:rsid w:val="591F781C"/>
    <w:rsid w:val="59205A6E"/>
    <w:rsid w:val="592117E6"/>
    <w:rsid w:val="592129AE"/>
    <w:rsid w:val="59213594"/>
    <w:rsid w:val="59216EA0"/>
    <w:rsid w:val="592171A5"/>
    <w:rsid w:val="59226D2B"/>
    <w:rsid w:val="592310BA"/>
    <w:rsid w:val="59232E69"/>
    <w:rsid w:val="59233990"/>
    <w:rsid w:val="59236118"/>
    <w:rsid w:val="592364BD"/>
    <w:rsid w:val="592410DE"/>
    <w:rsid w:val="59241E40"/>
    <w:rsid w:val="59246BE1"/>
    <w:rsid w:val="592471C0"/>
    <w:rsid w:val="59254E33"/>
    <w:rsid w:val="59255664"/>
    <w:rsid w:val="59265199"/>
    <w:rsid w:val="5926708E"/>
    <w:rsid w:val="59277B42"/>
    <w:rsid w:val="59284923"/>
    <w:rsid w:val="592866D1"/>
    <w:rsid w:val="5929128C"/>
    <w:rsid w:val="592956B5"/>
    <w:rsid w:val="592B2698"/>
    <w:rsid w:val="592C7E9E"/>
    <w:rsid w:val="592D018B"/>
    <w:rsid w:val="592D3CE7"/>
    <w:rsid w:val="592E7A5D"/>
    <w:rsid w:val="592F22CE"/>
    <w:rsid w:val="592F4F24"/>
    <w:rsid w:val="592F60E4"/>
    <w:rsid w:val="592F7A5F"/>
    <w:rsid w:val="59301E5D"/>
    <w:rsid w:val="593132EC"/>
    <w:rsid w:val="593213AE"/>
    <w:rsid w:val="593257A1"/>
    <w:rsid w:val="59331480"/>
    <w:rsid w:val="593333F2"/>
    <w:rsid w:val="59341B67"/>
    <w:rsid w:val="593432C8"/>
    <w:rsid w:val="59344B1B"/>
    <w:rsid w:val="593459F2"/>
    <w:rsid w:val="59350FDF"/>
    <w:rsid w:val="59362775"/>
    <w:rsid w:val="59370D41"/>
    <w:rsid w:val="59371E61"/>
    <w:rsid w:val="59372DB8"/>
    <w:rsid w:val="59374B66"/>
    <w:rsid w:val="59375A1D"/>
    <w:rsid w:val="59376DAF"/>
    <w:rsid w:val="59383C44"/>
    <w:rsid w:val="59385DB3"/>
    <w:rsid w:val="59390D1E"/>
    <w:rsid w:val="59396B30"/>
    <w:rsid w:val="593A1412"/>
    <w:rsid w:val="593A758F"/>
    <w:rsid w:val="593B28A8"/>
    <w:rsid w:val="593B5A90"/>
    <w:rsid w:val="593C03FF"/>
    <w:rsid w:val="593C217C"/>
    <w:rsid w:val="593C25F7"/>
    <w:rsid w:val="593C3F2A"/>
    <w:rsid w:val="593D17F0"/>
    <w:rsid w:val="593E565E"/>
    <w:rsid w:val="593E7CA2"/>
    <w:rsid w:val="59401951"/>
    <w:rsid w:val="59401C6C"/>
    <w:rsid w:val="5940441B"/>
    <w:rsid w:val="5940666D"/>
    <w:rsid w:val="59411F8B"/>
    <w:rsid w:val="59424271"/>
    <w:rsid w:val="59436EAC"/>
    <w:rsid w:val="59440021"/>
    <w:rsid w:val="5944283F"/>
    <w:rsid w:val="59452339"/>
    <w:rsid w:val="59452BF2"/>
    <w:rsid w:val="59461670"/>
    <w:rsid w:val="59462FFB"/>
    <w:rsid w:val="59463A19"/>
    <w:rsid w:val="5947124D"/>
    <w:rsid w:val="59484FC5"/>
    <w:rsid w:val="59486D73"/>
    <w:rsid w:val="59493FFA"/>
    <w:rsid w:val="59497EDE"/>
    <w:rsid w:val="594A3E93"/>
    <w:rsid w:val="594A4D10"/>
    <w:rsid w:val="594A6647"/>
    <w:rsid w:val="594B5323"/>
    <w:rsid w:val="594D1384"/>
    <w:rsid w:val="594D4389"/>
    <w:rsid w:val="594F0101"/>
    <w:rsid w:val="594F1EAF"/>
    <w:rsid w:val="594F3C5E"/>
    <w:rsid w:val="59505C28"/>
    <w:rsid w:val="595079D6"/>
    <w:rsid w:val="59513E7A"/>
    <w:rsid w:val="5951525B"/>
    <w:rsid w:val="59516618"/>
    <w:rsid w:val="59534B16"/>
    <w:rsid w:val="595379CD"/>
    <w:rsid w:val="5954056B"/>
    <w:rsid w:val="5954396A"/>
    <w:rsid w:val="595474C6"/>
    <w:rsid w:val="59562AC9"/>
    <w:rsid w:val="59563B77"/>
    <w:rsid w:val="59572B48"/>
    <w:rsid w:val="59575208"/>
    <w:rsid w:val="59583AA2"/>
    <w:rsid w:val="59590F80"/>
    <w:rsid w:val="595929D3"/>
    <w:rsid w:val="595A2602"/>
    <w:rsid w:val="595B0502"/>
    <w:rsid w:val="595B0854"/>
    <w:rsid w:val="595B4CF8"/>
    <w:rsid w:val="595B4E18"/>
    <w:rsid w:val="595C45CC"/>
    <w:rsid w:val="595C62A8"/>
    <w:rsid w:val="595C637A"/>
    <w:rsid w:val="595D1CE4"/>
    <w:rsid w:val="595E6596"/>
    <w:rsid w:val="595E7E2B"/>
    <w:rsid w:val="595F0805"/>
    <w:rsid w:val="595F0856"/>
    <w:rsid w:val="596040BD"/>
    <w:rsid w:val="59605E6B"/>
    <w:rsid w:val="59611BE3"/>
    <w:rsid w:val="59611F42"/>
    <w:rsid w:val="59613991"/>
    <w:rsid w:val="596179CA"/>
    <w:rsid w:val="59617E35"/>
    <w:rsid w:val="5962713E"/>
    <w:rsid w:val="596307AC"/>
    <w:rsid w:val="5963315C"/>
    <w:rsid w:val="59633B12"/>
    <w:rsid w:val="59633BAD"/>
    <w:rsid w:val="596516D3"/>
    <w:rsid w:val="59652D68"/>
    <w:rsid w:val="59653481"/>
    <w:rsid w:val="596545F4"/>
    <w:rsid w:val="59661F2B"/>
    <w:rsid w:val="596651E2"/>
    <w:rsid w:val="596671F9"/>
    <w:rsid w:val="596733BB"/>
    <w:rsid w:val="59680B5D"/>
    <w:rsid w:val="596811C3"/>
    <w:rsid w:val="59686B4C"/>
    <w:rsid w:val="5968741C"/>
    <w:rsid w:val="59687F9A"/>
    <w:rsid w:val="596976EA"/>
    <w:rsid w:val="596A0289"/>
    <w:rsid w:val="596A0A97"/>
    <w:rsid w:val="596A6CE9"/>
    <w:rsid w:val="596B16E6"/>
    <w:rsid w:val="596B201C"/>
    <w:rsid w:val="596B7BA3"/>
    <w:rsid w:val="596D64A6"/>
    <w:rsid w:val="596F235C"/>
    <w:rsid w:val="596F60AE"/>
    <w:rsid w:val="59703091"/>
    <w:rsid w:val="59705BAE"/>
    <w:rsid w:val="59715A31"/>
    <w:rsid w:val="597162CA"/>
    <w:rsid w:val="59720278"/>
    <w:rsid w:val="59721C0F"/>
    <w:rsid w:val="59722042"/>
    <w:rsid w:val="59724A0A"/>
    <w:rsid w:val="597271B7"/>
    <w:rsid w:val="597321F7"/>
    <w:rsid w:val="59737535"/>
    <w:rsid w:val="59741916"/>
    <w:rsid w:val="597457F6"/>
    <w:rsid w:val="59747B68"/>
    <w:rsid w:val="597506E7"/>
    <w:rsid w:val="59753887"/>
    <w:rsid w:val="59764C4C"/>
    <w:rsid w:val="5976568E"/>
    <w:rsid w:val="5977047C"/>
    <w:rsid w:val="597731B4"/>
    <w:rsid w:val="597745F1"/>
    <w:rsid w:val="59776B54"/>
    <w:rsid w:val="59777658"/>
    <w:rsid w:val="59786F11"/>
    <w:rsid w:val="5979517E"/>
    <w:rsid w:val="59796F2C"/>
    <w:rsid w:val="597A2859"/>
    <w:rsid w:val="597B512C"/>
    <w:rsid w:val="597C1D3B"/>
    <w:rsid w:val="597C767D"/>
    <w:rsid w:val="597E09E7"/>
    <w:rsid w:val="597E110F"/>
    <w:rsid w:val="597F386C"/>
    <w:rsid w:val="59802427"/>
    <w:rsid w:val="59802E2A"/>
    <w:rsid w:val="598036BE"/>
    <w:rsid w:val="5980650D"/>
    <w:rsid w:val="59806CA4"/>
    <w:rsid w:val="59811520"/>
    <w:rsid w:val="59814033"/>
    <w:rsid w:val="59815DE1"/>
    <w:rsid w:val="59821EFA"/>
    <w:rsid w:val="59830B6B"/>
    <w:rsid w:val="59833794"/>
    <w:rsid w:val="59835FFD"/>
    <w:rsid w:val="598418D5"/>
    <w:rsid w:val="59853B23"/>
    <w:rsid w:val="598633F7"/>
    <w:rsid w:val="598649EC"/>
    <w:rsid w:val="5986640F"/>
    <w:rsid w:val="598732F0"/>
    <w:rsid w:val="59875AED"/>
    <w:rsid w:val="5987789B"/>
    <w:rsid w:val="5988121D"/>
    <w:rsid w:val="598853C1"/>
    <w:rsid w:val="59895746"/>
    <w:rsid w:val="598A0241"/>
    <w:rsid w:val="598A113A"/>
    <w:rsid w:val="598A6866"/>
    <w:rsid w:val="598B276F"/>
    <w:rsid w:val="598B6C60"/>
    <w:rsid w:val="598C5387"/>
    <w:rsid w:val="598D2453"/>
    <w:rsid w:val="598D61FF"/>
    <w:rsid w:val="598E28EC"/>
    <w:rsid w:val="598E7CA7"/>
    <w:rsid w:val="59904AB7"/>
    <w:rsid w:val="5991071A"/>
    <w:rsid w:val="599124C8"/>
    <w:rsid w:val="599133E7"/>
    <w:rsid w:val="59914276"/>
    <w:rsid w:val="599211F9"/>
    <w:rsid w:val="59923010"/>
    <w:rsid w:val="599252AD"/>
    <w:rsid w:val="59926240"/>
    <w:rsid w:val="59927AB8"/>
    <w:rsid w:val="59927FEE"/>
    <w:rsid w:val="59933008"/>
    <w:rsid w:val="59934492"/>
    <w:rsid w:val="59941FB8"/>
    <w:rsid w:val="59943D66"/>
    <w:rsid w:val="59944FA9"/>
    <w:rsid w:val="59945B14"/>
    <w:rsid w:val="59947126"/>
    <w:rsid w:val="59953820"/>
    <w:rsid w:val="59960F02"/>
    <w:rsid w:val="59961079"/>
    <w:rsid w:val="59965208"/>
    <w:rsid w:val="59965D30"/>
    <w:rsid w:val="59970A6B"/>
    <w:rsid w:val="59981257"/>
    <w:rsid w:val="59981AA8"/>
    <w:rsid w:val="599822EC"/>
    <w:rsid w:val="599849F3"/>
    <w:rsid w:val="5999137D"/>
    <w:rsid w:val="599929E6"/>
    <w:rsid w:val="5999312B"/>
    <w:rsid w:val="59995821"/>
    <w:rsid w:val="59995E32"/>
    <w:rsid w:val="599B22AB"/>
    <w:rsid w:val="599B2EE3"/>
    <w:rsid w:val="599B3347"/>
    <w:rsid w:val="599B3B04"/>
    <w:rsid w:val="599C03B8"/>
    <w:rsid w:val="599C1250"/>
    <w:rsid w:val="599C373B"/>
    <w:rsid w:val="599E0C2C"/>
    <w:rsid w:val="599E4BE5"/>
    <w:rsid w:val="599F08AA"/>
    <w:rsid w:val="599F0CCF"/>
    <w:rsid w:val="59A04C8D"/>
    <w:rsid w:val="59A118E5"/>
    <w:rsid w:val="59A16621"/>
    <w:rsid w:val="59A20079"/>
    <w:rsid w:val="59A2218D"/>
    <w:rsid w:val="59A246D5"/>
    <w:rsid w:val="59A30A3D"/>
    <w:rsid w:val="59A315EF"/>
    <w:rsid w:val="59A3360E"/>
    <w:rsid w:val="59A42963"/>
    <w:rsid w:val="59A46449"/>
    <w:rsid w:val="59A50D64"/>
    <w:rsid w:val="59A57D21"/>
    <w:rsid w:val="59A71CEC"/>
    <w:rsid w:val="59A73A9A"/>
    <w:rsid w:val="59A76A16"/>
    <w:rsid w:val="59A815C0"/>
    <w:rsid w:val="59A85A64"/>
    <w:rsid w:val="59A87812"/>
    <w:rsid w:val="59A94BD2"/>
    <w:rsid w:val="59AA078F"/>
    <w:rsid w:val="59AA17DC"/>
    <w:rsid w:val="59AA336E"/>
    <w:rsid w:val="59AA3524"/>
    <w:rsid w:val="59AA358A"/>
    <w:rsid w:val="59AA3BBE"/>
    <w:rsid w:val="59AA749B"/>
    <w:rsid w:val="59AB1D36"/>
    <w:rsid w:val="59AB414C"/>
    <w:rsid w:val="59AC5554"/>
    <w:rsid w:val="59AC7302"/>
    <w:rsid w:val="59AD46C0"/>
    <w:rsid w:val="59AD4E28"/>
    <w:rsid w:val="59AD4F9D"/>
    <w:rsid w:val="59AD6BD6"/>
    <w:rsid w:val="59AE2310"/>
    <w:rsid w:val="59AF2D82"/>
    <w:rsid w:val="59B128D1"/>
    <w:rsid w:val="59B14918"/>
    <w:rsid w:val="59B320CE"/>
    <w:rsid w:val="59B368E2"/>
    <w:rsid w:val="59B419C2"/>
    <w:rsid w:val="59B44408"/>
    <w:rsid w:val="59B47F65"/>
    <w:rsid w:val="59B51B5F"/>
    <w:rsid w:val="59B60181"/>
    <w:rsid w:val="59B605EE"/>
    <w:rsid w:val="59B6195C"/>
    <w:rsid w:val="59B636F1"/>
    <w:rsid w:val="59B63CDD"/>
    <w:rsid w:val="59B64635"/>
    <w:rsid w:val="59B6687C"/>
    <w:rsid w:val="59B73186"/>
    <w:rsid w:val="59B84DD8"/>
    <w:rsid w:val="59B85CA7"/>
    <w:rsid w:val="59BB12F3"/>
    <w:rsid w:val="59BB1B90"/>
    <w:rsid w:val="59BB35A6"/>
    <w:rsid w:val="59BB5797"/>
    <w:rsid w:val="59BC3B9D"/>
    <w:rsid w:val="59BC4885"/>
    <w:rsid w:val="59BC78A1"/>
    <w:rsid w:val="59BE0DE3"/>
    <w:rsid w:val="59BE2EFF"/>
    <w:rsid w:val="59BE7035"/>
    <w:rsid w:val="59BF03F3"/>
    <w:rsid w:val="59C02DAD"/>
    <w:rsid w:val="59C0439F"/>
    <w:rsid w:val="59C04B5B"/>
    <w:rsid w:val="59C12278"/>
    <w:rsid w:val="59C13172"/>
    <w:rsid w:val="59C15A6E"/>
    <w:rsid w:val="59C208D3"/>
    <w:rsid w:val="59C3464B"/>
    <w:rsid w:val="59C363FA"/>
    <w:rsid w:val="59C4289D"/>
    <w:rsid w:val="59C42A07"/>
    <w:rsid w:val="59C503C4"/>
    <w:rsid w:val="59C52172"/>
    <w:rsid w:val="59C53F20"/>
    <w:rsid w:val="59C56616"/>
    <w:rsid w:val="59C64C9B"/>
    <w:rsid w:val="59C75EEA"/>
    <w:rsid w:val="59C77C98"/>
    <w:rsid w:val="59C81C62"/>
    <w:rsid w:val="59C83A10"/>
    <w:rsid w:val="59C83C36"/>
    <w:rsid w:val="59C945F7"/>
    <w:rsid w:val="59C9625C"/>
    <w:rsid w:val="59C97EB4"/>
    <w:rsid w:val="59CA59F6"/>
    <w:rsid w:val="59CB475E"/>
    <w:rsid w:val="59CC01B7"/>
    <w:rsid w:val="59CC1752"/>
    <w:rsid w:val="59CC3500"/>
    <w:rsid w:val="59CC52AE"/>
    <w:rsid w:val="59CC577A"/>
    <w:rsid w:val="59CD2E74"/>
    <w:rsid w:val="59CD4971"/>
    <w:rsid w:val="59CF1242"/>
    <w:rsid w:val="59CF4091"/>
    <w:rsid w:val="59CF4D9E"/>
    <w:rsid w:val="59D06CD7"/>
    <w:rsid w:val="59D10454"/>
    <w:rsid w:val="59D12660"/>
    <w:rsid w:val="59D14FBA"/>
    <w:rsid w:val="59D16D68"/>
    <w:rsid w:val="59D209E3"/>
    <w:rsid w:val="59D2488F"/>
    <w:rsid w:val="59D24F7D"/>
    <w:rsid w:val="59D2668C"/>
    <w:rsid w:val="59D423B5"/>
    <w:rsid w:val="59D52E71"/>
    <w:rsid w:val="59D61F0E"/>
    <w:rsid w:val="59D625D1"/>
    <w:rsid w:val="59D6437F"/>
    <w:rsid w:val="59D6612D"/>
    <w:rsid w:val="59D67A3F"/>
    <w:rsid w:val="59D70720"/>
    <w:rsid w:val="59D70C41"/>
    <w:rsid w:val="59D800F7"/>
    <w:rsid w:val="59D81EA5"/>
    <w:rsid w:val="59D8398E"/>
    <w:rsid w:val="59D86349"/>
    <w:rsid w:val="59D94E3D"/>
    <w:rsid w:val="59D95C1D"/>
    <w:rsid w:val="59DA5D72"/>
    <w:rsid w:val="59DA62AE"/>
    <w:rsid w:val="59DC597E"/>
    <w:rsid w:val="59DD270C"/>
    <w:rsid w:val="59DD395F"/>
    <w:rsid w:val="59DD570D"/>
    <w:rsid w:val="59DE0CA7"/>
    <w:rsid w:val="59DE1485"/>
    <w:rsid w:val="59DE3233"/>
    <w:rsid w:val="59DE334D"/>
    <w:rsid w:val="59DE5DB6"/>
    <w:rsid w:val="59DE60BF"/>
    <w:rsid w:val="59DF5670"/>
    <w:rsid w:val="59E00D5A"/>
    <w:rsid w:val="59E06FAB"/>
    <w:rsid w:val="59E0732E"/>
    <w:rsid w:val="59E176FA"/>
    <w:rsid w:val="59E20F76"/>
    <w:rsid w:val="59E21F44"/>
    <w:rsid w:val="59E24A40"/>
    <w:rsid w:val="59E35ED0"/>
    <w:rsid w:val="59E412A7"/>
    <w:rsid w:val="59E4254F"/>
    <w:rsid w:val="59E44380"/>
    <w:rsid w:val="59E448FA"/>
    <w:rsid w:val="59E5110C"/>
    <w:rsid w:val="59E52814"/>
    <w:rsid w:val="59E52CAB"/>
    <w:rsid w:val="59E535D4"/>
    <w:rsid w:val="59E545C2"/>
    <w:rsid w:val="59E54656"/>
    <w:rsid w:val="59E65F92"/>
    <w:rsid w:val="59E7033A"/>
    <w:rsid w:val="59E7658C"/>
    <w:rsid w:val="59E76EBF"/>
    <w:rsid w:val="59E85E60"/>
    <w:rsid w:val="59E9136D"/>
    <w:rsid w:val="59E9425F"/>
    <w:rsid w:val="59EA607C"/>
    <w:rsid w:val="59EA7E2A"/>
    <w:rsid w:val="59EC0167"/>
    <w:rsid w:val="59EC0AEC"/>
    <w:rsid w:val="59EC6AB3"/>
    <w:rsid w:val="59EC76FE"/>
    <w:rsid w:val="59ED3476"/>
    <w:rsid w:val="59ED355F"/>
    <w:rsid w:val="59ED57A1"/>
    <w:rsid w:val="59EE1099"/>
    <w:rsid w:val="59EE16C8"/>
    <w:rsid w:val="59EE18A4"/>
    <w:rsid w:val="59EF66B6"/>
    <w:rsid w:val="59F02FE1"/>
    <w:rsid w:val="59F1158D"/>
    <w:rsid w:val="59F12F67"/>
    <w:rsid w:val="59F1655D"/>
    <w:rsid w:val="59F1740B"/>
    <w:rsid w:val="59F20A8D"/>
    <w:rsid w:val="59F359C5"/>
    <w:rsid w:val="59F36CDF"/>
    <w:rsid w:val="59F40CA9"/>
    <w:rsid w:val="59F41A26"/>
    <w:rsid w:val="59F42A57"/>
    <w:rsid w:val="59F4536F"/>
    <w:rsid w:val="59F46E55"/>
    <w:rsid w:val="59F574FE"/>
    <w:rsid w:val="59F6057D"/>
    <w:rsid w:val="59F67BEB"/>
    <w:rsid w:val="59F7218B"/>
    <w:rsid w:val="59F760A3"/>
    <w:rsid w:val="59F8530D"/>
    <w:rsid w:val="59F9006D"/>
    <w:rsid w:val="59F91837"/>
    <w:rsid w:val="59FA4157"/>
    <w:rsid w:val="59FA5898"/>
    <w:rsid w:val="59FA62BF"/>
    <w:rsid w:val="59FB2037"/>
    <w:rsid w:val="59FB3818"/>
    <w:rsid w:val="59FB5B93"/>
    <w:rsid w:val="59FB712C"/>
    <w:rsid w:val="59FD190B"/>
    <w:rsid w:val="59FD5DAF"/>
    <w:rsid w:val="59FD7B5D"/>
    <w:rsid w:val="59FE5684"/>
    <w:rsid w:val="59FF38D6"/>
    <w:rsid w:val="59FF3F68"/>
    <w:rsid w:val="5A0031AA"/>
    <w:rsid w:val="5A00764E"/>
    <w:rsid w:val="5A007FC9"/>
    <w:rsid w:val="5A010D01"/>
    <w:rsid w:val="5A01311C"/>
    <w:rsid w:val="5A02058E"/>
    <w:rsid w:val="5A021704"/>
    <w:rsid w:val="5A0233C6"/>
    <w:rsid w:val="5A02345A"/>
    <w:rsid w:val="5A025364"/>
    <w:rsid w:val="5A032C9A"/>
    <w:rsid w:val="5A035D59"/>
    <w:rsid w:val="5A037476"/>
    <w:rsid w:val="5A041F9C"/>
    <w:rsid w:val="5A042160"/>
    <w:rsid w:val="5A045688"/>
    <w:rsid w:val="5A054C64"/>
    <w:rsid w:val="5A0563E9"/>
    <w:rsid w:val="5A0615B8"/>
    <w:rsid w:val="5A0636D9"/>
    <w:rsid w:val="5A06469B"/>
    <w:rsid w:val="5A064F35"/>
    <w:rsid w:val="5A0709DC"/>
    <w:rsid w:val="5A07278A"/>
    <w:rsid w:val="5A0855B2"/>
    <w:rsid w:val="5A093501"/>
    <w:rsid w:val="5A094754"/>
    <w:rsid w:val="5A0C079C"/>
    <w:rsid w:val="5A0C3457"/>
    <w:rsid w:val="5A0C5FF2"/>
    <w:rsid w:val="5A0D1573"/>
    <w:rsid w:val="5A0D3E42"/>
    <w:rsid w:val="5A0D5C5F"/>
    <w:rsid w:val="5A0E1D6B"/>
    <w:rsid w:val="5A0E25A4"/>
    <w:rsid w:val="5A0E3B19"/>
    <w:rsid w:val="5A0F163F"/>
    <w:rsid w:val="5A0F2267"/>
    <w:rsid w:val="5A0F4A80"/>
    <w:rsid w:val="5A0F7891"/>
    <w:rsid w:val="5A102D6B"/>
    <w:rsid w:val="5A105077"/>
    <w:rsid w:val="5A105AE3"/>
    <w:rsid w:val="5A10637D"/>
    <w:rsid w:val="5A107ABE"/>
    <w:rsid w:val="5A1110AF"/>
    <w:rsid w:val="5A1124DF"/>
    <w:rsid w:val="5A112DD4"/>
    <w:rsid w:val="5A1169BA"/>
    <w:rsid w:val="5A117165"/>
    <w:rsid w:val="5A12434D"/>
    <w:rsid w:val="5A127009"/>
    <w:rsid w:val="5A1275EA"/>
    <w:rsid w:val="5A132EDD"/>
    <w:rsid w:val="5A13508F"/>
    <w:rsid w:val="5A137381"/>
    <w:rsid w:val="5A1434FC"/>
    <w:rsid w:val="5A14373D"/>
    <w:rsid w:val="5A1461D7"/>
    <w:rsid w:val="5A146777"/>
    <w:rsid w:val="5A146C55"/>
    <w:rsid w:val="5A1478CF"/>
    <w:rsid w:val="5A150314"/>
    <w:rsid w:val="5A15171D"/>
    <w:rsid w:val="5A160C1F"/>
    <w:rsid w:val="5A161E02"/>
    <w:rsid w:val="5A163930"/>
    <w:rsid w:val="5A166427"/>
    <w:rsid w:val="5A1667A4"/>
    <w:rsid w:val="5A166CB1"/>
    <w:rsid w:val="5A166E71"/>
    <w:rsid w:val="5A1820C1"/>
    <w:rsid w:val="5A184997"/>
    <w:rsid w:val="5A184D71"/>
    <w:rsid w:val="5A18626D"/>
    <w:rsid w:val="5A1924BD"/>
    <w:rsid w:val="5A1A070F"/>
    <w:rsid w:val="5A1A3BFA"/>
    <w:rsid w:val="5A1A78B6"/>
    <w:rsid w:val="5A1B6236"/>
    <w:rsid w:val="5A1B7FE4"/>
    <w:rsid w:val="5A1D0200"/>
    <w:rsid w:val="5A1D4BB8"/>
    <w:rsid w:val="5A1D5B0A"/>
    <w:rsid w:val="5A1D69CB"/>
    <w:rsid w:val="5A1E0934"/>
    <w:rsid w:val="5A1E534A"/>
    <w:rsid w:val="5A1F5D26"/>
    <w:rsid w:val="5A20427A"/>
    <w:rsid w:val="5A2055FA"/>
    <w:rsid w:val="5A210A43"/>
    <w:rsid w:val="5A2165AB"/>
    <w:rsid w:val="5A217302"/>
    <w:rsid w:val="5A244F5C"/>
    <w:rsid w:val="5A2450EA"/>
    <w:rsid w:val="5A250E62"/>
    <w:rsid w:val="5A251116"/>
    <w:rsid w:val="5A252118"/>
    <w:rsid w:val="5A252C10"/>
    <w:rsid w:val="5A260707"/>
    <w:rsid w:val="5A260EC2"/>
    <w:rsid w:val="5A272E2C"/>
    <w:rsid w:val="5A2734CC"/>
    <w:rsid w:val="5A276988"/>
    <w:rsid w:val="5A286E9A"/>
    <w:rsid w:val="5A290952"/>
    <w:rsid w:val="5A292701"/>
    <w:rsid w:val="5A2971D5"/>
    <w:rsid w:val="5A2A1AF5"/>
    <w:rsid w:val="5A2A46CB"/>
    <w:rsid w:val="5A2B251C"/>
    <w:rsid w:val="5A2B46C6"/>
    <w:rsid w:val="5A2C21F1"/>
    <w:rsid w:val="5A2C3F9F"/>
    <w:rsid w:val="5A2D1BB7"/>
    <w:rsid w:val="5A2E1836"/>
    <w:rsid w:val="5A2E41BB"/>
    <w:rsid w:val="5A2E5F69"/>
    <w:rsid w:val="5A2E6DC3"/>
    <w:rsid w:val="5A2E712E"/>
    <w:rsid w:val="5A2E7D17"/>
    <w:rsid w:val="5A2F44D7"/>
    <w:rsid w:val="5A2F4F2C"/>
    <w:rsid w:val="5A2F6356"/>
    <w:rsid w:val="5A2F7B6C"/>
    <w:rsid w:val="5A307F33"/>
    <w:rsid w:val="5A314AF9"/>
    <w:rsid w:val="5A315A59"/>
    <w:rsid w:val="5A317807"/>
    <w:rsid w:val="5A3317D1"/>
    <w:rsid w:val="5A355549"/>
    <w:rsid w:val="5A3572F7"/>
    <w:rsid w:val="5A3612C1"/>
    <w:rsid w:val="5A36321B"/>
    <w:rsid w:val="5A366BCB"/>
    <w:rsid w:val="5A381BDA"/>
    <w:rsid w:val="5A382944"/>
    <w:rsid w:val="5A386DE8"/>
    <w:rsid w:val="5A3966BC"/>
    <w:rsid w:val="5A396718"/>
    <w:rsid w:val="5A3A10D3"/>
    <w:rsid w:val="5A3A1AE4"/>
    <w:rsid w:val="5A3A1C71"/>
    <w:rsid w:val="5A3B2434"/>
    <w:rsid w:val="5A3B30F9"/>
    <w:rsid w:val="5A3B41BB"/>
    <w:rsid w:val="5A3C1FE1"/>
    <w:rsid w:val="5A3C3F0A"/>
    <w:rsid w:val="5A3C564B"/>
    <w:rsid w:val="5A3D3EAE"/>
    <w:rsid w:val="5A3D7F5A"/>
    <w:rsid w:val="5A3E2B3C"/>
    <w:rsid w:val="5A3E3CD2"/>
    <w:rsid w:val="5A3F0176"/>
    <w:rsid w:val="5A3F1F24"/>
    <w:rsid w:val="5A3F5302"/>
    <w:rsid w:val="5A3F6F16"/>
    <w:rsid w:val="5A4139CC"/>
    <w:rsid w:val="5A420B01"/>
    <w:rsid w:val="5A441D67"/>
    <w:rsid w:val="5A44578C"/>
    <w:rsid w:val="5A4532B2"/>
    <w:rsid w:val="5A455061"/>
    <w:rsid w:val="5A455DDA"/>
    <w:rsid w:val="5A461504"/>
    <w:rsid w:val="5A463C64"/>
    <w:rsid w:val="5A47029C"/>
    <w:rsid w:val="5A470DD9"/>
    <w:rsid w:val="5A4743B9"/>
    <w:rsid w:val="5A47527D"/>
    <w:rsid w:val="5A483BEE"/>
    <w:rsid w:val="5A490FF5"/>
    <w:rsid w:val="5A494B51"/>
    <w:rsid w:val="5A4A08C9"/>
    <w:rsid w:val="5A4A20A6"/>
    <w:rsid w:val="5A4B6B1B"/>
    <w:rsid w:val="5A4C2893"/>
    <w:rsid w:val="5A4C63EF"/>
    <w:rsid w:val="5A4E660B"/>
    <w:rsid w:val="5A4F0DF0"/>
    <w:rsid w:val="5A4F0EF0"/>
    <w:rsid w:val="5A4F4817"/>
    <w:rsid w:val="5A511C57"/>
    <w:rsid w:val="5A513A05"/>
    <w:rsid w:val="5A517EA9"/>
    <w:rsid w:val="5A5203EA"/>
    <w:rsid w:val="5A524BA3"/>
    <w:rsid w:val="5A533C21"/>
    <w:rsid w:val="5A53777D"/>
    <w:rsid w:val="5A541D54"/>
    <w:rsid w:val="5A544D62"/>
    <w:rsid w:val="5A546E71"/>
    <w:rsid w:val="5A551824"/>
    <w:rsid w:val="5A5654C0"/>
    <w:rsid w:val="5A56705C"/>
    <w:rsid w:val="5A567682"/>
    <w:rsid w:val="5A57044A"/>
    <w:rsid w:val="5A570B12"/>
    <w:rsid w:val="5A57120A"/>
    <w:rsid w:val="5A572253"/>
    <w:rsid w:val="5A57789B"/>
    <w:rsid w:val="5A581029"/>
    <w:rsid w:val="5A582FE6"/>
    <w:rsid w:val="5A5836E3"/>
    <w:rsid w:val="5A587B11"/>
    <w:rsid w:val="5A587CD5"/>
    <w:rsid w:val="5A597744"/>
    <w:rsid w:val="5A5A4FB0"/>
    <w:rsid w:val="5A5B2064"/>
    <w:rsid w:val="5A5B3400"/>
    <w:rsid w:val="5A5B4FE2"/>
    <w:rsid w:val="5A5C4F21"/>
    <w:rsid w:val="5A5D0488"/>
    <w:rsid w:val="5A5D05FC"/>
    <w:rsid w:val="5A5D23AA"/>
    <w:rsid w:val="5A5D684E"/>
    <w:rsid w:val="5A5F06BA"/>
    <w:rsid w:val="5A5F4374"/>
    <w:rsid w:val="5A5F48DF"/>
    <w:rsid w:val="5A6000EC"/>
    <w:rsid w:val="5A6052B9"/>
    <w:rsid w:val="5A607F3C"/>
    <w:rsid w:val="5A6139B8"/>
    <w:rsid w:val="5A61633E"/>
    <w:rsid w:val="5A623E64"/>
    <w:rsid w:val="5A627366"/>
    <w:rsid w:val="5A6373A0"/>
    <w:rsid w:val="5A646FAD"/>
    <w:rsid w:val="5A64785B"/>
    <w:rsid w:val="5A6515B9"/>
    <w:rsid w:val="5A6574B1"/>
    <w:rsid w:val="5A657737"/>
    <w:rsid w:val="5A663955"/>
    <w:rsid w:val="5A664053"/>
    <w:rsid w:val="5A6642C8"/>
    <w:rsid w:val="5A670607"/>
    <w:rsid w:val="5A6723A8"/>
    <w:rsid w:val="5A680099"/>
    <w:rsid w:val="5A681011"/>
    <w:rsid w:val="5A68536B"/>
    <w:rsid w:val="5A687088"/>
    <w:rsid w:val="5A690D4F"/>
    <w:rsid w:val="5A6A4AC7"/>
    <w:rsid w:val="5A6A5AF8"/>
    <w:rsid w:val="5A6B2D19"/>
    <w:rsid w:val="5A6C083F"/>
    <w:rsid w:val="5A6C40A9"/>
    <w:rsid w:val="5A6D202E"/>
    <w:rsid w:val="5A6D7BCF"/>
    <w:rsid w:val="5A6E04DA"/>
    <w:rsid w:val="5A6E17BD"/>
    <w:rsid w:val="5A6E2809"/>
    <w:rsid w:val="5A6F0DF7"/>
    <w:rsid w:val="5A6F20DD"/>
    <w:rsid w:val="5A6F6F32"/>
    <w:rsid w:val="5A7013AB"/>
    <w:rsid w:val="5A706581"/>
    <w:rsid w:val="5A712320"/>
    <w:rsid w:val="5A7159CB"/>
    <w:rsid w:val="5A735037"/>
    <w:rsid w:val="5A737E20"/>
    <w:rsid w:val="5A744342"/>
    <w:rsid w:val="5A7476F4"/>
    <w:rsid w:val="5A755946"/>
    <w:rsid w:val="5A76060F"/>
    <w:rsid w:val="5A76346C"/>
    <w:rsid w:val="5A767910"/>
    <w:rsid w:val="5A7700FC"/>
    <w:rsid w:val="5A774A2D"/>
    <w:rsid w:val="5A782CCD"/>
    <w:rsid w:val="5A785436"/>
    <w:rsid w:val="5A7871E4"/>
    <w:rsid w:val="5A796188"/>
    <w:rsid w:val="5A7A1CD7"/>
    <w:rsid w:val="5A7A2F5C"/>
    <w:rsid w:val="5A7A5F1F"/>
    <w:rsid w:val="5A7B0A82"/>
    <w:rsid w:val="5A7B164E"/>
    <w:rsid w:val="5A7B5A07"/>
    <w:rsid w:val="5A7C5A29"/>
    <w:rsid w:val="5A7C7A98"/>
    <w:rsid w:val="5A7D452D"/>
    <w:rsid w:val="5A7D47FA"/>
    <w:rsid w:val="5A7D5E2A"/>
    <w:rsid w:val="5A7D7534"/>
    <w:rsid w:val="5A7F0572"/>
    <w:rsid w:val="5A7F1F7E"/>
    <w:rsid w:val="5A8028EF"/>
    <w:rsid w:val="5A8042EB"/>
    <w:rsid w:val="5A813D7F"/>
    <w:rsid w:val="5A816726"/>
    <w:rsid w:val="5A820063"/>
    <w:rsid w:val="5A8262B5"/>
    <w:rsid w:val="5A837DE0"/>
    <w:rsid w:val="5A841270"/>
    <w:rsid w:val="5A841782"/>
    <w:rsid w:val="5A84202D"/>
    <w:rsid w:val="5A843DDB"/>
    <w:rsid w:val="5A844F1B"/>
    <w:rsid w:val="5A871B1D"/>
    <w:rsid w:val="5A882301"/>
    <w:rsid w:val="5A89319F"/>
    <w:rsid w:val="5A897643"/>
    <w:rsid w:val="5A8B33BB"/>
    <w:rsid w:val="5A8B5169"/>
    <w:rsid w:val="5A8C0EE1"/>
    <w:rsid w:val="5A8C39E8"/>
    <w:rsid w:val="5A8C626D"/>
    <w:rsid w:val="5A8D7133"/>
    <w:rsid w:val="5A8E21A7"/>
    <w:rsid w:val="5A8E2EAB"/>
    <w:rsid w:val="5A8E37B2"/>
    <w:rsid w:val="5A902780"/>
    <w:rsid w:val="5A910CA3"/>
    <w:rsid w:val="5A92705A"/>
    <w:rsid w:val="5A93401E"/>
    <w:rsid w:val="5A9370A8"/>
    <w:rsid w:val="5A947E67"/>
    <w:rsid w:val="5A964B15"/>
    <w:rsid w:val="5A966D84"/>
    <w:rsid w:val="5A971D60"/>
    <w:rsid w:val="5A9777EE"/>
    <w:rsid w:val="5A9870FE"/>
    <w:rsid w:val="5A987160"/>
    <w:rsid w:val="5A992006"/>
    <w:rsid w:val="5A9A1850"/>
    <w:rsid w:val="5A9A1E88"/>
    <w:rsid w:val="5A9A3496"/>
    <w:rsid w:val="5A9A35FE"/>
    <w:rsid w:val="5A9A53AC"/>
    <w:rsid w:val="5A9B1124"/>
    <w:rsid w:val="5A9B4926"/>
    <w:rsid w:val="5A9C2C07"/>
    <w:rsid w:val="5A9C71E6"/>
    <w:rsid w:val="5A9D2AA8"/>
    <w:rsid w:val="5A9D30EE"/>
    <w:rsid w:val="5A9D406C"/>
    <w:rsid w:val="5A9D4E9D"/>
    <w:rsid w:val="5A9D592B"/>
    <w:rsid w:val="5A9D6360"/>
    <w:rsid w:val="5A9E0BA0"/>
    <w:rsid w:val="5A9E74ED"/>
    <w:rsid w:val="5A9F0C15"/>
    <w:rsid w:val="5A9F286A"/>
    <w:rsid w:val="5A9F29C3"/>
    <w:rsid w:val="5A9F32F4"/>
    <w:rsid w:val="5A9F4737"/>
    <w:rsid w:val="5A9F6E67"/>
    <w:rsid w:val="5AA004E9"/>
    <w:rsid w:val="5AA00798"/>
    <w:rsid w:val="5AA11C28"/>
    <w:rsid w:val="5AA20705"/>
    <w:rsid w:val="5AA228E8"/>
    <w:rsid w:val="5AA24261"/>
    <w:rsid w:val="5AA30F9C"/>
    <w:rsid w:val="5AA41B7A"/>
    <w:rsid w:val="5AA4622B"/>
    <w:rsid w:val="5AA47FD9"/>
    <w:rsid w:val="5AA5317A"/>
    <w:rsid w:val="5AA601F5"/>
    <w:rsid w:val="5AA63D51"/>
    <w:rsid w:val="5AA71877"/>
    <w:rsid w:val="5AA74D89"/>
    <w:rsid w:val="5AA77AC9"/>
    <w:rsid w:val="5AA81E9E"/>
    <w:rsid w:val="5AA914FE"/>
    <w:rsid w:val="5AA91A93"/>
    <w:rsid w:val="5AA91AFA"/>
    <w:rsid w:val="5AA955EF"/>
    <w:rsid w:val="5AAA035B"/>
    <w:rsid w:val="5AAB04CF"/>
    <w:rsid w:val="5AAB09D3"/>
    <w:rsid w:val="5AAC11F7"/>
    <w:rsid w:val="5AAD1584"/>
    <w:rsid w:val="5AAE0E58"/>
    <w:rsid w:val="5AAE2C06"/>
    <w:rsid w:val="5AAF1AD8"/>
    <w:rsid w:val="5AAF4227"/>
    <w:rsid w:val="5AAF596C"/>
    <w:rsid w:val="5AAF6DFC"/>
    <w:rsid w:val="5AB135C4"/>
    <w:rsid w:val="5AB219BC"/>
    <w:rsid w:val="5AB346C0"/>
    <w:rsid w:val="5AB46C0D"/>
    <w:rsid w:val="5AB5009D"/>
    <w:rsid w:val="5AB521E6"/>
    <w:rsid w:val="5AB61AF7"/>
    <w:rsid w:val="5AB72443"/>
    <w:rsid w:val="5AB741B0"/>
    <w:rsid w:val="5AB772B1"/>
    <w:rsid w:val="5AB846EA"/>
    <w:rsid w:val="5AB86683"/>
    <w:rsid w:val="5AB90376"/>
    <w:rsid w:val="5ABA15AB"/>
    <w:rsid w:val="5ABA246E"/>
    <w:rsid w:val="5ABA77FD"/>
    <w:rsid w:val="5ABB06F3"/>
    <w:rsid w:val="5ABC0013"/>
    <w:rsid w:val="5ABC101E"/>
    <w:rsid w:val="5ABC7F70"/>
    <w:rsid w:val="5ABD1400"/>
    <w:rsid w:val="5ABD553F"/>
    <w:rsid w:val="5ABD7CBF"/>
    <w:rsid w:val="5ABE0DFF"/>
    <w:rsid w:val="5ABE2233"/>
    <w:rsid w:val="5ABF12B7"/>
    <w:rsid w:val="5ABF3065"/>
    <w:rsid w:val="5ABF3D20"/>
    <w:rsid w:val="5AC05F56"/>
    <w:rsid w:val="5AC10B8B"/>
    <w:rsid w:val="5AC16DDD"/>
    <w:rsid w:val="5AC174FB"/>
    <w:rsid w:val="5AC23B1A"/>
    <w:rsid w:val="5AC24111"/>
    <w:rsid w:val="5AC24903"/>
    <w:rsid w:val="5AC2666D"/>
    <w:rsid w:val="5AC3040C"/>
    <w:rsid w:val="5AC4067B"/>
    <w:rsid w:val="5AC42429"/>
    <w:rsid w:val="5AC44CFF"/>
    <w:rsid w:val="5AC468CD"/>
    <w:rsid w:val="5AC5776F"/>
    <w:rsid w:val="5AC61022"/>
    <w:rsid w:val="5AC62645"/>
    <w:rsid w:val="5AC643F3"/>
    <w:rsid w:val="5AC661A1"/>
    <w:rsid w:val="5AC71F19"/>
    <w:rsid w:val="5AC738D8"/>
    <w:rsid w:val="5AC73CC7"/>
    <w:rsid w:val="5AC8016B"/>
    <w:rsid w:val="5AC8039B"/>
    <w:rsid w:val="5AC81542"/>
    <w:rsid w:val="5AC81FAD"/>
    <w:rsid w:val="5AC93EE4"/>
    <w:rsid w:val="5ACA0E33"/>
    <w:rsid w:val="5ACB306E"/>
    <w:rsid w:val="5ACB4E94"/>
    <w:rsid w:val="5ACC068A"/>
    <w:rsid w:val="5ACC11F0"/>
    <w:rsid w:val="5ACC12DE"/>
    <w:rsid w:val="5ACC6BBD"/>
    <w:rsid w:val="5ACC7530"/>
    <w:rsid w:val="5ACD053D"/>
    <w:rsid w:val="5ACD0EF5"/>
    <w:rsid w:val="5ACD1175"/>
    <w:rsid w:val="5ACD132B"/>
    <w:rsid w:val="5ACD39D4"/>
    <w:rsid w:val="5ACD5BC7"/>
    <w:rsid w:val="5ACE32A8"/>
    <w:rsid w:val="5ACF3815"/>
    <w:rsid w:val="5AD00319"/>
    <w:rsid w:val="5AD05F0D"/>
    <w:rsid w:val="5AD17047"/>
    <w:rsid w:val="5AD17E42"/>
    <w:rsid w:val="5AD20FEA"/>
    <w:rsid w:val="5AD21D23"/>
    <w:rsid w:val="5AD22D98"/>
    <w:rsid w:val="5AD50B17"/>
    <w:rsid w:val="5AD53984"/>
    <w:rsid w:val="5AD563E4"/>
    <w:rsid w:val="5AD60C24"/>
    <w:rsid w:val="5AD6477C"/>
    <w:rsid w:val="5AD67C28"/>
    <w:rsid w:val="5AD703AE"/>
    <w:rsid w:val="5AD7215D"/>
    <w:rsid w:val="5AD729AA"/>
    <w:rsid w:val="5AD74EFD"/>
    <w:rsid w:val="5AD80637"/>
    <w:rsid w:val="5AD84038"/>
    <w:rsid w:val="5AD85C68"/>
    <w:rsid w:val="5AD85CC7"/>
    <w:rsid w:val="5AD90516"/>
    <w:rsid w:val="5ADA1C4D"/>
    <w:rsid w:val="5ADA52A2"/>
    <w:rsid w:val="5ADB7BB3"/>
    <w:rsid w:val="5ADC0E43"/>
    <w:rsid w:val="5ADD173D"/>
    <w:rsid w:val="5ADD34EB"/>
    <w:rsid w:val="5ADD370F"/>
    <w:rsid w:val="5ADE4336"/>
    <w:rsid w:val="5ADF1011"/>
    <w:rsid w:val="5AE05C2A"/>
    <w:rsid w:val="5AE07DE0"/>
    <w:rsid w:val="5AE1122D"/>
    <w:rsid w:val="5AE14D89"/>
    <w:rsid w:val="5AE32BE6"/>
    <w:rsid w:val="5AE40D1D"/>
    <w:rsid w:val="5AE443CC"/>
    <w:rsid w:val="5AE44879"/>
    <w:rsid w:val="5AE605F2"/>
    <w:rsid w:val="5AE66844"/>
    <w:rsid w:val="5AE7002E"/>
    <w:rsid w:val="5AE758B2"/>
    <w:rsid w:val="5AE8436A"/>
    <w:rsid w:val="5AE90DB7"/>
    <w:rsid w:val="5AE95AC9"/>
    <w:rsid w:val="5AE96EDC"/>
    <w:rsid w:val="5AEA0183"/>
    <w:rsid w:val="5AEA0BC6"/>
    <w:rsid w:val="5AEA4447"/>
    <w:rsid w:val="5AEA5A59"/>
    <w:rsid w:val="5AEA7ACA"/>
    <w:rsid w:val="5AEA7F89"/>
    <w:rsid w:val="5AEB1782"/>
    <w:rsid w:val="5AEB20AC"/>
    <w:rsid w:val="5AEB3E5A"/>
    <w:rsid w:val="5AEB78CC"/>
    <w:rsid w:val="5AEC00A5"/>
    <w:rsid w:val="5AEC372E"/>
    <w:rsid w:val="5AEC41CD"/>
    <w:rsid w:val="5AEC4E7A"/>
    <w:rsid w:val="5AED1980"/>
    <w:rsid w:val="5AED2F39"/>
    <w:rsid w:val="5AED7BD2"/>
    <w:rsid w:val="5AEF07ED"/>
    <w:rsid w:val="5AF06A16"/>
    <w:rsid w:val="5AF076C2"/>
    <w:rsid w:val="5AF16BAF"/>
    <w:rsid w:val="5AF20E4A"/>
    <w:rsid w:val="5AF2100E"/>
    <w:rsid w:val="5AF23AA3"/>
    <w:rsid w:val="5AF251E8"/>
    <w:rsid w:val="5AF26F96"/>
    <w:rsid w:val="5AF3136D"/>
    <w:rsid w:val="5AF34ABD"/>
    <w:rsid w:val="5AF54CD9"/>
    <w:rsid w:val="5AF56A87"/>
    <w:rsid w:val="5AF56D91"/>
    <w:rsid w:val="5AF637F7"/>
    <w:rsid w:val="5AF70A51"/>
    <w:rsid w:val="5AF71916"/>
    <w:rsid w:val="5AF727FF"/>
    <w:rsid w:val="5AF745AD"/>
    <w:rsid w:val="5AF75813"/>
    <w:rsid w:val="5AF8090C"/>
    <w:rsid w:val="5AF81308"/>
    <w:rsid w:val="5AF95341"/>
    <w:rsid w:val="5AF96577"/>
    <w:rsid w:val="5AF97B5F"/>
    <w:rsid w:val="5AF97B8E"/>
    <w:rsid w:val="5AFA5E4B"/>
    <w:rsid w:val="5AFA7F12"/>
    <w:rsid w:val="5AFC1BC3"/>
    <w:rsid w:val="5AFC7E15"/>
    <w:rsid w:val="5AFD12A8"/>
    <w:rsid w:val="5AFE65E2"/>
    <w:rsid w:val="5AFF0BBC"/>
    <w:rsid w:val="5AFF186F"/>
    <w:rsid w:val="5AFF3461"/>
    <w:rsid w:val="5B000B6E"/>
    <w:rsid w:val="5B0031FB"/>
    <w:rsid w:val="5B00605E"/>
    <w:rsid w:val="5B02478C"/>
    <w:rsid w:val="5B024F63"/>
    <w:rsid w:val="5B026CFF"/>
    <w:rsid w:val="5B030749"/>
    <w:rsid w:val="5B0332AA"/>
    <w:rsid w:val="5B035313"/>
    <w:rsid w:val="5B042454"/>
    <w:rsid w:val="5B043B95"/>
    <w:rsid w:val="5B046CCA"/>
    <w:rsid w:val="5B050D20"/>
    <w:rsid w:val="5B052528"/>
    <w:rsid w:val="5B062A42"/>
    <w:rsid w:val="5B0637C0"/>
    <w:rsid w:val="5B0664B5"/>
    <w:rsid w:val="5B071E55"/>
    <w:rsid w:val="5B0833EF"/>
    <w:rsid w:val="5B091590"/>
    <w:rsid w:val="5B092532"/>
    <w:rsid w:val="5B0942E0"/>
    <w:rsid w:val="5B094E36"/>
    <w:rsid w:val="5B0A0784"/>
    <w:rsid w:val="5B0A0E97"/>
    <w:rsid w:val="5B0A7A07"/>
    <w:rsid w:val="5B0B0058"/>
    <w:rsid w:val="5B0B0550"/>
    <w:rsid w:val="5B0B1E06"/>
    <w:rsid w:val="5B0B2327"/>
    <w:rsid w:val="5B0C41F8"/>
    <w:rsid w:val="5B0D5B7E"/>
    <w:rsid w:val="5B0E18F6"/>
    <w:rsid w:val="5B0E3A7B"/>
    <w:rsid w:val="5B0E511E"/>
    <w:rsid w:val="5B0E7B48"/>
    <w:rsid w:val="5B0F5D9A"/>
    <w:rsid w:val="5B102138"/>
    <w:rsid w:val="5B1038C0"/>
    <w:rsid w:val="5B116199"/>
    <w:rsid w:val="5B123195"/>
    <w:rsid w:val="5B124A58"/>
    <w:rsid w:val="5B127639"/>
    <w:rsid w:val="5B1306E7"/>
    <w:rsid w:val="5B133D29"/>
    <w:rsid w:val="5B1433B1"/>
    <w:rsid w:val="5B150CF9"/>
    <w:rsid w:val="5B150ED7"/>
    <w:rsid w:val="5B152B7B"/>
    <w:rsid w:val="5B152C85"/>
    <w:rsid w:val="5B1533D9"/>
    <w:rsid w:val="5B153501"/>
    <w:rsid w:val="5B155A7C"/>
    <w:rsid w:val="5B155C32"/>
    <w:rsid w:val="5B155FAA"/>
    <w:rsid w:val="5B1614E0"/>
    <w:rsid w:val="5B175BE2"/>
    <w:rsid w:val="5B183112"/>
    <w:rsid w:val="5B18349B"/>
    <w:rsid w:val="5B184523"/>
    <w:rsid w:val="5B1909C7"/>
    <w:rsid w:val="5B1A029B"/>
    <w:rsid w:val="5B1A1E2F"/>
    <w:rsid w:val="5B1A2A24"/>
    <w:rsid w:val="5B1B393B"/>
    <w:rsid w:val="5B1B60CD"/>
    <w:rsid w:val="5B1B6766"/>
    <w:rsid w:val="5B1C4013"/>
    <w:rsid w:val="5B1D4401"/>
    <w:rsid w:val="5B1E5BCC"/>
    <w:rsid w:val="5B1E5FDD"/>
    <w:rsid w:val="5B1F1D55"/>
    <w:rsid w:val="5B1F58B2"/>
    <w:rsid w:val="5B2053DD"/>
    <w:rsid w:val="5B21162A"/>
    <w:rsid w:val="5B21454D"/>
    <w:rsid w:val="5B2259DD"/>
    <w:rsid w:val="5B2300A3"/>
    <w:rsid w:val="5B241A3E"/>
    <w:rsid w:val="5B245238"/>
    <w:rsid w:val="5B245E69"/>
    <w:rsid w:val="5B24736C"/>
    <w:rsid w:val="5B247B5C"/>
    <w:rsid w:val="5B253204"/>
    <w:rsid w:val="5B2555BE"/>
    <w:rsid w:val="5B25660C"/>
    <w:rsid w:val="5B2630E4"/>
    <w:rsid w:val="5B264CA7"/>
    <w:rsid w:val="5B264E92"/>
    <w:rsid w:val="5B266029"/>
    <w:rsid w:val="5B28184F"/>
    <w:rsid w:val="5B2829B8"/>
    <w:rsid w:val="5B286E5C"/>
    <w:rsid w:val="5B294982"/>
    <w:rsid w:val="5B2951D4"/>
    <w:rsid w:val="5B2B06FA"/>
    <w:rsid w:val="5B2B0E2D"/>
    <w:rsid w:val="5B2B24A8"/>
    <w:rsid w:val="5B2B5AC1"/>
    <w:rsid w:val="5B2C01D0"/>
    <w:rsid w:val="5B2C0EE4"/>
    <w:rsid w:val="5B2C6758"/>
    <w:rsid w:val="5B2C70A4"/>
    <w:rsid w:val="5B2D4231"/>
    <w:rsid w:val="5B2D6220"/>
    <w:rsid w:val="5B2D6F23"/>
    <w:rsid w:val="5B2E4B8A"/>
    <w:rsid w:val="5B2F01EA"/>
    <w:rsid w:val="5B2F1F99"/>
    <w:rsid w:val="5B301566"/>
    <w:rsid w:val="5B305D11"/>
    <w:rsid w:val="5B307ABF"/>
    <w:rsid w:val="5B307FE1"/>
    <w:rsid w:val="5B311471"/>
    <w:rsid w:val="5B321A89"/>
    <w:rsid w:val="5B3254D2"/>
    <w:rsid w:val="5B3255E5"/>
    <w:rsid w:val="5B326625"/>
    <w:rsid w:val="5B33135D"/>
    <w:rsid w:val="5B336962"/>
    <w:rsid w:val="5B341533"/>
    <w:rsid w:val="5B3475AF"/>
    <w:rsid w:val="5B350A0C"/>
    <w:rsid w:val="5B351579"/>
    <w:rsid w:val="5B3529C3"/>
    <w:rsid w:val="5B3550D5"/>
    <w:rsid w:val="5B373971"/>
    <w:rsid w:val="5B3752F1"/>
    <w:rsid w:val="5B37709F"/>
    <w:rsid w:val="5B38221D"/>
    <w:rsid w:val="5B392E17"/>
    <w:rsid w:val="5B394BC5"/>
    <w:rsid w:val="5B3A6B8F"/>
    <w:rsid w:val="5B3B417A"/>
    <w:rsid w:val="5B3C1155"/>
    <w:rsid w:val="5B3C151E"/>
    <w:rsid w:val="5B3C52FB"/>
    <w:rsid w:val="5B3D2452"/>
    <w:rsid w:val="5B3E21DC"/>
    <w:rsid w:val="5B3E315C"/>
    <w:rsid w:val="5B3E433F"/>
    <w:rsid w:val="5B3F5F54"/>
    <w:rsid w:val="5B3F7D02"/>
    <w:rsid w:val="5B3F7DD9"/>
    <w:rsid w:val="5B402954"/>
    <w:rsid w:val="5B4041A6"/>
    <w:rsid w:val="5B405074"/>
    <w:rsid w:val="5B416964"/>
    <w:rsid w:val="5B417BEF"/>
    <w:rsid w:val="5B417F1E"/>
    <w:rsid w:val="5B4210D1"/>
    <w:rsid w:val="5B423531"/>
    <w:rsid w:val="5B431DB8"/>
    <w:rsid w:val="5B431FA9"/>
    <w:rsid w:val="5B433C96"/>
    <w:rsid w:val="5B435A44"/>
    <w:rsid w:val="5B442F8E"/>
    <w:rsid w:val="5B450D77"/>
    <w:rsid w:val="5B4517BC"/>
    <w:rsid w:val="5B457F5C"/>
    <w:rsid w:val="5B463948"/>
    <w:rsid w:val="5B465534"/>
    <w:rsid w:val="5B46604E"/>
    <w:rsid w:val="5B474DD8"/>
    <w:rsid w:val="5B48305A"/>
    <w:rsid w:val="5B48321A"/>
    <w:rsid w:val="5B484057"/>
    <w:rsid w:val="5B490B2C"/>
    <w:rsid w:val="5B490B80"/>
    <w:rsid w:val="5B4B2B4A"/>
    <w:rsid w:val="5B4B523C"/>
    <w:rsid w:val="5B4B66A7"/>
    <w:rsid w:val="5B4B77BA"/>
    <w:rsid w:val="5B4E356A"/>
    <w:rsid w:val="5B4E6197"/>
    <w:rsid w:val="5B4F263B"/>
    <w:rsid w:val="5B4F2965"/>
    <w:rsid w:val="5B4F43E9"/>
    <w:rsid w:val="5B4F613B"/>
    <w:rsid w:val="5B500161"/>
    <w:rsid w:val="5B5018B5"/>
    <w:rsid w:val="5B501F0F"/>
    <w:rsid w:val="5B505B2C"/>
    <w:rsid w:val="5B510A5B"/>
    <w:rsid w:val="5B5113FD"/>
    <w:rsid w:val="5B516E1D"/>
    <w:rsid w:val="5B523794"/>
    <w:rsid w:val="5B523ED9"/>
    <w:rsid w:val="5B524A14"/>
    <w:rsid w:val="5B527A35"/>
    <w:rsid w:val="5B5309FC"/>
    <w:rsid w:val="5B5437AD"/>
    <w:rsid w:val="5B546496"/>
    <w:rsid w:val="5B551FAD"/>
    <w:rsid w:val="5B5700E3"/>
    <w:rsid w:val="5B57329D"/>
    <w:rsid w:val="5B57504B"/>
    <w:rsid w:val="5B584E6A"/>
    <w:rsid w:val="5B59067D"/>
    <w:rsid w:val="5B594394"/>
    <w:rsid w:val="5B597C57"/>
    <w:rsid w:val="5B5A1791"/>
    <w:rsid w:val="5B5A4B3C"/>
    <w:rsid w:val="5B5B0FE0"/>
    <w:rsid w:val="5B5B1C05"/>
    <w:rsid w:val="5B5B4F7D"/>
    <w:rsid w:val="5B5C03A1"/>
    <w:rsid w:val="5B5C1EF8"/>
    <w:rsid w:val="5B5C4D58"/>
    <w:rsid w:val="5B5D33D5"/>
    <w:rsid w:val="5B5D7C55"/>
    <w:rsid w:val="5B5E04BE"/>
    <w:rsid w:val="5B5E462C"/>
    <w:rsid w:val="5B5F03A4"/>
    <w:rsid w:val="5B5F2152"/>
    <w:rsid w:val="5B5F5722"/>
    <w:rsid w:val="5B6062A8"/>
    <w:rsid w:val="5B6065F6"/>
    <w:rsid w:val="5B611FAD"/>
    <w:rsid w:val="5B61731D"/>
    <w:rsid w:val="5B633E8B"/>
    <w:rsid w:val="5B635DAE"/>
    <w:rsid w:val="5B6360E6"/>
    <w:rsid w:val="5B637E94"/>
    <w:rsid w:val="5B646ED1"/>
    <w:rsid w:val="5B647F99"/>
    <w:rsid w:val="5B661732"/>
    <w:rsid w:val="5B6800B4"/>
    <w:rsid w:val="5B68100D"/>
    <w:rsid w:val="5B6854AA"/>
    <w:rsid w:val="5B697EEF"/>
    <w:rsid w:val="5B6A1223"/>
    <w:rsid w:val="5B6A14CB"/>
    <w:rsid w:val="5B6A23FB"/>
    <w:rsid w:val="5B6A4739"/>
    <w:rsid w:val="5B6A7475"/>
    <w:rsid w:val="5B6B0AF7"/>
    <w:rsid w:val="5B6B4F9B"/>
    <w:rsid w:val="5B6B63CB"/>
    <w:rsid w:val="5B6B6D49"/>
    <w:rsid w:val="5B6D0D13"/>
    <w:rsid w:val="5B6D486F"/>
    <w:rsid w:val="5B6E25C5"/>
    <w:rsid w:val="5B6F05E7"/>
    <w:rsid w:val="5B6F2DDE"/>
    <w:rsid w:val="5B6F3900"/>
    <w:rsid w:val="5B70266C"/>
    <w:rsid w:val="5B703146"/>
    <w:rsid w:val="5B7038D0"/>
    <w:rsid w:val="5B721E85"/>
    <w:rsid w:val="5B73296D"/>
    <w:rsid w:val="5B7420A1"/>
    <w:rsid w:val="5B744614"/>
    <w:rsid w:val="5B745BFD"/>
    <w:rsid w:val="5B751975"/>
    <w:rsid w:val="5B752D3C"/>
    <w:rsid w:val="5B75415C"/>
    <w:rsid w:val="5B754A2F"/>
    <w:rsid w:val="5B757E56"/>
    <w:rsid w:val="5B7601A3"/>
    <w:rsid w:val="5B7615E4"/>
    <w:rsid w:val="5B763EB7"/>
    <w:rsid w:val="5B77250D"/>
    <w:rsid w:val="5B772776"/>
    <w:rsid w:val="5B7756EE"/>
    <w:rsid w:val="5B777115"/>
    <w:rsid w:val="5B77749C"/>
    <w:rsid w:val="5B7A1F69"/>
    <w:rsid w:val="5B7B0893"/>
    <w:rsid w:val="5B7B1311"/>
    <w:rsid w:val="5B7B57E4"/>
    <w:rsid w:val="5B7B6070"/>
    <w:rsid w:val="5B7C4F58"/>
    <w:rsid w:val="5B7C5158"/>
    <w:rsid w:val="5B7D51B2"/>
    <w:rsid w:val="5B7E082A"/>
    <w:rsid w:val="5B7E5C52"/>
    <w:rsid w:val="5B7E6A7C"/>
    <w:rsid w:val="5B7F45A2"/>
    <w:rsid w:val="5B800A46"/>
    <w:rsid w:val="5B806B4F"/>
    <w:rsid w:val="5B81031A"/>
    <w:rsid w:val="5B812593"/>
    <w:rsid w:val="5B81656C"/>
    <w:rsid w:val="5B821DE5"/>
    <w:rsid w:val="5B82245A"/>
    <w:rsid w:val="5B83132B"/>
    <w:rsid w:val="5B8322E4"/>
    <w:rsid w:val="5B835E72"/>
    <w:rsid w:val="5B842148"/>
    <w:rsid w:val="5B85605C"/>
    <w:rsid w:val="5B863B83"/>
    <w:rsid w:val="5B87692E"/>
    <w:rsid w:val="5B884668"/>
    <w:rsid w:val="5B884B09"/>
    <w:rsid w:val="5B885B4D"/>
    <w:rsid w:val="5B8874CC"/>
    <w:rsid w:val="5B8878FB"/>
    <w:rsid w:val="5B894880"/>
    <w:rsid w:val="5B8A0850"/>
    <w:rsid w:val="5B8A5421"/>
    <w:rsid w:val="5B8A7AA0"/>
    <w:rsid w:val="5B8B1199"/>
    <w:rsid w:val="5B8C2BD0"/>
    <w:rsid w:val="5B8C73EB"/>
    <w:rsid w:val="5B8D0F99"/>
    <w:rsid w:val="5B8D16C2"/>
    <w:rsid w:val="5B8D4F11"/>
    <w:rsid w:val="5B8D6CBF"/>
    <w:rsid w:val="5B8E3E78"/>
    <w:rsid w:val="5B8E7CB1"/>
    <w:rsid w:val="5B8F0C89"/>
    <w:rsid w:val="5B8F6EDB"/>
    <w:rsid w:val="5B90689D"/>
    <w:rsid w:val="5B907329"/>
    <w:rsid w:val="5B910ABF"/>
    <w:rsid w:val="5B920779"/>
    <w:rsid w:val="5B922527"/>
    <w:rsid w:val="5B9242D5"/>
    <w:rsid w:val="5B931C9E"/>
    <w:rsid w:val="5B9444F1"/>
    <w:rsid w:val="5B94486F"/>
    <w:rsid w:val="5B9462A0"/>
    <w:rsid w:val="5B9473B0"/>
    <w:rsid w:val="5B952C62"/>
    <w:rsid w:val="5B953DC6"/>
    <w:rsid w:val="5B955B74"/>
    <w:rsid w:val="5B97061F"/>
    <w:rsid w:val="5B9731F0"/>
    <w:rsid w:val="5B975D90"/>
    <w:rsid w:val="5B9812A3"/>
    <w:rsid w:val="5B9820C7"/>
    <w:rsid w:val="5B9821F0"/>
    <w:rsid w:val="5B985EF4"/>
    <w:rsid w:val="5B991B08"/>
    <w:rsid w:val="5B997438"/>
    <w:rsid w:val="5B9A06E1"/>
    <w:rsid w:val="5B9A2039"/>
    <w:rsid w:val="5B9A6FA0"/>
    <w:rsid w:val="5B9B5880"/>
    <w:rsid w:val="5B9B72B7"/>
    <w:rsid w:val="5B9B762E"/>
    <w:rsid w:val="5B9C077F"/>
    <w:rsid w:val="5B9D5543"/>
    <w:rsid w:val="5B9D7062"/>
    <w:rsid w:val="5B9E0ECC"/>
    <w:rsid w:val="5B9E2C7A"/>
    <w:rsid w:val="5B9E55DE"/>
    <w:rsid w:val="5B9E711E"/>
    <w:rsid w:val="5B9F0763"/>
    <w:rsid w:val="5BA02E12"/>
    <w:rsid w:val="5BA04553"/>
    <w:rsid w:val="5BA04C44"/>
    <w:rsid w:val="5BA069F2"/>
    <w:rsid w:val="5BA118C1"/>
    <w:rsid w:val="5BA13152"/>
    <w:rsid w:val="5BA1449C"/>
    <w:rsid w:val="5BA14759"/>
    <w:rsid w:val="5BA150F8"/>
    <w:rsid w:val="5BA30291"/>
    <w:rsid w:val="5BA31793"/>
    <w:rsid w:val="5BA32ED4"/>
    <w:rsid w:val="5BA32FE4"/>
    <w:rsid w:val="5BA4219D"/>
    <w:rsid w:val="5BA43DF3"/>
    <w:rsid w:val="5BA504AD"/>
    <w:rsid w:val="5BA54009"/>
    <w:rsid w:val="5BA65FD3"/>
    <w:rsid w:val="5BA67D81"/>
    <w:rsid w:val="5BA748A4"/>
    <w:rsid w:val="5BA75F0B"/>
    <w:rsid w:val="5BA765FA"/>
    <w:rsid w:val="5BA81F78"/>
    <w:rsid w:val="5BA83AF9"/>
    <w:rsid w:val="5BA83CAD"/>
    <w:rsid w:val="5BA87F9D"/>
    <w:rsid w:val="5BA929E0"/>
    <w:rsid w:val="5BAA161F"/>
    <w:rsid w:val="5BAA22F7"/>
    <w:rsid w:val="5BAA7871"/>
    <w:rsid w:val="5BAB7F25"/>
    <w:rsid w:val="5BAC09B7"/>
    <w:rsid w:val="5BAC35E9"/>
    <w:rsid w:val="5BAC5F0E"/>
    <w:rsid w:val="5BAC6592"/>
    <w:rsid w:val="5BAD110F"/>
    <w:rsid w:val="5BAD3F86"/>
    <w:rsid w:val="5BAE36B3"/>
    <w:rsid w:val="5BAE3877"/>
    <w:rsid w:val="5BAE7FE7"/>
    <w:rsid w:val="5BAF1827"/>
    <w:rsid w:val="5BAF43D6"/>
    <w:rsid w:val="5BAF4E87"/>
    <w:rsid w:val="5BAF6C35"/>
    <w:rsid w:val="5BB02907"/>
    <w:rsid w:val="5BB4249E"/>
    <w:rsid w:val="5BB4575A"/>
    <w:rsid w:val="5BB46942"/>
    <w:rsid w:val="5BB53BA8"/>
    <w:rsid w:val="5BB57FC4"/>
    <w:rsid w:val="5BB625AD"/>
    <w:rsid w:val="5BB62CE3"/>
    <w:rsid w:val="5BB66216"/>
    <w:rsid w:val="5BB701E0"/>
    <w:rsid w:val="5BB71391"/>
    <w:rsid w:val="5BB81B9A"/>
    <w:rsid w:val="5BB83C6A"/>
    <w:rsid w:val="5BB86EA9"/>
    <w:rsid w:val="5BB93F58"/>
    <w:rsid w:val="5BBA658A"/>
    <w:rsid w:val="5BBB1A7E"/>
    <w:rsid w:val="5BBB382C"/>
    <w:rsid w:val="5BBD3A7B"/>
    <w:rsid w:val="5BBE156E"/>
    <w:rsid w:val="5BBE2561"/>
    <w:rsid w:val="5BBE3939"/>
    <w:rsid w:val="5BBE3AB3"/>
    <w:rsid w:val="5BBE4894"/>
    <w:rsid w:val="5BBE639B"/>
    <w:rsid w:val="5BC052E6"/>
    <w:rsid w:val="5BC060EF"/>
    <w:rsid w:val="5BC16969"/>
    <w:rsid w:val="5BC175BD"/>
    <w:rsid w:val="5BC40657"/>
    <w:rsid w:val="5BC41FEF"/>
    <w:rsid w:val="5BC503DB"/>
    <w:rsid w:val="5BC56459"/>
    <w:rsid w:val="5BC57B50"/>
    <w:rsid w:val="5BC64D2B"/>
    <w:rsid w:val="5BC65322"/>
    <w:rsid w:val="5BC6626E"/>
    <w:rsid w:val="5BC67AD2"/>
    <w:rsid w:val="5BC86443"/>
    <w:rsid w:val="5BCB16AF"/>
    <w:rsid w:val="5BCC5323"/>
    <w:rsid w:val="5BCD17B1"/>
    <w:rsid w:val="5BCE2C90"/>
    <w:rsid w:val="5BCE5E90"/>
    <w:rsid w:val="5BCE7A03"/>
    <w:rsid w:val="5BD1221B"/>
    <w:rsid w:val="5BD13092"/>
    <w:rsid w:val="5BD273E2"/>
    <w:rsid w:val="5BD30872"/>
    <w:rsid w:val="5BD32C9E"/>
    <w:rsid w:val="5BD349E7"/>
    <w:rsid w:val="5BD3501A"/>
    <w:rsid w:val="5BD40D92"/>
    <w:rsid w:val="5BD46147"/>
    <w:rsid w:val="5BD4669C"/>
    <w:rsid w:val="5BD47131"/>
    <w:rsid w:val="5BD629CC"/>
    <w:rsid w:val="5BD6641E"/>
    <w:rsid w:val="5BD743DE"/>
    <w:rsid w:val="5BD81B13"/>
    <w:rsid w:val="5BD97C0D"/>
    <w:rsid w:val="5BDB3ECE"/>
    <w:rsid w:val="5BDB73F5"/>
    <w:rsid w:val="5BDC163A"/>
    <w:rsid w:val="5BDC19F5"/>
    <w:rsid w:val="5BDC72D8"/>
    <w:rsid w:val="5BDE27A1"/>
    <w:rsid w:val="5BDE39BF"/>
    <w:rsid w:val="5BDF5D95"/>
    <w:rsid w:val="5BE002A5"/>
    <w:rsid w:val="5BE00F06"/>
    <w:rsid w:val="5BE07737"/>
    <w:rsid w:val="5BE12E76"/>
    <w:rsid w:val="5BE13B09"/>
    <w:rsid w:val="5BE2502A"/>
    <w:rsid w:val="5BE25396"/>
    <w:rsid w:val="5BE30034"/>
    <w:rsid w:val="5BE30FD5"/>
    <w:rsid w:val="5BE325B9"/>
    <w:rsid w:val="5BE345E9"/>
    <w:rsid w:val="5BE34B31"/>
    <w:rsid w:val="5BE456A1"/>
    <w:rsid w:val="5BE508A9"/>
    <w:rsid w:val="5BE54D4D"/>
    <w:rsid w:val="5BE567FE"/>
    <w:rsid w:val="5BE56AFB"/>
    <w:rsid w:val="5BE62FD9"/>
    <w:rsid w:val="5BE64A8D"/>
    <w:rsid w:val="5BE70178"/>
    <w:rsid w:val="5BE70AC5"/>
    <w:rsid w:val="5BE74621"/>
    <w:rsid w:val="5BE81C11"/>
    <w:rsid w:val="5BE82147"/>
    <w:rsid w:val="5BE865EB"/>
    <w:rsid w:val="5BEA0FF9"/>
    <w:rsid w:val="5BEA2363"/>
    <w:rsid w:val="5BEA2471"/>
    <w:rsid w:val="5BEA4111"/>
    <w:rsid w:val="5BEB1A88"/>
    <w:rsid w:val="5BEB76E7"/>
    <w:rsid w:val="5BEC1A5C"/>
    <w:rsid w:val="5BED3C02"/>
    <w:rsid w:val="5BEE3514"/>
    <w:rsid w:val="5BEE4EF9"/>
    <w:rsid w:val="5BEF0AD5"/>
    <w:rsid w:val="5BEF1728"/>
    <w:rsid w:val="5BEF34D6"/>
    <w:rsid w:val="5BEF4751"/>
    <w:rsid w:val="5BEF5483"/>
    <w:rsid w:val="5BEF797A"/>
    <w:rsid w:val="5BF0539C"/>
    <w:rsid w:val="5BF0606B"/>
    <w:rsid w:val="5BF136F2"/>
    <w:rsid w:val="5BF154A0"/>
    <w:rsid w:val="5BF20AFB"/>
    <w:rsid w:val="5BF22F75"/>
    <w:rsid w:val="5BF23DFB"/>
    <w:rsid w:val="5BF26C79"/>
    <w:rsid w:val="5BF3746A"/>
    <w:rsid w:val="5BF45597"/>
    <w:rsid w:val="5BF5103B"/>
    <w:rsid w:val="5BF57851"/>
    <w:rsid w:val="5BF622C7"/>
    <w:rsid w:val="5BF62AB6"/>
    <w:rsid w:val="5BF62EC5"/>
    <w:rsid w:val="5BF75936"/>
    <w:rsid w:val="5BF8652C"/>
    <w:rsid w:val="5BF9258D"/>
    <w:rsid w:val="5BF925A6"/>
    <w:rsid w:val="5BF926CB"/>
    <w:rsid w:val="5BF94355"/>
    <w:rsid w:val="5BFA3A1D"/>
    <w:rsid w:val="5BFA746F"/>
    <w:rsid w:val="5BFB00CD"/>
    <w:rsid w:val="5BFB2DB5"/>
    <w:rsid w:val="5BFB3185"/>
    <w:rsid w:val="5BFB4D68"/>
    <w:rsid w:val="5BFB4EAD"/>
    <w:rsid w:val="5BFB631F"/>
    <w:rsid w:val="5BFC47E3"/>
    <w:rsid w:val="5BFC5BF3"/>
    <w:rsid w:val="5BFC7B76"/>
    <w:rsid w:val="5BFD2097"/>
    <w:rsid w:val="5BFD30FD"/>
    <w:rsid w:val="5BFD3E45"/>
    <w:rsid w:val="5BFE7528"/>
    <w:rsid w:val="5BFF15A3"/>
    <w:rsid w:val="5C0007F6"/>
    <w:rsid w:val="5C0009AC"/>
    <w:rsid w:val="5C001B87"/>
    <w:rsid w:val="5C0040AF"/>
    <w:rsid w:val="5C004AB8"/>
    <w:rsid w:val="5C0056E3"/>
    <w:rsid w:val="5C007110"/>
    <w:rsid w:val="5C007491"/>
    <w:rsid w:val="5C013F85"/>
    <w:rsid w:val="5C0158F6"/>
    <w:rsid w:val="5C0257BE"/>
    <w:rsid w:val="5C0276AD"/>
    <w:rsid w:val="5C036F0D"/>
    <w:rsid w:val="5C036F81"/>
    <w:rsid w:val="5C037EDF"/>
    <w:rsid w:val="5C042965"/>
    <w:rsid w:val="5C0476A0"/>
    <w:rsid w:val="5C050F4B"/>
    <w:rsid w:val="5C052271"/>
    <w:rsid w:val="5C052CF9"/>
    <w:rsid w:val="5C05719D"/>
    <w:rsid w:val="5C0644F7"/>
    <w:rsid w:val="5C074AA5"/>
    <w:rsid w:val="5C074CC3"/>
    <w:rsid w:val="5C084598"/>
    <w:rsid w:val="5C087653"/>
    <w:rsid w:val="5C090941"/>
    <w:rsid w:val="5C090A3C"/>
    <w:rsid w:val="5C0A3512"/>
    <w:rsid w:val="5C0A47B4"/>
    <w:rsid w:val="5C0A6E8C"/>
    <w:rsid w:val="5C0B49A2"/>
    <w:rsid w:val="5C0B7B8B"/>
    <w:rsid w:val="5C0C22DA"/>
    <w:rsid w:val="5C0C4088"/>
    <w:rsid w:val="5C0C5850"/>
    <w:rsid w:val="5C0D1BAE"/>
    <w:rsid w:val="5C0D3F36"/>
    <w:rsid w:val="5C0D7E00"/>
    <w:rsid w:val="5C0E2FD3"/>
    <w:rsid w:val="5C0E54EE"/>
    <w:rsid w:val="5C0E6052"/>
    <w:rsid w:val="5C0F133A"/>
    <w:rsid w:val="5C0F1DCA"/>
    <w:rsid w:val="5C11169E"/>
    <w:rsid w:val="5C133668"/>
    <w:rsid w:val="5C14041F"/>
    <w:rsid w:val="5C14118E"/>
    <w:rsid w:val="5C1473E0"/>
    <w:rsid w:val="5C164F06"/>
    <w:rsid w:val="5C180C7F"/>
    <w:rsid w:val="5C182A2D"/>
    <w:rsid w:val="5C190553"/>
    <w:rsid w:val="5C19324A"/>
    <w:rsid w:val="5C1967A5"/>
    <w:rsid w:val="5C1A46BB"/>
    <w:rsid w:val="5C1C6EB0"/>
    <w:rsid w:val="5C1D080F"/>
    <w:rsid w:val="5C1D1988"/>
    <w:rsid w:val="5C1D2452"/>
    <w:rsid w:val="5C1D44E7"/>
    <w:rsid w:val="5C1D6295"/>
    <w:rsid w:val="5C1E64FE"/>
    <w:rsid w:val="5C1F00E5"/>
    <w:rsid w:val="5C1F025F"/>
    <w:rsid w:val="5C1F16D7"/>
    <w:rsid w:val="5C1F42A8"/>
    <w:rsid w:val="5C1F66ED"/>
    <w:rsid w:val="5C1F7FFF"/>
    <w:rsid w:val="5C2018E1"/>
    <w:rsid w:val="5C20728C"/>
    <w:rsid w:val="5C207B33"/>
    <w:rsid w:val="5C212758"/>
    <w:rsid w:val="5C221798"/>
    <w:rsid w:val="5C2238AB"/>
    <w:rsid w:val="5C2313D1"/>
    <w:rsid w:val="5C232C28"/>
    <w:rsid w:val="5C2335FD"/>
    <w:rsid w:val="5C2337A0"/>
    <w:rsid w:val="5C237623"/>
    <w:rsid w:val="5C245548"/>
    <w:rsid w:val="5C245875"/>
    <w:rsid w:val="5C245FF8"/>
    <w:rsid w:val="5C25291D"/>
    <w:rsid w:val="5C25514A"/>
    <w:rsid w:val="5C272C70"/>
    <w:rsid w:val="5C273E95"/>
    <w:rsid w:val="5C291CD9"/>
    <w:rsid w:val="5C291E52"/>
    <w:rsid w:val="5C29374A"/>
    <w:rsid w:val="5C295FAD"/>
    <w:rsid w:val="5C297177"/>
    <w:rsid w:val="5C2A09B2"/>
    <w:rsid w:val="5C2A2760"/>
    <w:rsid w:val="5C2A4FB4"/>
    <w:rsid w:val="5C2A6B4C"/>
    <w:rsid w:val="5C2B0664"/>
    <w:rsid w:val="5C2B110E"/>
    <w:rsid w:val="5C2C541B"/>
    <w:rsid w:val="5C2D0C63"/>
    <w:rsid w:val="5C2D3FFE"/>
    <w:rsid w:val="5C2D68AB"/>
    <w:rsid w:val="5C2E2250"/>
    <w:rsid w:val="5C2F59A4"/>
    <w:rsid w:val="5C2F5FC8"/>
    <w:rsid w:val="5C2F64A3"/>
    <w:rsid w:val="5C2F7D76"/>
    <w:rsid w:val="5C313AEE"/>
    <w:rsid w:val="5C317F92"/>
    <w:rsid w:val="5C321615"/>
    <w:rsid w:val="5C326B57"/>
    <w:rsid w:val="5C327F81"/>
    <w:rsid w:val="5C337866"/>
    <w:rsid w:val="5C3435DF"/>
    <w:rsid w:val="5C34538D"/>
    <w:rsid w:val="5C35446C"/>
    <w:rsid w:val="5C3550C3"/>
    <w:rsid w:val="5C35640B"/>
    <w:rsid w:val="5C3655A9"/>
    <w:rsid w:val="5C367357"/>
    <w:rsid w:val="5C3839BE"/>
    <w:rsid w:val="5C384E7D"/>
    <w:rsid w:val="5C390BF5"/>
    <w:rsid w:val="5C3929A3"/>
    <w:rsid w:val="5C3979DB"/>
    <w:rsid w:val="5C3A1D29"/>
    <w:rsid w:val="5C3A1EDF"/>
    <w:rsid w:val="5C3A23FF"/>
    <w:rsid w:val="5C3A6E47"/>
    <w:rsid w:val="5C3B2BAF"/>
    <w:rsid w:val="5C3B2BBF"/>
    <w:rsid w:val="5C3B2C32"/>
    <w:rsid w:val="5C3B3338"/>
    <w:rsid w:val="5C3B496D"/>
    <w:rsid w:val="5C3B671B"/>
    <w:rsid w:val="5C3D06F9"/>
    <w:rsid w:val="5C3D2493"/>
    <w:rsid w:val="5C3D4752"/>
    <w:rsid w:val="5C3D6937"/>
    <w:rsid w:val="5C3E620B"/>
    <w:rsid w:val="5C4001D5"/>
    <w:rsid w:val="5C40325D"/>
    <w:rsid w:val="5C403686"/>
    <w:rsid w:val="5C403D31"/>
    <w:rsid w:val="5C4161B1"/>
    <w:rsid w:val="5C417244"/>
    <w:rsid w:val="5C417408"/>
    <w:rsid w:val="5C425CFC"/>
    <w:rsid w:val="5C427AAA"/>
    <w:rsid w:val="5C433822"/>
    <w:rsid w:val="5C441A74"/>
    <w:rsid w:val="5C447CC6"/>
    <w:rsid w:val="5C451348"/>
    <w:rsid w:val="5C464201"/>
    <w:rsid w:val="5C466147"/>
    <w:rsid w:val="5C466736"/>
    <w:rsid w:val="5C470DF6"/>
    <w:rsid w:val="5C472023"/>
    <w:rsid w:val="5C4725F5"/>
    <w:rsid w:val="5C473312"/>
    <w:rsid w:val="5C473E4D"/>
    <w:rsid w:val="5C475CF4"/>
    <w:rsid w:val="5C4768FC"/>
    <w:rsid w:val="5C480E38"/>
    <w:rsid w:val="5C485845"/>
    <w:rsid w:val="5C4959F2"/>
    <w:rsid w:val="5C4A4BB0"/>
    <w:rsid w:val="5C4C090E"/>
    <w:rsid w:val="5C4C26D6"/>
    <w:rsid w:val="5C4C32C4"/>
    <w:rsid w:val="5C4C6B7A"/>
    <w:rsid w:val="5C4D05EC"/>
    <w:rsid w:val="5C4E28F2"/>
    <w:rsid w:val="5C4E305C"/>
    <w:rsid w:val="5C4E32BF"/>
    <w:rsid w:val="5C4F1C45"/>
    <w:rsid w:val="5C4F5F31"/>
    <w:rsid w:val="5C501CB8"/>
    <w:rsid w:val="5C504816"/>
    <w:rsid w:val="5C515F3F"/>
    <w:rsid w:val="5C531CB7"/>
    <w:rsid w:val="5C544659"/>
    <w:rsid w:val="5C545A2F"/>
    <w:rsid w:val="5C5477DD"/>
    <w:rsid w:val="5C551BFA"/>
    <w:rsid w:val="5C552BC9"/>
    <w:rsid w:val="5C561A43"/>
    <w:rsid w:val="5C564993"/>
    <w:rsid w:val="5C5767C2"/>
    <w:rsid w:val="5C576B2E"/>
    <w:rsid w:val="5C58107B"/>
    <w:rsid w:val="5C58619D"/>
    <w:rsid w:val="5C594DF3"/>
    <w:rsid w:val="5C5A0499"/>
    <w:rsid w:val="5C5A6D58"/>
    <w:rsid w:val="5C5B368F"/>
    <w:rsid w:val="5C5C2DB9"/>
    <w:rsid w:val="5C5C72AE"/>
    <w:rsid w:val="5C5D2B35"/>
    <w:rsid w:val="5C5D595B"/>
    <w:rsid w:val="5C5E00A4"/>
    <w:rsid w:val="5C5E56D9"/>
    <w:rsid w:val="5C5F1939"/>
    <w:rsid w:val="5C5F1E19"/>
    <w:rsid w:val="5C5F68AD"/>
    <w:rsid w:val="5C606182"/>
    <w:rsid w:val="5C613C25"/>
    <w:rsid w:val="5C61579B"/>
    <w:rsid w:val="5C621EFA"/>
    <w:rsid w:val="5C623A6A"/>
    <w:rsid w:val="5C630B6B"/>
    <w:rsid w:val="5C641296"/>
    <w:rsid w:val="5C642116"/>
    <w:rsid w:val="5C65182B"/>
    <w:rsid w:val="5C653798"/>
    <w:rsid w:val="5C657C3C"/>
    <w:rsid w:val="5C666652"/>
    <w:rsid w:val="5C672FDB"/>
    <w:rsid w:val="5C6735EF"/>
    <w:rsid w:val="5C6739B4"/>
    <w:rsid w:val="5C675762"/>
    <w:rsid w:val="5C677510"/>
    <w:rsid w:val="5C677788"/>
    <w:rsid w:val="5C6927EC"/>
    <w:rsid w:val="5C693288"/>
    <w:rsid w:val="5C69772C"/>
    <w:rsid w:val="5C6A01AA"/>
    <w:rsid w:val="5C6A7000"/>
    <w:rsid w:val="5C6B34A4"/>
    <w:rsid w:val="5C6C0FCA"/>
    <w:rsid w:val="5C6C2217"/>
    <w:rsid w:val="5C6C28AE"/>
    <w:rsid w:val="5C6C3514"/>
    <w:rsid w:val="5C6C4B26"/>
    <w:rsid w:val="5C6C6ABA"/>
    <w:rsid w:val="5C6E089F"/>
    <w:rsid w:val="5C6E7242"/>
    <w:rsid w:val="5C6F4617"/>
    <w:rsid w:val="5C6F4A68"/>
    <w:rsid w:val="5C6F665E"/>
    <w:rsid w:val="5C704E57"/>
    <w:rsid w:val="5C71038F"/>
    <w:rsid w:val="5C71213D"/>
    <w:rsid w:val="5C7147EE"/>
    <w:rsid w:val="5C7165E1"/>
    <w:rsid w:val="5C734262"/>
    <w:rsid w:val="5C735EB5"/>
    <w:rsid w:val="5C741C2D"/>
    <w:rsid w:val="5C7435C7"/>
    <w:rsid w:val="5C753960"/>
    <w:rsid w:val="5C762BE0"/>
    <w:rsid w:val="5C762BFE"/>
    <w:rsid w:val="5C763BF7"/>
    <w:rsid w:val="5C7659A5"/>
    <w:rsid w:val="5C76653E"/>
    <w:rsid w:val="5C766E4A"/>
    <w:rsid w:val="5C78171D"/>
    <w:rsid w:val="5C7834CB"/>
    <w:rsid w:val="5C78796F"/>
    <w:rsid w:val="5C7906B8"/>
    <w:rsid w:val="5C794693"/>
    <w:rsid w:val="5C797243"/>
    <w:rsid w:val="5C7A1B04"/>
    <w:rsid w:val="5C7B02E0"/>
    <w:rsid w:val="5C7B360F"/>
    <w:rsid w:val="5C7B4D70"/>
    <w:rsid w:val="5C7B6B44"/>
    <w:rsid w:val="5C7B745F"/>
    <w:rsid w:val="5C7D4C93"/>
    <w:rsid w:val="5C7D4F86"/>
    <w:rsid w:val="5C7D6CCD"/>
    <w:rsid w:val="5C7D705A"/>
    <w:rsid w:val="5C7E017D"/>
    <w:rsid w:val="5C7F179C"/>
    <w:rsid w:val="5C7F2AAC"/>
    <w:rsid w:val="5C7F509B"/>
    <w:rsid w:val="5C8005D2"/>
    <w:rsid w:val="5C803593"/>
    <w:rsid w:val="5C812DDC"/>
    <w:rsid w:val="5C813644"/>
    <w:rsid w:val="5C817227"/>
    <w:rsid w:val="5C82259C"/>
    <w:rsid w:val="5C82434A"/>
    <w:rsid w:val="5C82699B"/>
    <w:rsid w:val="5C8400C2"/>
    <w:rsid w:val="5C844510"/>
    <w:rsid w:val="5C846F9D"/>
    <w:rsid w:val="5C854316"/>
    <w:rsid w:val="5C855BE8"/>
    <w:rsid w:val="5C856804"/>
    <w:rsid w:val="5C875E04"/>
    <w:rsid w:val="5C8760A5"/>
    <w:rsid w:val="5C877BB2"/>
    <w:rsid w:val="5C8956D8"/>
    <w:rsid w:val="5C8A0DC8"/>
    <w:rsid w:val="5C8A1F13"/>
    <w:rsid w:val="5C8C6C36"/>
    <w:rsid w:val="5C8D2EE0"/>
    <w:rsid w:val="5C8E0F41"/>
    <w:rsid w:val="5C8E1860"/>
    <w:rsid w:val="5C8E444F"/>
    <w:rsid w:val="5C8E4DEE"/>
    <w:rsid w:val="5C8E5513"/>
    <w:rsid w:val="5C8E7193"/>
    <w:rsid w:val="5C8F6A67"/>
    <w:rsid w:val="5C8F719D"/>
    <w:rsid w:val="5C900568"/>
    <w:rsid w:val="5C901728"/>
    <w:rsid w:val="5C901CA9"/>
    <w:rsid w:val="5C910737"/>
    <w:rsid w:val="5C910A31"/>
    <w:rsid w:val="5C92471D"/>
    <w:rsid w:val="5C925DF8"/>
    <w:rsid w:val="5C930305"/>
    <w:rsid w:val="5C9323BD"/>
    <w:rsid w:val="5C937F29"/>
    <w:rsid w:val="5C9402E1"/>
    <w:rsid w:val="5C9522CF"/>
    <w:rsid w:val="5C954F7D"/>
    <w:rsid w:val="5C961BA3"/>
    <w:rsid w:val="5C966047"/>
    <w:rsid w:val="5C973722"/>
    <w:rsid w:val="5C974299"/>
    <w:rsid w:val="5C976331"/>
    <w:rsid w:val="5C98591B"/>
    <w:rsid w:val="5C986CFA"/>
    <w:rsid w:val="5C9A11AC"/>
    <w:rsid w:val="5C9A5B38"/>
    <w:rsid w:val="5C9B365E"/>
    <w:rsid w:val="5C9C18B0"/>
    <w:rsid w:val="5C9D1184"/>
    <w:rsid w:val="5C9D4478"/>
    <w:rsid w:val="5C9E02EB"/>
    <w:rsid w:val="5C9E2659"/>
    <w:rsid w:val="5C9E3E76"/>
    <w:rsid w:val="5C9E573D"/>
    <w:rsid w:val="5C9F314E"/>
    <w:rsid w:val="5C9F6CAA"/>
    <w:rsid w:val="5C9F74DB"/>
    <w:rsid w:val="5CA0005D"/>
    <w:rsid w:val="5CA12155"/>
    <w:rsid w:val="5CA16879"/>
    <w:rsid w:val="5CA22C3E"/>
    <w:rsid w:val="5CA40764"/>
    <w:rsid w:val="5CA469DE"/>
    <w:rsid w:val="5CA50038"/>
    <w:rsid w:val="5CA512FE"/>
    <w:rsid w:val="5CA54488"/>
    <w:rsid w:val="5CA63ECF"/>
    <w:rsid w:val="5CA644DC"/>
    <w:rsid w:val="5CA65B8A"/>
    <w:rsid w:val="5CA71780"/>
    <w:rsid w:val="5CA90A11"/>
    <w:rsid w:val="5CA92850"/>
    <w:rsid w:val="5CA92B4D"/>
    <w:rsid w:val="5CA95D7B"/>
    <w:rsid w:val="5CA97B29"/>
    <w:rsid w:val="5CAB38A1"/>
    <w:rsid w:val="5CAC586B"/>
    <w:rsid w:val="5CAC7619"/>
    <w:rsid w:val="5CAD1369"/>
    <w:rsid w:val="5CAE15E3"/>
    <w:rsid w:val="5CAE2661"/>
    <w:rsid w:val="5CAF4066"/>
    <w:rsid w:val="5CAF45D9"/>
    <w:rsid w:val="5CB00EB7"/>
    <w:rsid w:val="5CB0282F"/>
    <w:rsid w:val="5CB0535B"/>
    <w:rsid w:val="5CB06170"/>
    <w:rsid w:val="5CB07109"/>
    <w:rsid w:val="5CB10351"/>
    <w:rsid w:val="5CB148F3"/>
    <w:rsid w:val="5CB14C2F"/>
    <w:rsid w:val="5CB247C1"/>
    <w:rsid w:val="5CB36BF9"/>
    <w:rsid w:val="5CB4201E"/>
    <w:rsid w:val="5CB44396"/>
    <w:rsid w:val="5CB52971"/>
    <w:rsid w:val="5CB62246"/>
    <w:rsid w:val="5CB63FF4"/>
    <w:rsid w:val="5CB76150"/>
    <w:rsid w:val="5CB81EAF"/>
    <w:rsid w:val="5CB84210"/>
    <w:rsid w:val="5CB862E4"/>
    <w:rsid w:val="5CBA16BC"/>
    <w:rsid w:val="5CBB0FE6"/>
    <w:rsid w:val="5CBB1351"/>
    <w:rsid w:val="5CBB285B"/>
    <w:rsid w:val="5CBC0239"/>
    <w:rsid w:val="5CBC3D00"/>
    <w:rsid w:val="5CBC4036"/>
    <w:rsid w:val="5CBE3CBB"/>
    <w:rsid w:val="5CBE543E"/>
    <w:rsid w:val="5CBF299D"/>
    <w:rsid w:val="5CBF35E6"/>
    <w:rsid w:val="5CBF559E"/>
    <w:rsid w:val="5CBF734C"/>
    <w:rsid w:val="5CC04E72"/>
    <w:rsid w:val="5CC20BEA"/>
    <w:rsid w:val="5CC26E3C"/>
    <w:rsid w:val="5CC4420F"/>
    <w:rsid w:val="5CC44414"/>
    <w:rsid w:val="5CC44962"/>
    <w:rsid w:val="5CC46711"/>
    <w:rsid w:val="5CC508E8"/>
    <w:rsid w:val="5CC52489"/>
    <w:rsid w:val="5CC57D33"/>
    <w:rsid w:val="5CC70D81"/>
    <w:rsid w:val="5CC76201"/>
    <w:rsid w:val="5CC77078"/>
    <w:rsid w:val="5CC779E3"/>
    <w:rsid w:val="5CC826A5"/>
    <w:rsid w:val="5CC85DD9"/>
    <w:rsid w:val="5CC91F79"/>
    <w:rsid w:val="5CC93D27"/>
    <w:rsid w:val="5CCA40BB"/>
    <w:rsid w:val="5CCA6D95"/>
    <w:rsid w:val="5CCB1E1F"/>
    <w:rsid w:val="5CCB5CF1"/>
    <w:rsid w:val="5CCB7A9F"/>
    <w:rsid w:val="5CCC1A69"/>
    <w:rsid w:val="5CCC3B7F"/>
    <w:rsid w:val="5CCE0307"/>
    <w:rsid w:val="5CCE20A1"/>
    <w:rsid w:val="5CCE57E1"/>
    <w:rsid w:val="5CCE758F"/>
    <w:rsid w:val="5CCE7CAA"/>
    <w:rsid w:val="5CD00CBD"/>
    <w:rsid w:val="5CD01093"/>
    <w:rsid w:val="5CD01559"/>
    <w:rsid w:val="5CD03307"/>
    <w:rsid w:val="5CD050B5"/>
    <w:rsid w:val="5CD05E1D"/>
    <w:rsid w:val="5CD105CC"/>
    <w:rsid w:val="5CD10E2D"/>
    <w:rsid w:val="5CD13F5C"/>
    <w:rsid w:val="5CD14DB3"/>
    <w:rsid w:val="5CD15DDE"/>
    <w:rsid w:val="5CD1707F"/>
    <w:rsid w:val="5CD2031B"/>
    <w:rsid w:val="5CD22236"/>
    <w:rsid w:val="5CD252D1"/>
    <w:rsid w:val="5CD32DF8"/>
    <w:rsid w:val="5CD34BA6"/>
    <w:rsid w:val="5CD35CAF"/>
    <w:rsid w:val="5CD46AF0"/>
    <w:rsid w:val="5CD5079F"/>
    <w:rsid w:val="5CD5089A"/>
    <w:rsid w:val="5CD56326"/>
    <w:rsid w:val="5CD56B70"/>
    <w:rsid w:val="5CD728E8"/>
    <w:rsid w:val="5CD72CFD"/>
    <w:rsid w:val="5CD821BC"/>
    <w:rsid w:val="5CD85FA0"/>
    <w:rsid w:val="5CD92335"/>
    <w:rsid w:val="5CD945FC"/>
    <w:rsid w:val="5CDA094F"/>
    <w:rsid w:val="5CDA3A05"/>
    <w:rsid w:val="5CDA5F34"/>
    <w:rsid w:val="5CDB2017"/>
    <w:rsid w:val="5CDB3A5A"/>
    <w:rsid w:val="5CDC1AF5"/>
    <w:rsid w:val="5CDC1CBA"/>
    <w:rsid w:val="5CDC6150"/>
    <w:rsid w:val="5CDC7EFE"/>
    <w:rsid w:val="5CDE10F1"/>
    <w:rsid w:val="5CDF148F"/>
    <w:rsid w:val="5CDF354A"/>
    <w:rsid w:val="5CDF79EE"/>
    <w:rsid w:val="5CE054F0"/>
    <w:rsid w:val="5CE13766"/>
    <w:rsid w:val="5CE15514"/>
    <w:rsid w:val="5CE172C2"/>
    <w:rsid w:val="5CE21551"/>
    <w:rsid w:val="5CE24DE9"/>
    <w:rsid w:val="5CE25C9B"/>
    <w:rsid w:val="5CE40B61"/>
    <w:rsid w:val="5CE62824"/>
    <w:rsid w:val="5CE62B2B"/>
    <w:rsid w:val="5CE82AF2"/>
    <w:rsid w:val="5CE86853"/>
    <w:rsid w:val="5CE93235"/>
    <w:rsid w:val="5CE943C9"/>
    <w:rsid w:val="5CE96177"/>
    <w:rsid w:val="5CEA0412"/>
    <w:rsid w:val="5CEB0141"/>
    <w:rsid w:val="5CEB1EEF"/>
    <w:rsid w:val="5CEC208F"/>
    <w:rsid w:val="5CEC43B9"/>
    <w:rsid w:val="5CEC55E4"/>
    <w:rsid w:val="5CEE5898"/>
    <w:rsid w:val="5CEE7AF4"/>
    <w:rsid w:val="5CEE7C31"/>
    <w:rsid w:val="5CEF1FEE"/>
    <w:rsid w:val="5CEF3B55"/>
    <w:rsid w:val="5CF11E2B"/>
    <w:rsid w:val="5CF243B1"/>
    <w:rsid w:val="5CF25ABB"/>
    <w:rsid w:val="5CF27722"/>
    <w:rsid w:val="5CF3349A"/>
    <w:rsid w:val="5CF37759"/>
    <w:rsid w:val="5CF43BCB"/>
    <w:rsid w:val="5CF43C23"/>
    <w:rsid w:val="5CF50FC0"/>
    <w:rsid w:val="5CF54B1C"/>
    <w:rsid w:val="5CF6124B"/>
    <w:rsid w:val="5CF65B42"/>
    <w:rsid w:val="5CF714FC"/>
    <w:rsid w:val="5CF7587D"/>
    <w:rsid w:val="5CF76AE6"/>
    <w:rsid w:val="5CF77F7E"/>
    <w:rsid w:val="5CF80AB0"/>
    <w:rsid w:val="5CF8285E"/>
    <w:rsid w:val="5CF865E1"/>
    <w:rsid w:val="5CF94C07"/>
    <w:rsid w:val="5CF977D8"/>
    <w:rsid w:val="5CFB09C9"/>
    <w:rsid w:val="5CFC3588"/>
    <w:rsid w:val="5CFC7B6A"/>
    <w:rsid w:val="5CFC7D64"/>
    <w:rsid w:val="5CFD4A18"/>
    <w:rsid w:val="5CFD6159"/>
    <w:rsid w:val="5CFD7E74"/>
    <w:rsid w:val="5CFE424B"/>
    <w:rsid w:val="5CFE60C6"/>
    <w:rsid w:val="5CFE75E9"/>
    <w:rsid w:val="5CFE775C"/>
    <w:rsid w:val="5CFF520C"/>
    <w:rsid w:val="5CFF599B"/>
    <w:rsid w:val="5D001F09"/>
    <w:rsid w:val="5D003135"/>
    <w:rsid w:val="5D003D89"/>
    <w:rsid w:val="5D015F6A"/>
    <w:rsid w:val="5D02548B"/>
    <w:rsid w:val="5D0336DD"/>
    <w:rsid w:val="5D034CF6"/>
    <w:rsid w:val="5D042FB1"/>
    <w:rsid w:val="5D047455"/>
    <w:rsid w:val="5D052C7B"/>
    <w:rsid w:val="5D0637E7"/>
    <w:rsid w:val="5D064880"/>
    <w:rsid w:val="5D072AA1"/>
    <w:rsid w:val="5D0953E9"/>
    <w:rsid w:val="5D096819"/>
    <w:rsid w:val="5D0B2591"/>
    <w:rsid w:val="5D0B433F"/>
    <w:rsid w:val="5D0C2E9C"/>
    <w:rsid w:val="5D0E2082"/>
    <w:rsid w:val="5D0E3E30"/>
    <w:rsid w:val="5D0E599D"/>
    <w:rsid w:val="5D0E5BDE"/>
    <w:rsid w:val="5D0F19FE"/>
    <w:rsid w:val="5D101956"/>
    <w:rsid w:val="5D105596"/>
    <w:rsid w:val="5D1214CA"/>
    <w:rsid w:val="5D1256CE"/>
    <w:rsid w:val="5D126FB2"/>
    <w:rsid w:val="5D127041"/>
    <w:rsid w:val="5D12779B"/>
    <w:rsid w:val="5D134FD4"/>
    <w:rsid w:val="5D142D43"/>
    <w:rsid w:val="5D1458EA"/>
    <w:rsid w:val="5D153410"/>
    <w:rsid w:val="5D1538E2"/>
    <w:rsid w:val="5D155870"/>
    <w:rsid w:val="5D16412F"/>
    <w:rsid w:val="5D1708B3"/>
    <w:rsid w:val="5D1963D4"/>
    <w:rsid w:val="5D1A3216"/>
    <w:rsid w:val="5D1A4582"/>
    <w:rsid w:val="5D1A6C78"/>
    <w:rsid w:val="5D1A7137"/>
    <w:rsid w:val="5D1B1A40"/>
    <w:rsid w:val="5D1E0517"/>
    <w:rsid w:val="5D1E2AA5"/>
    <w:rsid w:val="5D1F7DEB"/>
    <w:rsid w:val="5D202983"/>
    <w:rsid w:val="5D205A4D"/>
    <w:rsid w:val="5D206D71"/>
    <w:rsid w:val="5D211B43"/>
    <w:rsid w:val="5D215911"/>
    <w:rsid w:val="5D227A80"/>
    <w:rsid w:val="5D235B2D"/>
    <w:rsid w:val="5D2378DB"/>
    <w:rsid w:val="5D2418A5"/>
    <w:rsid w:val="5D242FBD"/>
    <w:rsid w:val="5D2435F2"/>
    <w:rsid w:val="5D245401"/>
    <w:rsid w:val="5D255365"/>
    <w:rsid w:val="5D26066C"/>
    <w:rsid w:val="5D262D07"/>
    <w:rsid w:val="5D2673CB"/>
    <w:rsid w:val="5D281683"/>
    <w:rsid w:val="5D283143"/>
    <w:rsid w:val="5D284EF1"/>
    <w:rsid w:val="5D286B9B"/>
    <w:rsid w:val="5D292A17"/>
    <w:rsid w:val="5D2936E4"/>
    <w:rsid w:val="5D296EBB"/>
    <w:rsid w:val="5D297A30"/>
    <w:rsid w:val="5D2A46EA"/>
    <w:rsid w:val="5D2B49E2"/>
    <w:rsid w:val="5D2B4EC5"/>
    <w:rsid w:val="5D2B6790"/>
    <w:rsid w:val="5D2C0F26"/>
    <w:rsid w:val="5D2C15D3"/>
    <w:rsid w:val="5D2C42B6"/>
    <w:rsid w:val="5D2C48AE"/>
    <w:rsid w:val="5D2D075A"/>
    <w:rsid w:val="5D2E002E"/>
    <w:rsid w:val="5D2F104E"/>
    <w:rsid w:val="5D2F7209"/>
    <w:rsid w:val="5D2F7720"/>
    <w:rsid w:val="5D3025A4"/>
    <w:rsid w:val="5D303DA6"/>
    <w:rsid w:val="5D3078A7"/>
    <w:rsid w:val="5D31181C"/>
    <w:rsid w:val="5D312D26"/>
    <w:rsid w:val="5D323FC2"/>
    <w:rsid w:val="5D325D70"/>
    <w:rsid w:val="5D327B1E"/>
    <w:rsid w:val="5D331AE8"/>
    <w:rsid w:val="5D333896"/>
    <w:rsid w:val="5D3425A0"/>
    <w:rsid w:val="5D352CFB"/>
    <w:rsid w:val="5D353719"/>
    <w:rsid w:val="5D35378A"/>
    <w:rsid w:val="5D355860"/>
    <w:rsid w:val="5D35760E"/>
    <w:rsid w:val="5D3715D8"/>
    <w:rsid w:val="5D3734EB"/>
    <w:rsid w:val="5D375134"/>
    <w:rsid w:val="5D376A9B"/>
    <w:rsid w:val="5D3852D3"/>
    <w:rsid w:val="5D391C58"/>
    <w:rsid w:val="5D3970FE"/>
    <w:rsid w:val="5D3A4C25"/>
    <w:rsid w:val="5D3A521D"/>
    <w:rsid w:val="5D3B49BA"/>
    <w:rsid w:val="5D3C04A3"/>
    <w:rsid w:val="5D3C099D"/>
    <w:rsid w:val="5D3C1C5A"/>
    <w:rsid w:val="5D3C6275"/>
    <w:rsid w:val="5D3D4203"/>
    <w:rsid w:val="5D3D64C3"/>
    <w:rsid w:val="5D3E4715"/>
    <w:rsid w:val="5D3E57E7"/>
    <w:rsid w:val="5D3F277F"/>
    <w:rsid w:val="5D3F63CF"/>
    <w:rsid w:val="5D4016D9"/>
    <w:rsid w:val="5D40331D"/>
    <w:rsid w:val="5D414205"/>
    <w:rsid w:val="5D417D61"/>
    <w:rsid w:val="5D4211D2"/>
    <w:rsid w:val="5D423E0B"/>
    <w:rsid w:val="5D43100A"/>
    <w:rsid w:val="5D443CF5"/>
    <w:rsid w:val="5D445AA3"/>
    <w:rsid w:val="5D445E0F"/>
    <w:rsid w:val="5D4471AD"/>
    <w:rsid w:val="5D447851"/>
    <w:rsid w:val="5D447E7C"/>
    <w:rsid w:val="5D45320E"/>
    <w:rsid w:val="5D4538A3"/>
    <w:rsid w:val="5D455B87"/>
    <w:rsid w:val="5D46181B"/>
    <w:rsid w:val="5D4635C9"/>
    <w:rsid w:val="5D473508"/>
    <w:rsid w:val="5D480AC5"/>
    <w:rsid w:val="5D4847A8"/>
    <w:rsid w:val="5D485594"/>
    <w:rsid w:val="5D4930BA"/>
    <w:rsid w:val="5D495CFE"/>
    <w:rsid w:val="5D4A3343"/>
    <w:rsid w:val="5D4B2344"/>
    <w:rsid w:val="5D4B6E32"/>
    <w:rsid w:val="5D4C0CCF"/>
    <w:rsid w:val="5D4C6DCF"/>
    <w:rsid w:val="5D4D023D"/>
    <w:rsid w:val="5D4D39A6"/>
    <w:rsid w:val="5D4D4958"/>
    <w:rsid w:val="5D4D6706"/>
    <w:rsid w:val="5D4D7EE2"/>
    <w:rsid w:val="5D4E0FDC"/>
    <w:rsid w:val="5D4E1EA4"/>
    <w:rsid w:val="5D4E5BA8"/>
    <w:rsid w:val="5D4F1F74"/>
    <w:rsid w:val="5D4F6922"/>
    <w:rsid w:val="5D500321"/>
    <w:rsid w:val="5D500C10"/>
    <w:rsid w:val="5D50269A"/>
    <w:rsid w:val="5D505750"/>
    <w:rsid w:val="5D5201C0"/>
    <w:rsid w:val="5D521F6E"/>
    <w:rsid w:val="5D535CE6"/>
    <w:rsid w:val="5D5557F6"/>
    <w:rsid w:val="5D5617A0"/>
    <w:rsid w:val="5D562933"/>
    <w:rsid w:val="5D572F2A"/>
    <w:rsid w:val="5D5743EF"/>
    <w:rsid w:val="5D577585"/>
    <w:rsid w:val="5D584F8E"/>
    <w:rsid w:val="5D59154F"/>
    <w:rsid w:val="5D591C60"/>
    <w:rsid w:val="5D5932FD"/>
    <w:rsid w:val="5D5A0E23"/>
    <w:rsid w:val="5D5A13D3"/>
    <w:rsid w:val="5D5A302D"/>
    <w:rsid w:val="5D5A7075"/>
    <w:rsid w:val="5D5B0977"/>
    <w:rsid w:val="5D5C103F"/>
    <w:rsid w:val="5D5C2DED"/>
    <w:rsid w:val="5D5C4309"/>
    <w:rsid w:val="5D5D1495"/>
    <w:rsid w:val="5D5D7866"/>
    <w:rsid w:val="5D5E4DB7"/>
    <w:rsid w:val="5D5E6B65"/>
    <w:rsid w:val="5D5F5EF2"/>
    <w:rsid w:val="5D600B2F"/>
    <w:rsid w:val="5D610403"/>
    <w:rsid w:val="5D6121B1"/>
    <w:rsid w:val="5D616655"/>
    <w:rsid w:val="5D626D72"/>
    <w:rsid w:val="5D635F29"/>
    <w:rsid w:val="5D646797"/>
    <w:rsid w:val="5D652E07"/>
    <w:rsid w:val="5D6543E5"/>
    <w:rsid w:val="5D656145"/>
    <w:rsid w:val="5D6677C8"/>
    <w:rsid w:val="5D67087F"/>
    <w:rsid w:val="5D6739D7"/>
    <w:rsid w:val="5D683540"/>
    <w:rsid w:val="5D6879E4"/>
    <w:rsid w:val="5D69161B"/>
    <w:rsid w:val="5D6926E4"/>
    <w:rsid w:val="5D69550A"/>
    <w:rsid w:val="5D6A0EC8"/>
    <w:rsid w:val="5D6B74D4"/>
    <w:rsid w:val="5D6D0B56"/>
    <w:rsid w:val="5D6D4FFA"/>
    <w:rsid w:val="5D6E4CAC"/>
    <w:rsid w:val="5D6E628B"/>
    <w:rsid w:val="5D6F0D72"/>
    <w:rsid w:val="5D6F2B20"/>
    <w:rsid w:val="5D6F3C51"/>
    <w:rsid w:val="5D700646"/>
    <w:rsid w:val="5D700841"/>
    <w:rsid w:val="5D7027B5"/>
    <w:rsid w:val="5D7046F1"/>
    <w:rsid w:val="5D704AEA"/>
    <w:rsid w:val="5D7243BE"/>
    <w:rsid w:val="5D740137"/>
    <w:rsid w:val="5D7416F1"/>
    <w:rsid w:val="5D7514EC"/>
    <w:rsid w:val="5D752101"/>
    <w:rsid w:val="5D755C5D"/>
    <w:rsid w:val="5D755FDB"/>
    <w:rsid w:val="5D7719D5"/>
    <w:rsid w:val="5D7772DB"/>
    <w:rsid w:val="5D780E46"/>
    <w:rsid w:val="5D7869AF"/>
    <w:rsid w:val="5D7874FB"/>
    <w:rsid w:val="5D79399F"/>
    <w:rsid w:val="5D79574D"/>
    <w:rsid w:val="5D7A5897"/>
    <w:rsid w:val="5D7B06E4"/>
    <w:rsid w:val="5D7B43E9"/>
    <w:rsid w:val="5D7C523D"/>
    <w:rsid w:val="5D7C797D"/>
    <w:rsid w:val="5D7D43BF"/>
    <w:rsid w:val="5D7E0FB5"/>
    <w:rsid w:val="5D7E2D63"/>
    <w:rsid w:val="5D7E5C6F"/>
    <w:rsid w:val="5D7E61BC"/>
    <w:rsid w:val="5D7E7207"/>
    <w:rsid w:val="5D7F03CC"/>
    <w:rsid w:val="5D7F6ADB"/>
    <w:rsid w:val="5D801B4F"/>
    <w:rsid w:val="5D812854"/>
    <w:rsid w:val="5D8130C8"/>
    <w:rsid w:val="5D813889"/>
    <w:rsid w:val="5D827F8E"/>
    <w:rsid w:val="5D83037A"/>
    <w:rsid w:val="5D832FF6"/>
    <w:rsid w:val="5D835EF6"/>
    <w:rsid w:val="5D8365CC"/>
    <w:rsid w:val="5D836CFA"/>
    <w:rsid w:val="5D847211"/>
    <w:rsid w:val="5D85386B"/>
    <w:rsid w:val="5D8556BC"/>
    <w:rsid w:val="5D860E23"/>
    <w:rsid w:val="5D8660BC"/>
    <w:rsid w:val="5D866322"/>
    <w:rsid w:val="5D866758"/>
    <w:rsid w:val="5D867E6A"/>
    <w:rsid w:val="5D870900"/>
    <w:rsid w:val="5D870AB5"/>
    <w:rsid w:val="5D871341"/>
    <w:rsid w:val="5D872FC1"/>
    <w:rsid w:val="5D8774BB"/>
    <w:rsid w:val="5D881E34"/>
    <w:rsid w:val="5D883BE2"/>
    <w:rsid w:val="5D884D24"/>
    <w:rsid w:val="5D896015"/>
    <w:rsid w:val="5D896437"/>
    <w:rsid w:val="5D8A766C"/>
    <w:rsid w:val="5D8B36D2"/>
    <w:rsid w:val="5D8B4706"/>
    <w:rsid w:val="5D8B5480"/>
    <w:rsid w:val="5D8B58AC"/>
    <w:rsid w:val="5D8B722E"/>
    <w:rsid w:val="5D8B7D44"/>
    <w:rsid w:val="5D8E02C3"/>
    <w:rsid w:val="5D8E270E"/>
    <w:rsid w:val="5D8E27BB"/>
    <w:rsid w:val="5D8F222C"/>
    <w:rsid w:val="5D8F4F70"/>
    <w:rsid w:val="5D8F6D1E"/>
    <w:rsid w:val="5D8F7E5D"/>
    <w:rsid w:val="5D916EC2"/>
    <w:rsid w:val="5D916F3A"/>
    <w:rsid w:val="5D924A61"/>
    <w:rsid w:val="5D92680F"/>
    <w:rsid w:val="5D930D63"/>
    <w:rsid w:val="5D9407D9"/>
    <w:rsid w:val="5D942587"/>
    <w:rsid w:val="5D944335"/>
    <w:rsid w:val="5D947722"/>
    <w:rsid w:val="5D9555C5"/>
    <w:rsid w:val="5D964551"/>
    <w:rsid w:val="5D9718EE"/>
    <w:rsid w:val="5D973E25"/>
    <w:rsid w:val="5D977EE5"/>
    <w:rsid w:val="5D990677"/>
    <w:rsid w:val="5D99194B"/>
    <w:rsid w:val="5D9A3915"/>
    <w:rsid w:val="5D9A56C3"/>
    <w:rsid w:val="5D9A7FA7"/>
    <w:rsid w:val="5D9B0827"/>
    <w:rsid w:val="5D9B70D9"/>
    <w:rsid w:val="5D9B7CF5"/>
    <w:rsid w:val="5D9C58DF"/>
    <w:rsid w:val="5D9D624A"/>
    <w:rsid w:val="5D9D6927"/>
    <w:rsid w:val="5D9D79EF"/>
    <w:rsid w:val="5D9D7E86"/>
    <w:rsid w:val="5D9E1657"/>
    <w:rsid w:val="5D9E3405"/>
    <w:rsid w:val="5D9E51B4"/>
    <w:rsid w:val="5D9E70D5"/>
    <w:rsid w:val="5D9F11F0"/>
    <w:rsid w:val="5D9F2CDA"/>
    <w:rsid w:val="5D9F76E1"/>
    <w:rsid w:val="5DA0439E"/>
    <w:rsid w:val="5DA12EF6"/>
    <w:rsid w:val="5DA14CA4"/>
    <w:rsid w:val="5DA30A1C"/>
    <w:rsid w:val="5DA33C1E"/>
    <w:rsid w:val="5DA402F0"/>
    <w:rsid w:val="5DA41845"/>
    <w:rsid w:val="5DA45704"/>
    <w:rsid w:val="5DA64068"/>
    <w:rsid w:val="5DA71300"/>
    <w:rsid w:val="5DA725AA"/>
    <w:rsid w:val="5DA83A0F"/>
    <w:rsid w:val="5DA86032"/>
    <w:rsid w:val="5DA91F25"/>
    <w:rsid w:val="5DAA1696"/>
    <w:rsid w:val="5DAA1DAA"/>
    <w:rsid w:val="5DAA5696"/>
    <w:rsid w:val="5DAA7FFC"/>
    <w:rsid w:val="5DAB5B22"/>
    <w:rsid w:val="5DAB78D0"/>
    <w:rsid w:val="5DAC384B"/>
    <w:rsid w:val="5DAD189A"/>
    <w:rsid w:val="5DAD39B8"/>
    <w:rsid w:val="5DAD53F7"/>
    <w:rsid w:val="5DAE1CA2"/>
    <w:rsid w:val="5DAE2439"/>
    <w:rsid w:val="5DAF0CDD"/>
    <w:rsid w:val="5DAF5613"/>
    <w:rsid w:val="5DAF75FB"/>
    <w:rsid w:val="5DB1365C"/>
    <w:rsid w:val="5DB15146"/>
    <w:rsid w:val="5DB2076D"/>
    <w:rsid w:val="5DB20C5F"/>
    <w:rsid w:val="5DB26EB1"/>
    <w:rsid w:val="5DB276BD"/>
    <w:rsid w:val="5DB33033"/>
    <w:rsid w:val="5DB40020"/>
    <w:rsid w:val="5DB4163F"/>
    <w:rsid w:val="5DB46785"/>
    <w:rsid w:val="5DB468A9"/>
    <w:rsid w:val="5DB6074F"/>
    <w:rsid w:val="5DB65BE1"/>
    <w:rsid w:val="5DB6603E"/>
    <w:rsid w:val="5DB669A1"/>
    <w:rsid w:val="5DB70023"/>
    <w:rsid w:val="5DB744C7"/>
    <w:rsid w:val="5DB74511"/>
    <w:rsid w:val="5DB9023F"/>
    <w:rsid w:val="5DB949BF"/>
    <w:rsid w:val="5DBB3FB7"/>
    <w:rsid w:val="5DBB5D65"/>
    <w:rsid w:val="5DBC388C"/>
    <w:rsid w:val="5DBC7D30"/>
    <w:rsid w:val="5DBD549B"/>
    <w:rsid w:val="5DBE6B2B"/>
    <w:rsid w:val="5DBF39CE"/>
    <w:rsid w:val="5DBF597A"/>
    <w:rsid w:val="5DBF70F0"/>
    <w:rsid w:val="5DC015CE"/>
    <w:rsid w:val="5DC0637E"/>
    <w:rsid w:val="5DC0655D"/>
    <w:rsid w:val="5DC10EA2"/>
    <w:rsid w:val="5DC15346"/>
    <w:rsid w:val="5DC170F4"/>
    <w:rsid w:val="5DC271B2"/>
    <w:rsid w:val="5DC30D1A"/>
    <w:rsid w:val="5DC310BE"/>
    <w:rsid w:val="5DC32E6C"/>
    <w:rsid w:val="5DC331FB"/>
    <w:rsid w:val="5DC42740"/>
    <w:rsid w:val="5DC6470A"/>
    <w:rsid w:val="5DC71FC3"/>
    <w:rsid w:val="5DC7478A"/>
    <w:rsid w:val="5DC76A50"/>
    <w:rsid w:val="5DC818E3"/>
    <w:rsid w:val="5DC866D4"/>
    <w:rsid w:val="5DCA00E2"/>
    <w:rsid w:val="5DCA244C"/>
    <w:rsid w:val="5DCA3E88"/>
    <w:rsid w:val="5DCA5441"/>
    <w:rsid w:val="5DCA5FA9"/>
    <w:rsid w:val="5DCB1D21"/>
    <w:rsid w:val="5DCD42C5"/>
    <w:rsid w:val="5DCD4924"/>
    <w:rsid w:val="5DCD7847"/>
    <w:rsid w:val="5DCE5755"/>
    <w:rsid w:val="5DCE6203"/>
    <w:rsid w:val="5DCE7363"/>
    <w:rsid w:val="5DCF1BBF"/>
    <w:rsid w:val="5DCF390D"/>
    <w:rsid w:val="5DCF5207"/>
    <w:rsid w:val="5DD00075"/>
    <w:rsid w:val="5DD07337"/>
    <w:rsid w:val="5DD15589"/>
    <w:rsid w:val="5DD20499"/>
    <w:rsid w:val="5DD24E5D"/>
    <w:rsid w:val="5DD40BD5"/>
    <w:rsid w:val="5DD4520B"/>
    <w:rsid w:val="5DD50E01"/>
    <w:rsid w:val="5DD60DF1"/>
    <w:rsid w:val="5DD6354A"/>
    <w:rsid w:val="5DD72473"/>
    <w:rsid w:val="5DD92690"/>
    <w:rsid w:val="5DD961EC"/>
    <w:rsid w:val="5DDB56EC"/>
    <w:rsid w:val="5DDC0DD6"/>
    <w:rsid w:val="5DDC3F2E"/>
    <w:rsid w:val="5DDC7A8A"/>
    <w:rsid w:val="5DDD6D2C"/>
    <w:rsid w:val="5DDE1A54"/>
    <w:rsid w:val="5DDE3802"/>
    <w:rsid w:val="5DDE524A"/>
    <w:rsid w:val="5DDF1336"/>
    <w:rsid w:val="5DDF5CD5"/>
    <w:rsid w:val="5DDF7CE6"/>
    <w:rsid w:val="5DE03AC2"/>
    <w:rsid w:val="5DE03C99"/>
    <w:rsid w:val="5DE1191C"/>
    <w:rsid w:val="5DE13BCB"/>
    <w:rsid w:val="5DE2154E"/>
    <w:rsid w:val="5DE27796"/>
    <w:rsid w:val="5DE3424D"/>
    <w:rsid w:val="5DE478CB"/>
    <w:rsid w:val="5DE5254C"/>
    <w:rsid w:val="5DE651A7"/>
    <w:rsid w:val="5DE74DAC"/>
    <w:rsid w:val="5DE74E6C"/>
    <w:rsid w:val="5DE80ECD"/>
    <w:rsid w:val="5DE828D3"/>
    <w:rsid w:val="5DE84681"/>
    <w:rsid w:val="5DEA21A7"/>
    <w:rsid w:val="5DEA43BA"/>
    <w:rsid w:val="5DEB784E"/>
    <w:rsid w:val="5DEC4171"/>
    <w:rsid w:val="5DED1C97"/>
    <w:rsid w:val="5DED2098"/>
    <w:rsid w:val="5DED613B"/>
    <w:rsid w:val="5DEE02FC"/>
    <w:rsid w:val="5DEE652C"/>
    <w:rsid w:val="5DEE7C26"/>
    <w:rsid w:val="5DEF3C61"/>
    <w:rsid w:val="5DEF5A0F"/>
    <w:rsid w:val="5DEF78BB"/>
    <w:rsid w:val="5DF011CD"/>
    <w:rsid w:val="5DF014D8"/>
    <w:rsid w:val="5DF03535"/>
    <w:rsid w:val="5DF05C9F"/>
    <w:rsid w:val="5DF1105A"/>
    <w:rsid w:val="5DF179D9"/>
    <w:rsid w:val="5DF24B50"/>
    <w:rsid w:val="5DF24C47"/>
    <w:rsid w:val="5DF424C3"/>
    <w:rsid w:val="5DF448CC"/>
    <w:rsid w:val="5DF4793A"/>
    <w:rsid w:val="5DF61D90"/>
    <w:rsid w:val="5DF64F66"/>
    <w:rsid w:val="5DF64FF0"/>
    <w:rsid w:val="5DF65D60"/>
    <w:rsid w:val="5DF70D68"/>
    <w:rsid w:val="5DF72B16"/>
    <w:rsid w:val="5DF733AE"/>
    <w:rsid w:val="5DF748C4"/>
    <w:rsid w:val="5DF76795"/>
    <w:rsid w:val="5DF9688E"/>
    <w:rsid w:val="5DFB0858"/>
    <w:rsid w:val="5DFB2606"/>
    <w:rsid w:val="5DFB42C8"/>
    <w:rsid w:val="5DFB43B4"/>
    <w:rsid w:val="5DFB447D"/>
    <w:rsid w:val="5DFC012C"/>
    <w:rsid w:val="5DFC1EDA"/>
    <w:rsid w:val="5DFC4A44"/>
    <w:rsid w:val="5DFE20F6"/>
    <w:rsid w:val="5DFE5C52"/>
    <w:rsid w:val="5DFE7762"/>
    <w:rsid w:val="5DFF33CE"/>
    <w:rsid w:val="5E0019CA"/>
    <w:rsid w:val="5E007154"/>
    <w:rsid w:val="5E007C1C"/>
    <w:rsid w:val="5E021BE6"/>
    <w:rsid w:val="5E023994"/>
    <w:rsid w:val="5E0319A3"/>
    <w:rsid w:val="5E0320D4"/>
    <w:rsid w:val="5E032790"/>
    <w:rsid w:val="5E04332E"/>
    <w:rsid w:val="5E044E9B"/>
    <w:rsid w:val="5E051485"/>
    <w:rsid w:val="5E052C71"/>
    <w:rsid w:val="5E053D08"/>
    <w:rsid w:val="5E056FE1"/>
    <w:rsid w:val="5E05796A"/>
    <w:rsid w:val="5E061A7C"/>
    <w:rsid w:val="5E065D78"/>
    <w:rsid w:val="5E0771FD"/>
    <w:rsid w:val="5E08087F"/>
    <w:rsid w:val="5E084D23"/>
    <w:rsid w:val="5E086AD1"/>
    <w:rsid w:val="5E096AA5"/>
    <w:rsid w:val="5E0A0A9B"/>
    <w:rsid w:val="5E0A2DD7"/>
    <w:rsid w:val="5E0A5CF8"/>
    <w:rsid w:val="5E0B036F"/>
    <w:rsid w:val="5E0B450A"/>
    <w:rsid w:val="5E0B4BE0"/>
    <w:rsid w:val="5E0C4813"/>
    <w:rsid w:val="5E0C65C1"/>
    <w:rsid w:val="5E0D5EC5"/>
    <w:rsid w:val="5E0D6E08"/>
    <w:rsid w:val="5E0E058B"/>
    <w:rsid w:val="5E0E7439"/>
    <w:rsid w:val="5E0F1C0D"/>
    <w:rsid w:val="5E0F2B0A"/>
    <w:rsid w:val="5E0F7E5F"/>
    <w:rsid w:val="5E105D56"/>
    <w:rsid w:val="5E113BD7"/>
    <w:rsid w:val="5E115985"/>
    <w:rsid w:val="5E1216FE"/>
    <w:rsid w:val="5E1222CC"/>
    <w:rsid w:val="5E123361"/>
    <w:rsid w:val="5E1256DF"/>
    <w:rsid w:val="5E127950"/>
    <w:rsid w:val="5E135BA1"/>
    <w:rsid w:val="5E14191A"/>
    <w:rsid w:val="5E1450E3"/>
    <w:rsid w:val="5E145476"/>
    <w:rsid w:val="5E153FC7"/>
    <w:rsid w:val="5E157EEA"/>
    <w:rsid w:val="5E167440"/>
    <w:rsid w:val="5E187A9E"/>
    <w:rsid w:val="5E190169"/>
    <w:rsid w:val="5E192082"/>
    <w:rsid w:val="5E196E8B"/>
    <w:rsid w:val="5E1A6610"/>
    <w:rsid w:val="5E1A6DC8"/>
    <w:rsid w:val="5E1B6E60"/>
    <w:rsid w:val="5E1C19EB"/>
    <w:rsid w:val="5E1C51EC"/>
    <w:rsid w:val="5E1C667C"/>
    <w:rsid w:val="5E1D2ABB"/>
    <w:rsid w:val="5E1D7B0C"/>
    <w:rsid w:val="5E1E0968"/>
    <w:rsid w:val="5E1E0F9C"/>
    <w:rsid w:val="5E1E4546"/>
    <w:rsid w:val="5E1E6518"/>
    <w:rsid w:val="5E2002BE"/>
    <w:rsid w:val="5E203E1A"/>
    <w:rsid w:val="5E207BCE"/>
    <w:rsid w:val="5E211941"/>
    <w:rsid w:val="5E22035C"/>
    <w:rsid w:val="5E2205D7"/>
    <w:rsid w:val="5E224037"/>
    <w:rsid w:val="5E225DE5"/>
    <w:rsid w:val="5E227B93"/>
    <w:rsid w:val="5E231BA8"/>
    <w:rsid w:val="5E23390B"/>
    <w:rsid w:val="5E234356"/>
    <w:rsid w:val="5E2467F1"/>
    <w:rsid w:val="5E25203D"/>
    <w:rsid w:val="5E252280"/>
    <w:rsid w:val="5E257683"/>
    <w:rsid w:val="5E2579DF"/>
    <w:rsid w:val="5E260E6F"/>
    <w:rsid w:val="5E272270"/>
    <w:rsid w:val="5E272719"/>
    <w:rsid w:val="5E2733FB"/>
    <w:rsid w:val="5E2751A9"/>
    <w:rsid w:val="5E275239"/>
    <w:rsid w:val="5E2814C4"/>
    <w:rsid w:val="5E281679"/>
    <w:rsid w:val="5E284C1F"/>
    <w:rsid w:val="5E287173"/>
    <w:rsid w:val="5E290DED"/>
    <w:rsid w:val="5E2960AF"/>
    <w:rsid w:val="5E2A4C99"/>
    <w:rsid w:val="5E2A574E"/>
    <w:rsid w:val="5E2B4CE1"/>
    <w:rsid w:val="5E2B5FA2"/>
    <w:rsid w:val="5E2B6A00"/>
    <w:rsid w:val="5E2D495D"/>
    <w:rsid w:val="5E2D6537"/>
    <w:rsid w:val="5E2E08A2"/>
    <w:rsid w:val="5E2F1F21"/>
    <w:rsid w:val="5E2F405E"/>
    <w:rsid w:val="5E2F55F8"/>
    <w:rsid w:val="5E2F64E9"/>
    <w:rsid w:val="5E311EBD"/>
    <w:rsid w:val="5E31466E"/>
    <w:rsid w:val="5E314AA7"/>
    <w:rsid w:val="5E316028"/>
    <w:rsid w:val="5E3170D7"/>
    <w:rsid w:val="5E323B4E"/>
    <w:rsid w:val="5E32544C"/>
    <w:rsid w:val="5E325E06"/>
    <w:rsid w:val="5E336BCC"/>
    <w:rsid w:val="5E341674"/>
    <w:rsid w:val="5E343D6A"/>
    <w:rsid w:val="5E355D93"/>
    <w:rsid w:val="5E360437"/>
    <w:rsid w:val="5E361890"/>
    <w:rsid w:val="5E36363E"/>
    <w:rsid w:val="5E3653EC"/>
    <w:rsid w:val="5E367916"/>
    <w:rsid w:val="5E3700EB"/>
    <w:rsid w:val="5E3710C3"/>
    <w:rsid w:val="5E371164"/>
    <w:rsid w:val="5E373E40"/>
    <w:rsid w:val="5E391380"/>
    <w:rsid w:val="5E39312E"/>
    <w:rsid w:val="5E3969CD"/>
    <w:rsid w:val="5E3972E5"/>
    <w:rsid w:val="5E3A627E"/>
    <w:rsid w:val="5E3B1C05"/>
    <w:rsid w:val="5E3C031F"/>
    <w:rsid w:val="5E3C677A"/>
    <w:rsid w:val="5E3C6A37"/>
    <w:rsid w:val="5E3D1766"/>
    <w:rsid w:val="5E3D49CC"/>
    <w:rsid w:val="5E3D70F6"/>
    <w:rsid w:val="5E3E0745"/>
    <w:rsid w:val="5E3E0818"/>
    <w:rsid w:val="5E3F7232"/>
    <w:rsid w:val="5E4045E7"/>
    <w:rsid w:val="5E40626B"/>
    <w:rsid w:val="5E413D91"/>
    <w:rsid w:val="5E420397"/>
    <w:rsid w:val="5E421FE3"/>
    <w:rsid w:val="5E435D5B"/>
    <w:rsid w:val="5E437C6C"/>
    <w:rsid w:val="5E4428C3"/>
    <w:rsid w:val="5E453881"/>
    <w:rsid w:val="5E4618E9"/>
    <w:rsid w:val="5E4652BA"/>
    <w:rsid w:val="5E466D18"/>
    <w:rsid w:val="5E476F68"/>
    <w:rsid w:val="5E4775F9"/>
    <w:rsid w:val="5E482EBE"/>
    <w:rsid w:val="5E484F25"/>
    <w:rsid w:val="5E49431D"/>
    <w:rsid w:val="5E495699"/>
    <w:rsid w:val="5E4A51AE"/>
    <w:rsid w:val="5E4A533B"/>
    <w:rsid w:val="5E4B4035"/>
    <w:rsid w:val="5E4B5315"/>
    <w:rsid w:val="5E4C10B3"/>
    <w:rsid w:val="5E4C3FF5"/>
    <w:rsid w:val="5E4D2736"/>
    <w:rsid w:val="5E4D401A"/>
    <w:rsid w:val="5E4E488F"/>
    <w:rsid w:val="5E4E54AA"/>
    <w:rsid w:val="5E4F4700"/>
    <w:rsid w:val="5E4F6354"/>
    <w:rsid w:val="5E4F64AE"/>
    <w:rsid w:val="5E501F37"/>
    <w:rsid w:val="5E510478"/>
    <w:rsid w:val="5E512226"/>
    <w:rsid w:val="5E513D69"/>
    <w:rsid w:val="5E5203EF"/>
    <w:rsid w:val="5E523871"/>
    <w:rsid w:val="5E525F9E"/>
    <w:rsid w:val="5E53027F"/>
    <w:rsid w:val="5E532442"/>
    <w:rsid w:val="5E5341F0"/>
    <w:rsid w:val="5E543AC4"/>
    <w:rsid w:val="5E547F68"/>
    <w:rsid w:val="5E552C6A"/>
    <w:rsid w:val="5E563CE0"/>
    <w:rsid w:val="5E575812"/>
    <w:rsid w:val="5E5835B4"/>
    <w:rsid w:val="5E5841EB"/>
    <w:rsid w:val="5E587A58"/>
    <w:rsid w:val="5E591A42"/>
    <w:rsid w:val="5E5925BD"/>
    <w:rsid w:val="5E59518E"/>
    <w:rsid w:val="5E59557E"/>
    <w:rsid w:val="5E59706B"/>
    <w:rsid w:val="5E59732C"/>
    <w:rsid w:val="5E597785"/>
    <w:rsid w:val="5E5A37D0"/>
    <w:rsid w:val="5E5B0437"/>
    <w:rsid w:val="5E5B4E53"/>
    <w:rsid w:val="5E5C0F3E"/>
    <w:rsid w:val="5E5C267F"/>
    <w:rsid w:val="5E5D0BCB"/>
    <w:rsid w:val="5E5D1748"/>
    <w:rsid w:val="5E5D5321"/>
    <w:rsid w:val="5E5D6E1D"/>
    <w:rsid w:val="5E5E49A1"/>
    <w:rsid w:val="5E5F029D"/>
    <w:rsid w:val="5E5F5772"/>
    <w:rsid w:val="5E5F6EFD"/>
    <w:rsid w:val="5E5F78BF"/>
    <w:rsid w:val="5E6006BB"/>
    <w:rsid w:val="5E604B5F"/>
    <w:rsid w:val="5E60690D"/>
    <w:rsid w:val="5E612EEC"/>
    <w:rsid w:val="5E613B0E"/>
    <w:rsid w:val="5E624433"/>
    <w:rsid w:val="5E624DB0"/>
    <w:rsid w:val="5E627981"/>
    <w:rsid w:val="5E627AB6"/>
    <w:rsid w:val="5E6301AB"/>
    <w:rsid w:val="5E653F77"/>
    <w:rsid w:val="5E664BC1"/>
    <w:rsid w:val="5E671A49"/>
    <w:rsid w:val="5E677C9B"/>
    <w:rsid w:val="5E6847CD"/>
    <w:rsid w:val="5E68756F"/>
    <w:rsid w:val="5E693A13"/>
    <w:rsid w:val="5E693AE8"/>
    <w:rsid w:val="5E6A153A"/>
    <w:rsid w:val="5E6A1E17"/>
    <w:rsid w:val="5E6A467A"/>
    <w:rsid w:val="5E6A778C"/>
    <w:rsid w:val="5E6B7484"/>
    <w:rsid w:val="5E6C2174"/>
    <w:rsid w:val="5E6C3604"/>
    <w:rsid w:val="5E6C4BEF"/>
    <w:rsid w:val="5E6D09FC"/>
    <w:rsid w:val="5E6E07C3"/>
    <w:rsid w:val="5E6F30C1"/>
    <w:rsid w:val="5E6F7098"/>
    <w:rsid w:val="5E701F85"/>
    <w:rsid w:val="5E702546"/>
    <w:rsid w:val="5E7104C2"/>
    <w:rsid w:val="5E710B1A"/>
    <w:rsid w:val="5E7128C8"/>
    <w:rsid w:val="5E713415"/>
    <w:rsid w:val="5E714792"/>
    <w:rsid w:val="5E714E68"/>
    <w:rsid w:val="5E71501E"/>
    <w:rsid w:val="5E7303EE"/>
    <w:rsid w:val="5E730EFF"/>
    <w:rsid w:val="5E734892"/>
    <w:rsid w:val="5E735D35"/>
    <w:rsid w:val="5E7423B8"/>
    <w:rsid w:val="5E7457CA"/>
    <w:rsid w:val="5E7567BE"/>
    <w:rsid w:val="5E761C8C"/>
    <w:rsid w:val="5E766E1C"/>
    <w:rsid w:val="5E781EA8"/>
    <w:rsid w:val="5E785A05"/>
    <w:rsid w:val="5E79352B"/>
    <w:rsid w:val="5E794778"/>
    <w:rsid w:val="5E7A1C1D"/>
    <w:rsid w:val="5E7A5C21"/>
    <w:rsid w:val="5E7A79CF"/>
    <w:rsid w:val="5E7B3747"/>
    <w:rsid w:val="5E7B54F5"/>
    <w:rsid w:val="5E7B72A3"/>
    <w:rsid w:val="5E7C1F20"/>
    <w:rsid w:val="5E7C3BBB"/>
    <w:rsid w:val="5E7C46C7"/>
    <w:rsid w:val="5E7D19B8"/>
    <w:rsid w:val="5E7D74BF"/>
    <w:rsid w:val="5E7E6D93"/>
    <w:rsid w:val="5E802B0B"/>
    <w:rsid w:val="5E8048B9"/>
    <w:rsid w:val="5E810771"/>
    <w:rsid w:val="5E812F0A"/>
    <w:rsid w:val="5E813A2F"/>
    <w:rsid w:val="5E820631"/>
    <w:rsid w:val="5E8303FB"/>
    <w:rsid w:val="5E831D11"/>
    <w:rsid w:val="5E8339DF"/>
    <w:rsid w:val="5E8343A9"/>
    <w:rsid w:val="5E84084D"/>
    <w:rsid w:val="5E843A1A"/>
    <w:rsid w:val="5E853A48"/>
    <w:rsid w:val="5E8545C5"/>
    <w:rsid w:val="5E867915"/>
    <w:rsid w:val="5E87020C"/>
    <w:rsid w:val="5E87100B"/>
    <w:rsid w:val="5E873E9A"/>
    <w:rsid w:val="5E874313"/>
    <w:rsid w:val="5E87563B"/>
    <w:rsid w:val="5E877F0C"/>
    <w:rsid w:val="5E8819C0"/>
    <w:rsid w:val="5E8A3B61"/>
    <w:rsid w:val="5E8A5738"/>
    <w:rsid w:val="5E8C14B0"/>
    <w:rsid w:val="5E8C325E"/>
    <w:rsid w:val="5E8D2BCF"/>
    <w:rsid w:val="5E8E347A"/>
    <w:rsid w:val="5E8E5228"/>
    <w:rsid w:val="5E8E6FD6"/>
    <w:rsid w:val="5E8F0FA0"/>
    <w:rsid w:val="5E8F4C65"/>
    <w:rsid w:val="5E914D18"/>
    <w:rsid w:val="5E916AC6"/>
    <w:rsid w:val="5E922C63"/>
    <w:rsid w:val="5E92366A"/>
    <w:rsid w:val="5E923B9C"/>
    <w:rsid w:val="5E927108"/>
    <w:rsid w:val="5E93283E"/>
    <w:rsid w:val="5E934044"/>
    <w:rsid w:val="5E9345EC"/>
    <w:rsid w:val="5E942B14"/>
    <w:rsid w:val="5E9465B6"/>
    <w:rsid w:val="5E952810"/>
    <w:rsid w:val="5E954808"/>
    <w:rsid w:val="5E96232F"/>
    <w:rsid w:val="5E9640DD"/>
    <w:rsid w:val="5E974813"/>
    <w:rsid w:val="5E975130"/>
    <w:rsid w:val="5E9860A7"/>
    <w:rsid w:val="5E987E55"/>
    <w:rsid w:val="5E9A1E1F"/>
    <w:rsid w:val="5E9B449A"/>
    <w:rsid w:val="5E9B5B97"/>
    <w:rsid w:val="5E9C3124"/>
    <w:rsid w:val="5E9C4294"/>
    <w:rsid w:val="5E9C7B12"/>
    <w:rsid w:val="5E9D546B"/>
    <w:rsid w:val="5E9E38C2"/>
    <w:rsid w:val="5E9F11E3"/>
    <w:rsid w:val="5E9F5041"/>
    <w:rsid w:val="5EA031AD"/>
    <w:rsid w:val="5EA05A1B"/>
    <w:rsid w:val="5EA06D09"/>
    <w:rsid w:val="5EA07269"/>
    <w:rsid w:val="5EA10DB3"/>
    <w:rsid w:val="5EA20CD3"/>
    <w:rsid w:val="5EA26555"/>
    <w:rsid w:val="5EA26F25"/>
    <w:rsid w:val="5EA304AC"/>
    <w:rsid w:val="5EA30505"/>
    <w:rsid w:val="5EA362A4"/>
    <w:rsid w:val="5EA426FE"/>
    <w:rsid w:val="5EA467FA"/>
    <w:rsid w:val="5EA507C4"/>
    <w:rsid w:val="5EA65B0E"/>
    <w:rsid w:val="5EA70098"/>
    <w:rsid w:val="5EA70136"/>
    <w:rsid w:val="5EA73CF6"/>
    <w:rsid w:val="5EA7453C"/>
    <w:rsid w:val="5EA75A17"/>
    <w:rsid w:val="5EA828C7"/>
    <w:rsid w:val="5EA87B1E"/>
    <w:rsid w:val="5EA92062"/>
    <w:rsid w:val="5EA93C63"/>
    <w:rsid w:val="5EA93E10"/>
    <w:rsid w:val="5EAA2C55"/>
    <w:rsid w:val="5EAA5DDA"/>
    <w:rsid w:val="5EAA6DDD"/>
    <w:rsid w:val="5EAA781E"/>
    <w:rsid w:val="5EAA7B88"/>
    <w:rsid w:val="5EAB3C52"/>
    <w:rsid w:val="5EAB402C"/>
    <w:rsid w:val="5EAC0A97"/>
    <w:rsid w:val="5EAC225C"/>
    <w:rsid w:val="5EAC56AE"/>
    <w:rsid w:val="5EAC617A"/>
    <w:rsid w:val="5EAD2609"/>
    <w:rsid w:val="5EAE1799"/>
    <w:rsid w:val="5EAE431D"/>
    <w:rsid w:val="5EAE55F2"/>
    <w:rsid w:val="5EAE6EA2"/>
    <w:rsid w:val="5EAE704E"/>
    <w:rsid w:val="5EAE7678"/>
    <w:rsid w:val="5EAF096B"/>
    <w:rsid w:val="5EAF5616"/>
    <w:rsid w:val="5EB01F09"/>
    <w:rsid w:val="5EB020A9"/>
    <w:rsid w:val="5EB033F0"/>
    <w:rsid w:val="5EB07418"/>
    <w:rsid w:val="5EB153BA"/>
    <w:rsid w:val="5EB21D38"/>
    <w:rsid w:val="5EB34C8F"/>
    <w:rsid w:val="5EB379E0"/>
    <w:rsid w:val="5EB50A07"/>
    <w:rsid w:val="5EB617B3"/>
    <w:rsid w:val="5EB61B49"/>
    <w:rsid w:val="5EB635F2"/>
    <w:rsid w:val="5EB6477F"/>
    <w:rsid w:val="5EB6652D"/>
    <w:rsid w:val="5EB804F7"/>
    <w:rsid w:val="5EB81ADB"/>
    <w:rsid w:val="5EB84053"/>
    <w:rsid w:val="5EB84469"/>
    <w:rsid w:val="5EB91404"/>
    <w:rsid w:val="5EB92998"/>
    <w:rsid w:val="5EBA12BE"/>
    <w:rsid w:val="5EBA2852"/>
    <w:rsid w:val="5EBA426F"/>
    <w:rsid w:val="5EBA601D"/>
    <w:rsid w:val="5EBB7FE7"/>
    <w:rsid w:val="5EBC5174"/>
    <w:rsid w:val="5EBD01FF"/>
    <w:rsid w:val="5EBD2144"/>
    <w:rsid w:val="5EBD3CCB"/>
    <w:rsid w:val="5EBD78BB"/>
    <w:rsid w:val="5EBE53E1"/>
    <w:rsid w:val="5EC00D85"/>
    <w:rsid w:val="5EC0115A"/>
    <w:rsid w:val="5EC04EDC"/>
    <w:rsid w:val="5EC05B97"/>
    <w:rsid w:val="5EC12160"/>
    <w:rsid w:val="5EC13AF7"/>
    <w:rsid w:val="5EC155FD"/>
    <w:rsid w:val="5EC16736"/>
    <w:rsid w:val="5EC20387"/>
    <w:rsid w:val="5EC24ED2"/>
    <w:rsid w:val="5EC272D5"/>
    <w:rsid w:val="5EC40490"/>
    <w:rsid w:val="5EC40C4A"/>
    <w:rsid w:val="5EC450EE"/>
    <w:rsid w:val="5EC549C2"/>
    <w:rsid w:val="5EC62F1D"/>
    <w:rsid w:val="5EC76068"/>
    <w:rsid w:val="5EC91604"/>
    <w:rsid w:val="5EC944B2"/>
    <w:rsid w:val="5EC953EE"/>
    <w:rsid w:val="5ECA40F9"/>
    <w:rsid w:val="5ECB022A"/>
    <w:rsid w:val="5ECC3FA2"/>
    <w:rsid w:val="5ECC7AFE"/>
    <w:rsid w:val="5ECD6940"/>
    <w:rsid w:val="5ECE029B"/>
    <w:rsid w:val="5ECE1AC8"/>
    <w:rsid w:val="5ECE29A1"/>
    <w:rsid w:val="5ECE7DD0"/>
    <w:rsid w:val="5ECF04F9"/>
    <w:rsid w:val="5ECF1260"/>
    <w:rsid w:val="5ED03A93"/>
    <w:rsid w:val="5ED27E4E"/>
    <w:rsid w:val="5ED327B2"/>
    <w:rsid w:val="5ED34ABA"/>
    <w:rsid w:val="5ED35331"/>
    <w:rsid w:val="5ED52E57"/>
    <w:rsid w:val="5ED54C05"/>
    <w:rsid w:val="5ED60954"/>
    <w:rsid w:val="5ED6097D"/>
    <w:rsid w:val="5ED65CE8"/>
    <w:rsid w:val="5ED72E8C"/>
    <w:rsid w:val="5ED74E21"/>
    <w:rsid w:val="5ED83A70"/>
    <w:rsid w:val="5ED86C69"/>
    <w:rsid w:val="5ED877A3"/>
    <w:rsid w:val="5EDA0D81"/>
    <w:rsid w:val="5EDA0DEF"/>
    <w:rsid w:val="5EDA221B"/>
    <w:rsid w:val="5EDA66BF"/>
    <w:rsid w:val="5EDB41E5"/>
    <w:rsid w:val="5EDB5F93"/>
    <w:rsid w:val="5EDB753D"/>
    <w:rsid w:val="5EDB7564"/>
    <w:rsid w:val="5EDC0152"/>
    <w:rsid w:val="5EDC4FA5"/>
    <w:rsid w:val="5EDD1347"/>
    <w:rsid w:val="5EDD4835"/>
    <w:rsid w:val="5EDE5813"/>
    <w:rsid w:val="5EDF192E"/>
    <w:rsid w:val="5EDF3CD6"/>
    <w:rsid w:val="5EDF45D6"/>
    <w:rsid w:val="5EDF5A84"/>
    <w:rsid w:val="5EDF7832"/>
    <w:rsid w:val="5EE035AA"/>
    <w:rsid w:val="5EE07ECC"/>
    <w:rsid w:val="5EE12031"/>
    <w:rsid w:val="5EE16635"/>
    <w:rsid w:val="5EE237C6"/>
    <w:rsid w:val="5EE25574"/>
    <w:rsid w:val="5EE27322"/>
    <w:rsid w:val="5EE3728C"/>
    <w:rsid w:val="5EE375B1"/>
    <w:rsid w:val="5EE4309A"/>
    <w:rsid w:val="5EE44E48"/>
    <w:rsid w:val="5EE50BC0"/>
    <w:rsid w:val="5EE53A77"/>
    <w:rsid w:val="5EE56057"/>
    <w:rsid w:val="5EE60EBA"/>
    <w:rsid w:val="5EE65064"/>
    <w:rsid w:val="5EE674E7"/>
    <w:rsid w:val="5EE70977"/>
    <w:rsid w:val="5EE70DDC"/>
    <w:rsid w:val="5EE73DAF"/>
    <w:rsid w:val="5EE83548"/>
    <w:rsid w:val="5EE92D08"/>
    <w:rsid w:val="5EE93D6F"/>
    <w:rsid w:val="5EE96902"/>
    <w:rsid w:val="5EE975A9"/>
    <w:rsid w:val="5EE97B85"/>
    <w:rsid w:val="5EEA4A34"/>
    <w:rsid w:val="5EEA72F8"/>
    <w:rsid w:val="5EEB267A"/>
    <w:rsid w:val="5EEB4428"/>
    <w:rsid w:val="5EEC3359"/>
    <w:rsid w:val="5EEC63F2"/>
    <w:rsid w:val="5EED04B6"/>
    <w:rsid w:val="5EED47E9"/>
    <w:rsid w:val="5EED73BA"/>
    <w:rsid w:val="5EEE3F19"/>
    <w:rsid w:val="5EEF6DA6"/>
    <w:rsid w:val="5EF10380"/>
    <w:rsid w:val="5EF1163D"/>
    <w:rsid w:val="5EF13A09"/>
    <w:rsid w:val="5EF14F1B"/>
    <w:rsid w:val="5EF17442"/>
    <w:rsid w:val="5EF231C3"/>
    <w:rsid w:val="5EF23F70"/>
    <w:rsid w:val="5EF3102B"/>
    <w:rsid w:val="5EF32053"/>
    <w:rsid w:val="5EF32CA2"/>
    <w:rsid w:val="5EF4221A"/>
    <w:rsid w:val="5EF44053"/>
    <w:rsid w:val="5EF54CCE"/>
    <w:rsid w:val="5EF62DCD"/>
    <w:rsid w:val="5EF730A0"/>
    <w:rsid w:val="5EF808DD"/>
    <w:rsid w:val="5EF808F3"/>
    <w:rsid w:val="5EF84D97"/>
    <w:rsid w:val="5EF86B45"/>
    <w:rsid w:val="5EFD0600"/>
    <w:rsid w:val="5EFD23AE"/>
    <w:rsid w:val="5EFF1C82"/>
    <w:rsid w:val="5F0008BF"/>
    <w:rsid w:val="5F0059FA"/>
    <w:rsid w:val="5F011E9E"/>
    <w:rsid w:val="5F013C4C"/>
    <w:rsid w:val="5F013E25"/>
    <w:rsid w:val="5F0140EF"/>
    <w:rsid w:val="5F015B56"/>
    <w:rsid w:val="5F0201D4"/>
    <w:rsid w:val="5F020978"/>
    <w:rsid w:val="5F025C16"/>
    <w:rsid w:val="5F035266"/>
    <w:rsid w:val="5F0533DA"/>
    <w:rsid w:val="5F053F00"/>
    <w:rsid w:val="5F054C66"/>
    <w:rsid w:val="5F055641"/>
    <w:rsid w:val="5F05722A"/>
    <w:rsid w:val="5F066A42"/>
    <w:rsid w:val="5F067039"/>
    <w:rsid w:val="5F0674B4"/>
    <w:rsid w:val="5F074075"/>
    <w:rsid w:val="5F074FDA"/>
    <w:rsid w:val="5F0763D5"/>
    <w:rsid w:val="5F076B62"/>
    <w:rsid w:val="5F076D88"/>
    <w:rsid w:val="5F076EEE"/>
    <w:rsid w:val="5F08008E"/>
    <w:rsid w:val="5F0806FF"/>
    <w:rsid w:val="5F08270F"/>
    <w:rsid w:val="5F0828D4"/>
    <w:rsid w:val="5F08322C"/>
    <w:rsid w:val="5F0833B8"/>
    <w:rsid w:val="5F08539A"/>
    <w:rsid w:val="5F092881"/>
    <w:rsid w:val="5F092B01"/>
    <w:rsid w:val="5F0A0E0B"/>
    <w:rsid w:val="5F0A1369"/>
    <w:rsid w:val="5F0A532A"/>
    <w:rsid w:val="5F0A53E3"/>
    <w:rsid w:val="5F0A5975"/>
    <w:rsid w:val="5F0B0627"/>
    <w:rsid w:val="5F0B6879"/>
    <w:rsid w:val="5F0C439F"/>
    <w:rsid w:val="5F0D0843"/>
    <w:rsid w:val="5F0E45BB"/>
    <w:rsid w:val="5F0E4646"/>
    <w:rsid w:val="5F0E5263"/>
    <w:rsid w:val="5F10024C"/>
    <w:rsid w:val="5F100333"/>
    <w:rsid w:val="5F1020E1"/>
    <w:rsid w:val="5F103E8F"/>
    <w:rsid w:val="5F105478"/>
    <w:rsid w:val="5F10764C"/>
    <w:rsid w:val="5F1078F1"/>
    <w:rsid w:val="5F111300"/>
    <w:rsid w:val="5F1119B5"/>
    <w:rsid w:val="5F11698F"/>
    <w:rsid w:val="5F117C07"/>
    <w:rsid w:val="5F122E35"/>
    <w:rsid w:val="5F131BD1"/>
    <w:rsid w:val="5F13397F"/>
    <w:rsid w:val="5F13572D"/>
    <w:rsid w:val="5F155949"/>
    <w:rsid w:val="5F15686C"/>
    <w:rsid w:val="5F1615F7"/>
    <w:rsid w:val="5F1630A4"/>
    <w:rsid w:val="5F164C85"/>
    <w:rsid w:val="5F16521D"/>
    <w:rsid w:val="5F1665C5"/>
    <w:rsid w:val="5F1708AD"/>
    <w:rsid w:val="5F176AEE"/>
    <w:rsid w:val="5F182D44"/>
    <w:rsid w:val="5F1871E8"/>
    <w:rsid w:val="5F1A1F44"/>
    <w:rsid w:val="5F1A2B43"/>
    <w:rsid w:val="5F1A4D0E"/>
    <w:rsid w:val="5F1A6ABC"/>
    <w:rsid w:val="5F1B4E2F"/>
    <w:rsid w:val="5F1C0A86"/>
    <w:rsid w:val="5F1C1A53"/>
    <w:rsid w:val="5F1C4002"/>
    <w:rsid w:val="5F1C6CD8"/>
    <w:rsid w:val="5F1E295A"/>
    <w:rsid w:val="5F1E4D57"/>
    <w:rsid w:val="5F1F0C4B"/>
    <w:rsid w:val="5F2008E0"/>
    <w:rsid w:val="5F2142EE"/>
    <w:rsid w:val="5F21609C"/>
    <w:rsid w:val="5F2173D2"/>
    <w:rsid w:val="5F2203E5"/>
    <w:rsid w:val="5F224B68"/>
    <w:rsid w:val="5F22656A"/>
    <w:rsid w:val="5F227739"/>
    <w:rsid w:val="5F230066"/>
    <w:rsid w:val="5F235FF8"/>
    <w:rsid w:val="5F237799"/>
    <w:rsid w:val="5F2416E8"/>
    <w:rsid w:val="5F242059"/>
    <w:rsid w:val="5F247488"/>
    <w:rsid w:val="5F24793A"/>
    <w:rsid w:val="5F261904"/>
    <w:rsid w:val="5F2636B2"/>
    <w:rsid w:val="5F265461"/>
    <w:rsid w:val="5F2654A9"/>
    <w:rsid w:val="5F2711D9"/>
    <w:rsid w:val="5F27742B"/>
    <w:rsid w:val="5F28273F"/>
    <w:rsid w:val="5F28567D"/>
    <w:rsid w:val="5F2931A3"/>
    <w:rsid w:val="5F296CFF"/>
    <w:rsid w:val="5F2A32FA"/>
    <w:rsid w:val="5F2B0CC9"/>
    <w:rsid w:val="5F2B0E2F"/>
    <w:rsid w:val="5F2B2A77"/>
    <w:rsid w:val="5F2B6F1B"/>
    <w:rsid w:val="5F2C4F82"/>
    <w:rsid w:val="5F2D1C7B"/>
    <w:rsid w:val="5F2D2AD4"/>
    <w:rsid w:val="5F2D2C93"/>
    <w:rsid w:val="5F2D401F"/>
    <w:rsid w:val="5F2D438A"/>
    <w:rsid w:val="5F2D4A3C"/>
    <w:rsid w:val="5F2E07B9"/>
    <w:rsid w:val="5F2E2567"/>
    <w:rsid w:val="5F2E2F07"/>
    <w:rsid w:val="5F2E6462"/>
    <w:rsid w:val="5F2E6A0B"/>
    <w:rsid w:val="5F2E6ABA"/>
    <w:rsid w:val="5F30008D"/>
    <w:rsid w:val="5F300926"/>
    <w:rsid w:val="5F301873"/>
    <w:rsid w:val="5F304531"/>
    <w:rsid w:val="5F305625"/>
    <w:rsid w:val="5F3062DF"/>
    <w:rsid w:val="5F311A8C"/>
    <w:rsid w:val="5F31221B"/>
    <w:rsid w:val="5F31324D"/>
    <w:rsid w:val="5F313E05"/>
    <w:rsid w:val="5F322E09"/>
    <w:rsid w:val="5F32465D"/>
    <w:rsid w:val="5F3333FF"/>
    <w:rsid w:val="5F334021"/>
    <w:rsid w:val="5F337B7D"/>
    <w:rsid w:val="5F341B4E"/>
    <w:rsid w:val="5F343732"/>
    <w:rsid w:val="5F345A73"/>
    <w:rsid w:val="5F346F7D"/>
    <w:rsid w:val="5F3536C4"/>
    <w:rsid w:val="5F36189D"/>
    <w:rsid w:val="5F366A5E"/>
    <w:rsid w:val="5F3758C0"/>
    <w:rsid w:val="5F3804CF"/>
    <w:rsid w:val="5F3863B7"/>
    <w:rsid w:val="5F387D70"/>
    <w:rsid w:val="5F395829"/>
    <w:rsid w:val="5F3961B5"/>
    <w:rsid w:val="5F3A53B0"/>
    <w:rsid w:val="5F3A715E"/>
    <w:rsid w:val="5F3B0335"/>
    <w:rsid w:val="5F3B2856"/>
    <w:rsid w:val="5F3B3861"/>
    <w:rsid w:val="5F3B570F"/>
    <w:rsid w:val="5F3C0E6C"/>
    <w:rsid w:val="5F3C2ED6"/>
    <w:rsid w:val="5F3C5DBB"/>
    <w:rsid w:val="5F3D4341"/>
    <w:rsid w:val="5F3D47D5"/>
    <w:rsid w:val="5F3E2C00"/>
    <w:rsid w:val="5F3E57D1"/>
    <w:rsid w:val="5F3E7368"/>
    <w:rsid w:val="5F3F29C6"/>
    <w:rsid w:val="5F3F720C"/>
    <w:rsid w:val="5F4000F1"/>
    <w:rsid w:val="5F41229A"/>
    <w:rsid w:val="5F422266"/>
    <w:rsid w:val="5F426012"/>
    <w:rsid w:val="5F434264"/>
    <w:rsid w:val="5F441D8B"/>
    <w:rsid w:val="5F442B79"/>
    <w:rsid w:val="5F443B39"/>
    <w:rsid w:val="5F445E17"/>
    <w:rsid w:val="5F447FDD"/>
    <w:rsid w:val="5F463D55"/>
    <w:rsid w:val="5F465B03"/>
    <w:rsid w:val="5F4678B1"/>
    <w:rsid w:val="5F473629"/>
    <w:rsid w:val="5F4753F3"/>
    <w:rsid w:val="5F490F67"/>
    <w:rsid w:val="5F492A07"/>
    <w:rsid w:val="5F4955F3"/>
    <w:rsid w:val="5F4A0AB9"/>
    <w:rsid w:val="5F4A7AF3"/>
    <w:rsid w:val="5F4B022D"/>
    <w:rsid w:val="5F4B136B"/>
    <w:rsid w:val="5F4B299C"/>
    <w:rsid w:val="5F4B4EC7"/>
    <w:rsid w:val="5F4C1F4E"/>
    <w:rsid w:val="5F4D6E91"/>
    <w:rsid w:val="5F4E09E1"/>
    <w:rsid w:val="5F4E230F"/>
    <w:rsid w:val="5F4E78C6"/>
    <w:rsid w:val="5F4F0DC3"/>
    <w:rsid w:val="5F4F3B85"/>
    <w:rsid w:val="5F4F6756"/>
    <w:rsid w:val="5F50072F"/>
    <w:rsid w:val="5F50744C"/>
    <w:rsid w:val="5F511076"/>
    <w:rsid w:val="5F5304BC"/>
    <w:rsid w:val="5F531728"/>
    <w:rsid w:val="5F533996"/>
    <w:rsid w:val="5F5350D7"/>
    <w:rsid w:val="5F540D28"/>
    <w:rsid w:val="5F5415CE"/>
    <w:rsid w:val="5F553F98"/>
    <w:rsid w:val="5F555C73"/>
    <w:rsid w:val="5F571ABE"/>
    <w:rsid w:val="5F57386C"/>
    <w:rsid w:val="5F5821B9"/>
    <w:rsid w:val="5F5821EA"/>
    <w:rsid w:val="5F5854AC"/>
    <w:rsid w:val="5F592854"/>
    <w:rsid w:val="5F597808"/>
    <w:rsid w:val="5F5A056B"/>
    <w:rsid w:val="5F5A151C"/>
    <w:rsid w:val="5F5A15AE"/>
    <w:rsid w:val="5F5A1E13"/>
    <w:rsid w:val="5F5A2333"/>
    <w:rsid w:val="5F5A6ED0"/>
    <w:rsid w:val="5F5C211E"/>
    <w:rsid w:val="5F5C59F4"/>
    <w:rsid w:val="5F5D22E6"/>
    <w:rsid w:val="5F5D2E4C"/>
    <w:rsid w:val="5F5D4BFA"/>
    <w:rsid w:val="5F5E0AA9"/>
    <w:rsid w:val="5F5F4B0A"/>
    <w:rsid w:val="5F5F4D56"/>
    <w:rsid w:val="5F5F4E16"/>
    <w:rsid w:val="5F605EE2"/>
    <w:rsid w:val="5F61293D"/>
    <w:rsid w:val="5F615294"/>
    <w:rsid w:val="5F615B71"/>
    <w:rsid w:val="5F622211"/>
    <w:rsid w:val="5F626C46"/>
    <w:rsid w:val="5F64242D"/>
    <w:rsid w:val="5F64400A"/>
    <w:rsid w:val="5F644166"/>
    <w:rsid w:val="5F661D01"/>
    <w:rsid w:val="5F665FA9"/>
    <w:rsid w:val="5F6758BD"/>
    <w:rsid w:val="5F677827"/>
    <w:rsid w:val="5F684CC6"/>
    <w:rsid w:val="5F6B37BB"/>
    <w:rsid w:val="5F6D12E1"/>
    <w:rsid w:val="5F6D1EF9"/>
    <w:rsid w:val="5F6D710E"/>
    <w:rsid w:val="5F6D7533"/>
    <w:rsid w:val="5F6E04EA"/>
    <w:rsid w:val="5F6E0BB6"/>
    <w:rsid w:val="5F6E1CDF"/>
    <w:rsid w:val="5F6E316F"/>
    <w:rsid w:val="5F6E5059"/>
    <w:rsid w:val="5F6F355E"/>
    <w:rsid w:val="5F6F67D8"/>
    <w:rsid w:val="5F700DD2"/>
    <w:rsid w:val="5F7037FE"/>
    <w:rsid w:val="5F70492E"/>
    <w:rsid w:val="5F710167"/>
    <w:rsid w:val="5F713F4F"/>
    <w:rsid w:val="5F7203AF"/>
    <w:rsid w:val="5F7206A6"/>
    <w:rsid w:val="5F721090"/>
    <w:rsid w:val="5F724B4A"/>
    <w:rsid w:val="5F7268F8"/>
    <w:rsid w:val="5F730F58"/>
    <w:rsid w:val="5F733846"/>
    <w:rsid w:val="5F73441E"/>
    <w:rsid w:val="5F7408C2"/>
    <w:rsid w:val="5F742C54"/>
    <w:rsid w:val="5F750ADC"/>
    <w:rsid w:val="5F751F44"/>
    <w:rsid w:val="5F7563E8"/>
    <w:rsid w:val="5F757EE5"/>
    <w:rsid w:val="5F772160"/>
    <w:rsid w:val="5F775CBC"/>
    <w:rsid w:val="5F776541"/>
    <w:rsid w:val="5F795F65"/>
    <w:rsid w:val="5F7A1C50"/>
    <w:rsid w:val="5F7A57AC"/>
    <w:rsid w:val="5F7B2BA2"/>
    <w:rsid w:val="5F7B40AC"/>
    <w:rsid w:val="5F7C1524"/>
    <w:rsid w:val="5F7C32D2"/>
    <w:rsid w:val="5F7C69C2"/>
    <w:rsid w:val="5F7C7776"/>
    <w:rsid w:val="5F7D2676"/>
    <w:rsid w:val="5F7E34EF"/>
    <w:rsid w:val="5F7E7B72"/>
    <w:rsid w:val="5F7F7267"/>
    <w:rsid w:val="5F816B3B"/>
    <w:rsid w:val="5F825EB2"/>
    <w:rsid w:val="5F830B05"/>
    <w:rsid w:val="5F84662B"/>
    <w:rsid w:val="5F85487D"/>
    <w:rsid w:val="5F856747"/>
    <w:rsid w:val="5F8623A3"/>
    <w:rsid w:val="5F867CB5"/>
    <w:rsid w:val="5F88085E"/>
    <w:rsid w:val="5F88611B"/>
    <w:rsid w:val="5F887EC9"/>
    <w:rsid w:val="5F8929E6"/>
    <w:rsid w:val="5F897D77"/>
    <w:rsid w:val="5F8A688C"/>
    <w:rsid w:val="5F8B3350"/>
    <w:rsid w:val="5F8B79B9"/>
    <w:rsid w:val="5F8C3596"/>
    <w:rsid w:val="5F8C4CB0"/>
    <w:rsid w:val="5F8C4DAF"/>
    <w:rsid w:val="5F8C5C51"/>
    <w:rsid w:val="5F8E1258"/>
    <w:rsid w:val="5F8E2EF0"/>
    <w:rsid w:val="5F8F3BE9"/>
    <w:rsid w:val="5F920D48"/>
    <w:rsid w:val="5F922AF6"/>
    <w:rsid w:val="5F925800"/>
    <w:rsid w:val="5F926F9A"/>
    <w:rsid w:val="5F9330C1"/>
    <w:rsid w:val="5F933DBE"/>
    <w:rsid w:val="5F934CF2"/>
    <w:rsid w:val="5F950838"/>
    <w:rsid w:val="5F954394"/>
    <w:rsid w:val="5F960EEB"/>
    <w:rsid w:val="5F970C3A"/>
    <w:rsid w:val="5F975656"/>
    <w:rsid w:val="5F981E3E"/>
    <w:rsid w:val="5F9958C6"/>
    <w:rsid w:val="5F996242"/>
    <w:rsid w:val="5F9A54CA"/>
    <w:rsid w:val="5F9A612B"/>
    <w:rsid w:val="5F9C3975"/>
    <w:rsid w:val="5F9D43C1"/>
    <w:rsid w:val="5F9D61ED"/>
    <w:rsid w:val="5F9E149B"/>
    <w:rsid w:val="5F9E593F"/>
    <w:rsid w:val="5F9E76ED"/>
    <w:rsid w:val="5F9F3EEF"/>
    <w:rsid w:val="5F9F5213"/>
    <w:rsid w:val="5F9F5897"/>
    <w:rsid w:val="5FA016B7"/>
    <w:rsid w:val="5FA02793"/>
    <w:rsid w:val="5FA07832"/>
    <w:rsid w:val="5FA079E7"/>
    <w:rsid w:val="5FA07D52"/>
    <w:rsid w:val="5FA10F8B"/>
    <w:rsid w:val="5FA12D39"/>
    <w:rsid w:val="5FA13621"/>
    <w:rsid w:val="5FA13B8F"/>
    <w:rsid w:val="5FA16DF0"/>
    <w:rsid w:val="5FA23C0D"/>
    <w:rsid w:val="5FA26043"/>
    <w:rsid w:val="5FA32F55"/>
    <w:rsid w:val="5FA33C56"/>
    <w:rsid w:val="5FA34D03"/>
    <w:rsid w:val="5FA353C6"/>
    <w:rsid w:val="5FA36AB1"/>
    <w:rsid w:val="5FA41DAE"/>
    <w:rsid w:val="5FA52F14"/>
    <w:rsid w:val="5FA56CCD"/>
    <w:rsid w:val="5FA6034F"/>
    <w:rsid w:val="5FA62A45"/>
    <w:rsid w:val="5FA665A1"/>
    <w:rsid w:val="5FA6729F"/>
    <w:rsid w:val="5FA8056B"/>
    <w:rsid w:val="5FA840C8"/>
    <w:rsid w:val="5FA96DB9"/>
    <w:rsid w:val="5FA97E40"/>
    <w:rsid w:val="5FAA51D7"/>
    <w:rsid w:val="5FAA5C20"/>
    <w:rsid w:val="5FAA6092"/>
    <w:rsid w:val="5FAB005C"/>
    <w:rsid w:val="5FAB3BB8"/>
    <w:rsid w:val="5FAD16DE"/>
    <w:rsid w:val="5FAD5B82"/>
    <w:rsid w:val="5FAE5456"/>
    <w:rsid w:val="5FAF541F"/>
    <w:rsid w:val="5FB00820"/>
    <w:rsid w:val="5FB05672"/>
    <w:rsid w:val="5FB07E3B"/>
    <w:rsid w:val="5FB104B5"/>
    <w:rsid w:val="5FB143B2"/>
    <w:rsid w:val="5FB17A73"/>
    <w:rsid w:val="5FB2459D"/>
    <w:rsid w:val="5FB32A6C"/>
    <w:rsid w:val="5FB40CBE"/>
    <w:rsid w:val="5FB41298"/>
    <w:rsid w:val="5FB4164E"/>
    <w:rsid w:val="5FB4311A"/>
    <w:rsid w:val="5FB50559"/>
    <w:rsid w:val="5FB52D33"/>
    <w:rsid w:val="5FB56013"/>
    <w:rsid w:val="5FB70224"/>
    <w:rsid w:val="5FB71282"/>
    <w:rsid w:val="5FB75653"/>
    <w:rsid w:val="5FB825AD"/>
    <w:rsid w:val="5FB837BB"/>
    <w:rsid w:val="5FB870E9"/>
    <w:rsid w:val="5FB92779"/>
    <w:rsid w:val="5FB94532"/>
    <w:rsid w:val="5FBA081E"/>
    <w:rsid w:val="5FBA204D"/>
    <w:rsid w:val="5FBA321C"/>
    <w:rsid w:val="5FBB5E75"/>
    <w:rsid w:val="5FBC7B73"/>
    <w:rsid w:val="5FBD012B"/>
    <w:rsid w:val="5FBD5654"/>
    <w:rsid w:val="5FBE36D4"/>
    <w:rsid w:val="5FBF1411"/>
    <w:rsid w:val="5FC133DB"/>
    <w:rsid w:val="5FC15189"/>
    <w:rsid w:val="5FC30F01"/>
    <w:rsid w:val="5FC41398"/>
    <w:rsid w:val="5FC46098"/>
    <w:rsid w:val="5FC47264"/>
    <w:rsid w:val="5FC477EE"/>
    <w:rsid w:val="5FC47C57"/>
    <w:rsid w:val="5FC55CDC"/>
    <w:rsid w:val="5FC609F2"/>
    <w:rsid w:val="5FC627A0"/>
    <w:rsid w:val="5FC67FEF"/>
    <w:rsid w:val="5FC77D19"/>
    <w:rsid w:val="5FC829BC"/>
    <w:rsid w:val="5FC835BC"/>
    <w:rsid w:val="5FC92290"/>
    <w:rsid w:val="5FC92639"/>
    <w:rsid w:val="5FCA04E2"/>
    <w:rsid w:val="5FCA6734"/>
    <w:rsid w:val="5FCB2FD3"/>
    <w:rsid w:val="5FCB6192"/>
    <w:rsid w:val="5FCC24AC"/>
    <w:rsid w:val="5FCC4382"/>
    <w:rsid w:val="5FCC4E3D"/>
    <w:rsid w:val="5FCD3B2E"/>
    <w:rsid w:val="5FCD4259"/>
    <w:rsid w:val="5FCD5059"/>
    <w:rsid w:val="5FD026F7"/>
    <w:rsid w:val="5FD3170E"/>
    <w:rsid w:val="5FD333DB"/>
    <w:rsid w:val="5FD33B6E"/>
    <w:rsid w:val="5FD40E8D"/>
    <w:rsid w:val="5FD41360"/>
    <w:rsid w:val="5FD537AD"/>
    <w:rsid w:val="5FD64C3D"/>
    <w:rsid w:val="5FD72BFF"/>
    <w:rsid w:val="5FD80C9E"/>
    <w:rsid w:val="5FD859AD"/>
    <w:rsid w:val="5FD90725"/>
    <w:rsid w:val="5FD91AB0"/>
    <w:rsid w:val="5FD924D3"/>
    <w:rsid w:val="5FD92C57"/>
    <w:rsid w:val="5FDA031C"/>
    <w:rsid w:val="5FDA1331"/>
    <w:rsid w:val="5FDA35BE"/>
    <w:rsid w:val="5FDA3FA3"/>
    <w:rsid w:val="5FDA618F"/>
    <w:rsid w:val="5FDB04D8"/>
    <w:rsid w:val="5FDB0D64"/>
    <w:rsid w:val="5FDB5272"/>
    <w:rsid w:val="5FDB761F"/>
    <w:rsid w:val="5FDC0215"/>
    <w:rsid w:val="5FDC10EA"/>
    <w:rsid w:val="5FDD697F"/>
    <w:rsid w:val="5FE05A64"/>
    <w:rsid w:val="5FE07430"/>
    <w:rsid w:val="5FE074E1"/>
    <w:rsid w:val="5FE0795B"/>
    <w:rsid w:val="5FE12BE8"/>
    <w:rsid w:val="5FE1396F"/>
    <w:rsid w:val="5FE1582B"/>
    <w:rsid w:val="5FE17AD8"/>
    <w:rsid w:val="5FE315A4"/>
    <w:rsid w:val="5FE32F01"/>
    <w:rsid w:val="5FE33352"/>
    <w:rsid w:val="5FE418AB"/>
    <w:rsid w:val="5FE41E12"/>
    <w:rsid w:val="5FE5356E"/>
    <w:rsid w:val="5FE542FE"/>
    <w:rsid w:val="5FE5531C"/>
    <w:rsid w:val="5FE62E42"/>
    <w:rsid w:val="5FE64BF0"/>
    <w:rsid w:val="5FE71CC0"/>
    <w:rsid w:val="5FE80968"/>
    <w:rsid w:val="5FEA0B84"/>
    <w:rsid w:val="5FEA34C1"/>
    <w:rsid w:val="5FEA63B6"/>
    <w:rsid w:val="5FEB2DB3"/>
    <w:rsid w:val="5FEB66AA"/>
    <w:rsid w:val="5FEB7114"/>
    <w:rsid w:val="5FEC48FC"/>
    <w:rsid w:val="5FEC59D3"/>
    <w:rsid w:val="5FED1A34"/>
    <w:rsid w:val="5FED5F7E"/>
    <w:rsid w:val="5FEE35C3"/>
    <w:rsid w:val="5FEF619A"/>
    <w:rsid w:val="5FF05A6E"/>
    <w:rsid w:val="5FF13CC0"/>
    <w:rsid w:val="5FF217E7"/>
    <w:rsid w:val="5FF22CD5"/>
    <w:rsid w:val="5FF231F5"/>
    <w:rsid w:val="5FF278FC"/>
    <w:rsid w:val="5FF279EC"/>
    <w:rsid w:val="5FF35964"/>
    <w:rsid w:val="5FF42E3C"/>
    <w:rsid w:val="5FF437B1"/>
    <w:rsid w:val="5FF4555F"/>
    <w:rsid w:val="5FF4730D"/>
    <w:rsid w:val="5FF5039F"/>
    <w:rsid w:val="5FF615BD"/>
    <w:rsid w:val="5FF72AE6"/>
    <w:rsid w:val="5FF732A1"/>
    <w:rsid w:val="5FF76DFD"/>
    <w:rsid w:val="5FF828DC"/>
    <w:rsid w:val="5FF8744A"/>
    <w:rsid w:val="5FF87BBC"/>
    <w:rsid w:val="5FF92B75"/>
    <w:rsid w:val="5FFA069B"/>
    <w:rsid w:val="5FFA2BA8"/>
    <w:rsid w:val="5FFB130F"/>
    <w:rsid w:val="5FFC0099"/>
    <w:rsid w:val="5FFC0182"/>
    <w:rsid w:val="5FFC08B7"/>
    <w:rsid w:val="5FFC4413"/>
    <w:rsid w:val="5FFD3032"/>
    <w:rsid w:val="5FFD4F10"/>
    <w:rsid w:val="5FFE018B"/>
    <w:rsid w:val="5FFE3A50"/>
    <w:rsid w:val="5FFF3FE4"/>
    <w:rsid w:val="60000E7D"/>
    <w:rsid w:val="60004CFA"/>
    <w:rsid w:val="600159EE"/>
    <w:rsid w:val="60016B80"/>
    <w:rsid w:val="60017C7C"/>
    <w:rsid w:val="600339F4"/>
    <w:rsid w:val="600450EA"/>
    <w:rsid w:val="6005151A"/>
    <w:rsid w:val="600532C8"/>
    <w:rsid w:val="60067040"/>
    <w:rsid w:val="60067904"/>
    <w:rsid w:val="600702F9"/>
    <w:rsid w:val="60075E80"/>
    <w:rsid w:val="60076B58"/>
    <w:rsid w:val="60077599"/>
    <w:rsid w:val="6008049C"/>
    <w:rsid w:val="60080E4E"/>
    <w:rsid w:val="600867EC"/>
    <w:rsid w:val="60086A6E"/>
    <w:rsid w:val="6008725C"/>
    <w:rsid w:val="60093361"/>
    <w:rsid w:val="600B024A"/>
    <w:rsid w:val="600C0AFA"/>
    <w:rsid w:val="600C0E38"/>
    <w:rsid w:val="600D101E"/>
    <w:rsid w:val="600D4872"/>
    <w:rsid w:val="600D4D53"/>
    <w:rsid w:val="600D6620"/>
    <w:rsid w:val="600D75AD"/>
    <w:rsid w:val="600D78DD"/>
    <w:rsid w:val="600E3095"/>
    <w:rsid w:val="600F2399"/>
    <w:rsid w:val="600F4147"/>
    <w:rsid w:val="60104E84"/>
    <w:rsid w:val="60107EBF"/>
    <w:rsid w:val="60116111"/>
    <w:rsid w:val="60123C37"/>
    <w:rsid w:val="601259E5"/>
    <w:rsid w:val="60125EE4"/>
    <w:rsid w:val="6013374F"/>
    <w:rsid w:val="60136A83"/>
    <w:rsid w:val="60144BDF"/>
    <w:rsid w:val="60151A0B"/>
    <w:rsid w:val="60161979"/>
    <w:rsid w:val="60163727"/>
    <w:rsid w:val="60167D8E"/>
    <w:rsid w:val="6017124D"/>
    <w:rsid w:val="601722D8"/>
    <w:rsid w:val="6017749F"/>
    <w:rsid w:val="601779FD"/>
    <w:rsid w:val="60177B46"/>
    <w:rsid w:val="60181CBC"/>
    <w:rsid w:val="601849F0"/>
    <w:rsid w:val="6019183C"/>
    <w:rsid w:val="60193217"/>
    <w:rsid w:val="601A1D14"/>
    <w:rsid w:val="601A3622"/>
    <w:rsid w:val="601A3BC5"/>
    <w:rsid w:val="601A3C3C"/>
    <w:rsid w:val="601B1E7D"/>
    <w:rsid w:val="601B1EE1"/>
    <w:rsid w:val="601B2AEB"/>
    <w:rsid w:val="601C0CA4"/>
    <w:rsid w:val="601D4622"/>
    <w:rsid w:val="601E082E"/>
    <w:rsid w:val="601E25DC"/>
    <w:rsid w:val="601E4BED"/>
    <w:rsid w:val="601F1CF2"/>
    <w:rsid w:val="601F3433"/>
    <w:rsid w:val="601F3589"/>
    <w:rsid w:val="601F674E"/>
    <w:rsid w:val="601F6C14"/>
    <w:rsid w:val="60200102"/>
    <w:rsid w:val="602038E2"/>
    <w:rsid w:val="602045A6"/>
    <w:rsid w:val="60205663"/>
    <w:rsid w:val="60206354"/>
    <w:rsid w:val="602120CC"/>
    <w:rsid w:val="60215D53"/>
    <w:rsid w:val="60244033"/>
    <w:rsid w:val="602446D4"/>
    <w:rsid w:val="60261490"/>
    <w:rsid w:val="60261BC5"/>
    <w:rsid w:val="60261C18"/>
    <w:rsid w:val="60262323"/>
    <w:rsid w:val="602776E2"/>
    <w:rsid w:val="602816AC"/>
    <w:rsid w:val="6028345A"/>
    <w:rsid w:val="60285208"/>
    <w:rsid w:val="60285C26"/>
    <w:rsid w:val="602A0F1E"/>
    <w:rsid w:val="602A5424"/>
    <w:rsid w:val="602B0E1E"/>
    <w:rsid w:val="602B5A8D"/>
    <w:rsid w:val="602C2F4B"/>
    <w:rsid w:val="602C362B"/>
    <w:rsid w:val="602D6CC3"/>
    <w:rsid w:val="602F2A3B"/>
    <w:rsid w:val="602F47E9"/>
    <w:rsid w:val="60307A7E"/>
    <w:rsid w:val="60315686"/>
    <w:rsid w:val="60324022"/>
    <w:rsid w:val="6032424A"/>
    <w:rsid w:val="60326060"/>
    <w:rsid w:val="60326087"/>
    <w:rsid w:val="60327E35"/>
    <w:rsid w:val="603340C9"/>
    <w:rsid w:val="603358AD"/>
    <w:rsid w:val="6033645B"/>
    <w:rsid w:val="60340051"/>
    <w:rsid w:val="60341DFF"/>
    <w:rsid w:val="60343821"/>
    <w:rsid w:val="60343BAD"/>
    <w:rsid w:val="603441C9"/>
    <w:rsid w:val="60344B00"/>
    <w:rsid w:val="6035635A"/>
    <w:rsid w:val="603616BA"/>
    <w:rsid w:val="60361B8B"/>
    <w:rsid w:val="60363DC9"/>
    <w:rsid w:val="60367925"/>
    <w:rsid w:val="603718EF"/>
    <w:rsid w:val="6037369D"/>
    <w:rsid w:val="6037544B"/>
    <w:rsid w:val="60377838"/>
    <w:rsid w:val="603911C4"/>
    <w:rsid w:val="603B13E0"/>
    <w:rsid w:val="603B20E1"/>
    <w:rsid w:val="603B4F3C"/>
    <w:rsid w:val="603C0CB4"/>
    <w:rsid w:val="603C553B"/>
    <w:rsid w:val="603D363A"/>
    <w:rsid w:val="603D527B"/>
    <w:rsid w:val="603E4A2C"/>
    <w:rsid w:val="6040276C"/>
    <w:rsid w:val="604069F6"/>
    <w:rsid w:val="60413278"/>
    <w:rsid w:val="60421280"/>
    <w:rsid w:val="60432042"/>
    <w:rsid w:val="604364E6"/>
    <w:rsid w:val="604430BC"/>
    <w:rsid w:val="60443CBE"/>
    <w:rsid w:val="6045400C"/>
    <w:rsid w:val="60457B68"/>
    <w:rsid w:val="604611AF"/>
    <w:rsid w:val="60464805"/>
    <w:rsid w:val="60470EFE"/>
    <w:rsid w:val="60477D84"/>
    <w:rsid w:val="60486E81"/>
    <w:rsid w:val="60494F5F"/>
    <w:rsid w:val="604A0FC0"/>
    <w:rsid w:val="604A33D1"/>
    <w:rsid w:val="604A517F"/>
    <w:rsid w:val="604A63EF"/>
    <w:rsid w:val="604C124A"/>
    <w:rsid w:val="604C7149"/>
    <w:rsid w:val="604D3979"/>
    <w:rsid w:val="604D4C6F"/>
    <w:rsid w:val="604E1113"/>
    <w:rsid w:val="604E2987"/>
    <w:rsid w:val="604F345F"/>
    <w:rsid w:val="604F6C39"/>
    <w:rsid w:val="604F7690"/>
    <w:rsid w:val="605075BA"/>
    <w:rsid w:val="60512BA9"/>
    <w:rsid w:val="605136F1"/>
    <w:rsid w:val="60522285"/>
    <w:rsid w:val="6052626D"/>
    <w:rsid w:val="6054424F"/>
    <w:rsid w:val="60545FFD"/>
    <w:rsid w:val="60553414"/>
    <w:rsid w:val="60557755"/>
    <w:rsid w:val="60561D75"/>
    <w:rsid w:val="60563B24"/>
    <w:rsid w:val="60567FC7"/>
    <w:rsid w:val="6057032F"/>
    <w:rsid w:val="60571B24"/>
    <w:rsid w:val="605813CF"/>
    <w:rsid w:val="605816A8"/>
    <w:rsid w:val="605835C4"/>
    <w:rsid w:val="60591866"/>
    <w:rsid w:val="60597AB8"/>
    <w:rsid w:val="605A31E7"/>
    <w:rsid w:val="605A3984"/>
    <w:rsid w:val="605B3904"/>
    <w:rsid w:val="605B55DE"/>
    <w:rsid w:val="605C0804"/>
    <w:rsid w:val="605C33D5"/>
    <w:rsid w:val="605D1356"/>
    <w:rsid w:val="605D1C94"/>
    <w:rsid w:val="605D778B"/>
    <w:rsid w:val="605D7AEA"/>
    <w:rsid w:val="605E0C2A"/>
    <w:rsid w:val="605E50CE"/>
    <w:rsid w:val="605F4195"/>
    <w:rsid w:val="605F7185"/>
    <w:rsid w:val="60600332"/>
    <w:rsid w:val="60602D49"/>
    <w:rsid w:val="606049A2"/>
    <w:rsid w:val="606134F8"/>
    <w:rsid w:val="6062696C"/>
    <w:rsid w:val="606344AE"/>
    <w:rsid w:val="60636240"/>
    <w:rsid w:val="60642E20"/>
    <w:rsid w:val="606520BE"/>
    <w:rsid w:val="6065645C"/>
    <w:rsid w:val="60675917"/>
    <w:rsid w:val="60675D31"/>
    <w:rsid w:val="606818A8"/>
    <w:rsid w:val="60681AA9"/>
    <w:rsid w:val="60687CFB"/>
    <w:rsid w:val="60693EDE"/>
    <w:rsid w:val="606A3A73"/>
    <w:rsid w:val="606A457E"/>
    <w:rsid w:val="606B77E0"/>
    <w:rsid w:val="606C295C"/>
    <w:rsid w:val="606C77EB"/>
    <w:rsid w:val="606D1789"/>
    <w:rsid w:val="606D2C19"/>
    <w:rsid w:val="606D2EF6"/>
    <w:rsid w:val="606D421C"/>
    <w:rsid w:val="606D435A"/>
    <w:rsid w:val="606D6DE0"/>
    <w:rsid w:val="606D714B"/>
    <w:rsid w:val="606D74B6"/>
    <w:rsid w:val="606E0AF6"/>
    <w:rsid w:val="606E1681"/>
    <w:rsid w:val="606E1F64"/>
    <w:rsid w:val="606E2515"/>
    <w:rsid w:val="606E670A"/>
    <w:rsid w:val="606F2E37"/>
    <w:rsid w:val="606F3C47"/>
    <w:rsid w:val="6071095D"/>
    <w:rsid w:val="60711783"/>
    <w:rsid w:val="607331AD"/>
    <w:rsid w:val="6074044E"/>
    <w:rsid w:val="60783177"/>
    <w:rsid w:val="607846E9"/>
    <w:rsid w:val="60786190"/>
    <w:rsid w:val="6078689C"/>
    <w:rsid w:val="60787F3E"/>
    <w:rsid w:val="607926C3"/>
    <w:rsid w:val="60795A64"/>
    <w:rsid w:val="607960D5"/>
    <w:rsid w:val="607C0B7C"/>
    <w:rsid w:val="607C109C"/>
    <w:rsid w:val="607C41C5"/>
    <w:rsid w:val="607C7302"/>
    <w:rsid w:val="607D004F"/>
    <w:rsid w:val="607D5554"/>
    <w:rsid w:val="607D5CFF"/>
    <w:rsid w:val="607D65D7"/>
    <w:rsid w:val="607D7F84"/>
    <w:rsid w:val="607E0CE1"/>
    <w:rsid w:val="607E1FE8"/>
    <w:rsid w:val="607E52DF"/>
    <w:rsid w:val="60802748"/>
    <w:rsid w:val="608027D0"/>
    <w:rsid w:val="60807BFF"/>
    <w:rsid w:val="6082501A"/>
    <w:rsid w:val="608368E3"/>
    <w:rsid w:val="60844B35"/>
    <w:rsid w:val="608601F9"/>
    <w:rsid w:val="60863438"/>
    <w:rsid w:val="608706DF"/>
    <w:rsid w:val="60876DF0"/>
    <w:rsid w:val="608834ED"/>
    <w:rsid w:val="60883EF9"/>
    <w:rsid w:val="60885CA7"/>
    <w:rsid w:val="6089047D"/>
    <w:rsid w:val="60894B47"/>
    <w:rsid w:val="608A458F"/>
    <w:rsid w:val="608A5EC3"/>
    <w:rsid w:val="608B2761"/>
    <w:rsid w:val="608B693C"/>
    <w:rsid w:val="608B7E1D"/>
    <w:rsid w:val="608C1C3B"/>
    <w:rsid w:val="608C4DC4"/>
    <w:rsid w:val="608C5797"/>
    <w:rsid w:val="608E1741"/>
    <w:rsid w:val="608E3692"/>
    <w:rsid w:val="608E59B3"/>
    <w:rsid w:val="608F34D9"/>
    <w:rsid w:val="608F5287"/>
    <w:rsid w:val="60904BD3"/>
    <w:rsid w:val="60917218"/>
    <w:rsid w:val="60924BD2"/>
    <w:rsid w:val="6092598D"/>
    <w:rsid w:val="60936B26"/>
    <w:rsid w:val="6094289E"/>
    <w:rsid w:val="60942FE8"/>
    <w:rsid w:val="60956D42"/>
    <w:rsid w:val="60964919"/>
    <w:rsid w:val="60966616"/>
    <w:rsid w:val="6097009E"/>
    <w:rsid w:val="609805E0"/>
    <w:rsid w:val="6098413C"/>
    <w:rsid w:val="60987EB8"/>
    <w:rsid w:val="609907A5"/>
    <w:rsid w:val="60996056"/>
    <w:rsid w:val="60996106"/>
    <w:rsid w:val="60997EB4"/>
    <w:rsid w:val="609A399F"/>
    <w:rsid w:val="609A4F3F"/>
    <w:rsid w:val="609B02BA"/>
    <w:rsid w:val="609B1E7E"/>
    <w:rsid w:val="609B3C2C"/>
    <w:rsid w:val="609B73D7"/>
    <w:rsid w:val="609C0052"/>
    <w:rsid w:val="609C5056"/>
    <w:rsid w:val="609D5BF6"/>
    <w:rsid w:val="609E54CA"/>
    <w:rsid w:val="609F1844"/>
    <w:rsid w:val="609F196E"/>
    <w:rsid w:val="609F4617"/>
    <w:rsid w:val="60A01243"/>
    <w:rsid w:val="60A0246F"/>
    <w:rsid w:val="60A056E7"/>
    <w:rsid w:val="60A06F83"/>
    <w:rsid w:val="60A071E8"/>
    <w:rsid w:val="60A17CCA"/>
    <w:rsid w:val="60A2320D"/>
    <w:rsid w:val="60A24FBB"/>
    <w:rsid w:val="60A26D69"/>
    <w:rsid w:val="60A46F85"/>
    <w:rsid w:val="60A46FF9"/>
    <w:rsid w:val="60A52CFD"/>
    <w:rsid w:val="60A57F96"/>
    <w:rsid w:val="60A6305A"/>
    <w:rsid w:val="60A9459B"/>
    <w:rsid w:val="60A96349"/>
    <w:rsid w:val="60AA0313"/>
    <w:rsid w:val="60AA20C1"/>
    <w:rsid w:val="60AA3E6F"/>
    <w:rsid w:val="60AB56E6"/>
    <w:rsid w:val="60AC5E39"/>
    <w:rsid w:val="60AD6C1B"/>
    <w:rsid w:val="60AE00AB"/>
    <w:rsid w:val="60AE3960"/>
    <w:rsid w:val="60AF592A"/>
    <w:rsid w:val="60AF734A"/>
    <w:rsid w:val="60AF76D8"/>
    <w:rsid w:val="60B05666"/>
    <w:rsid w:val="60B1016D"/>
    <w:rsid w:val="60B115FD"/>
    <w:rsid w:val="60B13450"/>
    <w:rsid w:val="60B2514B"/>
    <w:rsid w:val="60B31DB3"/>
    <w:rsid w:val="60B3541A"/>
    <w:rsid w:val="60B42F40"/>
    <w:rsid w:val="60B4372F"/>
    <w:rsid w:val="60B53531"/>
    <w:rsid w:val="60B6140E"/>
    <w:rsid w:val="60B620AE"/>
    <w:rsid w:val="60B62814"/>
    <w:rsid w:val="60B67442"/>
    <w:rsid w:val="60B67DEE"/>
    <w:rsid w:val="60B82A30"/>
    <w:rsid w:val="60B868FF"/>
    <w:rsid w:val="60B92304"/>
    <w:rsid w:val="60BA67A8"/>
    <w:rsid w:val="60BB1E03"/>
    <w:rsid w:val="60BB42CE"/>
    <w:rsid w:val="60BB7E2A"/>
    <w:rsid w:val="60BC7638"/>
    <w:rsid w:val="60BD0047"/>
    <w:rsid w:val="60BD1DF5"/>
    <w:rsid w:val="60BE1030"/>
    <w:rsid w:val="60BE791B"/>
    <w:rsid w:val="60BF31BA"/>
    <w:rsid w:val="60C018E5"/>
    <w:rsid w:val="60C03973"/>
    <w:rsid w:val="60C05441"/>
    <w:rsid w:val="60C1245D"/>
    <w:rsid w:val="60C170FF"/>
    <w:rsid w:val="60C2565D"/>
    <w:rsid w:val="60C320DE"/>
    <w:rsid w:val="60C44E55"/>
    <w:rsid w:val="60C56EFB"/>
    <w:rsid w:val="60C6179E"/>
    <w:rsid w:val="60C70EC5"/>
    <w:rsid w:val="60C74F64"/>
    <w:rsid w:val="60C767CF"/>
    <w:rsid w:val="60C80F4A"/>
    <w:rsid w:val="60C82547"/>
    <w:rsid w:val="60C83823"/>
    <w:rsid w:val="60C86870"/>
    <w:rsid w:val="60CA2662"/>
    <w:rsid w:val="60CA4511"/>
    <w:rsid w:val="60CB2763"/>
    <w:rsid w:val="60CB47F1"/>
    <w:rsid w:val="60CB5E10"/>
    <w:rsid w:val="60CC2038"/>
    <w:rsid w:val="60CC3634"/>
    <w:rsid w:val="60CC405A"/>
    <w:rsid w:val="60CD4CCF"/>
    <w:rsid w:val="60CE4C92"/>
    <w:rsid w:val="60CE5DB0"/>
    <w:rsid w:val="60CF1B28"/>
    <w:rsid w:val="60CF38D6"/>
    <w:rsid w:val="60CF5E5C"/>
    <w:rsid w:val="60CF707B"/>
    <w:rsid w:val="60D13AF2"/>
    <w:rsid w:val="60D16016"/>
    <w:rsid w:val="60D1764E"/>
    <w:rsid w:val="60D177F3"/>
    <w:rsid w:val="60D21B4C"/>
    <w:rsid w:val="60D27FCB"/>
    <w:rsid w:val="60D37589"/>
    <w:rsid w:val="60D44997"/>
    <w:rsid w:val="60D44B41"/>
    <w:rsid w:val="60D4674B"/>
    <w:rsid w:val="60D517C3"/>
    <w:rsid w:val="60D527B2"/>
    <w:rsid w:val="60D55390"/>
    <w:rsid w:val="60D64C64"/>
    <w:rsid w:val="60D72D18"/>
    <w:rsid w:val="60D809DC"/>
    <w:rsid w:val="60D81699"/>
    <w:rsid w:val="60D84E80"/>
    <w:rsid w:val="60D86C2E"/>
    <w:rsid w:val="60DA0809"/>
    <w:rsid w:val="60DA0839"/>
    <w:rsid w:val="60DA0BF8"/>
    <w:rsid w:val="60DA29A7"/>
    <w:rsid w:val="60DB227B"/>
    <w:rsid w:val="60DB671F"/>
    <w:rsid w:val="60DC2E87"/>
    <w:rsid w:val="60DC5CFA"/>
    <w:rsid w:val="60DD2497"/>
    <w:rsid w:val="60DF1D6B"/>
    <w:rsid w:val="60DF4DDA"/>
    <w:rsid w:val="60DF4F9F"/>
    <w:rsid w:val="60E0067A"/>
    <w:rsid w:val="60E02708"/>
    <w:rsid w:val="60E05AE3"/>
    <w:rsid w:val="60E07891"/>
    <w:rsid w:val="60E14A9E"/>
    <w:rsid w:val="60E2185B"/>
    <w:rsid w:val="60E21F14"/>
    <w:rsid w:val="60E25095"/>
    <w:rsid w:val="60E32AB6"/>
    <w:rsid w:val="60E3568C"/>
    <w:rsid w:val="60E406F3"/>
    <w:rsid w:val="60E4619D"/>
    <w:rsid w:val="60E47381"/>
    <w:rsid w:val="60E5134B"/>
    <w:rsid w:val="60E6130F"/>
    <w:rsid w:val="60E70C20"/>
    <w:rsid w:val="60E71115"/>
    <w:rsid w:val="60E750C3"/>
    <w:rsid w:val="60E76E71"/>
    <w:rsid w:val="60E816CC"/>
    <w:rsid w:val="60E82E54"/>
    <w:rsid w:val="60E8429D"/>
    <w:rsid w:val="60E8613E"/>
    <w:rsid w:val="60E867C1"/>
    <w:rsid w:val="60E92BEA"/>
    <w:rsid w:val="60E94998"/>
    <w:rsid w:val="60E96DB8"/>
    <w:rsid w:val="60EA78C6"/>
    <w:rsid w:val="60EB1CDA"/>
    <w:rsid w:val="60EC092C"/>
    <w:rsid w:val="60EC4488"/>
    <w:rsid w:val="60EC6236"/>
    <w:rsid w:val="60EE0200"/>
    <w:rsid w:val="60EE32C9"/>
    <w:rsid w:val="60EE5A75"/>
    <w:rsid w:val="60EE6452"/>
    <w:rsid w:val="60EF0F66"/>
    <w:rsid w:val="60EF5D26"/>
    <w:rsid w:val="60F021CA"/>
    <w:rsid w:val="60F11A9E"/>
    <w:rsid w:val="60F3100B"/>
    <w:rsid w:val="60F43F81"/>
    <w:rsid w:val="60F53CD0"/>
    <w:rsid w:val="60F65306"/>
    <w:rsid w:val="60F82E2D"/>
    <w:rsid w:val="60FA6BA5"/>
    <w:rsid w:val="60FB0B6F"/>
    <w:rsid w:val="60FB1283"/>
    <w:rsid w:val="60FB76AA"/>
    <w:rsid w:val="60FC6C7E"/>
    <w:rsid w:val="60FD0443"/>
    <w:rsid w:val="60FE56F5"/>
    <w:rsid w:val="60FF240D"/>
    <w:rsid w:val="60FF5F74"/>
    <w:rsid w:val="61000B80"/>
    <w:rsid w:val="61002667"/>
    <w:rsid w:val="61005930"/>
    <w:rsid w:val="6101303E"/>
    <w:rsid w:val="610164CF"/>
    <w:rsid w:val="61017655"/>
    <w:rsid w:val="61021EFD"/>
    <w:rsid w:val="610226FB"/>
    <w:rsid w:val="610227DA"/>
    <w:rsid w:val="6102347B"/>
    <w:rsid w:val="61023CAB"/>
    <w:rsid w:val="61025A59"/>
    <w:rsid w:val="61030FBA"/>
    <w:rsid w:val="61034241"/>
    <w:rsid w:val="61045901"/>
    <w:rsid w:val="61047A23"/>
    <w:rsid w:val="61051238"/>
    <w:rsid w:val="610572F8"/>
    <w:rsid w:val="610619ED"/>
    <w:rsid w:val="6106379C"/>
    <w:rsid w:val="610A2B60"/>
    <w:rsid w:val="610B7637"/>
    <w:rsid w:val="610C3152"/>
    <w:rsid w:val="610C541D"/>
    <w:rsid w:val="610C6769"/>
    <w:rsid w:val="610E77EE"/>
    <w:rsid w:val="6110461A"/>
    <w:rsid w:val="611063C8"/>
    <w:rsid w:val="61110F56"/>
    <w:rsid w:val="61113EEE"/>
    <w:rsid w:val="611154C6"/>
    <w:rsid w:val="611171F3"/>
    <w:rsid w:val="61120A54"/>
    <w:rsid w:val="6113099A"/>
    <w:rsid w:val="61135EB8"/>
    <w:rsid w:val="6113646C"/>
    <w:rsid w:val="61137C66"/>
    <w:rsid w:val="61141E2A"/>
    <w:rsid w:val="6114688D"/>
    <w:rsid w:val="61147259"/>
    <w:rsid w:val="61151C31"/>
    <w:rsid w:val="61164056"/>
    <w:rsid w:val="611807AB"/>
    <w:rsid w:val="6118527D"/>
    <w:rsid w:val="6118702B"/>
    <w:rsid w:val="611A0FF5"/>
    <w:rsid w:val="611A2A5C"/>
    <w:rsid w:val="611A7247"/>
    <w:rsid w:val="611B3B25"/>
    <w:rsid w:val="611C05BC"/>
    <w:rsid w:val="611C2FBF"/>
    <w:rsid w:val="611C654B"/>
    <w:rsid w:val="611D2893"/>
    <w:rsid w:val="611F03B9"/>
    <w:rsid w:val="611F2AAF"/>
    <w:rsid w:val="611F3884"/>
    <w:rsid w:val="611F660B"/>
    <w:rsid w:val="61202383"/>
    <w:rsid w:val="612260FC"/>
    <w:rsid w:val="6123048F"/>
    <w:rsid w:val="61236B13"/>
    <w:rsid w:val="61243C22"/>
    <w:rsid w:val="6124458E"/>
    <w:rsid w:val="61251748"/>
    <w:rsid w:val="61251EC5"/>
    <w:rsid w:val="61257885"/>
    <w:rsid w:val="61271964"/>
    <w:rsid w:val="61276E10"/>
    <w:rsid w:val="612814E7"/>
    <w:rsid w:val="61291238"/>
    <w:rsid w:val="61292BC0"/>
    <w:rsid w:val="612956DC"/>
    <w:rsid w:val="612A39D8"/>
    <w:rsid w:val="612A58C1"/>
    <w:rsid w:val="612B3202"/>
    <w:rsid w:val="612C128B"/>
    <w:rsid w:val="612C2514"/>
    <w:rsid w:val="612C2AD6"/>
    <w:rsid w:val="612C3B3E"/>
    <w:rsid w:val="612D10B3"/>
    <w:rsid w:val="612D6CBA"/>
    <w:rsid w:val="612D7DF3"/>
    <w:rsid w:val="612E1517"/>
    <w:rsid w:val="612E2CF2"/>
    <w:rsid w:val="612E3C82"/>
    <w:rsid w:val="61300818"/>
    <w:rsid w:val="613025C6"/>
    <w:rsid w:val="61307EC2"/>
    <w:rsid w:val="613100ED"/>
    <w:rsid w:val="613146C1"/>
    <w:rsid w:val="6131633F"/>
    <w:rsid w:val="61321F75"/>
    <w:rsid w:val="613227E2"/>
    <w:rsid w:val="613253BA"/>
    <w:rsid w:val="61330309"/>
    <w:rsid w:val="61336BAB"/>
    <w:rsid w:val="61355C0D"/>
    <w:rsid w:val="61357BDD"/>
    <w:rsid w:val="61363955"/>
    <w:rsid w:val="61366B09"/>
    <w:rsid w:val="61377DF9"/>
    <w:rsid w:val="613876CD"/>
    <w:rsid w:val="61390E24"/>
    <w:rsid w:val="613941CF"/>
    <w:rsid w:val="61396DD0"/>
    <w:rsid w:val="6139765C"/>
    <w:rsid w:val="61397AE4"/>
    <w:rsid w:val="613A3445"/>
    <w:rsid w:val="613A51F3"/>
    <w:rsid w:val="613A638F"/>
    <w:rsid w:val="613B0074"/>
    <w:rsid w:val="613B0F6B"/>
    <w:rsid w:val="613C540F"/>
    <w:rsid w:val="613C7BA6"/>
    <w:rsid w:val="613D01F2"/>
    <w:rsid w:val="613D1187"/>
    <w:rsid w:val="613D1F5B"/>
    <w:rsid w:val="613D4CE3"/>
    <w:rsid w:val="613D5595"/>
    <w:rsid w:val="613D629C"/>
    <w:rsid w:val="613E14EC"/>
    <w:rsid w:val="613E3956"/>
    <w:rsid w:val="613F5773"/>
    <w:rsid w:val="613F6CAD"/>
    <w:rsid w:val="6140611F"/>
    <w:rsid w:val="61406582"/>
    <w:rsid w:val="61410DD1"/>
    <w:rsid w:val="61412C54"/>
    <w:rsid w:val="614147D4"/>
    <w:rsid w:val="6142054C"/>
    <w:rsid w:val="614222FA"/>
    <w:rsid w:val="61424EA8"/>
    <w:rsid w:val="61431FB6"/>
    <w:rsid w:val="61433767"/>
    <w:rsid w:val="61433F18"/>
    <w:rsid w:val="61442353"/>
    <w:rsid w:val="614477C8"/>
    <w:rsid w:val="61453B98"/>
    <w:rsid w:val="6146003C"/>
    <w:rsid w:val="61462D93"/>
    <w:rsid w:val="61463829"/>
    <w:rsid w:val="614721A4"/>
    <w:rsid w:val="614800B5"/>
    <w:rsid w:val="61483B0B"/>
    <w:rsid w:val="61492F4A"/>
    <w:rsid w:val="61493688"/>
    <w:rsid w:val="61497B2C"/>
    <w:rsid w:val="614A2361"/>
    <w:rsid w:val="614A647F"/>
    <w:rsid w:val="614B1268"/>
    <w:rsid w:val="614B38A4"/>
    <w:rsid w:val="614B5652"/>
    <w:rsid w:val="614B7400"/>
    <w:rsid w:val="614C2D6F"/>
    <w:rsid w:val="614C4F26"/>
    <w:rsid w:val="614C769B"/>
    <w:rsid w:val="614D3C1D"/>
    <w:rsid w:val="614E087A"/>
    <w:rsid w:val="614E7B14"/>
    <w:rsid w:val="614F2F06"/>
    <w:rsid w:val="614F763C"/>
    <w:rsid w:val="61502C69"/>
    <w:rsid w:val="61506C46"/>
    <w:rsid w:val="6151078F"/>
    <w:rsid w:val="6151253D"/>
    <w:rsid w:val="61516820"/>
    <w:rsid w:val="6152344C"/>
    <w:rsid w:val="6152472F"/>
    <w:rsid w:val="615269E1"/>
    <w:rsid w:val="61532759"/>
    <w:rsid w:val="6153325C"/>
    <w:rsid w:val="615362B5"/>
    <w:rsid w:val="615378AD"/>
    <w:rsid w:val="61543A6F"/>
    <w:rsid w:val="61551060"/>
    <w:rsid w:val="6155202D"/>
    <w:rsid w:val="61553FFA"/>
    <w:rsid w:val="615564D1"/>
    <w:rsid w:val="615648BD"/>
    <w:rsid w:val="61572249"/>
    <w:rsid w:val="6157370D"/>
    <w:rsid w:val="61573FF7"/>
    <w:rsid w:val="61575576"/>
    <w:rsid w:val="61581EF5"/>
    <w:rsid w:val="615838CB"/>
    <w:rsid w:val="615851BC"/>
    <w:rsid w:val="61596339"/>
    <w:rsid w:val="61597735"/>
    <w:rsid w:val="615A0865"/>
    <w:rsid w:val="615A5895"/>
    <w:rsid w:val="615A76D5"/>
    <w:rsid w:val="615B0AC0"/>
    <w:rsid w:val="615B3B77"/>
    <w:rsid w:val="615B7360"/>
    <w:rsid w:val="615B7BB4"/>
    <w:rsid w:val="615C0158"/>
    <w:rsid w:val="615C485D"/>
    <w:rsid w:val="615D5386"/>
    <w:rsid w:val="615E2F40"/>
    <w:rsid w:val="615E35D8"/>
    <w:rsid w:val="615E3F35"/>
    <w:rsid w:val="615E4DF2"/>
    <w:rsid w:val="615F3717"/>
    <w:rsid w:val="615F5D33"/>
    <w:rsid w:val="616011BA"/>
    <w:rsid w:val="616109D2"/>
    <w:rsid w:val="616176F7"/>
    <w:rsid w:val="61621E5C"/>
    <w:rsid w:val="6162299C"/>
    <w:rsid w:val="6162474A"/>
    <w:rsid w:val="61624F32"/>
    <w:rsid w:val="61630BEE"/>
    <w:rsid w:val="616404C2"/>
    <w:rsid w:val="61642270"/>
    <w:rsid w:val="616423A3"/>
    <w:rsid w:val="61655970"/>
    <w:rsid w:val="61656B01"/>
    <w:rsid w:val="61660C59"/>
    <w:rsid w:val="61662887"/>
    <w:rsid w:val="6166529A"/>
    <w:rsid w:val="616670CE"/>
    <w:rsid w:val="6168204F"/>
    <w:rsid w:val="616823A2"/>
    <w:rsid w:val="61684B1F"/>
    <w:rsid w:val="61687CC9"/>
    <w:rsid w:val="61692624"/>
    <w:rsid w:val="616927D7"/>
    <w:rsid w:val="61696AD3"/>
    <w:rsid w:val="616A054D"/>
    <w:rsid w:val="616A3388"/>
    <w:rsid w:val="616B23F4"/>
    <w:rsid w:val="616C5544"/>
    <w:rsid w:val="616C5E36"/>
    <w:rsid w:val="616C5F8B"/>
    <w:rsid w:val="616C642D"/>
    <w:rsid w:val="616D5E79"/>
    <w:rsid w:val="616D7349"/>
    <w:rsid w:val="616E1341"/>
    <w:rsid w:val="616E1494"/>
    <w:rsid w:val="616F12F4"/>
    <w:rsid w:val="616F4954"/>
    <w:rsid w:val="617050B9"/>
    <w:rsid w:val="61706E67"/>
    <w:rsid w:val="61711518"/>
    <w:rsid w:val="61712D59"/>
    <w:rsid w:val="6171498D"/>
    <w:rsid w:val="617222E8"/>
    <w:rsid w:val="61730824"/>
    <w:rsid w:val="61734BA9"/>
    <w:rsid w:val="61736E06"/>
    <w:rsid w:val="61742D19"/>
    <w:rsid w:val="61750921"/>
    <w:rsid w:val="617526CF"/>
    <w:rsid w:val="6176161D"/>
    <w:rsid w:val="6177247E"/>
    <w:rsid w:val="61774699"/>
    <w:rsid w:val="61776447"/>
    <w:rsid w:val="61781C0F"/>
    <w:rsid w:val="61783F6D"/>
    <w:rsid w:val="61784D76"/>
    <w:rsid w:val="61794CB8"/>
    <w:rsid w:val="61796CB2"/>
    <w:rsid w:val="61796D32"/>
    <w:rsid w:val="61797EDB"/>
    <w:rsid w:val="617B575F"/>
    <w:rsid w:val="617C1CB0"/>
    <w:rsid w:val="617C2D3A"/>
    <w:rsid w:val="617C580C"/>
    <w:rsid w:val="617D48DB"/>
    <w:rsid w:val="617D4D88"/>
    <w:rsid w:val="617E0DE9"/>
    <w:rsid w:val="617E713A"/>
    <w:rsid w:val="617E7959"/>
    <w:rsid w:val="61812E22"/>
    <w:rsid w:val="618172C6"/>
    <w:rsid w:val="61826B9A"/>
    <w:rsid w:val="6183209E"/>
    <w:rsid w:val="6184079F"/>
    <w:rsid w:val="618446C0"/>
    <w:rsid w:val="61844C5B"/>
    <w:rsid w:val="61846C62"/>
    <w:rsid w:val="6185469D"/>
    <w:rsid w:val="618825A6"/>
    <w:rsid w:val="61891CD7"/>
    <w:rsid w:val="618943CD"/>
    <w:rsid w:val="6189704E"/>
    <w:rsid w:val="61897F29"/>
    <w:rsid w:val="618A317B"/>
    <w:rsid w:val="618B1F5D"/>
    <w:rsid w:val="618B6943"/>
    <w:rsid w:val="618C17C7"/>
    <w:rsid w:val="618D2AA0"/>
    <w:rsid w:val="618D5292"/>
    <w:rsid w:val="618D58F5"/>
    <w:rsid w:val="618E08DE"/>
    <w:rsid w:val="618E6FDE"/>
    <w:rsid w:val="618F19E3"/>
    <w:rsid w:val="61901208"/>
    <w:rsid w:val="61901C37"/>
    <w:rsid w:val="61903065"/>
    <w:rsid w:val="619031FE"/>
    <w:rsid w:val="61907509"/>
    <w:rsid w:val="619141DE"/>
    <w:rsid w:val="619154AC"/>
    <w:rsid w:val="61915B6A"/>
    <w:rsid w:val="61915DCF"/>
    <w:rsid w:val="61923281"/>
    <w:rsid w:val="6192502F"/>
    <w:rsid w:val="61926DDD"/>
    <w:rsid w:val="61930DA7"/>
    <w:rsid w:val="61932B55"/>
    <w:rsid w:val="61952A3A"/>
    <w:rsid w:val="61955C09"/>
    <w:rsid w:val="619568CD"/>
    <w:rsid w:val="619576C1"/>
    <w:rsid w:val="61970898"/>
    <w:rsid w:val="61971C06"/>
    <w:rsid w:val="619808B1"/>
    <w:rsid w:val="619863BE"/>
    <w:rsid w:val="619903DE"/>
    <w:rsid w:val="61996AEF"/>
    <w:rsid w:val="619A2FA3"/>
    <w:rsid w:val="619A6E81"/>
    <w:rsid w:val="619B1A52"/>
    <w:rsid w:val="619B2399"/>
    <w:rsid w:val="619B39D9"/>
    <w:rsid w:val="619B585B"/>
    <w:rsid w:val="619C2EE2"/>
    <w:rsid w:val="619C4F63"/>
    <w:rsid w:val="619C6449"/>
    <w:rsid w:val="619D39D4"/>
    <w:rsid w:val="619D4372"/>
    <w:rsid w:val="619D5782"/>
    <w:rsid w:val="619D7E28"/>
    <w:rsid w:val="619E1C26"/>
    <w:rsid w:val="619F599E"/>
    <w:rsid w:val="61A113DC"/>
    <w:rsid w:val="61A15272"/>
    <w:rsid w:val="61A36339"/>
    <w:rsid w:val="61A42FB4"/>
    <w:rsid w:val="61A433D8"/>
    <w:rsid w:val="61A43811"/>
    <w:rsid w:val="61A86601"/>
    <w:rsid w:val="61A905CB"/>
    <w:rsid w:val="61AA2758"/>
    <w:rsid w:val="61AA42A2"/>
    <w:rsid w:val="61AC1296"/>
    <w:rsid w:val="61AC4E41"/>
    <w:rsid w:val="61AD00BB"/>
    <w:rsid w:val="61AD294E"/>
    <w:rsid w:val="61AD4894"/>
    <w:rsid w:val="61AE524A"/>
    <w:rsid w:val="61AE5BE1"/>
    <w:rsid w:val="61AE798F"/>
    <w:rsid w:val="61B027E8"/>
    <w:rsid w:val="61B054B5"/>
    <w:rsid w:val="61B2122D"/>
    <w:rsid w:val="61B25108"/>
    <w:rsid w:val="61B2747F"/>
    <w:rsid w:val="61B431F8"/>
    <w:rsid w:val="61B56F70"/>
    <w:rsid w:val="61B62D5F"/>
    <w:rsid w:val="61B73E7B"/>
    <w:rsid w:val="61B74A96"/>
    <w:rsid w:val="61B74E7E"/>
    <w:rsid w:val="61B74F59"/>
    <w:rsid w:val="61B90433"/>
    <w:rsid w:val="61B9240A"/>
    <w:rsid w:val="61B96A60"/>
    <w:rsid w:val="61BA389A"/>
    <w:rsid w:val="61BA6334"/>
    <w:rsid w:val="61BC1839"/>
    <w:rsid w:val="61BC20AC"/>
    <w:rsid w:val="61BC437E"/>
    <w:rsid w:val="61BD395C"/>
    <w:rsid w:val="61BE4DEC"/>
    <w:rsid w:val="61BE5E24"/>
    <w:rsid w:val="61BF1193"/>
    <w:rsid w:val="61BF394A"/>
    <w:rsid w:val="61BF4B67"/>
    <w:rsid w:val="61BF627C"/>
    <w:rsid w:val="61BF7310"/>
    <w:rsid w:val="61BF7DEE"/>
    <w:rsid w:val="61C03014"/>
    <w:rsid w:val="61C15914"/>
    <w:rsid w:val="61C176C2"/>
    <w:rsid w:val="61C251E9"/>
    <w:rsid w:val="61C30C5E"/>
    <w:rsid w:val="61C31785"/>
    <w:rsid w:val="61C43DAF"/>
    <w:rsid w:val="61C4414A"/>
    <w:rsid w:val="61C528C0"/>
    <w:rsid w:val="61C566A5"/>
    <w:rsid w:val="61C6273A"/>
    <w:rsid w:val="61C62EB6"/>
    <w:rsid w:val="61C62F2B"/>
    <w:rsid w:val="61C6532F"/>
    <w:rsid w:val="61C75926"/>
    <w:rsid w:val="61C83AE7"/>
    <w:rsid w:val="61C86CA3"/>
    <w:rsid w:val="61C9027B"/>
    <w:rsid w:val="61C91196"/>
    <w:rsid w:val="61C92810"/>
    <w:rsid w:val="61CB0541"/>
    <w:rsid w:val="61CB61F1"/>
    <w:rsid w:val="61CB6793"/>
    <w:rsid w:val="61CD05FC"/>
    <w:rsid w:val="61CD165F"/>
    <w:rsid w:val="61CD250B"/>
    <w:rsid w:val="61CD42B9"/>
    <w:rsid w:val="61CE1DDF"/>
    <w:rsid w:val="61CE48E1"/>
    <w:rsid w:val="61CE5201"/>
    <w:rsid w:val="61CF4B71"/>
    <w:rsid w:val="61CF5F46"/>
    <w:rsid w:val="61D00E63"/>
    <w:rsid w:val="61D05B58"/>
    <w:rsid w:val="61D07906"/>
    <w:rsid w:val="61D07E15"/>
    <w:rsid w:val="61D17125"/>
    <w:rsid w:val="61D20A3E"/>
    <w:rsid w:val="61D218D0"/>
    <w:rsid w:val="61D251BA"/>
    <w:rsid w:val="61D25FF4"/>
    <w:rsid w:val="61D35B82"/>
    <w:rsid w:val="61D373F6"/>
    <w:rsid w:val="61D41BE3"/>
    <w:rsid w:val="61D4389A"/>
    <w:rsid w:val="61D45648"/>
    <w:rsid w:val="61D5316E"/>
    <w:rsid w:val="61D60A01"/>
    <w:rsid w:val="61D62B6D"/>
    <w:rsid w:val="61D759DB"/>
    <w:rsid w:val="61D91CE1"/>
    <w:rsid w:val="61D94A0C"/>
    <w:rsid w:val="61D94FD1"/>
    <w:rsid w:val="61DA0784"/>
    <w:rsid w:val="61DA09EB"/>
    <w:rsid w:val="61DA1F93"/>
    <w:rsid w:val="61DA69D6"/>
    <w:rsid w:val="61DB4C28"/>
    <w:rsid w:val="61DC62AA"/>
    <w:rsid w:val="61DE2022"/>
    <w:rsid w:val="61DE64C6"/>
    <w:rsid w:val="61DF3FED"/>
    <w:rsid w:val="61DF4253"/>
    <w:rsid w:val="61E0223F"/>
    <w:rsid w:val="61E11B13"/>
    <w:rsid w:val="61E17D65"/>
    <w:rsid w:val="61E215D8"/>
    <w:rsid w:val="61E31936"/>
    <w:rsid w:val="61E3588B"/>
    <w:rsid w:val="61E36EBF"/>
    <w:rsid w:val="61E41603"/>
    <w:rsid w:val="61E433B1"/>
    <w:rsid w:val="61E47FF3"/>
    <w:rsid w:val="61E5574C"/>
    <w:rsid w:val="61E57855"/>
    <w:rsid w:val="61E635CD"/>
    <w:rsid w:val="61E6537B"/>
    <w:rsid w:val="61E810F3"/>
    <w:rsid w:val="61E85609"/>
    <w:rsid w:val="61E91E91"/>
    <w:rsid w:val="61E94B73"/>
    <w:rsid w:val="61EB0897"/>
    <w:rsid w:val="61EB41DC"/>
    <w:rsid w:val="61EB473F"/>
    <w:rsid w:val="61ED04B8"/>
    <w:rsid w:val="61ED495B"/>
    <w:rsid w:val="61ED6709"/>
    <w:rsid w:val="61EF2482"/>
    <w:rsid w:val="61EF4230"/>
    <w:rsid w:val="61EF767D"/>
    <w:rsid w:val="61F01BED"/>
    <w:rsid w:val="61F050AA"/>
    <w:rsid w:val="61F061FA"/>
    <w:rsid w:val="61F07C7B"/>
    <w:rsid w:val="61F10DF9"/>
    <w:rsid w:val="61F1480D"/>
    <w:rsid w:val="61F14A55"/>
    <w:rsid w:val="61F16ABA"/>
    <w:rsid w:val="61F21F72"/>
    <w:rsid w:val="61F2371F"/>
    <w:rsid w:val="61F24E04"/>
    <w:rsid w:val="61F33A36"/>
    <w:rsid w:val="61F41846"/>
    <w:rsid w:val="61F47A98"/>
    <w:rsid w:val="61F50F1C"/>
    <w:rsid w:val="61F5330C"/>
    <w:rsid w:val="61F555BE"/>
    <w:rsid w:val="61F5736C"/>
    <w:rsid w:val="61F658B1"/>
    <w:rsid w:val="61F71336"/>
    <w:rsid w:val="61F730E4"/>
    <w:rsid w:val="61F736C3"/>
    <w:rsid w:val="61F74E6F"/>
    <w:rsid w:val="61F75025"/>
    <w:rsid w:val="61F8640D"/>
    <w:rsid w:val="61F92F6A"/>
    <w:rsid w:val="61FA219F"/>
    <w:rsid w:val="61FA2BD4"/>
    <w:rsid w:val="61FC3796"/>
    <w:rsid w:val="61FC4B9F"/>
    <w:rsid w:val="61FC694D"/>
    <w:rsid w:val="61FD2CE5"/>
    <w:rsid w:val="61FD40D2"/>
    <w:rsid w:val="61FE0491"/>
    <w:rsid w:val="61FE0917"/>
    <w:rsid w:val="61FE26C5"/>
    <w:rsid w:val="61FE4473"/>
    <w:rsid w:val="61FF01EB"/>
    <w:rsid w:val="6201308C"/>
    <w:rsid w:val="6201435B"/>
    <w:rsid w:val="62015D11"/>
    <w:rsid w:val="62022090"/>
    <w:rsid w:val="6203127B"/>
    <w:rsid w:val="62035F2D"/>
    <w:rsid w:val="62046F8B"/>
    <w:rsid w:val="62053A53"/>
    <w:rsid w:val="620568E0"/>
    <w:rsid w:val="62065F2F"/>
    <w:rsid w:val="620676EA"/>
    <w:rsid w:val="62084F7A"/>
    <w:rsid w:val="62085C46"/>
    <w:rsid w:val="620A1069"/>
    <w:rsid w:val="620A72BB"/>
    <w:rsid w:val="620C7412"/>
    <w:rsid w:val="620E301C"/>
    <w:rsid w:val="620E50FB"/>
    <w:rsid w:val="620E6260"/>
    <w:rsid w:val="620F3203"/>
    <w:rsid w:val="621023F8"/>
    <w:rsid w:val="62104907"/>
    <w:rsid w:val="62120443"/>
    <w:rsid w:val="621208FC"/>
    <w:rsid w:val="621232AC"/>
    <w:rsid w:val="621243C2"/>
    <w:rsid w:val="6212562E"/>
    <w:rsid w:val="62126170"/>
    <w:rsid w:val="6212744C"/>
    <w:rsid w:val="62127F1E"/>
    <w:rsid w:val="621357FA"/>
    <w:rsid w:val="62137E26"/>
    <w:rsid w:val="62143C96"/>
    <w:rsid w:val="62145A44"/>
    <w:rsid w:val="62151563"/>
    <w:rsid w:val="62151FC7"/>
    <w:rsid w:val="6215513A"/>
    <w:rsid w:val="621574D4"/>
    <w:rsid w:val="62165C60"/>
    <w:rsid w:val="621719D8"/>
    <w:rsid w:val="62172E25"/>
    <w:rsid w:val="62173786"/>
    <w:rsid w:val="62175534"/>
    <w:rsid w:val="62175D55"/>
    <w:rsid w:val="62182C5D"/>
    <w:rsid w:val="62190688"/>
    <w:rsid w:val="621916E0"/>
    <w:rsid w:val="62195750"/>
    <w:rsid w:val="62196E86"/>
    <w:rsid w:val="621A17A6"/>
    <w:rsid w:val="621A306A"/>
    <w:rsid w:val="621B3775"/>
    <w:rsid w:val="621B5792"/>
    <w:rsid w:val="621B6C7F"/>
    <w:rsid w:val="621C1DF6"/>
    <w:rsid w:val="621C2B4B"/>
    <w:rsid w:val="621D2C31"/>
    <w:rsid w:val="621E2D67"/>
    <w:rsid w:val="621E68C3"/>
    <w:rsid w:val="621E754B"/>
    <w:rsid w:val="621F15B7"/>
    <w:rsid w:val="621F5209"/>
    <w:rsid w:val="621F5ABD"/>
    <w:rsid w:val="622009C7"/>
    <w:rsid w:val="6220263B"/>
    <w:rsid w:val="6220439D"/>
    <w:rsid w:val="62215173"/>
    <w:rsid w:val="62216AA8"/>
    <w:rsid w:val="62224762"/>
    <w:rsid w:val="622267A9"/>
    <w:rsid w:val="62245B18"/>
    <w:rsid w:val="6226119C"/>
    <w:rsid w:val="62262577"/>
    <w:rsid w:val="622637F5"/>
    <w:rsid w:val="62265778"/>
    <w:rsid w:val="622A5268"/>
    <w:rsid w:val="622B0FE0"/>
    <w:rsid w:val="622B4DE6"/>
    <w:rsid w:val="622D5384"/>
    <w:rsid w:val="622D6B06"/>
    <w:rsid w:val="622F6D22"/>
    <w:rsid w:val="6230510D"/>
    <w:rsid w:val="623065F6"/>
    <w:rsid w:val="62310CA7"/>
    <w:rsid w:val="62314848"/>
    <w:rsid w:val="62315A8D"/>
    <w:rsid w:val="623205C0"/>
    <w:rsid w:val="6232236E"/>
    <w:rsid w:val="62326812"/>
    <w:rsid w:val="62326A29"/>
    <w:rsid w:val="623335EB"/>
    <w:rsid w:val="62337403"/>
    <w:rsid w:val="62340D03"/>
    <w:rsid w:val="62344338"/>
    <w:rsid w:val="623460E6"/>
    <w:rsid w:val="62356C26"/>
    <w:rsid w:val="623600B0"/>
    <w:rsid w:val="62360F7F"/>
    <w:rsid w:val="62364782"/>
    <w:rsid w:val="6237110F"/>
    <w:rsid w:val="62377985"/>
    <w:rsid w:val="6239194F"/>
    <w:rsid w:val="623954AB"/>
    <w:rsid w:val="623B1E02"/>
    <w:rsid w:val="623B56C7"/>
    <w:rsid w:val="623B7475"/>
    <w:rsid w:val="623B7B03"/>
    <w:rsid w:val="623C143F"/>
    <w:rsid w:val="623C4F9B"/>
    <w:rsid w:val="623C7F34"/>
    <w:rsid w:val="623E0D13"/>
    <w:rsid w:val="623E46B2"/>
    <w:rsid w:val="623E51B7"/>
    <w:rsid w:val="623E6F65"/>
    <w:rsid w:val="623F04BA"/>
    <w:rsid w:val="623F09C9"/>
    <w:rsid w:val="624002F3"/>
    <w:rsid w:val="62406AD3"/>
    <w:rsid w:val="62410803"/>
    <w:rsid w:val="62413F15"/>
    <w:rsid w:val="62421949"/>
    <w:rsid w:val="62421D5A"/>
    <w:rsid w:val="62421D76"/>
    <w:rsid w:val="624256AE"/>
    <w:rsid w:val="62426A55"/>
    <w:rsid w:val="624327CD"/>
    <w:rsid w:val="624343B5"/>
    <w:rsid w:val="6243457B"/>
    <w:rsid w:val="62434B02"/>
    <w:rsid w:val="62436329"/>
    <w:rsid w:val="62443A91"/>
    <w:rsid w:val="624452BB"/>
    <w:rsid w:val="624502F4"/>
    <w:rsid w:val="62450BF8"/>
    <w:rsid w:val="624532D2"/>
    <w:rsid w:val="62464A53"/>
    <w:rsid w:val="62467377"/>
    <w:rsid w:val="6247406C"/>
    <w:rsid w:val="62481B92"/>
    <w:rsid w:val="62494824"/>
    <w:rsid w:val="624A3B5C"/>
    <w:rsid w:val="624A76B8"/>
    <w:rsid w:val="624B1238"/>
    <w:rsid w:val="624B3119"/>
    <w:rsid w:val="624B4BBF"/>
    <w:rsid w:val="624B51DE"/>
    <w:rsid w:val="624B7271"/>
    <w:rsid w:val="624C5863"/>
    <w:rsid w:val="624D05E5"/>
    <w:rsid w:val="624D0F56"/>
    <w:rsid w:val="624F0696"/>
    <w:rsid w:val="624F1B26"/>
    <w:rsid w:val="624F5FD2"/>
    <w:rsid w:val="624F6F55"/>
    <w:rsid w:val="625119F0"/>
    <w:rsid w:val="62514446"/>
    <w:rsid w:val="62514EEA"/>
    <w:rsid w:val="62521D60"/>
    <w:rsid w:val="62522A10"/>
    <w:rsid w:val="625252F4"/>
    <w:rsid w:val="62526006"/>
    <w:rsid w:val="6252656D"/>
    <w:rsid w:val="625304A7"/>
    <w:rsid w:val="625422E5"/>
    <w:rsid w:val="62546789"/>
    <w:rsid w:val="62571F25"/>
    <w:rsid w:val="62581748"/>
    <w:rsid w:val="62587DDC"/>
    <w:rsid w:val="625907BC"/>
    <w:rsid w:val="625910E3"/>
    <w:rsid w:val="625978FB"/>
    <w:rsid w:val="625A74DD"/>
    <w:rsid w:val="625B18C5"/>
    <w:rsid w:val="625B3673"/>
    <w:rsid w:val="625C563D"/>
    <w:rsid w:val="625C73EB"/>
    <w:rsid w:val="625D388F"/>
    <w:rsid w:val="625E0D24"/>
    <w:rsid w:val="625E13B5"/>
    <w:rsid w:val="625E414B"/>
    <w:rsid w:val="625E4BC4"/>
    <w:rsid w:val="625E7607"/>
    <w:rsid w:val="62602AAB"/>
    <w:rsid w:val="62606EDB"/>
    <w:rsid w:val="62620EA5"/>
    <w:rsid w:val="62621930"/>
    <w:rsid w:val="62627320"/>
    <w:rsid w:val="6263230B"/>
    <w:rsid w:val="62632537"/>
    <w:rsid w:val="6263306E"/>
    <w:rsid w:val="62650996"/>
    <w:rsid w:val="62652744"/>
    <w:rsid w:val="626536A1"/>
    <w:rsid w:val="62653720"/>
    <w:rsid w:val="626544F2"/>
    <w:rsid w:val="6265548D"/>
    <w:rsid w:val="6267026A"/>
    <w:rsid w:val="62671DAA"/>
    <w:rsid w:val="626764BC"/>
    <w:rsid w:val="62682234"/>
    <w:rsid w:val="62683FE2"/>
    <w:rsid w:val="62691B04"/>
    <w:rsid w:val="62693E0E"/>
    <w:rsid w:val="626A1B08"/>
    <w:rsid w:val="626A4988"/>
    <w:rsid w:val="626A529E"/>
    <w:rsid w:val="626A7D5A"/>
    <w:rsid w:val="626B5685"/>
    <w:rsid w:val="626B771F"/>
    <w:rsid w:val="626C12CB"/>
    <w:rsid w:val="626C5880"/>
    <w:rsid w:val="626D33A6"/>
    <w:rsid w:val="626D3C1F"/>
    <w:rsid w:val="626E064D"/>
    <w:rsid w:val="626E0DFA"/>
    <w:rsid w:val="626E7082"/>
    <w:rsid w:val="626F35C2"/>
    <w:rsid w:val="626F5370"/>
    <w:rsid w:val="626F711E"/>
    <w:rsid w:val="626F7E9F"/>
    <w:rsid w:val="62703343"/>
    <w:rsid w:val="62707761"/>
    <w:rsid w:val="627109AC"/>
    <w:rsid w:val="627110E9"/>
    <w:rsid w:val="62712B14"/>
    <w:rsid w:val="62712D32"/>
    <w:rsid w:val="62712E97"/>
    <w:rsid w:val="6272363A"/>
    <w:rsid w:val="62724E61"/>
    <w:rsid w:val="62724EC0"/>
    <w:rsid w:val="627263AA"/>
    <w:rsid w:val="62726C0F"/>
    <w:rsid w:val="62732C9C"/>
    <w:rsid w:val="62736350"/>
    <w:rsid w:val="62740F21"/>
    <w:rsid w:val="62742987"/>
    <w:rsid w:val="627523B1"/>
    <w:rsid w:val="627604AD"/>
    <w:rsid w:val="62761541"/>
    <w:rsid w:val="627731E4"/>
    <w:rsid w:val="62774225"/>
    <w:rsid w:val="62782C82"/>
    <w:rsid w:val="627961EF"/>
    <w:rsid w:val="627974ED"/>
    <w:rsid w:val="627B50D6"/>
    <w:rsid w:val="627C123E"/>
    <w:rsid w:val="627D7A8D"/>
    <w:rsid w:val="627E4BA4"/>
    <w:rsid w:val="627E55B4"/>
    <w:rsid w:val="627E7362"/>
    <w:rsid w:val="627F48F3"/>
    <w:rsid w:val="6280036F"/>
    <w:rsid w:val="6280132C"/>
    <w:rsid w:val="62810689"/>
    <w:rsid w:val="62816E52"/>
    <w:rsid w:val="62823274"/>
    <w:rsid w:val="628232F6"/>
    <w:rsid w:val="62826007"/>
    <w:rsid w:val="62831261"/>
    <w:rsid w:val="62832486"/>
    <w:rsid w:val="628366D3"/>
    <w:rsid w:val="6283706E"/>
    <w:rsid w:val="628469A4"/>
    <w:rsid w:val="628472D5"/>
    <w:rsid w:val="62847721"/>
    <w:rsid w:val="628506F0"/>
    <w:rsid w:val="62856942"/>
    <w:rsid w:val="62864468"/>
    <w:rsid w:val="62874C5F"/>
    <w:rsid w:val="62886E85"/>
    <w:rsid w:val="6288754D"/>
    <w:rsid w:val="62892692"/>
    <w:rsid w:val="628966B6"/>
    <w:rsid w:val="628A03FC"/>
    <w:rsid w:val="628C5F22"/>
    <w:rsid w:val="628C6EF7"/>
    <w:rsid w:val="628D1D46"/>
    <w:rsid w:val="628D238A"/>
    <w:rsid w:val="628D3A49"/>
    <w:rsid w:val="628D6A54"/>
    <w:rsid w:val="628E1C9B"/>
    <w:rsid w:val="628E28E5"/>
    <w:rsid w:val="628E3AEC"/>
    <w:rsid w:val="628E46DA"/>
    <w:rsid w:val="628E484F"/>
    <w:rsid w:val="628E6AEB"/>
    <w:rsid w:val="628F156F"/>
    <w:rsid w:val="628F6F39"/>
    <w:rsid w:val="628F77C1"/>
    <w:rsid w:val="62902C16"/>
    <w:rsid w:val="6291178B"/>
    <w:rsid w:val="629118D9"/>
    <w:rsid w:val="62913539"/>
    <w:rsid w:val="629152E7"/>
    <w:rsid w:val="6292105F"/>
    <w:rsid w:val="62922837"/>
    <w:rsid w:val="62930C77"/>
    <w:rsid w:val="62935347"/>
    <w:rsid w:val="6293593A"/>
    <w:rsid w:val="629372B1"/>
    <w:rsid w:val="62940A10"/>
    <w:rsid w:val="62943029"/>
    <w:rsid w:val="62944DD7"/>
    <w:rsid w:val="62946B85"/>
    <w:rsid w:val="62947B72"/>
    <w:rsid w:val="62951F5E"/>
    <w:rsid w:val="62966995"/>
    <w:rsid w:val="62966D01"/>
    <w:rsid w:val="62967742"/>
    <w:rsid w:val="62970456"/>
    <w:rsid w:val="629727A0"/>
    <w:rsid w:val="62975D9E"/>
    <w:rsid w:val="629765D4"/>
    <w:rsid w:val="629848C7"/>
    <w:rsid w:val="6299006B"/>
    <w:rsid w:val="6299063F"/>
    <w:rsid w:val="6299181A"/>
    <w:rsid w:val="629923ED"/>
    <w:rsid w:val="629977B9"/>
    <w:rsid w:val="629A2B7E"/>
    <w:rsid w:val="629A3AB2"/>
    <w:rsid w:val="629A40AB"/>
    <w:rsid w:val="629B43B7"/>
    <w:rsid w:val="629B46A2"/>
    <w:rsid w:val="629B7F14"/>
    <w:rsid w:val="629C012D"/>
    <w:rsid w:val="629D0130"/>
    <w:rsid w:val="629D0576"/>
    <w:rsid w:val="629D1EDE"/>
    <w:rsid w:val="629D3C8C"/>
    <w:rsid w:val="629D5887"/>
    <w:rsid w:val="629D7239"/>
    <w:rsid w:val="629D7E7C"/>
    <w:rsid w:val="629F2431"/>
    <w:rsid w:val="629F51E1"/>
    <w:rsid w:val="62A019CE"/>
    <w:rsid w:val="62A07788"/>
    <w:rsid w:val="62A167FD"/>
    <w:rsid w:val="62A17742"/>
    <w:rsid w:val="62A2257D"/>
    <w:rsid w:val="62A269BD"/>
    <w:rsid w:val="62A274F4"/>
    <w:rsid w:val="62A3326C"/>
    <w:rsid w:val="62A36DC8"/>
    <w:rsid w:val="62A414BE"/>
    <w:rsid w:val="62A41F90"/>
    <w:rsid w:val="62A468BF"/>
    <w:rsid w:val="62A55C75"/>
    <w:rsid w:val="62A56FE4"/>
    <w:rsid w:val="62A712E9"/>
    <w:rsid w:val="62A750F4"/>
    <w:rsid w:val="62A80882"/>
    <w:rsid w:val="62A95D26"/>
    <w:rsid w:val="62A96AD4"/>
    <w:rsid w:val="62AA3BC1"/>
    <w:rsid w:val="62AA45FB"/>
    <w:rsid w:val="62AA63A9"/>
    <w:rsid w:val="62AC1872"/>
    <w:rsid w:val="62AC3ECF"/>
    <w:rsid w:val="62AF289C"/>
    <w:rsid w:val="62AF39BF"/>
    <w:rsid w:val="62B0093C"/>
    <w:rsid w:val="62B0343B"/>
    <w:rsid w:val="62B17D06"/>
    <w:rsid w:val="62B201CB"/>
    <w:rsid w:val="62B24619"/>
    <w:rsid w:val="62B2525D"/>
    <w:rsid w:val="62B27782"/>
    <w:rsid w:val="62B31701"/>
    <w:rsid w:val="62B335E4"/>
    <w:rsid w:val="62B438C1"/>
    <w:rsid w:val="62B45479"/>
    <w:rsid w:val="62B463B4"/>
    <w:rsid w:val="62B5242B"/>
    <w:rsid w:val="62B54D06"/>
    <w:rsid w:val="62B56907"/>
    <w:rsid w:val="62B611F1"/>
    <w:rsid w:val="62B62F9F"/>
    <w:rsid w:val="62B7079F"/>
    <w:rsid w:val="62B716A3"/>
    <w:rsid w:val="62B72874"/>
    <w:rsid w:val="62B80AC5"/>
    <w:rsid w:val="62B84097"/>
    <w:rsid w:val="62B92A90"/>
    <w:rsid w:val="62B9483E"/>
    <w:rsid w:val="62B97655"/>
    <w:rsid w:val="62BA139B"/>
    <w:rsid w:val="62BA4989"/>
    <w:rsid w:val="62BB05B6"/>
    <w:rsid w:val="62BB2364"/>
    <w:rsid w:val="62BB6808"/>
    <w:rsid w:val="62BC22B5"/>
    <w:rsid w:val="62BC7E8A"/>
    <w:rsid w:val="62BD60DC"/>
    <w:rsid w:val="62BE08F6"/>
    <w:rsid w:val="62BE3C02"/>
    <w:rsid w:val="62C022F3"/>
    <w:rsid w:val="62C03E1E"/>
    <w:rsid w:val="62C0797A"/>
    <w:rsid w:val="62C21041"/>
    <w:rsid w:val="62C21944"/>
    <w:rsid w:val="62C236F2"/>
    <w:rsid w:val="62C2612D"/>
    <w:rsid w:val="62C30522"/>
    <w:rsid w:val="62C31218"/>
    <w:rsid w:val="62C3746A"/>
    <w:rsid w:val="62C42AD8"/>
    <w:rsid w:val="62C433E0"/>
    <w:rsid w:val="62C44768"/>
    <w:rsid w:val="62C456BC"/>
    <w:rsid w:val="62C47C8A"/>
    <w:rsid w:val="62C507C9"/>
    <w:rsid w:val="62C531E2"/>
    <w:rsid w:val="62C61C59"/>
    <w:rsid w:val="62C639AB"/>
    <w:rsid w:val="62C70472"/>
    <w:rsid w:val="62C70D09"/>
    <w:rsid w:val="62C7399C"/>
    <w:rsid w:val="62C751AC"/>
    <w:rsid w:val="62C76F5B"/>
    <w:rsid w:val="62C90F25"/>
    <w:rsid w:val="62C91974"/>
    <w:rsid w:val="62C95A86"/>
    <w:rsid w:val="62CA25A7"/>
    <w:rsid w:val="62CB4CB6"/>
    <w:rsid w:val="62CB5F65"/>
    <w:rsid w:val="62CC631F"/>
    <w:rsid w:val="62CC7D62"/>
    <w:rsid w:val="62CD2097"/>
    <w:rsid w:val="62CE0183"/>
    <w:rsid w:val="62CE02E9"/>
    <w:rsid w:val="62CE090B"/>
    <w:rsid w:val="62CE1A43"/>
    <w:rsid w:val="62CE3941"/>
    <w:rsid w:val="62CF186C"/>
    <w:rsid w:val="62CF1A22"/>
    <w:rsid w:val="62CF5E0F"/>
    <w:rsid w:val="62CF753A"/>
    <w:rsid w:val="62D022B3"/>
    <w:rsid w:val="62D05F7A"/>
    <w:rsid w:val="62D10052"/>
    <w:rsid w:val="62D12479"/>
    <w:rsid w:val="62D13935"/>
    <w:rsid w:val="62D1582C"/>
    <w:rsid w:val="62D201FC"/>
    <w:rsid w:val="62D23534"/>
    <w:rsid w:val="62D27C67"/>
    <w:rsid w:val="62D27E56"/>
    <w:rsid w:val="62D31D10"/>
    <w:rsid w:val="62D653F0"/>
    <w:rsid w:val="62D6745D"/>
    <w:rsid w:val="62D8059B"/>
    <w:rsid w:val="62D84ECA"/>
    <w:rsid w:val="62D952CB"/>
    <w:rsid w:val="62DA4EE0"/>
    <w:rsid w:val="62DB2A06"/>
    <w:rsid w:val="62DB2CB2"/>
    <w:rsid w:val="62DC29EF"/>
    <w:rsid w:val="62DD052C"/>
    <w:rsid w:val="62DD5F80"/>
    <w:rsid w:val="62DD6900"/>
    <w:rsid w:val="62DF24F6"/>
    <w:rsid w:val="62DF2BC6"/>
    <w:rsid w:val="62E01DCA"/>
    <w:rsid w:val="62E03ABB"/>
    <w:rsid w:val="62E21FE6"/>
    <w:rsid w:val="62E31F45"/>
    <w:rsid w:val="62E33669"/>
    <w:rsid w:val="62E33DD3"/>
    <w:rsid w:val="62E42611"/>
    <w:rsid w:val="62E47B0C"/>
    <w:rsid w:val="62E51047"/>
    <w:rsid w:val="62E55633"/>
    <w:rsid w:val="62E573E1"/>
    <w:rsid w:val="62E70120"/>
    <w:rsid w:val="62E73159"/>
    <w:rsid w:val="62E838DC"/>
    <w:rsid w:val="62E9273B"/>
    <w:rsid w:val="62E96ED1"/>
    <w:rsid w:val="62EA0E9B"/>
    <w:rsid w:val="62EA359D"/>
    <w:rsid w:val="62EA6483"/>
    <w:rsid w:val="62EC076F"/>
    <w:rsid w:val="62EC0976"/>
    <w:rsid w:val="62EC3205"/>
    <w:rsid w:val="62EC69C1"/>
    <w:rsid w:val="62ED5038"/>
    <w:rsid w:val="62ED7408"/>
    <w:rsid w:val="62EF1E8B"/>
    <w:rsid w:val="62EF200D"/>
    <w:rsid w:val="62EF2D9B"/>
    <w:rsid w:val="62F02A67"/>
    <w:rsid w:val="62F046CA"/>
    <w:rsid w:val="62F04EE0"/>
    <w:rsid w:val="62F12229"/>
    <w:rsid w:val="62F12A1E"/>
    <w:rsid w:val="62F13785"/>
    <w:rsid w:val="62F15D85"/>
    <w:rsid w:val="62F16356"/>
    <w:rsid w:val="62F24C15"/>
    <w:rsid w:val="62F323C0"/>
    <w:rsid w:val="62F42FAE"/>
    <w:rsid w:val="62F46A37"/>
    <w:rsid w:val="62F51D1A"/>
    <w:rsid w:val="62F54CD7"/>
    <w:rsid w:val="62F6339C"/>
    <w:rsid w:val="62F67840"/>
    <w:rsid w:val="62F71652"/>
    <w:rsid w:val="62F72CE0"/>
    <w:rsid w:val="62F835B8"/>
    <w:rsid w:val="62F83658"/>
    <w:rsid w:val="62F871FA"/>
    <w:rsid w:val="62F90B52"/>
    <w:rsid w:val="62F96BFC"/>
    <w:rsid w:val="62FA0E4E"/>
    <w:rsid w:val="62FA7330"/>
    <w:rsid w:val="62FB09B2"/>
    <w:rsid w:val="62FB30A8"/>
    <w:rsid w:val="62FB34D0"/>
    <w:rsid w:val="62FC0898"/>
    <w:rsid w:val="62FC2EBF"/>
    <w:rsid w:val="62FD017F"/>
    <w:rsid w:val="62FD0BCE"/>
    <w:rsid w:val="62FD0CA9"/>
    <w:rsid w:val="62FE04A2"/>
    <w:rsid w:val="62FE4D81"/>
    <w:rsid w:val="62FF34D7"/>
    <w:rsid w:val="62FF4946"/>
    <w:rsid w:val="62FF61C8"/>
    <w:rsid w:val="630006BE"/>
    <w:rsid w:val="6300246C"/>
    <w:rsid w:val="63021D41"/>
    <w:rsid w:val="6302470A"/>
    <w:rsid w:val="63030411"/>
    <w:rsid w:val="63035AB9"/>
    <w:rsid w:val="63041F5D"/>
    <w:rsid w:val="63043D0B"/>
    <w:rsid w:val="63057A83"/>
    <w:rsid w:val="63065CD5"/>
    <w:rsid w:val="6307442A"/>
    <w:rsid w:val="630755A9"/>
    <w:rsid w:val="63076069"/>
    <w:rsid w:val="63077D94"/>
    <w:rsid w:val="63097573"/>
    <w:rsid w:val="630A1E3D"/>
    <w:rsid w:val="630A21A8"/>
    <w:rsid w:val="630A26C8"/>
    <w:rsid w:val="630A432C"/>
    <w:rsid w:val="630A6E47"/>
    <w:rsid w:val="630B09B9"/>
    <w:rsid w:val="630B15DD"/>
    <w:rsid w:val="630B3263"/>
    <w:rsid w:val="630B32EB"/>
    <w:rsid w:val="630B4B5E"/>
    <w:rsid w:val="630C0E11"/>
    <w:rsid w:val="630C2BBF"/>
    <w:rsid w:val="630C7063"/>
    <w:rsid w:val="630D0CB6"/>
    <w:rsid w:val="630D181D"/>
    <w:rsid w:val="630E06E5"/>
    <w:rsid w:val="630E11CA"/>
    <w:rsid w:val="630E2CAD"/>
    <w:rsid w:val="630E2DDB"/>
    <w:rsid w:val="630F26B0"/>
    <w:rsid w:val="630F6D0E"/>
    <w:rsid w:val="63100901"/>
    <w:rsid w:val="63104A9F"/>
    <w:rsid w:val="631101D6"/>
    <w:rsid w:val="63112928"/>
    <w:rsid w:val="63112987"/>
    <w:rsid w:val="63113902"/>
    <w:rsid w:val="63116428"/>
    <w:rsid w:val="6312641A"/>
    <w:rsid w:val="63126BEF"/>
    <w:rsid w:val="63130260"/>
    <w:rsid w:val="631303F2"/>
    <w:rsid w:val="631321A0"/>
    <w:rsid w:val="6313524C"/>
    <w:rsid w:val="63145F85"/>
    <w:rsid w:val="63147CC6"/>
    <w:rsid w:val="63147FAF"/>
    <w:rsid w:val="63155479"/>
    <w:rsid w:val="63155F18"/>
    <w:rsid w:val="6315728E"/>
    <w:rsid w:val="63161C64"/>
    <w:rsid w:val="63163A3E"/>
    <w:rsid w:val="63164010"/>
    <w:rsid w:val="631657EC"/>
    <w:rsid w:val="63166BE1"/>
    <w:rsid w:val="63171BA1"/>
    <w:rsid w:val="63171F02"/>
    <w:rsid w:val="6317721D"/>
    <w:rsid w:val="63181564"/>
    <w:rsid w:val="63185A08"/>
    <w:rsid w:val="63190CCD"/>
    <w:rsid w:val="631929FE"/>
    <w:rsid w:val="63194464"/>
    <w:rsid w:val="631A16A8"/>
    <w:rsid w:val="631A3502"/>
    <w:rsid w:val="631A352E"/>
    <w:rsid w:val="631A3E21"/>
    <w:rsid w:val="631B2E02"/>
    <w:rsid w:val="631B52B1"/>
    <w:rsid w:val="631B5BDE"/>
    <w:rsid w:val="631D25F5"/>
    <w:rsid w:val="631D27A2"/>
    <w:rsid w:val="631D3EE3"/>
    <w:rsid w:val="631D55A2"/>
    <w:rsid w:val="631E1371"/>
    <w:rsid w:val="631F0B45"/>
    <w:rsid w:val="631F28F3"/>
    <w:rsid w:val="631F32A2"/>
    <w:rsid w:val="631F3CC0"/>
    <w:rsid w:val="63212B0F"/>
    <w:rsid w:val="63215FDD"/>
    <w:rsid w:val="632260E1"/>
    <w:rsid w:val="63234856"/>
    <w:rsid w:val="63244B38"/>
    <w:rsid w:val="63246130"/>
    <w:rsid w:val="6324615B"/>
    <w:rsid w:val="63247F09"/>
    <w:rsid w:val="63250F34"/>
    <w:rsid w:val="63251ED3"/>
    <w:rsid w:val="63253C81"/>
    <w:rsid w:val="63260125"/>
    <w:rsid w:val="63273E9D"/>
    <w:rsid w:val="63276911"/>
    <w:rsid w:val="632779F9"/>
    <w:rsid w:val="63283A59"/>
    <w:rsid w:val="632919C3"/>
    <w:rsid w:val="63293771"/>
    <w:rsid w:val="632B2F6D"/>
    <w:rsid w:val="632B3E07"/>
    <w:rsid w:val="632B573B"/>
    <w:rsid w:val="632C24AF"/>
    <w:rsid w:val="632D2FDE"/>
    <w:rsid w:val="632D72AE"/>
    <w:rsid w:val="632E00A7"/>
    <w:rsid w:val="632E16AC"/>
    <w:rsid w:val="632E6E5F"/>
    <w:rsid w:val="63301EA0"/>
    <w:rsid w:val="633023D3"/>
    <w:rsid w:val="63302D52"/>
    <w:rsid w:val="6333313C"/>
    <w:rsid w:val="63354616"/>
    <w:rsid w:val="633635FA"/>
    <w:rsid w:val="633671EC"/>
    <w:rsid w:val="63367C3C"/>
    <w:rsid w:val="633707A8"/>
    <w:rsid w:val="633736D1"/>
    <w:rsid w:val="63380AEB"/>
    <w:rsid w:val="63381C06"/>
    <w:rsid w:val="63387F44"/>
    <w:rsid w:val="633A0807"/>
    <w:rsid w:val="633A1353"/>
    <w:rsid w:val="633A3BD0"/>
    <w:rsid w:val="633A772C"/>
    <w:rsid w:val="633B5253"/>
    <w:rsid w:val="633B7BD4"/>
    <w:rsid w:val="633C6D89"/>
    <w:rsid w:val="633D0FCB"/>
    <w:rsid w:val="633D1885"/>
    <w:rsid w:val="633D2BD8"/>
    <w:rsid w:val="633D546F"/>
    <w:rsid w:val="633D721D"/>
    <w:rsid w:val="633E23AF"/>
    <w:rsid w:val="633F11E7"/>
    <w:rsid w:val="633F1D7A"/>
    <w:rsid w:val="633F2F95"/>
    <w:rsid w:val="633F5701"/>
    <w:rsid w:val="633F755B"/>
    <w:rsid w:val="6340727D"/>
    <w:rsid w:val="63411A39"/>
    <w:rsid w:val="63414F5F"/>
    <w:rsid w:val="63422A85"/>
    <w:rsid w:val="63424833"/>
    <w:rsid w:val="63435BFE"/>
    <w:rsid w:val="634405AB"/>
    <w:rsid w:val="634467FD"/>
    <w:rsid w:val="6344708E"/>
    <w:rsid w:val="634520A2"/>
    <w:rsid w:val="634618F9"/>
    <w:rsid w:val="63462575"/>
    <w:rsid w:val="63473EC6"/>
    <w:rsid w:val="634832D6"/>
    <w:rsid w:val="63484489"/>
    <w:rsid w:val="6348630B"/>
    <w:rsid w:val="63486D09"/>
    <w:rsid w:val="63491372"/>
    <w:rsid w:val="63492973"/>
    <w:rsid w:val="63493E13"/>
    <w:rsid w:val="634A0158"/>
    <w:rsid w:val="634A17BF"/>
    <w:rsid w:val="634A2F00"/>
    <w:rsid w:val="634A36E8"/>
    <w:rsid w:val="634A4B7C"/>
    <w:rsid w:val="634A7AE7"/>
    <w:rsid w:val="634B193A"/>
    <w:rsid w:val="634B4B3F"/>
    <w:rsid w:val="634B745F"/>
    <w:rsid w:val="634C17BE"/>
    <w:rsid w:val="634C3904"/>
    <w:rsid w:val="634C7460"/>
    <w:rsid w:val="634E002F"/>
    <w:rsid w:val="634E142A"/>
    <w:rsid w:val="634E37ED"/>
    <w:rsid w:val="634E5335"/>
    <w:rsid w:val="634E5BB5"/>
    <w:rsid w:val="634F1A44"/>
    <w:rsid w:val="634F41A1"/>
    <w:rsid w:val="634F7D14"/>
    <w:rsid w:val="63500CFE"/>
    <w:rsid w:val="635051A2"/>
    <w:rsid w:val="63505631"/>
    <w:rsid w:val="63506F50"/>
    <w:rsid w:val="635079D9"/>
    <w:rsid w:val="63510202"/>
    <w:rsid w:val="63511D57"/>
    <w:rsid w:val="63514A76"/>
    <w:rsid w:val="63523853"/>
    <w:rsid w:val="6353143E"/>
    <w:rsid w:val="6353259C"/>
    <w:rsid w:val="63534C92"/>
    <w:rsid w:val="63535302"/>
    <w:rsid w:val="635425AD"/>
    <w:rsid w:val="63544514"/>
    <w:rsid w:val="635532FA"/>
    <w:rsid w:val="635602DE"/>
    <w:rsid w:val="6356208C"/>
    <w:rsid w:val="63572933"/>
    <w:rsid w:val="63576530"/>
    <w:rsid w:val="63583629"/>
    <w:rsid w:val="63584057"/>
    <w:rsid w:val="63586960"/>
    <w:rsid w:val="63586994"/>
    <w:rsid w:val="63597A4E"/>
    <w:rsid w:val="635A1B7D"/>
    <w:rsid w:val="635A7DCF"/>
    <w:rsid w:val="635B2744"/>
    <w:rsid w:val="635B58F5"/>
    <w:rsid w:val="635B76A3"/>
    <w:rsid w:val="635D62E9"/>
    <w:rsid w:val="635D67A5"/>
    <w:rsid w:val="635D78BF"/>
    <w:rsid w:val="635E10C5"/>
    <w:rsid w:val="635E5215"/>
    <w:rsid w:val="635F1C73"/>
    <w:rsid w:val="635F3C96"/>
    <w:rsid w:val="635F7193"/>
    <w:rsid w:val="63604CB9"/>
    <w:rsid w:val="63610009"/>
    <w:rsid w:val="6361115D"/>
    <w:rsid w:val="636118B6"/>
    <w:rsid w:val="636141D6"/>
    <w:rsid w:val="6361718E"/>
    <w:rsid w:val="63624ED5"/>
    <w:rsid w:val="63625988"/>
    <w:rsid w:val="636273C7"/>
    <w:rsid w:val="63636986"/>
    <w:rsid w:val="63636DBE"/>
    <w:rsid w:val="63640C4D"/>
    <w:rsid w:val="63646678"/>
    <w:rsid w:val="636649C5"/>
    <w:rsid w:val="63670F34"/>
    <w:rsid w:val="636724EC"/>
    <w:rsid w:val="636903B1"/>
    <w:rsid w:val="636A44F8"/>
    <w:rsid w:val="636A5CA2"/>
    <w:rsid w:val="636B397A"/>
    <w:rsid w:val="636B5105"/>
    <w:rsid w:val="636C36C9"/>
    <w:rsid w:val="636C3C91"/>
    <w:rsid w:val="636C4E0A"/>
    <w:rsid w:val="636C629A"/>
    <w:rsid w:val="636C6D6E"/>
    <w:rsid w:val="636D422D"/>
    <w:rsid w:val="636E22FB"/>
    <w:rsid w:val="636E387A"/>
    <w:rsid w:val="636E5628"/>
    <w:rsid w:val="636F24F7"/>
    <w:rsid w:val="637004F7"/>
    <w:rsid w:val="63701BA4"/>
    <w:rsid w:val="637075F2"/>
    <w:rsid w:val="63710C7C"/>
    <w:rsid w:val="63715118"/>
    <w:rsid w:val="637160AB"/>
    <w:rsid w:val="63716EC6"/>
    <w:rsid w:val="63717FD0"/>
    <w:rsid w:val="6372336A"/>
    <w:rsid w:val="63730E90"/>
    <w:rsid w:val="63733529"/>
    <w:rsid w:val="63737629"/>
    <w:rsid w:val="63737C62"/>
    <w:rsid w:val="63747282"/>
    <w:rsid w:val="63750187"/>
    <w:rsid w:val="63750E47"/>
    <w:rsid w:val="63753FEA"/>
    <w:rsid w:val="63754C08"/>
    <w:rsid w:val="63755142"/>
    <w:rsid w:val="637569B7"/>
    <w:rsid w:val="63770981"/>
    <w:rsid w:val="6377186D"/>
    <w:rsid w:val="637723BD"/>
    <w:rsid w:val="6377272F"/>
    <w:rsid w:val="6377387F"/>
    <w:rsid w:val="63773D92"/>
    <w:rsid w:val="63780255"/>
    <w:rsid w:val="637807A0"/>
    <w:rsid w:val="637846F9"/>
    <w:rsid w:val="637864A7"/>
    <w:rsid w:val="63786AB5"/>
    <w:rsid w:val="637A5D7B"/>
    <w:rsid w:val="637B00FA"/>
    <w:rsid w:val="637C5F97"/>
    <w:rsid w:val="637D18D6"/>
    <w:rsid w:val="637D1D0F"/>
    <w:rsid w:val="637D2331"/>
    <w:rsid w:val="637D3ABD"/>
    <w:rsid w:val="637D464D"/>
    <w:rsid w:val="637D5D25"/>
    <w:rsid w:val="637F3391"/>
    <w:rsid w:val="637F3E60"/>
    <w:rsid w:val="63803D25"/>
    <w:rsid w:val="6380470F"/>
    <w:rsid w:val="63807109"/>
    <w:rsid w:val="638135AD"/>
    <w:rsid w:val="6381445E"/>
    <w:rsid w:val="6382225E"/>
    <w:rsid w:val="63822A9F"/>
    <w:rsid w:val="63822E81"/>
    <w:rsid w:val="63823BFD"/>
    <w:rsid w:val="63827325"/>
    <w:rsid w:val="638276E9"/>
    <w:rsid w:val="63827E83"/>
    <w:rsid w:val="63841FDC"/>
    <w:rsid w:val="63844147"/>
    <w:rsid w:val="63844E4C"/>
    <w:rsid w:val="63860BC4"/>
    <w:rsid w:val="63861992"/>
    <w:rsid w:val="63872EA1"/>
    <w:rsid w:val="6388493C"/>
    <w:rsid w:val="63890D7B"/>
    <w:rsid w:val="63891D21"/>
    <w:rsid w:val="63892462"/>
    <w:rsid w:val="63894210"/>
    <w:rsid w:val="638957C1"/>
    <w:rsid w:val="638B61DA"/>
    <w:rsid w:val="638B6412"/>
    <w:rsid w:val="638D0A0B"/>
    <w:rsid w:val="638D1F52"/>
    <w:rsid w:val="638D4142"/>
    <w:rsid w:val="638E5CCA"/>
    <w:rsid w:val="638E618B"/>
    <w:rsid w:val="638E7A78"/>
    <w:rsid w:val="6390050A"/>
    <w:rsid w:val="6390559E"/>
    <w:rsid w:val="63915B71"/>
    <w:rsid w:val="63931444"/>
    <w:rsid w:val="63933149"/>
    <w:rsid w:val="639332E1"/>
    <w:rsid w:val="6393508F"/>
    <w:rsid w:val="6394356A"/>
    <w:rsid w:val="63952BB5"/>
    <w:rsid w:val="63953D64"/>
    <w:rsid w:val="63957059"/>
    <w:rsid w:val="63972676"/>
    <w:rsid w:val="63973AD7"/>
    <w:rsid w:val="6397692D"/>
    <w:rsid w:val="639808F7"/>
    <w:rsid w:val="639826A5"/>
    <w:rsid w:val="639865ED"/>
    <w:rsid w:val="639A01CB"/>
    <w:rsid w:val="639A2453"/>
    <w:rsid w:val="639A641D"/>
    <w:rsid w:val="639B14F1"/>
    <w:rsid w:val="639B76DD"/>
    <w:rsid w:val="639B7BD6"/>
    <w:rsid w:val="639C03E7"/>
    <w:rsid w:val="639C058F"/>
    <w:rsid w:val="639C2195"/>
    <w:rsid w:val="639C3F43"/>
    <w:rsid w:val="639D11DD"/>
    <w:rsid w:val="639E415F"/>
    <w:rsid w:val="639E532F"/>
    <w:rsid w:val="63A00324"/>
    <w:rsid w:val="63A025B8"/>
    <w:rsid w:val="63A1155A"/>
    <w:rsid w:val="63A11E3B"/>
    <w:rsid w:val="63A12F12"/>
    <w:rsid w:val="63A17090"/>
    <w:rsid w:val="63A23524"/>
    <w:rsid w:val="63A252D2"/>
    <w:rsid w:val="63A31776"/>
    <w:rsid w:val="63A376E5"/>
    <w:rsid w:val="63A44570"/>
    <w:rsid w:val="63A454EE"/>
    <w:rsid w:val="63A4729C"/>
    <w:rsid w:val="63A63014"/>
    <w:rsid w:val="63A6642A"/>
    <w:rsid w:val="63A675D8"/>
    <w:rsid w:val="63A67E9B"/>
    <w:rsid w:val="63A728E8"/>
    <w:rsid w:val="63A84D46"/>
    <w:rsid w:val="63A86D8C"/>
    <w:rsid w:val="63A90239"/>
    <w:rsid w:val="63A92B04"/>
    <w:rsid w:val="63A948B2"/>
    <w:rsid w:val="63AA22C2"/>
    <w:rsid w:val="63AA3DE5"/>
    <w:rsid w:val="63AA623B"/>
    <w:rsid w:val="63AB062A"/>
    <w:rsid w:val="63AB24E0"/>
    <w:rsid w:val="63AB27B8"/>
    <w:rsid w:val="63AC7341"/>
    <w:rsid w:val="63AD1110"/>
    <w:rsid w:val="63AD6150"/>
    <w:rsid w:val="63AE1B87"/>
    <w:rsid w:val="63AE1EC8"/>
    <w:rsid w:val="63AE25D6"/>
    <w:rsid w:val="63B020AD"/>
    <w:rsid w:val="63B079EF"/>
    <w:rsid w:val="63B12032"/>
    <w:rsid w:val="63B15515"/>
    <w:rsid w:val="63B3128D"/>
    <w:rsid w:val="63B34772"/>
    <w:rsid w:val="63B35731"/>
    <w:rsid w:val="63B35E5D"/>
    <w:rsid w:val="63B523A0"/>
    <w:rsid w:val="63B55005"/>
    <w:rsid w:val="63B63F09"/>
    <w:rsid w:val="63B76FCF"/>
    <w:rsid w:val="63B84AF5"/>
    <w:rsid w:val="63B87DC5"/>
    <w:rsid w:val="63B95549"/>
    <w:rsid w:val="63BA6ABF"/>
    <w:rsid w:val="63BB0EF3"/>
    <w:rsid w:val="63BB4761"/>
    <w:rsid w:val="63BC23C6"/>
    <w:rsid w:val="63BC2837"/>
    <w:rsid w:val="63BC3221"/>
    <w:rsid w:val="63BE5B41"/>
    <w:rsid w:val="63BF2E3F"/>
    <w:rsid w:val="63BF6FD1"/>
    <w:rsid w:val="63C00461"/>
    <w:rsid w:val="63C06196"/>
    <w:rsid w:val="63C11BFC"/>
    <w:rsid w:val="63C17E4E"/>
    <w:rsid w:val="63C27722"/>
    <w:rsid w:val="63C33BC6"/>
    <w:rsid w:val="63C35974"/>
    <w:rsid w:val="63C4349A"/>
    <w:rsid w:val="63C45488"/>
    <w:rsid w:val="63C455F9"/>
    <w:rsid w:val="63C56EA9"/>
    <w:rsid w:val="63C61B2C"/>
    <w:rsid w:val="63C67212"/>
    <w:rsid w:val="63C77782"/>
    <w:rsid w:val="63C811DC"/>
    <w:rsid w:val="63C82AC9"/>
    <w:rsid w:val="63C86BF3"/>
    <w:rsid w:val="63C94F54"/>
    <w:rsid w:val="63C95FE5"/>
    <w:rsid w:val="63C96D02"/>
    <w:rsid w:val="63CA5B32"/>
    <w:rsid w:val="63CB2A7A"/>
    <w:rsid w:val="63CB4828"/>
    <w:rsid w:val="63CC088A"/>
    <w:rsid w:val="63CC0E32"/>
    <w:rsid w:val="63CC2272"/>
    <w:rsid w:val="63CC5AE0"/>
    <w:rsid w:val="63CD6B64"/>
    <w:rsid w:val="63CE44AC"/>
    <w:rsid w:val="63CE5636"/>
    <w:rsid w:val="63CE60C7"/>
    <w:rsid w:val="63CF3776"/>
    <w:rsid w:val="63D00091"/>
    <w:rsid w:val="63D01E3F"/>
    <w:rsid w:val="63D027BA"/>
    <w:rsid w:val="63D062E3"/>
    <w:rsid w:val="63D11E1F"/>
    <w:rsid w:val="63D12B27"/>
    <w:rsid w:val="63D170AC"/>
    <w:rsid w:val="63D2399F"/>
    <w:rsid w:val="63D25BB7"/>
    <w:rsid w:val="63D27965"/>
    <w:rsid w:val="63D3125A"/>
    <w:rsid w:val="63D35E78"/>
    <w:rsid w:val="63D368D7"/>
    <w:rsid w:val="63D40BE9"/>
    <w:rsid w:val="63D42D01"/>
    <w:rsid w:val="63D47B81"/>
    <w:rsid w:val="63D501FF"/>
    <w:rsid w:val="63D50661"/>
    <w:rsid w:val="63D538F9"/>
    <w:rsid w:val="63D5517B"/>
    <w:rsid w:val="63D57455"/>
    <w:rsid w:val="63D6286E"/>
    <w:rsid w:val="63D63372"/>
    <w:rsid w:val="63D713EB"/>
    <w:rsid w:val="63D7141F"/>
    <w:rsid w:val="63D92749"/>
    <w:rsid w:val="63DA2CBD"/>
    <w:rsid w:val="63DA458F"/>
    <w:rsid w:val="63DB75A1"/>
    <w:rsid w:val="63DC07E4"/>
    <w:rsid w:val="63DC1E2E"/>
    <w:rsid w:val="63DC4C88"/>
    <w:rsid w:val="63DC5551"/>
    <w:rsid w:val="63DC64F9"/>
    <w:rsid w:val="63DD2E36"/>
    <w:rsid w:val="63DD455C"/>
    <w:rsid w:val="63DD630A"/>
    <w:rsid w:val="63DF02D4"/>
    <w:rsid w:val="63DF0834"/>
    <w:rsid w:val="63E13A0B"/>
    <w:rsid w:val="63E15DFA"/>
    <w:rsid w:val="63E2236B"/>
    <w:rsid w:val="63E266F8"/>
    <w:rsid w:val="63E31B72"/>
    <w:rsid w:val="63E358D7"/>
    <w:rsid w:val="63E43B3C"/>
    <w:rsid w:val="63E4504B"/>
    <w:rsid w:val="63E47698"/>
    <w:rsid w:val="63E53F33"/>
    <w:rsid w:val="63E63410"/>
    <w:rsid w:val="63E67425"/>
    <w:rsid w:val="63E8362C"/>
    <w:rsid w:val="63E853DA"/>
    <w:rsid w:val="63E87188"/>
    <w:rsid w:val="63E91153"/>
    <w:rsid w:val="63E94CAF"/>
    <w:rsid w:val="63E96B2D"/>
    <w:rsid w:val="63E97377"/>
    <w:rsid w:val="63EA5889"/>
    <w:rsid w:val="63EA6705"/>
    <w:rsid w:val="63EA73A4"/>
    <w:rsid w:val="63EB4B5E"/>
    <w:rsid w:val="63EB527C"/>
    <w:rsid w:val="63EB6C79"/>
    <w:rsid w:val="63EC5FEE"/>
    <w:rsid w:val="63EC772F"/>
    <w:rsid w:val="63EF60B0"/>
    <w:rsid w:val="63F024E1"/>
    <w:rsid w:val="63F20007"/>
    <w:rsid w:val="63F26259"/>
    <w:rsid w:val="63F279DE"/>
    <w:rsid w:val="63F33030"/>
    <w:rsid w:val="63F37202"/>
    <w:rsid w:val="63F42CD1"/>
    <w:rsid w:val="63F5056B"/>
    <w:rsid w:val="63F55C10"/>
    <w:rsid w:val="63F55D49"/>
    <w:rsid w:val="63F61C71"/>
    <w:rsid w:val="63F62B3F"/>
    <w:rsid w:val="63F7698A"/>
    <w:rsid w:val="63F773CC"/>
    <w:rsid w:val="63F81D46"/>
    <w:rsid w:val="63F97162"/>
    <w:rsid w:val="63FA6EBC"/>
    <w:rsid w:val="63FB1C97"/>
    <w:rsid w:val="63FB7CB8"/>
    <w:rsid w:val="63FC2C34"/>
    <w:rsid w:val="63FD00F7"/>
    <w:rsid w:val="63FD075A"/>
    <w:rsid w:val="63FD162B"/>
    <w:rsid w:val="63FE4BFE"/>
    <w:rsid w:val="63FE4C1B"/>
    <w:rsid w:val="63FE69AC"/>
    <w:rsid w:val="63FF0976"/>
    <w:rsid w:val="63FF2724"/>
    <w:rsid w:val="63FF4464"/>
    <w:rsid w:val="64007035"/>
    <w:rsid w:val="64011E50"/>
    <w:rsid w:val="64013A67"/>
    <w:rsid w:val="640209CD"/>
    <w:rsid w:val="64020D38"/>
    <w:rsid w:val="640210A3"/>
    <w:rsid w:val="64021955"/>
    <w:rsid w:val="64024BA5"/>
    <w:rsid w:val="640259A7"/>
    <w:rsid w:val="64025D70"/>
    <w:rsid w:val="64030466"/>
    <w:rsid w:val="64032214"/>
    <w:rsid w:val="64033FC2"/>
    <w:rsid w:val="64041AE8"/>
    <w:rsid w:val="64043760"/>
    <w:rsid w:val="640504A4"/>
    <w:rsid w:val="64057DE6"/>
    <w:rsid w:val="64061D04"/>
    <w:rsid w:val="64063AB3"/>
    <w:rsid w:val="64063D99"/>
    <w:rsid w:val="64065861"/>
    <w:rsid w:val="640857C7"/>
    <w:rsid w:val="64086C57"/>
    <w:rsid w:val="6409343A"/>
    <w:rsid w:val="640970FF"/>
    <w:rsid w:val="640A7CAB"/>
    <w:rsid w:val="640B234C"/>
    <w:rsid w:val="640B2E77"/>
    <w:rsid w:val="640B4148"/>
    <w:rsid w:val="640B48FA"/>
    <w:rsid w:val="640C4499"/>
    <w:rsid w:val="640E0A2E"/>
    <w:rsid w:val="640F0BB9"/>
    <w:rsid w:val="6410048D"/>
    <w:rsid w:val="64102431"/>
    <w:rsid w:val="64102907"/>
    <w:rsid w:val="64103F57"/>
    <w:rsid w:val="641066B3"/>
    <w:rsid w:val="641066DF"/>
    <w:rsid w:val="641123FD"/>
    <w:rsid w:val="64116879"/>
    <w:rsid w:val="641206A9"/>
    <w:rsid w:val="64153CF6"/>
    <w:rsid w:val="64153DDD"/>
    <w:rsid w:val="6415705A"/>
    <w:rsid w:val="6416019A"/>
    <w:rsid w:val="64166F7B"/>
    <w:rsid w:val="64175CC0"/>
    <w:rsid w:val="64177A6E"/>
    <w:rsid w:val="641834CF"/>
    <w:rsid w:val="64184A60"/>
    <w:rsid w:val="64184A7B"/>
    <w:rsid w:val="64195594"/>
    <w:rsid w:val="64195DFA"/>
    <w:rsid w:val="64196257"/>
    <w:rsid w:val="641A130C"/>
    <w:rsid w:val="641A755E"/>
    <w:rsid w:val="641B0A41"/>
    <w:rsid w:val="641B57B0"/>
    <w:rsid w:val="641C0D26"/>
    <w:rsid w:val="641C5084"/>
    <w:rsid w:val="641D4053"/>
    <w:rsid w:val="641D6FC0"/>
    <w:rsid w:val="641D74E0"/>
    <w:rsid w:val="641E0DFC"/>
    <w:rsid w:val="641E1DD0"/>
    <w:rsid w:val="641E2BAA"/>
    <w:rsid w:val="641E6213"/>
    <w:rsid w:val="641E657E"/>
    <w:rsid w:val="641E6A9F"/>
    <w:rsid w:val="641F1048"/>
    <w:rsid w:val="641F5987"/>
    <w:rsid w:val="642021C6"/>
    <w:rsid w:val="64202DC6"/>
    <w:rsid w:val="6421269A"/>
    <w:rsid w:val="64216B3E"/>
    <w:rsid w:val="642178D1"/>
    <w:rsid w:val="64234664"/>
    <w:rsid w:val="642503DD"/>
    <w:rsid w:val="64252409"/>
    <w:rsid w:val="64252FCE"/>
    <w:rsid w:val="642532D0"/>
    <w:rsid w:val="642555D4"/>
    <w:rsid w:val="64260D50"/>
    <w:rsid w:val="64264155"/>
    <w:rsid w:val="64266CFB"/>
    <w:rsid w:val="64267CB1"/>
    <w:rsid w:val="642721E0"/>
    <w:rsid w:val="64283A29"/>
    <w:rsid w:val="64287ECD"/>
    <w:rsid w:val="6429449B"/>
    <w:rsid w:val="64296D0C"/>
    <w:rsid w:val="642976D1"/>
    <w:rsid w:val="642A0B61"/>
    <w:rsid w:val="642A77A1"/>
    <w:rsid w:val="642B01A6"/>
    <w:rsid w:val="642B176B"/>
    <w:rsid w:val="642B314B"/>
    <w:rsid w:val="642B3519"/>
    <w:rsid w:val="642C10C6"/>
    <w:rsid w:val="642C28A1"/>
    <w:rsid w:val="642C6BA9"/>
    <w:rsid w:val="642D54E3"/>
    <w:rsid w:val="642D7291"/>
    <w:rsid w:val="642E0972"/>
    <w:rsid w:val="642E6B65"/>
    <w:rsid w:val="642F125B"/>
    <w:rsid w:val="642F1E02"/>
    <w:rsid w:val="642F4DB7"/>
    <w:rsid w:val="64300B2F"/>
    <w:rsid w:val="64314722"/>
    <w:rsid w:val="64315E63"/>
    <w:rsid w:val="6431668F"/>
    <w:rsid w:val="64321541"/>
    <w:rsid w:val="643248A8"/>
    <w:rsid w:val="64346872"/>
    <w:rsid w:val="64373C6C"/>
    <w:rsid w:val="64392770"/>
    <w:rsid w:val="64393E88"/>
    <w:rsid w:val="643A375C"/>
    <w:rsid w:val="643A5574"/>
    <w:rsid w:val="643C1282"/>
    <w:rsid w:val="643C6AED"/>
    <w:rsid w:val="643C74D4"/>
    <w:rsid w:val="643D3728"/>
    <w:rsid w:val="643E0949"/>
    <w:rsid w:val="64405216"/>
    <w:rsid w:val="64406FC4"/>
    <w:rsid w:val="64410F8F"/>
    <w:rsid w:val="64412342"/>
    <w:rsid w:val="64414AEB"/>
    <w:rsid w:val="64415ABF"/>
    <w:rsid w:val="644212CF"/>
    <w:rsid w:val="64423289"/>
    <w:rsid w:val="6443215B"/>
    <w:rsid w:val="64432611"/>
    <w:rsid w:val="644442D9"/>
    <w:rsid w:val="64464ED5"/>
    <w:rsid w:val="644665A5"/>
    <w:rsid w:val="644764D4"/>
    <w:rsid w:val="644847A3"/>
    <w:rsid w:val="644848F0"/>
    <w:rsid w:val="64487503"/>
    <w:rsid w:val="6449399F"/>
    <w:rsid w:val="64496080"/>
    <w:rsid w:val="644A1063"/>
    <w:rsid w:val="644A1BF1"/>
    <w:rsid w:val="644B7717"/>
    <w:rsid w:val="644B7E9A"/>
    <w:rsid w:val="644C27D8"/>
    <w:rsid w:val="644C3BBB"/>
    <w:rsid w:val="644C7A0C"/>
    <w:rsid w:val="644D348F"/>
    <w:rsid w:val="644D7933"/>
    <w:rsid w:val="644E49A5"/>
    <w:rsid w:val="644E4A94"/>
    <w:rsid w:val="644E687F"/>
    <w:rsid w:val="644E7F98"/>
    <w:rsid w:val="644F46F3"/>
    <w:rsid w:val="644F5459"/>
    <w:rsid w:val="644F7208"/>
    <w:rsid w:val="64502F80"/>
    <w:rsid w:val="64504D2E"/>
    <w:rsid w:val="64513AD1"/>
    <w:rsid w:val="64521605"/>
    <w:rsid w:val="645273AA"/>
    <w:rsid w:val="6453662C"/>
    <w:rsid w:val="64542A70"/>
    <w:rsid w:val="6454612A"/>
    <w:rsid w:val="64550596"/>
    <w:rsid w:val="64562340"/>
    <w:rsid w:val="64564FAD"/>
    <w:rsid w:val="64572560"/>
    <w:rsid w:val="645760BC"/>
    <w:rsid w:val="64583BDF"/>
    <w:rsid w:val="64591CCC"/>
    <w:rsid w:val="6459506F"/>
    <w:rsid w:val="645962D8"/>
    <w:rsid w:val="645B3DFE"/>
    <w:rsid w:val="645C0E1F"/>
    <w:rsid w:val="645C36D2"/>
    <w:rsid w:val="645C7B76"/>
    <w:rsid w:val="645E569D"/>
    <w:rsid w:val="645F096B"/>
    <w:rsid w:val="645F0EE1"/>
    <w:rsid w:val="645F16B9"/>
    <w:rsid w:val="64601415"/>
    <w:rsid w:val="646031C3"/>
    <w:rsid w:val="64605C86"/>
    <w:rsid w:val="6460609B"/>
    <w:rsid w:val="64610CE9"/>
    <w:rsid w:val="64616F3B"/>
    <w:rsid w:val="64621E79"/>
    <w:rsid w:val="64632CB3"/>
    <w:rsid w:val="64634A61"/>
    <w:rsid w:val="64637862"/>
    <w:rsid w:val="646402CB"/>
    <w:rsid w:val="64644304"/>
    <w:rsid w:val="64662443"/>
    <w:rsid w:val="64664551"/>
    <w:rsid w:val="646709F5"/>
    <w:rsid w:val="64673983"/>
    <w:rsid w:val="64677673"/>
    <w:rsid w:val="646802C9"/>
    <w:rsid w:val="64680731"/>
    <w:rsid w:val="64680B03"/>
    <w:rsid w:val="6468651B"/>
    <w:rsid w:val="64687BC1"/>
    <w:rsid w:val="646A5DEF"/>
    <w:rsid w:val="646B1B68"/>
    <w:rsid w:val="646B7484"/>
    <w:rsid w:val="646B7DB9"/>
    <w:rsid w:val="646C19F5"/>
    <w:rsid w:val="646C600B"/>
    <w:rsid w:val="646C7B44"/>
    <w:rsid w:val="646D1D84"/>
    <w:rsid w:val="646D1EC9"/>
    <w:rsid w:val="646F5EF6"/>
    <w:rsid w:val="646F78AA"/>
    <w:rsid w:val="6470717E"/>
    <w:rsid w:val="64713622"/>
    <w:rsid w:val="64714514"/>
    <w:rsid w:val="64716340"/>
    <w:rsid w:val="647307E7"/>
    <w:rsid w:val="64741C77"/>
    <w:rsid w:val="64746C6E"/>
    <w:rsid w:val="647549DD"/>
    <w:rsid w:val="647635E8"/>
    <w:rsid w:val="64763B09"/>
    <w:rsid w:val="64765481"/>
    <w:rsid w:val="6477050C"/>
    <w:rsid w:val="64772017"/>
    <w:rsid w:val="6477283B"/>
    <w:rsid w:val="64775A27"/>
    <w:rsid w:val="647805F8"/>
    <w:rsid w:val="64790728"/>
    <w:rsid w:val="647A5AE9"/>
    <w:rsid w:val="647B0E80"/>
    <w:rsid w:val="647B5889"/>
    <w:rsid w:val="647B7539"/>
    <w:rsid w:val="647B7FFD"/>
    <w:rsid w:val="647C0409"/>
    <w:rsid w:val="647C1FC7"/>
    <w:rsid w:val="647C366E"/>
    <w:rsid w:val="647C3D75"/>
    <w:rsid w:val="647C54E3"/>
    <w:rsid w:val="647C7041"/>
    <w:rsid w:val="647D689B"/>
    <w:rsid w:val="647E189B"/>
    <w:rsid w:val="647E318E"/>
    <w:rsid w:val="647E3567"/>
    <w:rsid w:val="647E4A19"/>
    <w:rsid w:val="647E5D3F"/>
    <w:rsid w:val="647E6990"/>
    <w:rsid w:val="647F41B9"/>
    <w:rsid w:val="6480021A"/>
    <w:rsid w:val="64801AB7"/>
    <w:rsid w:val="64803865"/>
    <w:rsid w:val="64805998"/>
    <w:rsid w:val="64806517"/>
    <w:rsid w:val="64812DEB"/>
    <w:rsid w:val="64814719"/>
    <w:rsid w:val="64824575"/>
    <w:rsid w:val="648275DD"/>
    <w:rsid w:val="64831853"/>
    <w:rsid w:val="64832C8B"/>
    <w:rsid w:val="64832E50"/>
    <w:rsid w:val="648375B3"/>
    <w:rsid w:val="64846806"/>
    <w:rsid w:val="64852953"/>
    <w:rsid w:val="64852C29"/>
    <w:rsid w:val="648551CE"/>
    <w:rsid w:val="64870402"/>
    <w:rsid w:val="648708BF"/>
    <w:rsid w:val="64874BF3"/>
    <w:rsid w:val="6487730D"/>
    <w:rsid w:val="64882719"/>
    <w:rsid w:val="648860EB"/>
    <w:rsid w:val="64897A59"/>
    <w:rsid w:val="648A0240"/>
    <w:rsid w:val="648A3E9D"/>
    <w:rsid w:val="648B5B33"/>
    <w:rsid w:val="648C220A"/>
    <w:rsid w:val="648D1571"/>
    <w:rsid w:val="648D1ADE"/>
    <w:rsid w:val="648D270F"/>
    <w:rsid w:val="648D4440"/>
    <w:rsid w:val="648D7D30"/>
    <w:rsid w:val="648F1CFA"/>
    <w:rsid w:val="648F5856"/>
    <w:rsid w:val="648F687F"/>
    <w:rsid w:val="64904E2B"/>
    <w:rsid w:val="6490513E"/>
    <w:rsid w:val="649102EC"/>
    <w:rsid w:val="64915A72"/>
    <w:rsid w:val="64916510"/>
    <w:rsid w:val="64917820"/>
    <w:rsid w:val="64920E2E"/>
    <w:rsid w:val="64923598"/>
    <w:rsid w:val="64925476"/>
    <w:rsid w:val="6493792A"/>
    <w:rsid w:val="649451FF"/>
    <w:rsid w:val="64947310"/>
    <w:rsid w:val="64956D69"/>
    <w:rsid w:val="64963088"/>
    <w:rsid w:val="64966BE4"/>
    <w:rsid w:val="64970BAF"/>
    <w:rsid w:val="64986E00"/>
    <w:rsid w:val="64990483"/>
    <w:rsid w:val="64992B79"/>
    <w:rsid w:val="64993843"/>
    <w:rsid w:val="64994927"/>
    <w:rsid w:val="649B069F"/>
    <w:rsid w:val="649B244D"/>
    <w:rsid w:val="649B41FB"/>
    <w:rsid w:val="649C61C5"/>
    <w:rsid w:val="649D37A3"/>
    <w:rsid w:val="649D4417"/>
    <w:rsid w:val="649E0A35"/>
    <w:rsid w:val="649E2313"/>
    <w:rsid w:val="649E3406"/>
    <w:rsid w:val="649E3CEB"/>
    <w:rsid w:val="649E6FF8"/>
    <w:rsid w:val="649F0CB1"/>
    <w:rsid w:val="64A03CE1"/>
    <w:rsid w:val="64A07804"/>
    <w:rsid w:val="64A07A63"/>
    <w:rsid w:val="64A10C94"/>
    <w:rsid w:val="64A137DB"/>
    <w:rsid w:val="64A15589"/>
    <w:rsid w:val="64A31301"/>
    <w:rsid w:val="64A3242D"/>
    <w:rsid w:val="64A3413F"/>
    <w:rsid w:val="64A36185"/>
    <w:rsid w:val="64A5151D"/>
    <w:rsid w:val="64A5243A"/>
    <w:rsid w:val="64A532CB"/>
    <w:rsid w:val="64A57CAA"/>
    <w:rsid w:val="64A617D7"/>
    <w:rsid w:val="64A85F96"/>
    <w:rsid w:val="64A86918"/>
    <w:rsid w:val="64A909F0"/>
    <w:rsid w:val="64AB16DC"/>
    <w:rsid w:val="64AB4B70"/>
    <w:rsid w:val="64AC38E9"/>
    <w:rsid w:val="64AC465A"/>
    <w:rsid w:val="64AC5DA7"/>
    <w:rsid w:val="64AC6408"/>
    <w:rsid w:val="64AD03D2"/>
    <w:rsid w:val="64AE0D31"/>
    <w:rsid w:val="64AE12A5"/>
    <w:rsid w:val="64AF0E18"/>
    <w:rsid w:val="64AF388B"/>
    <w:rsid w:val="64AF7A9D"/>
    <w:rsid w:val="64B05BB8"/>
    <w:rsid w:val="64B12390"/>
    <w:rsid w:val="64B14F12"/>
    <w:rsid w:val="64B17A30"/>
    <w:rsid w:val="64B21544"/>
    <w:rsid w:val="64B259E8"/>
    <w:rsid w:val="64B33C3A"/>
    <w:rsid w:val="64B402BE"/>
    <w:rsid w:val="64B4350F"/>
    <w:rsid w:val="64B52DC7"/>
    <w:rsid w:val="64B55696"/>
    <w:rsid w:val="64B559C9"/>
    <w:rsid w:val="64B61D6A"/>
    <w:rsid w:val="64B65AB0"/>
    <w:rsid w:val="64B66E59"/>
    <w:rsid w:val="64B84051"/>
    <w:rsid w:val="64B90B25"/>
    <w:rsid w:val="64BA34FF"/>
    <w:rsid w:val="64BB2AEF"/>
    <w:rsid w:val="64BB3ED9"/>
    <w:rsid w:val="64BB409E"/>
    <w:rsid w:val="64BB489D"/>
    <w:rsid w:val="64BC16FB"/>
    <w:rsid w:val="64BC23C3"/>
    <w:rsid w:val="64BD0615"/>
    <w:rsid w:val="64BD6867"/>
    <w:rsid w:val="64BE25DF"/>
    <w:rsid w:val="64BE438D"/>
    <w:rsid w:val="64BE79CE"/>
    <w:rsid w:val="64BF6946"/>
    <w:rsid w:val="64BF6C21"/>
    <w:rsid w:val="64BF7663"/>
    <w:rsid w:val="64C00105"/>
    <w:rsid w:val="64C00E93"/>
    <w:rsid w:val="64C03C61"/>
    <w:rsid w:val="64C04779"/>
    <w:rsid w:val="64C25C2B"/>
    <w:rsid w:val="64C319A4"/>
    <w:rsid w:val="64C32B9E"/>
    <w:rsid w:val="64C34AE0"/>
    <w:rsid w:val="64C34D3D"/>
    <w:rsid w:val="64C3630E"/>
    <w:rsid w:val="64C40840"/>
    <w:rsid w:val="64C51278"/>
    <w:rsid w:val="64C648B6"/>
    <w:rsid w:val="64C67DDE"/>
    <w:rsid w:val="64C73242"/>
    <w:rsid w:val="64C80D68"/>
    <w:rsid w:val="64C87DB4"/>
    <w:rsid w:val="64C9644F"/>
    <w:rsid w:val="64CA0F84"/>
    <w:rsid w:val="64CA2D32"/>
    <w:rsid w:val="64CA5EEB"/>
    <w:rsid w:val="64CB07C8"/>
    <w:rsid w:val="64CB4177"/>
    <w:rsid w:val="64CB7BE1"/>
    <w:rsid w:val="64CC0858"/>
    <w:rsid w:val="64CC5391"/>
    <w:rsid w:val="64CC6F37"/>
    <w:rsid w:val="64CD1E40"/>
    <w:rsid w:val="64CD45D0"/>
    <w:rsid w:val="64CD50E0"/>
    <w:rsid w:val="64CD5606"/>
    <w:rsid w:val="64CE22BC"/>
    <w:rsid w:val="64CE2822"/>
    <w:rsid w:val="64CF0120"/>
    <w:rsid w:val="64CF1141"/>
    <w:rsid w:val="64CF659A"/>
    <w:rsid w:val="64D05325"/>
    <w:rsid w:val="64D12312"/>
    <w:rsid w:val="64D1273C"/>
    <w:rsid w:val="64D36AE2"/>
    <w:rsid w:val="64D4235D"/>
    <w:rsid w:val="64D43BB1"/>
    <w:rsid w:val="64D4595F"/>
    <w:rsid w:val="64D468E7"/>
    <w:rsid w:val="64D565FC"/>
    <w:rsid w:val="64D616D7"/>
    <w:rsid w:val="64D67929"/>
    <w:rsid w:val="64D70FAB"/>
    <w:rsid w:val="64D757F9"/>
    <w:rsid w:val="64D77029"/>
    <w:rsid w:val="64D8544F"/>
    <w:rsid w:val="64D911C7"/>
    <w:rsid w:val="64D94D23"/>
    <w:rsid w:val="64DA3276"/>
    <w:rsid w:val="64DA4954"/>
    <w:rsid w:val="64DB3390"/>
    <w:rsid w:val="64DB4F3F"/>
    <w:rsid w:val="64DB6CED"/>
    <w:rsid w:val="64DC21BB"/>
    <w:rsid w:val="64DC5E63"/>
    <w:rsid w:val="64DD2A65"/>
    <w:rsid w:val="64DD2E2F"/>
    <w:rsid w:val="64DD4813"/>
    <w:rsid w:val="64DD4BD5"/>
    <w:rsid w:val="64DD5792"/>
    <w:rsid w:val="64DE058B"/>
    <w:rsid w:val="64DE2317"/>
    <w:rsid w:val="64DE2339"/>
    <w:rsid w:val="64DE322D"/>
    <w:rsid w:val="64DE383C"/>
    <w:rsid w:val="64DE5FD3"/>
    <w:rsid w:val="64DF4A2F"/>
    <w:rsid w:val="64E0147A"/>
    <w:rsid w:val="64E04304"/>
    <w:rsid w:val="64E060B2"/>
    <w:rsid w:val="64E2007C"/>
    <w:rsid w:val="64E22AF5"/>
    <w:rsid w:val="64E35BA2"/>
    <w:rsid w:val="64E41ED7"/>
    <w:rsid w:val="64E57FF1"/>
    <w:rsid w:val="64E6428A"/>
    <w:rsid w:val="64E77440"/>
    <w:rsid w:val="64E8140A"/>
    <w:rsid w:val="64E81CE8"/>
    <w:rsid w:val="64E90FF8"/>
    <w:rsid w:val="64E965CB"/>
    <w:rsid w:val="64E9779D"/>
    <w:rsid w:val="64EB1DAA"/>
    <w:rsid w:val="64EB3B0D"/>
    <w:rsid w:val="64EB414F"/>
    <w:rsid w:val="64EB5B2D"/>
    <w:rsid w:val="64EC06E2"/>
    <w:rsid w:val="64EC2CA8"/>
    <w:rsid w:val="64EC323A"/>
    <w:rsid w:val="64ED07CF"/>
    <w:rsid w:val="64F0304B"/>
    <w:rsid w:val="64F102BF"/>
    <w:rsid w:val="64F14763"/>
    <w:rsid w:val="64F16511"/>
    <w:rsid w:val="64F25DE5"/>
    <w:rsid w:val="64F3053C"/>
    <w:rsid w:val="64F32289"/>
    <w:rsid w:val="64F352EC"/>
    <w:rsid w:val="64F45776"/>
    <w:rsid w:val="64F46001"/>
    <w:rsid w:val="64F531DE"/>
    <w:rsid w:val="64F542D5"/>
    <w:rsid w:val="64F565B0"/>
    <w:rsid w:val="64F56864"/>
    <w:rsid w:val="64F658D5"/>
    <w:rsid w:val="64F80A44"/>
    <w:rsid w:val="64F810B6"/>
    <w:rsid w:val="64F8117E"/>
    <w:rsid w:val="64F8789F"/>
    <w:rsid w:val="64F94B01"/>
    <w:rsid w:val="64FA42B4"/>
    <w:rsid w:val="64FB113D"/>
    <w:rsid w:val="64FB346E"/>
    <w:rsid w:val="64FB738F"/>
    <w:rsid w:val="64FC118C"/>
    <w:rsid w:val="64FD1E28"/>
    <w:rsid w:val="64FD41BE"/>
    <w:rsid w:val="64FD4EB5"/>
    <w:rsid w:val="64FD59C8"/>
    <w:rsid w:val="64FD6C64"/>
    <w:rsid w:val="64FE29DC"/>
    <w:rsid w:val="65002B3F"/>
    <w:rsid w:val="65006754"/>
    <w:rsid w:val="65010C29"/>
    <w:rsid w:val="65011C14"/>
    <w:rsid w:val="650173F8"/>
    <w:rsid w:val="6502427A"/>
    <w:rsid w:val="65030006"/>
    <w:rsid w:val="65031DA0"/>
    <w:rsid w:val="650417B4"/>
    <w:rsid w:val="65046244"/>
    <w:rsid w:val="65052BD7"/>
    <w:rsid w:val="65052EF2"/>
    <w:rsid w:val="65053D6A"/>
    <w:rsid w:val="65055B18"/>
    <w:rsid w:val="650565DC"/>
    <w:rsid w:val="6507446B"/>
    <w:rsid w:val="6508277B"/>
    <w:rsid w:val="65083AA7"/>
    <w:rsid w:val="6509385A"/>
    <w:rsid w:val="65095BA8"/>
    <w:rsid w:val="650A2F94"/>
    <w:rsid w:val="650A312E"/>
    <w:rsid w:val="650A5824"/>
    <w:rsid w:val="650A74A9"/>
    <w:rsid w:val="650B7C52"/>
    <w:rsid w:val="650C334B"/>
    <w:rsid w:val="650C50F9"/>
    <w:rsid w:val="650C6EA7"/>
    <w:rsid w:val="650E0906"/>
    <w:rsid w:val="650E0E71"/>
    <w:rsid w:val="650E70C3"/>
    <w:rsid w:val="650F2DE2"/>
    <w:rsid w:val="650F2EE9"/>
    <w:rsid w:val="650F6997"/>
    <w:rsid w:val="6511270F"/>
    <w:rsid w:val="65123587"/>
    <w:rsid w:val="65124F54"/>
    <w:rsid w:val="65131BAE"/>
    <w:rsid w:val="651346D9"/>
    <w:rsid w:val="65136487"/>
    <w:rsid w:val="65140298"/>
    <w:rsid w:val="65143FAD"/>
    <w:rsid w:val="65150451"/>
    <w:rsid w:val="65163E96"/>
    <w:rsid w:val="651641C9"/>
    <w:rsid w:val="65165F77"/>
    <w:rsid w:val="651673BB"/>
    <w:rsid w:val="65180DC6"/>
    <w:rsid w:val="65186FC9"/>
    <w:rsid w:val="651932EC"/>
    <w:rsid w:val="651B157A"/>
    <w:rsid w:val="651B2A4B"/>
    <w:rsid w:val="651B358E"/>
    <w:rsid w:val="651C5BF1"/>
    <w:rsid w:val="651D7306"/>
    <w:rsid w:val="651E4E2C"/>
    <w:rsid w:val="651E6BDA"/>
    <w:rsid w:val="651F2C77"/>
    <w:rsid w:val="651F60C8"/>
    <w:rsid w:val="65206DF6"/>
    <w:rsid w:val="65207558"/>
    <w:rsid w:val="652121B2"/>
    <w:rsid w:val="65213E29"/>
    <w:rsid w:val="65221915"/>
    <w:rsid w:val="65222B6E"/>
    <w:rsid w:val="6522491C"/>
    <w:rsid w:val="652266CA"/>
    <w:rsid w:val="6523167D"/>
    <w:rsid w:val="65240434"/>
    <w:rsid w:val="65242442"/>
    <w:rsid w:val="652451D5"/>
    <w:rsid w:val="65253C20"/>
    <w:rsid w:val="652555E7"/>
    <w:rsid w:val="652561BA"/>
    <w:rsid w:val="652579C5"/>
    <w:rsid w:val="652642B8"/>
    <w:rsid w:val="65270184"/>
    <w:rsid w:val="65271F32"/>
    <w:rsid w:val="65273CE0"/>
    <w:rsid w:val="65285429"/>
    <w:rsid w:val="65286D28"/>
    <w:rsid w:val="6529081E"/>
    <w:rsid w:val="65291BBE"/>
    <w:rsid w:val="65291D4B"/>
    <w:rsid w:val="652941B2"/>
    <w:rsid w:val="652977A7"/>
    <w:rsid w:val="652A00E4"/>
    <w:rsid w:val="652A557F"/>
    <w:rsid w:val="652A608B"/>
    <w:rsid w:val="652C6DE4"/>
    <w:rsid w:val="652C6F14"/>
    <w:rsid w:val="652C7549"/>
    <w:rsid w:val="652D1CE0"/>
    <w:rsid w:val="652D40E9"/>
    <w:rsid w:val="652D6C07"/>
    <w:rsid w:val="652D7E5E"/>
    <w:rsid w:val="652E22D7"/>
    <w:rsid w:val="652E3244"/>
    <w:rsid w:val="652E32C1"/>
    <w:rsid w:val="652E3C01"/>
    <w:rsid w:val="652E6EAE"/>
    <w:rsid w:val="652F100B"/>
    <w:rsid w:val="652F447C"/>
    <w:rsid w:val="6530704D"/>
    <w:rsid w:val="65307781"/>
    <w:rsid w:val="653077B7"/>
    <w:rsid w:val="65314B5F"/>
    <w:rsid w:val="6531690D"/>
    <w:rsid w:val="653235E0"/>
    <w:rsid w:val="65327395"/>
    <w:rsid w:val="65340DFB"/>
    <w:rsid w:val="6534525A"/>
    <w:rsid w:val="6534630A"/>
    <w:rsid w:val="65346719"/>
    <w:rsid w:val="653528A1"/>
    <w:rsid w:val="65352EBF"/>
    <w:rsid w:val="6535464F"/>
    <w:rsid w:val="653603C7"/>
    <w:rsid w:val="6536177E"/>
    <w:rsid w:val="65366619"/>
    <w:rsid w:val="65373578"/>
    <w:rsid w:val="65384140"/>
    <w:rsid w:val="65387C9C"/>
    <w:rsid w:val="65390AAF"/>
    <w:rsid w:val="653A164E"/>
    <w:rsid w:val="653A1C66"/>
    <w:rsid w:val="653A2ABD"/>
    <w:rsid w:val="653B4160"/>
    <w:rsid w:val="653B59DE"/>
    <w:rsid w:val="653D1756"/>
    <w:rsid w:val="653D52B2"/>
    <w:rsid w:val="653D7F10"/>
    <w:rsid w:val="653E102A"/>
    <w:rsid w:val="653F3F71"/>
    <w:rsid w:val="653F54CE"/>
    <w:rsid w:val="65401246"/>
    <w:rsid w:val="65402253"/>
    <w:rsid w:val="654105E7"/>
    <w:rsid w:val="65412E8C"/>
    <w:rsid w:val="654152E7"/>
    <w:rsid w:val="65424FBE"/>
    <w:rsid w:val="65426D6C"/>
    <w:rsid w:val="65436640"/>
    <w:rsid w:val="65444892"/>
    <w:rsid w:val="654523B9"/>
    <w:rsid w:val="65457DE3"/>
    <w:rsid w:val="65460804"/>
    <w:rsid w:val="65463280"/>
    <w:rsid w:val="6547010C"/>
    <w:rsid w:val="654725D5"/>
    <w:rsid w:val="65473B93"/>
    <w:rsid w:val="6549418B"/>
    <w:rsid w:val="6549634D"/>
    <w:rsid w:val="654A7D70"/>
    <w:rsid w:val="654B2514"/>
    <w:rsid w:val="654B3E73"/>
    <w:rsid w:val="654C1999"/>
    <w:rsid w:val="654C3747"/>
    <w:rsid w:val="654D5232"/>
    <w:rsid w:val="654E25D6"/>
    <w:rsid w:val="654E5711"/>
    <w:rsid w:val="654E74BF"/>
    <w:rsid w:val="654F38E9"/>
    <w:rsid w:val="65504EF6"/>
    <w:rsid w:val="65511DF7"/>
    <w:rsid w:val="65513795"/>
    <w:rsid w:val="65515201"/>
    <w:rsid w:val="65516FAF"/>
    <w:rsid w:val="65527816"/>
    <w:rsid w:val="65527A91"/>
    <w:rsid w:val="65530F79"/>
    <w:rsid w:val="65531D2B"/>
    <w:rsid w:val="65532D27"/>
    <w:rsid w:val="65534AD5"/>
    <w:rsid w:val="6554084E"/>
    <w:rsid w:val="6554155D"/>
    <w:rsid w:val="655578D8"/>
    <w:rsid w:val="65560416"/>
    <w:rsid w:val="65560D68"/>
    <w:rsid w:val="65562818"/>
    <w:rsid w:val="65563A1F"/>
    <w:rsid w:val="65566374"/>
    <w:rsid w:val="65566ABC"/>
    <w:rsid w:val="65570C29"/>
    <w:rsid w:val="65574DC9"/>
    <w:rsid w:val="655854B9"/>
    <w:rsid w:val="655905BE"/>
    <w:rsid w:val="65594EAF"/>
    <w:rsid w:val="655A40B6"/>
    <w:rsid w:val="655A5E95"/>
    <w:rsid w:val="655A7278"/>
    <w:rsid w:val="655B1BDC"/>
    <w:rsid w:val="655B398A"/>
    <w:rsid w:val="655C3499"/>
    <w:rsid w:val="655C6080"/>
    <w:rsid w:val="655C62E0"/>
    <w:rsid w:val="655D2457"/>
    <w:rsid w:val="655D3558"/>
    <w:rsid w:val="655D6724"/>
    <w:rsid w:val="655D7702"/>
    <w:rsid w:val="655E1189"/>
    <w:rsid w:val="655E14F4"/>
    <w:rsid w:val="655E20CB"/>
    <w:rsid w:val="655E3F59"/>
    <w:rsid w:val="655E6188"/>
    <w:rsid w:val="655F1E1A"/>
    <w:rsid w:val="655F347A"/>
    <w:rsid w:val="655F791E"/>
    <w:rsid w:val="656100D1"/>
    <w:rsid w:val="65610A4C"/>
    <w:rsid w:val="65613696"/>
    <w:rsid w:val="65624D19"/>
    <w:rsid w:val="6562730B"/>
    <w:rsid w:val="6563794C"/>
    <w:rsid w:val="65640162"/>
    <w:rsid w:val="65646869"/>
    <w:rsid w:val="65654809"/>
    <w:rsid w:val="65656810"/>
    <w:rsid w:val="65674A25"/>
    <w:rsid w:val="65681526"/>
    <w:rsid w:val="65690C4A"/>
    <w:rsid w:val="656942F9"/>
    <w:rsid w:val="656960A7"/>
    <w:rsid w:val="656A066E"/>
    <w:rsid w:val="656A1E1F"/>
    <w:rsid w:val="656A35BA"/>
    <w:rsid w:val="656A68EA"/>
    <w:rsid w:val="656A72FA"/>
    <w:rsid w:val="656B0071"/>
    <w:rsid w:val="656B62C3"/>
    <w:rsid w:val="656C14F3"/>
    <w:rsid w:val="656C26DD"/>
    <w:rsid w:val="656C2A02"/>
    <w:rsid w:val="656C5B97"/>
    <w:rsid w:val="656C7F05"/>
    <w:rsid w:val="656E190F"/>
    <w:rsid w:val="656E7BE6"/>
    <w:rsid w:val="65705687"/>
    <w:rsid w:val="65711400"/>
    <w:rsid w:val="65713052"/>
    <w:rsid w:val="657131AE"/>
    <w:rsid w:val="657219D1"/>
    <w:rsid w:val="657243CC"/>
    <w:rsid w:val="65736F26"/>
    <w:rsid w:val="65750EF0"/>
    <w:rsid w:val="65752629"/>
    <w:rsid w:val="65752C9E"/>
    <w:rsid w:val="6575629F"/>
    <w:rsid w:val="65757142"/>
    <w:rsid w:val="65757355"/>
    <w:rsid w:val="65757A23"/>
    <w:rsid w:val="65764C68"/>
    <w:rsid w:val="657700A1"/>
    <w:rsid w:val="6577077B"/>
    <w:rsid w:val="65783E06"/>
    <w:rsid w:val="65783E68"/>
    <w:rsid w:val="6578565E"/>
    <w:rsid w:val="65796B3F"/>
    <w:rsid w:val="657A02B4"/>
    <w:rsid w:val="657A0C2F"/>
    <w:rsid w:val="657C215B"/>
    <w:rsid w:val="657C4866"/>
    <w:rsid w:val="657C502B"/>
    <w:rsid w:val="657D2AA7"/>
    <w:rsid w:val="657D5FF6"/>
    <w:rsid w:val="657D72EF"/>
    <w:rsid w:val="657E4DD1"/>
    <w:rsid w:val="657F1A2D"/>
    <w:rsid w:val="657F3B1C"/>
    <w:rsid w:val="657F6A19"/>
    <w:rsid w:val="65801643"/>
    <w:rsid w:val="65804C4D"/>
    <w:rsid w:val="65816C5F"/>
    <w:rsid w:val="65817AAD"/>
    <w:rsid w:val="6582360D"/>
    <w:rsid w:val="65832956"/>
    <w:rsid w:val="65841289"/>
    <w:rsid w:val="65842EE1"/>
    <w:rsid w:val="6584787D"/>
    <w:rsid w:val="65852993"/>
    <w:rsid w:val="65853CF9"/>
    <w:rsid w:val="65870C23"/>
    <w:rsid w:val="658729D1"/>
    <w:rsid w:val="6587477F"/>
    <w:rsid w:val="6588095B"/>
    <w:rsid w:val="65882DCF"/>
    <w:rsid w:val="658904F7"/>
    <w:rsid w:val="6589499B"/>
    <w:rsid w:val="658A076B"/>
    <w:rsid w:val="658A426F"/>
    <w:rsid w:val="658A5521"/>
    <w:rsid w:val="658A7C58"/>
    <w:rsid w:val="658B0713"/>
    <w:rsid w:val="658B24C1"/>
    <w:rsid w:val="658B378E"/>
    <w:rsid w:val="658B4EE7"/>
    <w:rsid w:val="658B6070"/>
    <w:rsid w:val="658B7132"/>
    <w:rsid w:val="658B749D"/>
    <w:rsid w:val="658B7653"/>
    <w:rsid w:val="658E162E"/>
    <w:rsid w:val="658E5B0E"/>
    <w:rsid w:val="658E6328"/>
    <w:rsid w:val="65901886"/>
    <w:rsid w:val="65905D2A"/>
    <w:rsid w:val="65907AD8"/>
    <w:rsid w:val="659135B8"/>
    <w:rsid w:val="65913850"/>
    <w:rsid w:val="6592115A"/>
    <w:rsid w:val="65931376"/>
    <w:rsid w:val="65932C17"/>
    <w:rsid w:val="6593581A"/>
    <w:rsid w:val="65937E98"/>
    <w:rsid w:val="659438DB"/>
    <w:rsid w:val="659550EE"/>
    <w:rsid w:val="65956A7C"/>
    <w:rsid w:val="65960E66"/>
    <w:rsid w:val="65962C14"/>
    <w:rsid w:val="65965345"/>
    <w:rsid w:val="659713CB"/>
    <w:rsid w:val="65973989"/>
    <w:rsid w:val="65977A89"/>
    <w:rsid w:val="65982E30"/>
    <w:rsid w:val="65983469"/>
    <w:rsid w:val="65992351"/>
    <w:rsid w:val="65995FC1"/>
    <w:rsid w:val="659A0956"/>
    <w:rsid w:val="659A175A"/>
    <w:rsid w:val="659A6BA8"/>
    <w:rsid w:val="659B5266"/>
    <w:rsid w:val="659C03A5"/>
    <w:rsid w:val="659C25B2"/>
    <w:rsid w:val="659D0447"/>
    <w:rsid w:val="659D3FA3"/>
    <w:rsid w:val="659F41BF"/>
    <w:rsid w:val="659F5F6D"/>
    <w:rsid w:val="659F6271"/>
    <w:rsid w:val="659F7D1B"/>
    <w:rsid w:val="65A003BC"/>
    <w:rsid w:val="65A05841"/>
    <w:rsid w:val="65A07295"/>
    <w:rsid w:val="65A11CE5"/>
    <w:rsid w:val="65A1330E"/>
    <w:rsid w:val="65A14299"/>
    <w:rsid w:val="65A17F37"/>
    <w:rsid w:val="65A215B9"/>
    <w:rsid w:val="65A25A5D"/>
    <w:rsid w:val="65A2780B"/>
    <w:rsid w:val="65A476F6"/>
    <w:rsid w:val="65A610A9"/>
    <w:rsid w:val="65A70C84"/>
    <w:rsid w:val="65A73073"/>
    <w:rsid w:val="65A7504F"/>
    <w:rsid w:val="65A76BCF"/>
    <w:rsid w:val="65A80184"/>
    <w:rsid w:val="65A82571"/>
    <w:rsid w:val="65A92F30"/>
    <w:rsid w:val="65A948B1"/>
    <w:rsid w:val="65A96DEB"/>
    <w:rsid w:val="65AA2A4A"/>
    <w:rsid w:val="65AA3F61"/>
    <w:rsid w:val="65AB4911"/>
    <w:rsid w:val="65AC0421"/>
    <w:rsid w:val="65AD387D"/>
    <w:rsid w:val="65AE3E49"/>
    <w:rsid w:val="65AE4402"/>
    <w:rsid w:val="65AE7EAF"/>
    <w:rsid w:val="65AE7F5E"/>
    <w:rsid w:val="65B00D5D"/>
    <w:rsid w:val="65B03CD6"/>
    <w:rsid w:val="65B048F4"/>
    <w:rsid w:val="65B05059"/>
    <w:rsid w:val="65B110CD"/>
    <w:rsid w:val="65B11292"/>
    <w:rsid w:val="65B2050B"/>
    <w:rsid w:val="65B312FD"/>
    <w:rsid w:val="65B337C6"/>
    <w:rsid w:val="65B35574"/>
    <w:rsid w:val="65B36BB3"/>
    <w:rsid w:val="65B36E2C"/>
    <w:rsid w:val="65B41828"/>
    <w:rsid w:val="65B50378"/>
    <w:rsid w:val="65B503D3"/>
    <w:rsid w:val="65B50E60"/>
    <w:rsid w:val="65B5234B"/>
    <w:rsid w:val="65B558F3"/>
    <w:rsid w:val="65B55FAF"/>
    <w:rsid w:val="65B627EF"/>
    <w:rsid w:val="65B65064"/>
    <w:rsid w:val="65B66A7F"/>
    <w:rsid w:val="65B66DEA"/>
    <w:rsid w:val="65B7450D"/>
    <w:rsid w:val="65B75534"/>
    <w:rsid w:val="65B761F3"/>
    <w:rsid w:val="65B85280"/>
    <w:rsid w:val="65B86FA7"/>
    <w:rsid w:val="65B8702E"/>
    <w:rsid w:val="65BA056B"/>
    <w:rsid w:val="65BA2AF6"/>
    <w:rsid w:val="65BC778B"/>
    <w:rsid w:val="65BC7F16"/>
    <w:rsid w:val="65BD1F9D"/>
    <w:rsid w:val="65BD2897"/>
    <w:rsid w:val="65BD63F3"/>
    <w:rsid w:val="65BD759E"/>
    <w:rsid w:val="65BF03BD"/>
    <w:rsid w:val="65BF163C"/>
    <w:rsid w:val="65BF216B"/>
    <w:rsid w:val="65BF660F"/>
    <w:rsid w:val="65C15EE3"/>
    <w:rsid w:val="65C21C5B"/>
    <w:rsid w:val="65C326DF"/>
    <w:rsid w:val="65C32895"/>
    <w:rsid w:val="65C32A4A"/>
    <w:rsid w:val="65C362F9"/>
    <w:rsid w:val="65C42009"/>
    <w:rsid w:val="65C43C25"/>
    <w:rsid w:val="65C44F9E"/>
    <w:rsid w:val="65C45E98"/>
    <w:rsid w:val="65C47781"/>
    <w:rsid w:val="65C502FA"/>
    <w:rsid w:val="65C57872"/>
    <w:rsid w:val="65C71020"/>
    <w:rsid w:val="65C77271"/>
    <w:rsid w:val="65C94D98"/>
    <w:rsid w:val="65CB0B10"/>
    <w:rsid w:val="65CB6D62"/>
    <w:rsid w:val="65CC0E9B"/>
    <w:rsid w:val="65CC4888"/>
    <w:rsid w:val="65CC4D27"/>
    <w:rsid w:val="65CC6636"/>
    <w:rsid w:val="65CD0D2C"/>
    <w:rsid w:val="65CD15AA"/>
    <w:rsid w:val="65CD2ADA"/>
    <w:rsid w:val="65CF1EE2"/>
    <w:rsid w:val="65CF3773"/>
    <w:rsid w:val="65D025CA"/>
    <w:rsid w:val="65D06126"/>
    <w:rsid w:val="65D06CF7"/>
    <w:rsid w:val="65D11E9E"/>
    <w:rsid w:val="65D14BF5"/>
    <w:rsid w:val="65D15D5F"/>
    <w:rsid w:val="65D16904"/>
    <w:rsid w:val="65D21DE8"/>
    <w:rsid w:val="65D31C40"/>
    <w:rsid w:val="65D33E68"/>
    <w:rsid w:val="65D35C16"/>
    <w:rsid w:val="65D379C4"/>
    <w:rsid w:val="65D47142"/>
    <w:rsid w:val="65D5373C"/>
    <w:rsid w:val="65D57BE0"/>
    <w:rsid w:val="65D62BA8"/>
    <w:rsid w:val="65D6368E"/>
    <w:rsid w:val="65D710A5"/>
    <w:rsid w:val="65D74B1E"/>
    <w:rsid w:val="65D752B4"/>
    <w:rsid w:val="65D774B5"/>
    <w:rsid w:val="65D8322D"/>
    <w:rsid w:val="65D9200F"/>
    <w:rsid w:val="65D9764D"/>
    <w:rsid w:val="65DA191F"/>
    <w:rsid w:val="65DA349F"/>
    <w:rsid w:val="65DB20BD"/>
    <w:rsid w:val="65DB63B9"/>
    <w:rsid w:val="65DC032C"/>
    <w:rsid w:val="65DC0F6F"/>
    <w:rsid w:val="65DD0843"/>
    <w:rsid w:val="65DD7B95"/>
    <w:rsid w:val="65DF1A46"/>
    <w:rsid w:val="65DF2605"/>
    <w:rsid w:val="65DF4740"/>
    <w:rsid w:val="65E031F3"/>
    <w:rsid w:val="65E0408D"/>
    <w:rsid w:val="65E052B4"/>
    <w:rsid w:val="65E05BD0"/>
    <w:rsid w:val="65E1485D"/>
    <w:rsid w:val="65E16585"/>
    <w:rsid w:val="65E240AB"/>
    <w:rsid w:val="65E24802"/>
    <w:rsid w:val="65E257D5"/>
    <w:rsid w:val="65E27327"/>
    <w:rsid w:val="65E31F8E"/>
    <w:rsid w:val="65E35C92"/>
    <w:rsid w:val="65E40B76"/>
    <w:rsid w:val="65E41BD1"/>
    <w:rsid w:val="65E46075"/>
    <w:rsid w:val="65E47E23"/>
    <w:rsid w:val="65E61EEE"/>
    <w:rsid w:val="65E70F67"/>
    <w:rsid w:val="65E71DBB"/>
    <w:rsid w:val="65E73470"/>
    <w:rsid w:val="65E816C2"/>
    <w:rsid w:val="65E827D2"/>
    <w:rsid w:val="65E86F33"/>
    <w:rsid w:val="65E87914"/>
    <w:rsid w:val="65E9033B"/>
    <w:rsid w:val="65E93897"/>
    <w:rsid w:val="65EB11B2"/>
    <w:rsid w:val="65EB7404"/>
    <w:rsid w:val="65EC45F7"/>
    <w:rsid w:val="65ED61F7"/>
    <w:rsid w:val="65ED6CD8"/>
    <w:rsid w:val="65EE0CA2"/>
    <w:rsid w:val="65EF1435"/>
    <w:rsid w:val="65EF2D4F"/>
    <w:rsid w:val="65EF3363"/>
    <w:rsid w:val="65F00688"/>
    <w:rsid w:val="65F10662"/>
    <w:rsid w:val="65F20792"/>
    <w:rsid w:val="65F22832"/>
    <w:rsid w:val="65F31BDB"/>
    <w:rsid w:val="65F362B8"/>
    <w:rsid w:val="65F52031"/>
    <w:rsid w:val="65F544E1"/>
    <w:rsid w:val="65F71905"/>
    <w:rsid w:val="65F77B57"/>
    <w:rsid w:val="65F83864"/>
    <w:rsid w:val="65F8567D"/>
    <w:rsid w:val="65F87851"/>
    <w:rsid w:val="65FA31A3"/>
    <w:rsid w:val="65FA7647"/>
    <w:rsid w:val="65FC2877"/>
    <w:rsid w:val="65FC33BF"/>
    <w:rsid w:val="65FC516D"/>
    <w:rsid w:val="65FC53A9"/>
    <w:rsid w:val="65FC6F1B"/>
    <w:rsid w:val="65FC7392"/>
    <w:rsid w:val="65FD2C93"/>
    <w:rsid w:val="65FD2E31"/>
    <w:rsid w:val="65FE289A"/>
    <w:rsid w:val="65FE2944"/>
    <w:rsid w:val="65FE7137"/>
    <w:rsid w:val="65FF3D2A"/>
    <w:rsid w:val="65FF537E"/>
    <w:rsid w:val="65FF6A0B"/>
    <w:rsid w:val="66001677"/>
    <w:rsid w:val="66004473"/>
    <w:rsid w:val="660051BA"/>
    <w:rsid w:val="66012783"/>
    <w:rsid w:val="66014531"/>
    <w:rsid w:val="660202AA"/>
    <w:rsid w:val="660265B9"/>
    <w:rsid w:val="660340BA"/>
    <w:rsid w:val="6603474E"/>
    <w:rsid w:val="660364FC"/>
    <w:rsid w:val="660404C6"/>
    <w:rsid w:val="66042274"/>
    <w:rsid w:val="66044022"/>
    <w:rsid w:val="660507A9"/>
    <w:rsid w:val="660679D8"/>
    <w:rsid w:val="66067D9A"/>
    <w:rsid w:val="660758C0"/>
    <w:rsid w:val="66090B47"/>
    <w:rsid w:val="66091638"/>
    <w:rsid w:val="66094DDC"/>
    <w:rsid w:val="6609788A"/>
    <w:rsid w:val="660A1AE2"/>
    <w:rsid w:val="660B3602"/>
    <w:rsid w:val="660B3A10"/>
    <w:rsid w:val="660C0B93"/>
    <w:rsid w:val="660C375D"/>
    <w:rsid w:val="660C45AF"/>
    <w:rsid w:val="660D2ED6"/>
    <w:rsid w:val="660D4C01"/>
    <w:rsid w:val="660D4FC9"/>
    <w:rsid w:val="660D737A"/>
    <w:rsid w:val="660E238F"/>
    <w:rsid w:val="660E4639"/>
    <w:rsid w:val="660E4EA0"/>
    <w:rsid w:val="661007D1"/>
    <w:rsid w:val="66100C18"/>
    <w:rsid w:val="6610369A"/>
    <w:rsid w:val="661134AE"/>
    <w:rsid w:val="6612067A"/>
    <w:rsid w:val="661221A0"/>
    <w:rsid w:val="661324B7"/>
    <w:rsid w:val="66134265"/>
    <w:rsid w:val="661527D7"/>
    <w:rsid w:val="661528F6"/>
    <w:rsid w:val="66154481"/>
    <w:rsid w:val="6615622F"/>
    <w:rsid w:val="66157FDD"/>
    <w:rsid w:val="66162833"/>
    <w:rsid w:val="66165BE0"/>
    <w:rsid w:val="66171FB1"/>
    <w:rsid w:val="66173D55"/>
    <w:rsid w:val="66176B98"/>
    <w:rsid w:val="66195D1F"/>
    <w:rsid w:val="66196935"/>
    <w:rsid w:val="661974A2"/>
    <w:rsid w:val="661A0C59"/>
    <w:rsid w:val="661B7593"/>
    <w:rsid w:val="661C042B"/>
    <w:rsid w:val="661C136B"/>
    <w:rsid w:val="661C6D05"/>
    <w:rsid w:val="661D4B7D"/>
    <w:rsid w:val="661E03DB"/>
    <w:rsid w:val="661E3335"/>
    <w:rsid w:val="661F0E2F"/>
    <w:rsid w:val="661F6F5F"/>
    <w:rsid w:val="661F70AE"/>
    <w:rsid w:val="662030A7"/>
    <w:rsid w:val="66212E26"/>
    <w:rsid w:val="66213160"/>
    <w:rsid w:val="66213569"/>
    <w:rsid w:val="66215782"/>
    <w:rsid w:val="662270C4"/>
    <w:rsid w:val="66227CBD"/>
    <w:rsid w:val="662326FA"/>
    <w:rsid w:val="66253F78"/>
    <w:rsid w:val="6625485D"/>
    <w:rsid w:val="66256220"/>
    <w:rsid w:val="662565D8"/>
    <w:rsid w:val="6626043C"/>
    <w:rsid w:val="662704FC"/>
    <w:rsid w:val="66276206"/>
    <w:rsid w:val="662817F5"/>
    <w:rsid w:val="66282802"/>
    <w:rsid w:val="662841B4"/>
    <w:rsid w:val="6628444D"/>
    <w:rsid w:val="66285C08"/>
    <w:rsid w:val="66287D10"/>
    <w:rsid w:val="662A7F2C"/>
    <w:rsid w:val="662B15AE"/>
    <w:rsid w:val="662B301D"/>
    <w:rsid w:val="662B5A52"/>
    <w:rsid w:val="662D5327"/>
    <w:rsid w:val="662D6C59"/>
    <w:rsid w:val="662E6731"/>
    <w:rsid w:val="662F047E"/>
    <w:rsid w:val="663012BB"/>
    <w:rsid w:val="66302B58"/>
    <w:rsid w:val="66313FE8"/>
    <w:rsid w:val="66314803"/>
    <w:rsid w:val="66316133"/>
    <w:rsid w:val="663201C2"/>
    <w:rsid w:val="66320B8F"/>
    <w:rsid w:val="66326DE1"/>
    <w:rsid w:val="663303A7"/>
    <w:rsid w:val="663424F6"/>
    <w:rsid w:val="663440AA"/>
    <w:rsid w:val="6635067F"/>
    <w:rsid w:val="66352F1F"/>
    <w:rsid w:val="663568D1"/>
    <w:rsid w:val="663602D9"/>
    <w:rsid w:val="66372649"/>
    <w:rsid w:val="66372A2B"/>
    <w:rsid w:val="663752FA"/>
    <w:rsid w:val="663761A5"/>
    <w:rsid w:val="66377F53"/>
    <w:rsid w:val="66384C24"/>
    <w:rsid w:val="6639016F"/>
    <w:rsid w:val="663A29F4"/>
    <w:rsid w:val="663A5CF9"/>
    <w:rsid w:val="663B4252"/>
    <w:rsid w:val="663B4385"/>
    <w:rsid w:val="663B4A5C"/>
    <w:rsid w:val="663C1A0D"/>
    <w:rsid w:val="663C3EC2"/>
    <w:rsid w:val="663C73D9"/>
    <w:rsid w:val="663D0055"/>
    <w:rsid w:val="663D12E2"/>
    <w:rsid w:val="663D3CCC"/>
    <w:rsid w:val="663D4F4F"/>
    <w:rsid w:val="663E16F7"/>
    <w:rsid w:val="663E5786"/>
    <w:rsid w:val="663F0445"/>
    <w:rsid w:val="663F15CE"/>
    <w:rsid w:val="663F32AC"/>
    <w:rsid w:val="663F505A"/>
    <w:rsid w:val="66407341"/>
    <w:rsid w:val="66415276"/>
    <w:rsid w:val="66430633"/>
    <w:rsid w:val="66432D9C"/>
    <w:rsid w:val="664408C2"/>
    <w:rsid w:val="66441179"/>
    <w:rsid w:val="66441FF1"/>
    <w:rsid w:val="66452839"/>
    <w:rsid w:val="66456B14"/>
    <w:rsid w:val="66462A4A"/>
    <w:rsid w:val="664664BF"/>
    <w:rsid w:val="66476133"/>
    <w:rsid w:val="664803B2"/>
    <w:rsid w:val="66482160"/>
    <w:rsid w:val="664851D1"/>
    <w:rsid w:val="66495F25"/>
    <w:rsid w:val="664A4C37"/>
    <w:rsid w:val="664A5925"/>
    <w:rsid w:val="664A62D0"/>
    <w:rsid w:val="664A731D"/>
    <w:rsid w:val="664B39FF"/>
    <w:rsid w:val="664B7EA3"/>
    <w:rsid w:val="664C7482"/>
    <w:rsid w:val="664E34EF"/>
    <w:rsid w:val="664F1741"/>
    <w:rsid w:val="664F184C"/>
    <w:rsid w:val="6650370B"/>
    <w:rsid w:val="66507267"/>
    <w:rsid w:val="66521231"/>
    <w:rsid w:val="66522FDF"/>
    <w:rsid w:val="66535EF2"/>
    <w:rsid w:val="6654587E"/>
    <w:rsid w:val="66551E8A"/>
    <w:rsid w:val="66552E60"/>
    <w:rsid w:val="66560910"/>
    <w:rsid w:val="66560D21"/>
    <w:rsid w:val="66564873"/>
    <w:rsid w:val="66567322"/>
    <w:rsid w:val="66567CD4"/>
    <w:rsid w:val="665705F5"/>
    <w:rsid w:val="66571216"/>
    <w:rsid w:val="665723A3"/>
    <w:rsid w:val="66577B64"/>
    <w:rsid w:val="665925BF"/>
    <w:rsid w:val="665A00E6"/>
    <w:rsid w:val="665A7368"/>
    <w:rsid w:val="665A7A85"/>
    <w:rsid w:val="665B611F"/>
    <w:rsid w:val="665B6338"/>
    <w:rsid w:val="665B7255"/>
    <w:rsid w:val="665B7D85"/>
    <w:rsid w:val="665C06E5"/>
    <w:rsid w:val="665C5C0C"/>
    <w:rsid w:val="665D1118"/>
    <w:rsid w:val="665E0738"/>
    <w:rsid w:val="665E5472"/>
    <w:rsid w:val="665E5BD6"/>
    <w:rsid w:val="665F69D1"/>
    <w:rsid w:val="665F74AA"/>
    <w:rsid w:val="666004F6"/>
    <w:rsid w:val="66606718"/>
    <w:rsid w:val="66611474"/>
    <w:rsid w:val="66612B3A"/>
    <w:rsid w:val="66612D4F"/>
    <w:rsid w:val="666130C7"/>
    <w:rsid w:val="66613222"/>
    <w:rsid w:val="666176C6"/>
    <w:rsid w:val="666212AA"/>
    <w:rsid w:val="666304CC"/>
    <w:rsid w:val="66631110"/>
    <w:rsid w:val="6663343E"/>
    <w:rsid w:val="6663423B"/>
    <w:rsid w:val="666359E7"/>
    <w:rsid w:val="66636F9A"/>
    <w:rsid w:val="666402F3"/>
    <w:rsid w:val="66640307"/>
    <w:rsid w:val="66646268"/>
    <w:rsid w:val="66650F64"/>
    <w:rsid w:val="66660580"/>
    <w:rsid w:val="66674F93"/>
    <w:rsid w:val="66676573"/>
    <w:rsid w:val="66676F39"/>
    <w:rsid w:val="666953FA"/>
    <w:rsid w:val="666A0329"/>
    <w:rsid w:val="666A208E"/>
    <w:rsid w:val="666B09C4"/>
    <w:rsid w:val="666B40A1"/>
    <w:rsid w:val="666B6D4A"/>
    <w:rsid w:val="666B6E40"/>
    <w:rsid w:val="666C056A"/>
    <w:rsid w:val="666D48B4"/>
    <w:rsid w:val="666D606B"/>
    <w:rsid w:val="666E56CA"/>
    <w:rsid w:val="666F3B91"/>
    <w:rsid w:val="666F4585"/>
    <w:rsid w:val="66707909"/>
    <w:rsid w:val="66712BBB"/>
    <w:rsid w:val="667271DD"/>
    <w:rsid w:val="667361DE"/>
    <w:rsid w:val="667411A7"/>
    <w:rsid w:val="66742F55"/>
    <w:rsid w:val="66743F27"/>
    <w:rsid w:val="667447B3"/>
    <w:rsid w:val="667512A3"/>
    <w:rsid w:val="667527F2"/>
    <w:rsid w:val="66753A62"/>
    <w:rsid w:val="66754F1F"/>
    <w:rsid w:val="66757AE8"/>
    <w:rsid w:val="667626B4"/>
    <w:rsid w:val="667629E0"/>
    <w:rsid w:val="66763171"/>
    <w:rsid w:val="66772A46"/>
    <w:rsid w:val="667747F4"/>
    <w:rsid w:val="667814CD"/>
    <w:rsid w:val="6678677C"/>
    <w:rsid w:val="66787717"/>
    <w:rsid w:val="66787D60"/>
    <w:rsid w:val="66794A0B"/>
    <w:rsid w:val="667A2F7D"/>
    <w:rsid w:val="667B2EEC"/>
    <w:rsid w:val="667C0DE0"/>
    <w:rsid w:val="667C4D10"/>
    <w:rsid w:val="667C62AE"/>
    <w:rsid w:val="667D0AE2"/>
    <w:rsid w:val="667E3DD4"/>
    <w:rsid w:val="667E51BF"/>
    <w:rsid w:val="667E5B82"/>
    <w:rsid w:val="667F18FA"/>
    <w:rsid w:val="667F4F0E"/>
    <w:rsid w:val="668005C9"/>
    <w:rsid w:val="66805D9E"/>
    <w:rsid w:val="66806E3C"/>
    <w:rsid w:val="66811B16"/>
    <w:rsid w:val="66826A6F"/>
    <w:rsid w:val="6683195C"/>
    <w:rsid w:val="66833198"/>
    <w:rsid w:val="66843DD5"/>
    <w:rsid w:val="6684549F"/>
    <w:rsid w:val="668478F0"/>
    <w:rsid w:val="66860EDB"/>
    <w:rsid w:val="66862C89"/>
    <w:rsid w:val="668674BF"/>
    <w:rsid w:val="668718AC"/>
    <w:rsid w:val="66874DE1"/>
    <w:rsid w:val="66882EA5"/>
    <w:rsid w:val="668A0640"/>
    <w:rsid w:val="668A0B91"/>
    <w:rsid w:val="668A2779"/>
    <w:rsid w:val="668A3EA9"/>
    <w:rsid w:val="668A4527"/>
    <w:rsid w:val="668B029F"/>
    <w:rsid w:val="668B1DF4"/>
    <w:rsid w:val="668B4934"/>
    <w:rsid w:val="668C2539"/>
    <w:rsid w:val="668D04BB"/>
    <w:rsid w:val="668D0C53"/>
    <w:rsid w:val="668D4017"/>
    <w:rsid w:val="668E0308"/>
    <w:rsid w:val="668F04BA"/>
    <w:rsid w:val="668F3F39"/>
    <w:rsid w:val="668F4233"/>
    <w:rsid w:val="669015B7"/>
    <w:rsid w:val="669058B5"/>
    <w:rsid w:val="66911D59"/>
    <w:rsid w:val="669178A3"/>
    <w:rsid w:val="6692162D"/>
    <w:rsid w:val="66925AD1"/>
    <w:rsid w:val="6692787F"/>
    <w:rsid w:val="66931142"/>
    <w:rsid w:val="66933A87"/>
    <w:rsid w:val="6694184A"/>
    <w:rsid w:val="669453A6"/>
    <w:rsid w:val="669464C0"/>
    <w:rsid w:val="669468CC"/>
    <w:rsid w:val="669504C1"/>
    <w:rsid w:val="6695111E"/>
    <w:rsid w:val="66952ECC"/>
    <w:rsid w:val="66961D05"/>
    <w:rsid w:val="66962D1A"/>
    <w:rsid w:val="66974E96"/>
    <w:rsid w:val="66985D66"/>
    <w:rsid w:val="669872E1"/>
    <w:rsid w:val="669929BC"/>
    <w:rsid w:val="669971F6"/>
    <w:rsid w:val="669B0FA5"/>
    <w:rsid w:val="669B46E7"/>
    <w:rsid w:val="669B4986"/>
    <w:rsid w:val="669B6734"/>
    <w:rsid w:val="669C24AC"/>
    <w:rsid w:val="669D346F"/>
    <w:rsid w:val="669E4476"/>
    <w:rsid w:val="669E6224"/>
    <w:rsid w:val="669F1553"/>
    <w:rsid w:val="669F3A29"/>
    <w:rsid w:val="669F4A80"/>
    <w:rsid w:val="66A001EE"/>
    <w:rsid w:val="66A01F9C"/>
    <w:rsid w:val="66A03D4A"/>
    <w:rsid w:val="66A06E42"/>
    <w:rsid w:val="66A070C9"/>
    <w:rsid w:val="66A15A5F"/>
    <w:rsid w:val="66A22788"/>
    <w:rsid w:val="66A54E80"/>
    <w:rsid w:val="66A55634"/>
    <w:rsid w:val="66A56C29"/>
    <w:rsid w:val="66A6332B"/>
    <w:rsid w:val="66A650D9"/>
    <w:rsid w:val="66A743CB"/>
    <w:rsid w:val="66A77926"/>
    <w:rsid w:val="66A80E51"/>
    <w:rsid w:val="66A82AE0"/>
    <w:rsid w:val="66A852F5"/>
    <w:rsid w:val="66A8585B"/>
    <w:rsid w:val="66A86E60"/>
    <w:rsid w:val="66A979FF"/>
    <w:rsid w:val="66AA160B"/>
    <w:rsid w:val="66AA2D4C"/>
    <w:rsid w:val="66AA4BC9"/>
    <w:rsid w:val="66AA6977"/>
    <w:rsid w:val="66AA6FDF"/>
    <w:rsid w:val="66AB0941"/>
    <w:rsid w:val="66AC1952"/>
    <w:rsid w:val="66AC731E"/>
    <w:rsid w:val="66AC7BAA"/>
    <w:rsid w:val="66AD46B9"/>
    <w:rsid w:val="66AD6467"/>
    <w:rsid w:val="66AD6D7A"/>
    <w:rsid w:val="66AE52A4"/>
    <w:rsid w:val="66AF241C"/>
    <w:rsid w:val="66AF2A67"/>
    <w:rsid w:val="66AF3F8D"/>
    <w:rsid w:val="66B05D23"/>
    <w:rsid w:val="66B07D06"/>
    <w:rsid w:val="66B11EE1"/>
    <w:rsid w:val="66B20F76"/>
    <w:rsid w:val="66B214DE"/>
    <w:rsid w:val="66B26CDF"/>
    <w:rsid w:val="66B30CC8"/>
    <w:rsid w:val="66B35C73"/>
    <w:rsid w:val="66B420D8"/>
    <w:rsid w:val="66B477F6"/>
    <w:rsid w:val="66B47923"/>
    <w:rsid w:val="66B47C99"/>
    <w:rsid w:val="66B54B64"/>
    <w:rsid w:val="66B57E5F"/>
    <w:rsid w:val="66B612EF"/>
    <w:rsid w:val="66B617C0"/>
    <w:rsid w:val="66B61DFF"/>
    <w:rsid w:val="66B67BAE"/>
    <w:rsid w:val="66B71094"/>
    <w:rsid w:val="66B772E6"/>
    <w:rsid w:val="66B80634"/>
    <w:rsid w:val="66B867E0"/>
    <w:rsid w:val="66B912B0"/>
    <w:rsid w:val="66B94E0C"/>
    <w:rsid w:val="66BA2932"/>
    <w:rsid w:val="66BA4971"/>
    <w:rsid w:val="66BB0B84"/>
    <w:rsid w:val="66BB6DD6"/>
    <w:rsid w:val="66BC0585"/>
    <w:rsid w:val="66BC1276"/>
    <w:rsid w:val="66BC2B4E"/>
    <w:rsid w:val="66BC48FC"/>
    <w:rsid w:val="66BC66AA"/>
    <w:rsid w:val="66BD40E5"/>
    <w:rsid w:val="66BD5E1B"/>
    <w:rsid w:val="66BD65F1"/>
    <w:rsid w:val="66BD7C37"/>
    <w:rsid w:val="66BE0674"/>
    <w:rsid w:val="66BE68C6"/>
    <w:rsid w:val="66BF7EBC"/>
    <w:rsid w:val="66C0263F"/>
    <w:rsid w:val="66C043ED"/>
    <w:rsid w:val="66C20165"/>
    <w:rsid w:val="66C2129E"/>
    <w:rsid w:val="66C30D22"/>
    <w:rsid w:val="66C32B28"/>
    <w:rsid w:val="66C32DAD"/>
    <w:rsid w:val="66C35C8B"/>
    <w:rsid w:val="66C50A94"/>
    <w:rsid w:val="66C51A03"/>
    <w:rsid w:val="66C57C55"/>
    <w:rsid w:val="66C6738F"/>
    <w:rsid w:val="66C67529"/>
    <w:rsid w:val="66C80726"/>
    <w:rsid w:val="66C8504F"/>
    <w:rsid w:val="66C873DD"/>
    <w:rsid w:val="66C97765"/>
    <w:rsid w:val="66CA2CA0"/>
    <w:rsid w:val="66CA486C"/>
    <w:rsid w:val="66CA6E0A"/>
    <w:rsid w:val="66CB2E6A"/>
    <w:rsid w:val="66CB4B3F"/>
    <w:rsid w:val="66CD08B8"/>
    <w:rsid w:val="66CD2666"/>
    <w:rsid w:val="66CD4D5B"/>
    <w:rsid w:val="66CD60E6"/>
    <w:rsid w:val="66CD6B09"/>
    <w:rsid w:val="66CE3047"/>
    <w:rsid w:val="66CE3F9C"/>
    <w:rsid w:val="66CF1CEB"/>
    <w:rsid w:val="66CF3BE6"/>
    <w:rsid w:val="66CF654E"/>
    <w:rsid w:val="66D02156"/>
    <w:rsid w:val="66D103A8"/>
    <w:rsid w:val="66D165FA"/>
    <w:rsid w:val="66D24120"/>
    <w:rsid w:val="66D25ECE"/>
    <w:rsid w:val="66D32372"/>
    <w:rsid w:val="66D366D7"/>
    <w:rsid w:val="66D439F4"/>
    <w:rsid w:val="66D44878"/>
    <w:rsid w:val="66D470B2"/>
    <w:rsid w:val="66D47E98"/>
    <w:rsid w:val="66D63C10"/>
    <w:rsid w:val="66D659BE"/>
    <w:rsid w:val="66D67198"/>
    <w:rsid w:val="66D6776C"/>
    <w:rsid w:val="66D679ED"/>
    <w:rsid w:val="66D71D69"/>
    <w:rsid w:val="66D71F2C"/>
    <w:rsid w:val="66D845CB"/>
    <w:rsid w:val="66D87988"/>
    <w:rsid w:val="66D93700"/>
    <w:rsid w:val="66D94689"/>
    <w:rsid w:val="66D954AE"/>
    <w:rsid w:val="66D965F7"/>
    <w:rsid w:val="66DA04BD"/>
    <w:rsid w:val="66DA4231"/>
    <w:rsid w:val="66DA6FA9"/>
    <w:rsid w:val="66DB1B7A"/>
    <w:rsid w:val="66DB2FD4"/>
    <w:rsid w:val="66DB4D83"/>
    <w:rsid w:val="66DC0AFB"/>
    <w:rsid w:val="66DC3A3B"/>
    <w:rsid w:val="66DC57F7"/>
    <w:rsid w:val="66DD4E66"/>
    <w:rsid w:val="66DE04FB"/>
    <w:rsid w:val="66DE4873"/>
    <w:rsid w:val="66DE592A"/>
    <w:rsid w:val="66DE670F"/>
    <w:rsid w:val="66DE7CCD"/>
    <w:rsid w:val="66DF202F"/>
    <w:rsid w:val="66E005EB"/>
    <w:rsid w:val="66E03EBD"/>
    <w:rsid w:val="66E12BF5"/>
    <w:rsid w:val="66E14363"/>
    <w:rsid w:val="66E16C73"/>
    <w:rsid w:val="66E21F57"/>
    <w:rsid w:val="66E225B5"/>
    <w:rsid w:val="66E300DB"/>
    <w:rsid w:val="66E46982"/>
    <w:rsid w:val="66E55C01"/>
    <w:rsid w:val="66E57697"/>
    <w:rsid w:val="66E63727"/>
    <w:rsid w:val="66E83943"/>
    <w:rsid w:val="66E83AAF"/>
    <w:rsid w:val="66E84DBB"/>
    <w:rsid w:val="66E856F1"/>
    <w:rsid w:val="66E873CE"/>
    <w:rsid w:val="66E8749F"/>
    <w:rsid w:val="66E92E42"/>
    <w:rsid w:val="66E93E7D"/>
    <w:rsid w:val="66E9560E"/>
    <w:rsid w:val="66E96DCF"/>
    <w:rsid w:val="66EA3218"/>
    <w:rsid w:val="66EA6A9E"/>
    <w:rsid w:val="66EB1051"/>
    <w:rsid w:val="66EB7F2E"/>
    <w:rsid w:val="66EC0D6A"/>
    <w:rsid w:val="66EC51E2"/>
    <w:rsid w:val="66EE2B00"/>
    <w:rsid w:val="66EF4CD2"/>
    <w:rsid w:val="66EF68AF"/>
    <w:rsid w:val="66F0348C"/>
    <w:rsid w:val="66F03B9D"/>
    <w:rsid w:val="66F26570"/>
    <w:rsid w:val="66F347C2"/>
    <w:rsid w:val="66F35CB5"/>
    <w:rsid w:val="66F37830"/>
    <w:rsid w:val="66F41291"/>
    <w:rsid w:val="66F422E8"/>
    <w:rsid w:val="66F66782"/>
    <w:rsid w:val="66F67E0E"/>
    <w:rsid w:val="66F70A93"/>
    <w:rsid w:val="66F72914"/>
    <w:rsid w:val="66F75934"/>
    <w:rsid w:val="66F773C4"/>
    <w:rsid w:val="66F81DD8"/>
    <w:rsid w:val="66F823AF"/>
    <w:rsid w:val="66F95103"/>
    <w:rsid w:val="66F95B50"/>
    <w:rsid w:val="66FA345D"/>
    <w:rsid w:val="66FB363A"/>
    <w:rsid w:val="66FB3677"/>
    <w:rsid w:val="66FC2F4B"/>
    <w:rsid w:val="66FC5795"/>
    <w:rsid w:val="66FE4F15"/>
    <w:rsid w:val="66FF0F75"/>
    <w:rsid w:val="670001DC"/>
    <w:rsid w:val="67000CC4"/>
    <w:rsid w:val="67002A3B"/>
    <w:rsid w:val="67005B03"/>
    <w:rsid w:val="670074C7"/>
    <w:rsid w:val="670267B3"/>
    <w:rsid w:val="6703077D"/>
    <w:rsid w:val="670342D9"/>
    <w:rsid w:val="67047E9C"/>
    <w:rsid w:val="67050051"/>
    <w:rsid w:val="670533F1"/>
    <w:rsid w:val="670536A6"/>
    <w:rsid w:val="670538BB"/>
    <w:rsid w:val="670544F5"/>
    <w:rsid w:val="670562A3"/>
    <w:rsid w:val="67064078"/>
    <w:rsid w:val="67066BC7"/>
    <w:rsid w:val="6707201B"/>
    <w:rsid w:val="67074C6F"/>
    <w:rsid w:val="67087B42"/>
    <w:rsid w:val="67091969"/>
    <w:rsid w:val="670A1B0C"/>
    <w:rsid w:val="670B73AD"/>
    <w:rsid w:val="670D6F06"/>
    <w:rsid w:val="670E25DC"/>
    <w:rsid w:val="670F7122"/>
    <w:rsid w:val="671002AB"/>
    <w:rsid w:val="67110200"/>
    <w:rsid w:val="6711112F"/>
    <w:rsid w:val="67112E9A"/>
    <w:rsid w:val="67114C48"/>
    <w:rsid w:val="67115BD9"/>
    <w:rsid w:val="671206F0"/>
    <w:rsid w:val="6712775C"/>
    <w:rsid w:val="67127AC7"/>
    <w:rsid w:val="671309C0"/>
    <w:rsid w:val="6713276F"/>
    <w:rsid w:val="67135C6C"/>
    <w:rsid w:val="67140294"/>
    <w:rsid w:val="67142AA1"/>
    <w:rsid w:val="6715319B"/>
    <w:rsid w:val="671554AC"/>
    <w:rsid w:val="67157C34"/>
    <w:rsid w:val="671604B0"/>
    <w:rsid w:val="67184229"/>
    <w:rsid w:val="671868DB"/>
    <w:rsid w:val="67193AFD"/>
    <w:rsid w:val="671958AB"/>
    <w:rsid w:val="671A2FAC"/>
    <w:rsid w:val="671A4F57"/>
    <w:rsid w:val="671B1623"/>
    <w:rsid w:val="671B344C"/>
    <w:rsid w:val="671B6830"/>
    <w:rsid w:val="671C049D"/>
    <w:rsid w:val="671C6841"/>
    <w:rsid w:val="671C7FF3"/>
    <w:rsid w:val="671D183F"/>
    <w:rsid w:val="671E1113"/>
    <w:rsid w:val="671E35C1"/>
    <w:rsid w:val="671E44FE"/>
    <w:rsid w:val="671E58C3"/>
    <w:rsid w:val="671F124A"/>
    <w:rsid w:val="671F55B7"/>
    <w:rsid w:val="671F6AA4"/>
    <w:rsid w:val="672022A4"/>
    <w:rsid w:val="672030DD"/>
    <w:rsid w:val="6720475D"/>
    <w:rsid w:val="67206C39"/>
    <w:rsid w:val="672203E0"/>
    <w:rsid w:val="67220C03"/>
    <w:rsid w:val="67220FC2"/>
    <w:rsid w:val="67237F73"/>
    <w:rsid w:val="67242BCD"/>
    <w:rsid w:val="672520C8"/>
    <w:rsid w:val="67264120"/>
    <w:rsid w:val="672716C3"/>
    <w:rsid w:val="67273163"/>
    <w:rsid w:val="6727446C"/>
    <w:rsid w:val="67281F92"/>
    <w:rsid w:val="67283D40"/>
    <w:rsid w:val="67286A40"/>
    <w:rsid w:val="672A0E47"/>
    <w:rsid w:val="672A5D0A"/>
    <w:rsid w:val="672B78DD"/>
    <w:rsid w:val="672B7AA1"/>
    <w:rsid w:val="672C3830"/>
    <w:rsid w:val="672C55DE"/>
    <w:rsid w:val="672C7CD4"/>
    <w:rsid w:val="672D584D"/>
    <w:rsid w:val="672E1D50"/>
    <w:rsid w:val="672E32BD"/>
    <w:rsid w:val="672F1572"/>
    <w:rsid w:val="672F3320"/>
    <w:rsid w:val="672F338A"/>
    <w:rsid w:val="672F4040"/>
    <w:rsid w:val="672F50CE"/>
    <w:rsid w:val="67310E46"/>
    <w:rsid w:val="673125D7"/>
    <w:rsid w:val="67312852"/>
    <w:rsid w:val="67320AA5"/>
    <w:rsid w:val="6732696D"/>
    <w:rsid w:val="67334BBF"/>
    <w:rsid w:val="67335B31"/>
    <w:rsid w:val="67344F8D"/>
    <w:rsid w:val="67346B89"/>
    <w:rsid w:val="67347E5C"/>
    <w:rsid w:val="673536B8"/>
    <w:rsid w:val="67354AD5"/>
    <w:rsid w:val="673617E3"/>
    <w:rsid w:val="67362E6F"/>
    <w:rsid w:val="67363C15"/>
    <w:rsid w:val="6736645D"/>
    <w:rsid w:val="67367361"/>
    <w:rsid w:val="67377636"/>
    <w:rsid w:val="67380427"/>
    <w:rsid w:val="67382CEA"/>
    <w:rsid w:val="67386679"/>
    <w:rsid w:val="6739306A"/>
    <w:rsid w:val="67393DAB"/>
    <w:rsid w:val="6739419F"/>
    <w:rsid w:val="673B1CC5"/>
    <w:rsid w:val="673B4EB6"/>
    <w:rsid w:val="673B7F17"/>
    <w:rsid w:val="673C2A54"/>
    <w:rsid w:val="673D58D9"/>
    <w:rsid w:val="673D5A3D"/>
    <w:rsid w:val="673E5311"/>
    <w:rsid w:val="673F1721"/>
    <w:rsid w:val="673F4CC4"/>
    <w:rsid w:val="673F58BB"/>
    <w:rsid w:val="673F6082"/>
    <w:rsid w:val="673F7A07"/>
    <w:rsid w:val="67401089"/>
    <w:rsid w:val="67404FA6"/>
    <w:rsid w:val="67414BB2"/>
    <w:rsid w:val="67430B7A"/>
    <w:rsid w:val="67432117"/>
    <w:rsid w:val="67450B39"/>
    <w:rsid w:val="674548F2"/>
    <w:rsid w:val="67456B82"/>
    <w:rsid w:val="67472418"/>
    <w:rsid w:val="67472CD4"/>
    <w:rsid w:val="6748622D"/>
    <w:rsid w:val="67487120"/>
    <w:rsid w:val="674B49AB"/>
    <w:rsid w:val="674D0172"/>
    <w:rsid w:val="674E19F8"/>
    <w:rsid w:val="674E66DB"/>
    <w:rsid w:val="674E7135"/>
    <w:rsid w:val="674E7C4A"/>
    <w:rsid w:val="674F6000"/>
    <w:rsid w:val="674F751F"/>
    <w:rsid w:val="675039C2"/>
    <w:rsid w:val="67511456"/>
    <w:rsid w:val="675114E9"/>
    <w:rsid w:val="67515045"/>
    <w:rsid w:val="67524B14"/>
    <w:rsid w:val="675306D7"/>
    <w:rsid w:val="67530DBD"/>
    <w:rsid w:val="6753700F"/>
    <w:rsid w:val="67542D87"/>
    <w:rsid w:val="6754503C"/>
    <w:rsid w:val="67550FD9"/>
    <w:rsid w:val="67564D51"/>
    <w:rsid w:val="67566AFF"/>
    <w:rsid w:val="67580929"/>
    <w:rsid w:val="67587AA7"/>
    <w:rsid w:val="6759039D"/>
    <w:rsid w:val="6759214B"/>
    <w:rsid w:val="6759586E"/>
    <w:rsid w:val="675B44A0"/>
    <w:rsid w:val="675B5946"/>
    <w:rsid w:val="675B5C14"/>
    <w:rsid w:val="675B7DDE"/>
    <w:rsid w:val="675C175D"/>
    <w:rsid w:val="675C219F"/>
    <w:rsid w:val="675C3383"/>
    <w:rsid w:val="675D15A7"/>
    <w:rsid w:val="675D1C3B"/>
    <w:rsid w:val="675D3F17"/>
    <w:rsid w:val="675D60DF"/>
    <w:rsid w:val="675E48FC"/>
    <w:rsid w:val="675E7762"/>
    <w:rsid w:val="675F3C06"/>
    <w:rsid w:val="675F4935"/>
    <w:rsid w:val="675F59B1"/>
    <w:rsid w:val="6760797E"/>
    <w:rsid w:val="67610F14"/>
    <w:rsid w:val="67616A37"/>
    <w:rsid w:val="67616BD1"/>
    <w:rsid w:val="67617776"/>
    <w:rsid w:val="67620061"/>
    <w:rsid w:val="676236F6"/>
    <w:rsid w:val="67627252"/>
    <w:rsid w:val="67632C32"/>
    <w:rsid w:val="67632F3A"/>
    <w:rsid w:val="67635EC3"/>
    <w:rsid w:val="6764121C"/>
    <w:rsid w:val="67644EFD"/>
    <w:rsid w:val="67650123"/>
    <w:rsid w:val="6765229D"/>
    <w:rsid w:val="67654F94"/>
    <w:rsid w:val="67655559"/>
    <w:rsid w:val="67656D42"/>
    <w:rsid w:val="67660A12"/>
    <w:rsid w:val="676612AE"/>
    <w:rsid w:val="676615B3"/>
    <w:rsid w:val="67672ABA"/>
    <w:rsid w:val="67694A84"/>
    <w:rsid w:val="67694D5A"/>
    <w:rsid w:val="67694F1E"/>
    <w:rsid w:val="67695FB4"/>
    <w:rsid w:val="676A25AA"/>
    <w:rsid w:val="676A33D2"/>
    <w:rsid w:val="676A6106"/>
    <w:rsid w:val="676B07FC"/>
    <w:rsid w:val="676B7B2C"/>
    <w:rsid w:val="676C00D0"/>
    <w:rsid w:val="676C530A"/>
    <w:rsid w:val="676C6322"/>
    <w:rsid w:val="676E209B"/>
    <w:rsid w:val="676E3D9A"/>
    <w:rsid w:val="676E5BF7"/>
    <w:rsid w:val="676E7D45"/>
    <w:rsid w:val="676F13BB"/>
    <w:rsid w:val="676F7BC1"/>
    <w:rsid w:val="677069B1"/>
    <w:rsid w:val="67706CC4"/>
    <w:rsid w:val="67722089"/>
    <w:rsid w:val="67725DF4"/>
    <w:rsid w:val="67727B56"/>
    <w:rsid w:val="6773145F"/>
    <w:rsid w:val="6773320D"/>
    <w:rsid w:val="677376B1"/>
    <w:rsid w:val="67746F85"/>
    <w:rsid w:val="67753429"/>
    <w:rsid w:val="677551D7"/>
    <w:rsid w:val="677552FE"/>
    <w:rsid w:val="67760F4F"/>
    <w:rsid w:val="67765CBB"/>
    <w:rsid w:val="67780823"/>
    <w:rsid w:val="67783208"/>
    <w:rsid w:val="67784CC7"/>
    <w:rsid w:val="677867D5"/>
    <w:rsid w:val="67786A75"/>
    <w:rsid w:val="677879E5"/>
    <w:rsid w:val="67797A29"/>
    <w:rsid w:val="677A0A3F"/>
    <w:rsid w:val="677A27ED"/>
    <w:rsid w:val="677A33C6"/>
    <w:rsid w:val="677B0314"/>
    <w:rsid w:val="677B6565"/>
    <w:rsid w:val="677C2993"/>
    <w:rsid w:val="677C37D9"/>
    <w:rsid w:val="677D0530"/>
    <w:rsid w:val="677D6862"/>
    <w:rsid w:val="677E20F0"/>
    <w:rsid w:val="677E25E3"/>
    <w:rsid w:val="677E44AA"/>
    <w:rsid w:val="677E783A"/>
    <w:rsid w:val="677F27E7"/>
    <w:rsid w:val="677F3996"/>
    <w:rsid w:val="677F3E81"/>
    <w:rsid w:val="677F7E04"/>
    <w:rsid w:val="6780101B"/>
    <w:rsid w:val="67802799"/>
    <w:rsid w:val="6781354B"/>
    <w:rsid w:val="678216A2"/>
    <w:rsid w:val="67821E93"/>
    <w:rsid w:val="67824B39"/>
    <w:rsid w:val="67834077"/>
    <w:rsid w:val="678371C8"/>
    <w:rsid w:val="67852F40"/>
    <w:rsid w:val="678642D7"/>
    <w:rsid w:val="678673E4"/>
    <w:rsid w:val="6787315C"/>
    <w:rsid w:val="6787388D"/>
    <w:rsid w:val="67881D7C"/>
    <w:rsid w:val="67894337"/>
    <w:rsid w:val="67897DDC"/>
    <w:rsid w:val="678A320C"/>
    <w:rsid w:val="678A67A9"/>
    <w:rsid w:val="678B1E3E"/>
    <w:rsid w:val="678B58B0"/>
    <w:rsid w:val="678B6DB9"/>
    <w:rsid w:val="678B726D"/>
    <w:rsid w:val="678C0773"/>
    <w:rsid w:val="678C1DD8"/>
    <w:rsid w:val="678C2521"/>
    <w:rsid w:val="678D429A"/>
    <w:rsid w:val="678D64ED"/>
    <w:rsid w:val="678E6299"/>
    <w:rsid w:val="678E6811"/>
    <w:rsid w:val="678E777F"/>
    <w:rsid w:val="678F3DBF"/>
    <w:rsid w:val="67900263"/>
    <w:rsid w:val="67901986"/>
    <w:rsid w:val="67901C4F"/>
    <w:rsid w:val="679030DF"/>
    <w:rsid w:val="679078F8"/>
    <w:rsid w:val="67915D89"/>
    <w:rsid w:val="67917B37"/>
    <w:rsid w:val="67920E24"/>
    <w:rsid w:val="67923AD0"/>
    <w:rsid w:val="679305D0"/>
    <w:rsid w:val="679338AF"/>
    <w:rsid w:val="6793565D"/>
    <w:rsid w:val="6793650D"/>
    <w:rsid w:val="67944D0A"/>
    <w:rsid w:val="67953DA8"/>
    <w:rsid w:val="67954113"/>
    <w:rsid w:val="67955879"/>
    <w:rsid w:val="67957627"/>
    <w:rsid w:val="6796339F"/>
    <w:rsid w:val="6796514D"/>
    <w:rsid w:val="67966584"/>
    <w:rsid w:val="67966EFB"/>
    <w:rsid w:val="679715F1"/>
    <w:rsid w:val="679824B3"/>
    <w:rsid w:val="67987117"/>
    <w:rsid w:val="67994442"/>
    <w:rsid w:val="679946C5"/>
    <w:rsid w:val="679A1526"/>
    <w:rsid w:val="679A4B45"/>
    <w:rsid w:val="679A4C3E"/>
    <w:rsid w:val="679A69EC"/>
    <w:rsid w:val="679B09B6"/>
    <w:rsid w:val="679C1B48"/>
    <w:rsid w:val="679D028A"/>
    <w:rsid w:val="679D4253"/>
    <w:rsid w:val="679D472E"/>
    <w:rsid w:val="679D4806"/>
    <w:rsid w:val="679F02B4"/>
    <w:rsid w:val="679F2254"/>
    <w:rsid w:val="67A02160"/>
    <w:rsid w:val="67A07D7A"/>
    <w:rsid w:val="67A21BF8"/>
    <w:rsid w:val="67A23AF2"/>
    <w:rsid w:val="67A27F96"/>
    <w:rsid w:val="67A41618"/>
    <w:rsid w:val="67A468F0"/>
    <w:rsid w:val="67A535E2"/>
    <w:rsid w:val="67A55390"/>
    <w:rsid w:val="67A555D4"/>
    <w:rsid w:val="67A573B0"/>
    <w:rsid w:val="67A71109"/>
    <w:rsid w:val="67A91325"/>
    <w:rsid w:val="67A930D3"/>
    <w:rsid w:val="67A94E81"/>
    <w:rsid w:val="67A96C2F"/>
    <w:rsid w:val="67AA29A7"/>
    <w:rsid w:val="67AA29D2"/>
    <w:rsid w:val="67AA4948"/>
    <w:rsid w:val="67AB0333"/>
    <w:rsid w:val="67AB0BF9"/>
    <w:rsid w:val="67AB23D8"/>
    <w:rsid w:val="67AB288A"/>
    <w:rsid w:val="67AC0685"/>
    <w:rsid w:val="67AC4971"/>
    <w:rsid w:val="67AC49AC"/>
    <w:rsid w:val="67AC671F"/>
    <w:rsid w:val="67AD1FA3"/>
    <w:rsid w:val="67AE06E9"/>
    <w:rsid w:val="67AE2497"/>
    <w:rsid w:val="67AE797F"/>
    <w:rsid w:val="67AF051E"/>
    <w:rsid w:val="67AF3246"/>
    <w:rsid w:val="67AF7FBD"/>
    <w:rsid w:val="67B021AF"/>
    <w:rsid w:val="67B05389"/>
    <w:rsid w:val="67B073C9"/>
    <w:rsid w:val="67B101D9"/>
    <w:rsid w:val="67B11F87"/>
    <w:rsid w:val="67B1679C"/>
    <w:rsid w:val="67B22418"/>
    <w:rsid w:val="67B30D76"/>
    <w:rsid w:val="67B50D99"/>
    <w:rsid w:val="67B6134C"/>
    <w:rsid w:val="67B618D4"/>
    <w:rsid w:val="67B657F0"/>
    <w:rsid w:val="67B65A39"/>
    <w:rsid w:val="67B67F01"/>
    <w:rsid w:val="67B83316"/>
    <w:rsid w:val="67BA377B"/>
    <w:rsid w:val="67BA39FD"/>
    <w:rsid w:val="67BC1058"/>
    <w:rsid w:val="67BC2E06"/>
    <w:rsid w:val="67BD092C"/>
    <w:rsid w:val="67BD20FC"/>
    <w:rsid w:val="67BD26DA"/>
    <w:rsid w:val="67BF3619"/>
    <w:rsid w:val="67BF39E9"/>
    <w:rsid w:val="67BF4A1C"/>
    <w:rsid w:val="67C021CA"/>
    <w:rsid w:val="67C21B9B"/>
    <w:rsid w:val="67C223E6"/>
    <w:rsid w:val="67C24194"/>
    <w:rsid w:val="67C25F42"/>
    <w:rsid w:val="67C3558A"/>
    <w:rsid w:val="67C41CBB"/>
    <w:rsid w:val="67C439C6"/>
    <w:rsid w:val="67C47F0C"/>
    <w:rsid w:val="67C53BED"/>
    <w:rsid w:val="67C5502B"/>
    <w:rsid w:val="67C633D9"/>
    <w:rsid w:val="67C65A33"/>
    <w:rsid w:val="67C73559"/>
    <w:rsid w:val="67C779FD"/>
    <w:rsid w:val="67C9107F"/>
    <w:rsid w:val="67C92923"/>
    <w:rsid w:val="67C944C8"/>
    <w:rsid w:val="67C95523"/>
    <w:rsid w:val="67C972D1"/>
    <w:rsid w:val="67CA00CE"/>
    <w:rsid w:val="67CA3270"/>
    <w:rsid w:val="67CA3663"/>
    <w:rsid w:val="67CA4DF7"/>
    <w:rsid w:val="67CA4F9B"/>
    <w:rsid w:val="67CA58A9"/>
    <w:rsid w:val="67CB129B"/>
    <w:rsid w:val="67CB3049"/>
    <w:rsid w:val="67CC6DC1"/>
    <w:rsid w:val="67CD5013"/>
    <w:rsid w:val="67CD5E58"/>
    <w:rsid w:val="67CD7073"/>
    <w:rsid w:val="67CE2B39"/>
    <w:rsid w:val="67CE48E7"/>
    <w:rsid w:val="67CE6F5C"/>
    <w:rsid w:val="67CE7379"/>
    <w:rsid w:val="67CF0CE4"/>
    <w:rsid w:val="67D0065F"/>
    <w:rsid w:val="67D00FDF"/>
    <w:rsid w:val="67D031E9"/>
    <w:rsid w:val="67D04899"/>
    <w:rsid w:val="67D126BF"/>
    <w:rsid w:val="67D30150"/>
    <w:rsid w:val="67D31EFE"/>
    <w:rsid w:val="67D363A2"/>
    <w:rsid w:val="67D4095F"/>
    <w:rsid w:val="67D43B66"/>
    <w:rsid w:val="67D45E88"/>
    <w:rsid w:val="67D46EF3"/>
    <w:rsid w:val="67D53EC8"/>
    <w:rsid w:val="67D6076F"/>
    <w:rsid w:val="67D643E4"/>
    <w:rsid w:val="67D65029"/>
    <w:rsid w:val="67D6669B"/>
    <w:rsid w:val="67D67487"/>
    <w:rsid w:val="67D77C40"/>
    <w:rsid w:val="67D839B8"/>
    <w:rsid w:val="67D90194"/>
    <w:rsid w:val="67D918D5"/>
    <w:rsid w:val="67DA14DE"/>
    <w:rsid w:val="67DA1624"/>
    <w:rsid w:val="67DA2D65"/>
    <w:rsid w:val="67DA328C"/>
    <w:rsid w:val="67DB4858"/>
    <w:rsid w:val="67DC5256"/>
    <w:rsid w:val="67DD0FCE"/>
    <w:rsid w:val="67DD2D7C"/>
    <w:rsid w:val="67DD4943"/>
    <w:rsid w:val="67DD502C"/>
    <w:rsid w:val="67DE5601"/>
    <w:rsid w:val="67DE5B2B"/>
    <w:rsid w:val="67DE621C"/>
    <w:rsid w:val="67DF4D46"/>
    <w:rsid w:val="67DF7DD5"/>
    <w:rsid w:val="67E0499E"/>
    <w:rsid w:val="67E0588A"/>
    <w:rsid w:val="67E114F7"/>
    <w:rsid w:val="67E1286C"/>
    <w:rsid w:val="67E12EC9"/>
    <w:rsid w:val="67E17376"/>
    <w:rsid w:val="67E20393"/>
    <w:rsid w:val="67E22987"/>
    <w:rsid w:val="67E34590"/>
    <w:rsid w:val="67E4410B"/>
    <w:rsid w:val="67E50878"/>
    <w:rsid w:val="67E65816"/>
    <w:rsid w:val="67E66D5B"/>
    <w:rsid w:val="67E67E83"/>
    <w:rsid w:val="67E759A9"/>
    <w:rsid w:val="67E77270"/>
    <w:rsid w:val="67E81E06"/>
    <w:rsid w:val="67E81E4D"/>
    <w:rsid w:val="67E82E5F"/>
    <w:rsid w:val="67E82F31"/>
    <w:rsid w:val="67E91721"/>
    <w:rsid w:val="67E97973"/>
    <w:rsid w:val="67E97C88"/>
    <w:rsid w:val="67EB36EB"/>
    <w:rsid w:val="67EB3F9D"/>
    <w:rsid w:val="67EC2600"/>
    <w:rsid w:val="67EC2B21"/>
    <w:rsid w:val="67ED066F"/>
    <w:rsid w:val="67ED1BBE"/>
    <w:rsid w:val="67EE0AE5"/>
    <w:rsid w:val="67EE31DB"/>
    <w:rsid w:val="67EE6D37"/>
    <w:rsid w:val="67EF4E21"/>
    <w:rsid w:val="67F00D02"/>
    <w:rsid w:val="67F016B1"/>
    <w:rsid w:val="67F04F8A"/>
    <w:rsid w:val="67F07B5B"/>
    <w:rsid w:val="67F12A41"/>
    <w:rsid w:val="67F27B00"/>
    <w:rsid w:val="67F325A0"/>
    <w:rsid w:val="67F500C6"/>
    <w:rsid w:val="67F51E74"/>
    <w:rsid w:val="67F60DFC"/>
    <w:rsid w:val="67F65BEC"/>
    <w:rsid w:val="67F72090"/>
    <w:rsid w:val="67F77943"/>
    <w:rsid w:val="67F81964"/>
    <w:rsid w:val="67F87BB6"/>
    <w:rsid w:val="67F92CC9"/>
    <w:rsid w:val="67FA0C0D"/>
    <w:rsid w:val="67FA37DE"/>
    <w:rsid w:val="67FA392E"/>
    <w:rsid w:val="67FB48BC"/>
    <w:rsid w:val="67FC76A6"/>
    <w:rsid w:val="67FD51CC"/>
    <w:rsid w:val="67FD6F7B"/>
    <w:rsid w:val="67FF0F45"/>
    <w:rsid w:val="67FF2F87"/>
    <w:rsid w:val="67FF33DC"/>
    <w:rsid w:val="67FF35EF"/>
    <w:rsid w:val="67FF7197"/>
    <w:rsid w:val="68000819"/>
    <w:rsid w:val="68014CBD"/>
    <w:rsid w:val="68014F2E"/>
    <w:rsid w:val="680229B9"/>
    <w:rsid w:val="68024591"/>
    <w:rsid w:val="68030A35"/>
    <w:rsid w:val="68032F6A"/>
    <w:rsid w:val="68043D47"/>
    <w:rsid w:val="680447AD"/>
    <w:rsid w:val="680453DF"/>
    <w:rsid w:val="6804655B"/>
    <w:rsid w:val="68060525"/>
    <w:rsid w:val="68060D49"/>
    <w:rsid w:val="680622D3"/>
    <w:rsid w:val="68064081"/>
    <w:rsid w:val="6806579C"/>
    <w:rsid w:val="68067148"/>
    <w:rsid w:val="680671B0"/>
    <w:rsid w:val="68071BA7"/>
    <w:rsid w:val="68073211"/>
    <w:rsid w:val="68091DC3"/>
    <w:rsid w:val="68092C9C"/>
    <w:rsid w:val="6809591F"/>
    <w:rsid w:val="68095B31"/>
    <w:rsid w:val="680A69C3"/>
    <w:rsid w:val="680B4E69"/>
    <w:rsid w:val="680B5B3B"/>
    <w:rsid w:val="680C56F9"/>
    <w:rsid w:val="680D18B3"/>
    <w:rsid w:val="680D6153"/>
    <w:rsid w:val="680E0513"/>
    <w:rsid w:val="680E1166"/>
    <w:rsid w:val="680E1188"/>
    <w:rsid w:val="680E2F36"/>
    <w:rsid w:val="680E3314"/>
    <w:rsid w:val="680E3C43"/>
    <w:rsid w:val="680E7CB9"/>
    <w:rsid w:val="680F19A3"/>
    <w:rsid w:val="68103152"/>
    <w:rsid w:val="68117C0A"/>
    <w:rsid w:val="681276F6"/>
    <w:rsid w:val="681349F0"/>
    <w:rsid w:val="6813679E"/>
    <w:rsid w:val="68136976"/>
    <w:rsid w:val="68142C42"/>
    <w:rsid w:val="68150152"/>
    <w:rsid w:val="68150768"/>
    <w:rsid w:val="68160749"/>
    <w:rsid w:val="681658A8"/>
    <w:rsid w:val="6817003C"/>
    <w:rsid w:val="68171A2C"/>
    <w:rsid w:val="681811A0"/>
    <w:rsid w:val="68182006"/>
    <w:rsid w:val="681837B0"/>
    <w:rsid w:val="68183A5F"/>
    <w:rsid w:val="6818646C"/>
    <w:rsid w:val="68186EFB"/>
    <w:rsid w:val="68197838"/>
    <w:rsid w:val="681A18DB"/>
    <w:rsid w:val="681A7B2C"/>
    <w:rsid w:val="681B1687"/>
    <w:rsid w:val="681C08A2"/>
    <w:rsid w:val="681C1F38"/>
    <w:rsid w:val="681C3F88"/>
    <w:rsid w:val="681D13CB"/>
    <w:rsid w:val="681D3FA7"/>
    <w:rsid w:val="681D761D"/>
    <w:rsid w:val="681E0008"/>
    <w:rsid w:val="681E586F"/>
    <w:rsid w:val="681E6647"/>
    <w:rsid w:val="681F15E7"/>
    <w:rsid w:val="681F3395"/>
    <w:rsid w:val="681F6961"/>
    <w:rsid w:val="681F76A8"/>
    <w:rsid w:val="68203D1B"/>
    <w:rsid w:val="6821573E"/>
    <w:rsid w:val="68222CAD"/>
    <w:rsid w:val="682409AB"/>
    <w:rsid w:val="68242759"/>
    <w:rsid w:val="68260326"/>
    <w:rsid w:val="682637C7"/>
    <w:rsid w:val="68264723"/>
    <w:rsid w:val="682664D1"/>
    <w:rsid w:val="68271210"/>
    <w:rsid w:val="682727FB"/>
    <w:rsid w:val="68273FF7"/>
    <w:rsid w:val="6827798B"/>
    <w:rsid w:val="68282249"/>
    <w:rsid w:val="68290A70"/>
    <w:rsid w:val="68292556"/>
    <w:rsid w:val="68294213"/>
    <w:rsid w:val="68295E30"/>
    <w:rsid w:val="68297D70"/>
    <w:rsid w:val="682D2B67"/>
    <w:rsid w:val="682D4F2F"/>
    <w:rsid w:val="682D5AB2"/>
    <w:rsid w:val="682D7860"/>
    <w:rsid w:val="682E182A"/>
    <w:rsid w:val="682E35D8"/>
    <w:rsid w:val="682F1DA4"/>
    <w:rsid w:val="682F6B2B"/>
    <w:rsid w:val="682F784C"/>
    <w:rsid w:val="68304FEE"/>
    <w:rsid w:val="683055A2"/>
    <w:rsid w:val="683138AD"/>
    <w:rsid w:val="683230C8"/>
    <w:rsid w:val="68330BEE"/>
    <w:rsid w:val="68331B39"/>
    <w:rsid w:val="6833299C"/>
    <w:rsid w:val="68336E40"/>
    <w:rsid w:val="683414C4"/>
    <w:rsid w:val="683475A8"/>
    <w:rsid w:val="68354966"/>
    <w:rsid w:val="6835615A"/>
    <w:rsid w:val="68370489"/>
    <w:rsid w:val="68383780"/>
    <w:rsid w:val="683845FB"/>
    <w:rsid w:val="68392003"/>
    <w:rsid w:val="683A1F7D"/>
    <w:rsid w:val="683A2940"/>
    <w:rsid w:val="683A3A89"/>
    <w:rsid w:val="683B5706"/>
    <w:rsid w:val="683C32AB"/>
    <w:rsid w:val="683C4805"/>
    <w:rsid w:val="683D085A"/>
    <w:rsid w:val="683D7B7F"/>
    <w:rsid w:val="683E75F2"/>
    <w:rsid w:val="683F0A82"/>
    <w:rsid w:val="683F1D16"/>
    <w:rsid w:val="683F2B36"/>
    <w:rsid w:val="683F2D3D"/>
    <w:rsid w:val="68400FF0"/>
    <w:rsid w:val="68406D67"/>
    <w:rsid w:val="68414CB9"/>
    <w:rsid w:val="684150B9"/>
    <w:rsid w:val="68420E31"/>
    <w:rsid w:val="684305CC"/>
    <w:rsid w:val="68430F75"/>
    <w:rsid w:val="684352D5"/>
    <w:rsid w:val="68435627"/>
    <w:rsid w:val="6844104D"/>
    <w:rsid w:val="6844387B"/>
    <w:rsid w:val="684474B4"/>
    <w:rsid w:val="6844766A"/>
    <w:rsid w:val="6844781F"/>
    <w:rsid w:val="684479D5"/>
    <w:rsid w:val="68447B8A"/>
    <w:rsid w:val="6845661E"/>
    <w:rsid w:val="68456C28"/>
    <w:rsid w:val="68456D9A"/>
    <w:rsid w:val="68457149"/>
    <w:rsid w:val="684626D0"/>
    <w:rsid w:val="68464643"/>
    <w:rsid w:val="68476448"/>
    <w:rsid w:val="684921C0"/>
    <w:rsid w:val="68492FC4"/>
    <w:rsid w:val="684A6664"/>
    <w:rsid w:val="684B1305"/>
    <w:rsid w:val="684B131B"/>
    <w:rsid w:val="684B23DC"/>
    <w:rsid w:val="684D3A5E"/>
    <w:rsid w:val="684D7F02"/>
    <w:rsid w:val="684E5A28"/>
    <w:rsid w:val="684F0618"/>
    <w:rsid w:val="684F1A04"/>
    <w:rsid w:val="684F3C7A"/>
    <w:rsid w:val="685221B2"/>
    <w:rsid w:val="685226D3"/>
    <w:rsid w:val="68522F5F"/>
    <w:rsid w:val="6852376A"/>
    <w:rsid w:val="685257B7"/>
    <w:rsid w:val="68527B40"/>
    <w:rsid w:val="6853303E"/>
    <w:rsid w:val="685334A7"/>
    <w:rsid w:val="68537862"/>
    <w:rsid w:val="685400D7"/>
    <w:rsid w:val="68555008"/>
    <w:rsid w:val="68570D81"/>
    <w:rsid w:val="6857205C"/>
    <w:rsid w:val="68572309"/>
    <w:rsid w:val="68576624"/>
    <w:rsid w:val="6859149D"/>
    <w:rsid w:val="685C0145"/>
    <w:rsid w:val="685C4FD3"/>
    <w:rsid w:val="685D0811"/>
    <w:rsid w:val="685D09D5"/>
    <w:rsid w:val="685D2652"/>
    <w:rsid w:val="685D445E"/>
    <w:rsid w:val="685F19E3"/>
    <w:rsid w:val="685F692B"/>
    <w:rsid w:val="685F7C35"/>
    <w:rsid w:val="6860298C"/>
    <w:rsid w:val="68603915"/>
    <w:rsid w:val="6860573C"/>
    <w:rsid w:val="68610A2F"/>
    <w:rsid w:val="6861161A"/>
    <w:rsid w:val="68613F4D"/>
    <w:rsid w:val="68620A27"/>
    <w:rsid w:val="68623328"/>
    <w:rsid w:val="68623356"/>
    <w:rsid w:val="6863673C"/>
    <w:rsid w:val="6864130D"/>
    <w:rsid w:val="686455DF"/>
    <w:rsid w:val="68646C6B"/>
    <w:rsid w:val="68646FFA"/>
    <w:rsid w:val="68647BCC"/>
    <w:rsid w:val="6865105C"/>
    <w:rsid w:val="68651CBB"/>
    <w:rsid w:val="6865279D"/>
    <w:rsid w:val="68663082"/>
    <w:rsid w:val="686750BD"/>
    <w:rsid w:val="68680898"/>
    <w:rsid w:val="68681D2D"/>
    <w:rsid w:val="68682EB7"/>
    <w:rsid w:val="68684D3C"/>
    <w:rsid w:val="68686AEA"/>
    <w:rsid w:val="686925AE"/>
    <w:rsid w:val="68692862"/>
    <w:rsid w:val="68694064"/>
    <w:rsid w:val="686A0AB4"/>
    <w:rsid w:val="686A3E9C"/>
    <w:rsid w:val="686A4703"/>
    <w:rsid w:val="686A789A"/>
    <w:rsid w:val="686B0388"/>
    <w:rsid w:val="686B2811"/>
    <w:rsid w:val="686B4ECE"/>
    <w:rsid w:val="686B6273"/>
    <w:rsid w:val="686C2500"/>
    <w:rsid w:val="686C3925"/>
    <w:rsid w:val="686C635E"/>
    <w:rsid w:val="686C6CDB"/>
    <w:rsid w:val="686C7A9F"/>
    <w:rsid w:val="686D2352"/>
    <w:rsid w:val="686D4100"/>
    <w:rsid w:val="686D4300"/>
    <w:rsid w:val="686E384F"/>
    <w:rsid w:val="686E45E4"/>
    <w:rsid w:val="686E4657"/>
    <w:rsid w:val="686F2EFB"/>
    <w:rsid w:val="686F5A3D"/>
    <w:rsid w:val="686F60CA"/>
    <w:rsid w:val="6870082D"/>
    <w:rsid w:val="68701E42"/>
    <w:rsid w:val="68703350"/>
    <w:rsid w:val="68703BF0"/>
    <w:rsid w:val="6870599E"/>
    <w:rsid w:val="687078B0"/>
    <w:rsid w:val="68710AB1"/>
    <w:rsid w:val="68713911"/>
    <w:rsid w:val="68715612"/>
    <w:rsid w:val="687234C5"/>
    <w:rsid w:val="68725BBA"/>
    <w:rsid w:val="687276DB"/>
    <w:rsid w:val="68741645"/>
    <w:rsid w:val="687436E1"/>
    <w:rsid w:val="6874548F"/>
    <w:rsid w:val="68752FB5"/>
    <w:rsid w:val="68757459"/>
    <w:rsid w:val="687601B4"/>
    <w:rsid w:val="68774BB2"/>
    <w:rsid w:val="68790962"/>
    <w:rsid w:val="68790CF7"/>
    <w:rsid w:val="68790F6F"/>
    <w:rsid w:val="687940A2"/>
    <w:rsid w:val="687B38FA"/>
    <w:rsid w:val="687C07E7"/>
    <w:rsid w:val="687C0A24"/>
    <w:rsid w:val="687C2595"/>
    <w:rsid w:val="687C43B7"/>
    <w:rsid w:val="687C5B87"/>
    <w:rsid w:val="687D1CB4"/>
    <w:rsid w:val="687E00BB"/>
    <w:rsid w:val="687E1273"/>
    <w:rsid w:val="687E3344"/>
    <w:rsid w:val="687E7195"/>
    <w:rsid w:val="687F7D8D"/>
    <w:rsid w:val="68802085"/>
    <w:rsid w:val="68805514"/>
    <w:rsid w:val="68805C64"/>
    <w:rsid w:val="688078CF"/>
    <w:rsid w:val="68810835"/>
    <w:rsid w:val="68815DFE"/>
    <w:rsid w:val="68820F2E"/>
    <w:rsid w:val="68821CC5"/>
    <w:rsid w:val="68823701"/>
    <w:rsid w:val="68833155"/>
    <w:rsid w:val="68834BBC"/>
    <w:rsid w:val="688356D2"/>
    <w:rsid w:val="68835D26"/>
    <w:rsid w:val="6884144A"/>
    <w:rsid w:val="6884575B"/>
    <w:rsid w:val="688558EE"/>
    <w:rsid w:val="68863217"/>
    <w:rsid w:val="68866C5F"/>
    <w:rsid w:val="6887315E"/>
    <w:rsid w:val="688746A7"/>
    <w:rsid w:val="68875B37"/>
    <w:rsid w:val="68876DEC"/>
    <w:rsid w:val="68890457"/>
    <w:rsid w:val="68890DEB"/>
    <w:rsid w:val="68891BED"/>
    <w:rsid w:val="6889493F"/>
    <w:rsid w:val="688A2F04"/>
    <w:rsid w:val="688B0A2A"/>
    <w:rsid w:val="688B4586"/>
    <w:rsid w:val="688C0AE5"/>
    <w:rsid w:val="688C6EEE"/>
    <w:rsid w:val="688D02FE"/>
    <w:rsid w:val="688D19A9"/>
    <w:rsid w:val="688D5F6E"/>
    <w:rsid w:val="688D6550"/>
    <w:rsid w:val="688E0268"/>
    <w:rsid w:val="688E1DCF"/>
    <w:rsid w:val="688E4077"/>
    <w:rsid w:val="688F051A"/>
    <w:rsid w:val="688F27DB"/>
    <w:rsid w:val="689026E2"/>
    <w:rsid w:val="68904F69"/>
    <w:rsid w:val="68906041"/>
    <w:rsid w:val="68906E9A"/>
    <w:rsid w:val="6891104D"/>
    <w:rsid w:val="68921DB9"/>
    <w:rsid w:val="6892319E"/>
    <w:rsid w:val="68923B67"/>
    <w:rsid w:val="689306AB"/>
    <w:rsid w:val="68931DBB"/>
    <w:rsid w:val="6894168D"/>
    <w:rsid w:val="68945B31"/>
    <w:rsid w:val="68946A02"/>
    <w:rsid w:val="68953657"/>
    <w:rsid w:val="68955405"/>
    <w:rsid w:val="6897319C"/>
    <w:rsid w:val="689749AF"/>
    <w:rsid w:val="68975621"/>
    <w:rsid w:val="6897705B"/>
    <w:rsid w:val="689773CF"/>
    <w:rsid w:val="68983EEB"/>
    <w:rsid w:val="6898597D"/>
    <w:rsid w:val="68993147"/>
    <w:rsid w:val="68997F4C"/>
    <w:rsid w:val="689A0C6D"/>
    <w:rsid w:val="689A2A1B"/>
    <w:rsid w:val="689C49E5"/>
    <w:rsid w:val="689C5636"/>
    <w:rsid w:val="689C6793"/>
    <w:rsid w:val="689D149E"/>
    <w:rsid w:val="689D535F"/>
    <w:rsid w:val="689D60BA"/>
    <w:rsid w:val="689D73CB"/>
    <w:rsid w:val="689E42BA"/>
    <w:rsid w:val="689E7D5D"/>
    <w:rsid w:val="689F14E3"/>
    <w:rsid w:val="68A044D6"/>
    <w:rsid w:val="68A052AF"/>
    <w:rsid w:val="68A1024E"/>
    <w:rsid w:val="68A166DE"/>
    <w:rsid w:val="68A235FA"/>
    <w:rsid w:val="68A35D74"/>
    <w:rsid w:val="68A47536"/>
    <w:rsid w:val="68A51AEC"/>
    <w:rsid w:val="68A610C0"/>
    <w:rsid w:val="68A613C0"/>
    <w:rsid w:val="68A65864"/>
    <w:rsid w:val="68A660EC"/>
    <w:rsid w:val="68A815DC"/>
    <w:rsid w:val="68A839E0"/>
    <w:rsid w:val="68A90BC0"/>
    <w:rsid w:val="68A90D75"/>
    <w:rsid w:val="68AA0EB0"/>
    <w:rsid w:val="68AA7FC8"/>
    <w:rsid w:val="68AB231B"/>
    <w:rsid w:val="68AB4314"/>
    <w:rsid w:val="68AB69D7"/>
    <w:rsid w:val="68AB7066"/>
    <w:rsid w:val="68AD3894"/>
    <w:rsid w:val="68AE07E8"/>
    <w:rsid w:val="68AF3ACE"/>
    <w:rsid w:val="68AF64C7"/>
    <w:rsid w:val="68B0223F"/>
    <w:rsid w:val="68B166E3"/>
    <w:rsid w:val="68B23982"/>
    <w:rsid w:val="68B24209"/>
    <w:rsid w:val="68B26F25"/>
    <w:rsid w:val="68B36970"/>
    <w:rsid w:val="68B410F4"/>
    <w:rsid w:val="68B41D2F"/>
    <w:rsid w:val="68B43ADD"/>
    <w:rsid w:val="68B47F81"/>
    <w:rsid w:val="68B6109F"/>
    <w:rsid w:val="68B664DF"/>
    <w:rsid w:val="68B735CD"/>
    <w:rsid w:val="68B8254A"/>
    <w:rsid w:val="68B825F0"/>
    <w:rsid w:val="68B83318"/>
    <w:rsid w:val="68B84965"/>
    <w:rsid w:val="68B97345"/>
    <w:rsid w:val="68BA47DA"/>
    <w:rsid w:val="68BA4E6C"/>
    <w:rsid w:val="68BA559D"/>
    <w:rsid w:val="68BB130F"/>
    <w:rsid w:val="68BB30BE"/>
    <w:rsid w:val="68BB5E0A"/>
    <w:rsid w:val="68BC0BE4"/>
    <w:rsid w:val="68BC5088"/>
    <w:rsid w:val="68BD21B8"/>
    <w:rsid w:val="68BE2BAE"/>
    <w:rsid w:val="68BE670A"/>
    <w:rsid w:val="68BF42E3"/>
    <w:rsid w:val="68C0052B"/>
    <w:rsid w:val="68C018EC"/>
    <w:rsid w:val="68C030F7"/>
    <w:rsid w:val="68C04838"/>
    <w:rsid w:val="68C0675C"/>
    <w:rsid w:val="68C1269E"/>
    <w:rsid w:val="68C161FA"/>
    <w:rsid w:val="68C2052A"/>
    <w:rsid w:val="68C217C3"/>
    <w:rsid w:val="68C301C4"/>
    <w:rsid w:val="68C3052F"/>
    <w:rsid w:val="68C42F08"/>
    <w:rsid w:val="68C42F9F"/>
    <w:rsid w:val="68C44E21"/>
    <w:rsid w:val="68C55CEA"/>
    <w:rsid w:val="68C61A62"/>
    <w:rsid w:val="68C73C43"/>
    <w:rsid w:val="68C74A62"/>
    <w:rsid w:val="68C761F5"/>
    <w:rsid w:val="68C83273"/>
    <w:rsid w:val="68C835DF"/>
    <w:rsid w:val="68C8394A"/>
    <w:rsid w:val="68C83A2C"/>
    <w:rsid w:val="68C857DA"/>
    <w:rsid w:val="68C87EC4"/>
    <w:rsid w:val="68CA3301"/>
    <w:rsid w:val="68CA50AF"/>
    <w:rsid w:val="68CA77A4"/>
    <w:rsid w:val="68CB0B93"/>
    <w:rsid w:val="68CB0E27"/>
    <w:rsid w:val="68CB6608"/>
    <w:rsid w:val="68CB7079"/>
    <w:rsid w:val="68CC29D3"/>
    <w:rsid w:val="68CC52CB"/>
    <w:rsid w:val="68CD06E2"/>
    <w:rsid w:val="68CE384C"/>
    <w:rsid w:val="68CE4C1B"/>
    <w:rsid w:val="68CE52AA"/>
    <w:rsid w:val="68CE58C7"/>
    <w:rsid w:val="68CF0917"/>
    <w:rsid w:val="68CF175C"/>
    <w:rsid w:val="68CF3970"/>
    <w:rsid w:val="68CF4DBB"/>
    <w:rsid w:val="68CF6B69"/>
    <w:rsid w:val="68CF6B8B"/>
    <w:rsid w:val="68D02BEC"/>
    <w:rsid w:val="68D20407"/>
    <w:rsid w:val="68D221B5"/>
    <w:rsid w:val="68D26659"/>
    <w:rsid w:val="68D300DD"/>
    <w:rsid w:val="68D32582"/>
    <w:rsid w:val="68D423D1"/>
    <w:rsid w:val="68D4417F"/>
    <w:rsid w:val="68D51CA5"/>
    <w:rsid w:val="68D57C80"/>
    <w:rsid w:val="68D639EB"/>
    <w:rsid w:val="68D66149"/>
    <w:rsid w:val="68D75A1D"/>
    <w:rsid w:val="68D77169"/>
    <w:rsid w:val="68D85DA0"/>
    <w:rsid w:val="68D92CCD"/>
    <w:rsid w:val="68D93544"/>
    <w:rsid w:val="68DA02F9"/>
    <w:rsid w:val="68DA62BB"/>
    <w:rsid w:val="68DB3B29"/>
    <w:rsid w:val="68DC1286"/>
    <w:rsid w:val="68DC28D0"/>
    <w:rsid w:val="68DC4DE2"/>
    <w:rsid w:val="68DC76D5"/>
    <w:rsid w:val="68DD3D60"/>
    <w:rsid w:val="68DE6DAC"/>
    <w:rsid w:val="68DE7015"/>
    <w:rsid w:val="68DE7709"/>
    <w:rsid w:val="68DF2DE3"/>
    <w:rsid w:val="68E026E1"/>
    <w:rsid w:val="68E02B24"/>
    <w:rsid w:val="68E136C0"/>
    <w:rsid w:val="68E13B71"/>
    <w:rsid w:val="68E1689C"/>
    <w:rsid w:val="68E24AEE"/>
    <w:rsid w:val="68E27B13"/>
    <w:rsid w:val="68E32614"/>
    <w:rsid w:val="68E343C2"/>
    <w:rsid w:val="68E36170"/>
    <w:rsid w:val="68E50904"/>
    <w:rsid w:val="68E51EE8"/>
    <w:rsid w:val="68E53959"/>
    <w:rsid w:val="68E54AD9"/>
    <w:rsid w:val="68E63EB3"/>
    <w:rsid w:val="68E64EB0"/>
    <w:rsid w:val="68E651A2"/>
    <w:rsid w:val="68E66553"/>
    <w:rsid w:val="68E67574"/>
    <w:rsid w:val="68E67B57"/>
    <w:rsid w:val="68E7605B"/>
    <w:rsid w:val="68E76769"/>
    <w:rsid w:val="68E819D9"/>
    <w:rsid w:val="68E819F6"/>
    <w:rsid w:val="68E87C2B"/>
    <w:rsid w:val="68E95132"/>
    <w:rsid w:val="68EA39A3"/>
    <w:rsid w:val="68EA6364"/>
    <w:rsid w:val="68EB0BB9"/>
    <w:rsid w:val="68EC6827"/>
    <w:rsid w:val="68EC771B"/>
    <w:rsid w:val="68ED1D4D"/>
    <w:rsid w:val="68ED2114"/>
    <w:rsid w:val="68ED3493"/>
    <w:rsid w:val="68EF0FB9"/>
    <w:rsid w:val="68EF4B15"/>
    <w:rsid w:val="68F04F40"/>
    <w:rsid w:val="68F100AB"/>
    <w:rsid w:val="68F14D31"/>
    <w:rsid w:val="68F16ADF"/>
    <w:rsid w:val="68F20AA9"/>
    <w:rsid w:val="68F22857"/>
    <w:rsid w:val="68F27CB8"/>
    <w:rsid w:val="68F4217F"/>
    <w:rsid w:val="68F56279"/>
    <w:rsid w:val="68F611E1"/>
    <w:rsid w:val="68F75FCA"/>
    <w:rsid w:val="68F77E6E"/>
    <w:rsid w:val="68F90689"/>
    <w:rsid w:val="68F93BE6"/>
    <w:rsid w:val="68F95994"/>
    <w:rsid w:val="68FA5C0E"/>
    <w:rsid w:val="68FB0012"/>
    <w:rsid w:val="68FB170C"/>
    <w:rsid w:val="68FB24A1"/>
    <w:rsid w:val="68FB50F2"/>
    <w:rsid w:val="68FB5BB0"/>
    <w:rsid w:val="68FB72E9"/>
    <w:rsid w:val="68FB795E"/>
    <w:rsid w:val="68FD788A"/>
    <w:rsid w:val="68FE11FC"/>
    <w:rsid w:val="68FE74B6"/>
    <w:rsid w:val="69001CCB"/>
    <w:rsid w:val="690031C6"/>
    <w:rsid w:val="69006D22"/>
    <w:rsid w:val="690070AC"/>
    <w:rsid w:val="690124F7"/>
    <w:rsid w:val="69012A9A"/>
    <w:rsid w:val="690141C8"/>
    <w:rsid w:val="69017A66"/>
    <w:rsid w:val="69020CEC"/>
    <w:rsid w:val="690245EB"/>
    <w:rsid w:val="69033868"/>
    <w:rsid w:val="69034209"/>
    <w:rsid w:val="69036813"/>
    <w:rsid w:val="690427A2"/>
    <w:rsid w:val="690507DD"/>
    <w:rsid w:val="690600B1"/>
    <w:rsid w:val="690643FC"/>
    <w:rsid w:val="69077DF7"/>
    <w:rsid w:val="6908207B"/>
    <w:rsid w:val="69083E29"/>
    <w:rsid w:val="690861D7"/>
    <w:rsid w:val="69086D1C"/>
    <w:rsid w:val="69097AB8"/>
    <w:rsid w:val="690A11E7"/>
    <w:rsid w:val="690A7BA1"/>
    <w:rsid w:val="690B0DF4"/>
    <w:rsid w:val="690C026E"/>
    <w:rsid w:val="690C1B6B"/>
    <w:rsid w:val="690C25CA"/>
    <w:rsid w:val="690D2242"/>
    <w:rsid w:val="690D42CF"/>
    <w:rsid w:val="690D7691"/>
    <w:rsid w:val="690E2B8E"/>
    <w:rsid w:val="690E575F"/>
    <w:rsid w:val="690F2703"/>
    <w:rsid w:val="690F5047"/>
    <w:rsid w:val="690F6F65"/>
    <w:rsid w:val="6911310C"/>
    <w:rsid w:val="69124CA8"/>
    <w:rsid w:val="69132EFA"/>
    <w:rsid w:val="691415D1"/>
    <w:rsid w:val="69147E90"/>
    <w:rsid w:val="69151573"/>
    <w:rsid w:val="691602F4"/>
    <w:rsid w:val="69164798"/>
    <w:rsid w:val="69166546"/>
    <w:rsid w:val="69171D2E"/>
    <w:rsid w:val="6918352F"/>
    <w:rsid w:val="69196036"/>
    <w:rsid w:val="69197DE4"/>
    <w:rsid w:val="691A4ED6"/>
    <w:rsid w:val="691B0000"/>
    <w:rsid w:val="691B1DAE"/>
    <w:rsid w:val="691B26A9"/>
    <w:rsid w:val="691B3B5C"/>
    <w:rsid w:val="691B47B7"/>
    <w:rsid w:val="691D3136"/>
    <w:rsid w:val="691E189E"/>
    <w:rsid w:val="691E364C"/>
    <w:rsid w:val="69201173"/>
    <w:rsid w:val="69204FAB"/>
    <w:rsid w:val="692073C4"/>
    <w:rsid w:val="69216C99"/>
    <w:rsid w:val="69217673"/>
    <w:rsid w:val="6922138F"/>
    <w:rsid w:val="69221585"/>
    <w:rsid w:val="69222AC7"/>
    <w:rsid w:val="6922313D"/>
    <w:rsid w:val="69223BD5"/>
    <w:rsid w:val="69224EEB"/>
    <w:rsid w:val="69227F69"/>
    <w:rsid w:val="69230C63"/>
    <w:rsid w:val="69233924"/>
    <w:rsid w:val="69247670"/>
    <w:rsid w:val="69252C2D"/>
    <w:rsid w:val="692622A5"/>
    <w:rsid w:val="69265FDA"/>
    <w:rsid w:val="69270753"/>
    <w:rsid w:val="69272501"/>
    <w:rsid w:val="69273FD9"/>
    <w:rsid w:val="69280027"/>
    <w:rsid w:val="692809E9"/>
    <w:rsid w:val="69280ED7"/>
    <w:rsid w:val="69282CD8"/>
    <w:rsid w:val="692854C5"/>
    <w:rsid w:val="6928618E"/>
    <w:rsid w:val="69286279"/>
    <w:rsid w:val="692A0243"/>
    <w:rsid w:val="692A1FF1"/>
    <w:rsid w:val="692B60C8"/>
    <w:rsid w:val="692C0E45"/>
    <w:rsid w:val="692C4784"/>
    <w:rsid w:val="692C5D69"/>
    <w:rsid w:val="692C7B17"/>
    <w:rsid w:val="692C7FE1"/>
    <w:rsid w:val="692D388F"/>
    <w:rsid w:val="692D4B35"/>
    <w:rsid w:val="692E23BD"/>
    <w:rsid w:val="692E7D33"/>
    <w:rsid w:val="692F49B1"/>
    <w:rsid w:val="692F7608"/>
    <w:rsid w:val="693043F2"/>
    <w:rsid w:val="69304458"/>
    <w:rsid w:val="693115D2"/>
    <w:rsid w:val="69313380"/>
    <w:rsid w:val="69316E2F"/>
    <w:rsid w:val="693231EF"/>
    <w:rsid w:val="69325074"/>
    <w:rsid w:val="6933534A"/>
    <w:rsid w:val="69335730"/>
    <w:rsid w:val="693370F8"/>
    <w:rsid w:val="693410C2"/>
    <w:rsid w:val="693469CC"/>
    <w:rsid w:val="69346F3E"/>
    <w:rsid w:val="69356FC7"/>
    <w:rsid w:val="6937322A"/>
    <w:rsid w:val="6937496B"/>
    <w:rsid w:val="6938724E"/>
    <w:rsid w:val="69390648"/>
    <w:rsid w:val="6939071B"/>
    <w:rsid w:val="69391E5C"/>
    <w:rsid w:val="69393649"/>
    <w:rsid w:val="6939728B"/>
    <w:rsid w:val="693B41FE"/>
    <w:rsid w:val="693C476F"/>
    <w:rsid w:val="693C5C0C"/>
    <w:rsid w:val="693C6044"/>
    <w:rsid w:val="693C6565"/>
    <w:rsid w:val="693D1C6D"/>
    <w:rsid w:val="693D1D24"/>
    <w:rsid w:val="693D530D"/>
    <w:rsid w:val="693E2E18"/>
    <w:rsid w:val="693E5A9D"/>
    <w:rsid w:val="693E784B"/>
    <w:rsid w:val="693F54AB"/>
    <w:rsid w:val="69407A67"/>
    <w:rsid w:val="694110E9"/>
    <w:rsid w:val="694145F4"/>
    <w:rsid w:val="6942033D"/>
    <w:rsid w:val="69421A7E"/>
    <w:rsid w:val="69424C47"/>
    <w:rsid w:val="6942558D"/>
    <w:rsid w:val="6942733B"/>
    <w:rsid w:val="69431305"/>
    <w:rsid w:val="694320DB"/>
    <w:rsid w:val="694330B3"/>
    <w:rsid w:val="69434E61"/>
    <w:rsid w:val="69435ADF"/>
    <w:rsid w:val="69435DD0"/>
    <w:rsid w:val="694439A8"/>
    <w:rsid w:val="6944439E"/>
    <w:rsid w:val="69446F6F"/>
    <w:rsid w:val="69456CBE"/>
    <w:rsid w:val="694614B9"/>
    <w:rsid w:val="69461D16"/>
    <w:rsid w:val="6946402E"/>
    <w:rsid w:val="69473EC2"/>
    <w:rsid w:val="694806C9"/>
    <w:rsid w:val="69480791"/>
    <w:rsid w:val="69482477"/>
    <w:rsid w:val="694841AF"/>
    <w:rsid w:val="694846F6"/>
    <w:rsid w:val="6949237B"/>
    <w:rsid w:val="6949691B"/>
    <w:rsid w:val="69497E83"/>
    <w:rsid w:val="694A4441"/>
    <w:rsid w:val="694A61EF"/>
    <w:rsid w:val="694B17AD"/>
    <w:rsid w:val="694B1F6D"/>
    <w:rsid w:val="694B5529"/>
    <w:rsid w:val="694B7F95"/>
    <w:rsid w:val="694C01BA"/>
    <w:rsid w:val="694C025D"/>
    <w:rsid w:val="694C640B"/>
    <w:rsid w:val="694D6B91"/>
    <w:rsid w:val="694D7A8E"/>
    <w:rsid w:val="694E2071"/>
    <w:rsid w:val="694F1FD8"/>
    <w:rsid w:val="694F3806"/>
    <w:rsid w:val="694F4F20"/>
    <w:rsid w:val="694F7CAA"/>
    <w:rsid w:val="69513A22"/>
    <w:rsid w:val="695153AE"/>
    <w:rsid w:val="695157D0"/>
    <w:rsid w:val="6953415C"/>
    <w:rsid w:val="69540E1C"/>
    <w:rsid w:val="69543E93"/>
    <w:rsid w:val="695452C0"/>
    <w:rsid w:val="69561038"/>
    <w:rsid w:val="69564B94"/>
    <w:rsid w:val="69572814"/>
    <w:rsid w:val="6958090C"/>
    <w:rsid w:val="69583DAB"/>
    <w:rsid w:val="69584DB0"/>
    <w:rsid w:val="695867F5"/>
    <w:rsid w:val="69586B5E"/>
    <w:rsid w:val="695921F4"/>
    <w:rsid w:val="69592462"/>
    <w:rsid w:val="695928D6"/>
    <w:rsid w:val="69596176"/>
    <w:rsid w:val="695B1B20"/>
    <w:rsid w:val="695B21AB"/>
    <w:rsid w:val="695B3372"/>
    <w:rsid w:val="695B664F"/>
    <w:rsid w:val="695D3D9F"/>
    <w:rsid w:val="695D4175"/>
    <w:rsid w:val="695E0269"/>
    <w:rsid w:val="695E63A5"/>
    <w:rsid w:val="69603C65"/>
    <w:rsid w:val="696077C1"/>
    <w:rsid w:val="69630DB6"/>
    <w:rsid w:val="69631B29"/>
    <w:rsid w:val="69634087"/>
    <w:rsid w:val="69635503"/>
    <w:rsid w:val="6965127B"/>
    <w:rsid w:val="69651D4F"/>
    <w:rsid w:val="69652C31"/>
    <w:rsid w:val="69652E6E"/>
    <w:rsid w:val="69661343"/>
    <w:rsid w:val="696642AC"/>
    <w:rsid w:val="69673FE6"/>
    <w:rsid w:val="69674B91"/>
    <w:rsid w:val="696838FF"/>
    <w:rsid w:val="696848C8"/>
    <w:rsid w:val="69684B6A"/>
    <w:rsid w:val="69687931"/>
    <w:rsid w:val="69690D6B"/>
    <w:rsid w:val="696955A1"/>
    <w:rsid w:val="69696287"/>
    <w:rsid w:val="696A0640"/>
    <w:rsid w:val="696A52DB"/>
    <w:rsid w:val="696A74A0"/>
    <w:rsid w:val="696B1EA1"/>
    <w:rsid w:val="696C085C"/>
    <w:rsid w:val="696C40C9"/>
    <w:rsid w:val="696C43B8"/>
    <w:rsid w:val="696D1EDE"/>
    <w:rsid w:val="696D2F12"/>
    <w:rsid w:val="696D4A39"/>
    <w:rsid w:val="696E6382"/>
    <w:rsid w:val="696F15A9"/>
    <w:rsid w:val="696F2401"/>
    <w:rsid w:val="696F3EA8"/>
    <w:rsid w:val="69707187"/>
    <w:rsid w:val="697119CE"/>
    <w:rsid w:val="69715E72"/>
    <w:rsid w:val="697176A5"/>
    <w:rsid w:val="697251FF"/>
    <w:rsid w:val="69727081"/>
    <w:rsid w:val="6972741B"/>
    <w:rsid w:val="697274F4"/>
    <w:rsid w:val="69727678"/>
    <w:rsid w:val="69733262"/>
    <w:rsid w:val="6973347C"/>
    <w:rsid w:val="6974490C"/>
    <w:rsid w:val="697459BD"/>
    <w:rsid w:val="69747710"/>
    <w:rsid w:val="69750E54"/>
    <w:rsid w:val="697531CB"/>
    <w:rsid w:val="69754956"/>
    <w:rsid w:val="69755D9C"/>
    <w:rsid w:val="69756720"/>
    <w:rsid w:val="69760324"/>
    <w:rsid w:val="6976147B"/>
    <w:rsid w:val="69765236"/>
    <w:rsid w:val="69766163"/>
    <w:rsid w:val="69766FE4"/>
    <w:rsid w:val="69767E03"/>
    <w:rsid w:val="69767FB8"/>
    <w:rsid w:val="69774CFC"/>
    <w:rsid w:val="6979471D"/>
    <w:rsid w:val="69796AD5"/>
    <w:rsid w:val="697A2F79"/>
    <w:rsid w:val="697A3B33"/>
    <w:rsid w:val="697B0A9F"/>
    <w:rsid w:val="697B284D"/>
    <w:rsid w:val="697B3058"/>
    <w:rsid w:val="697D65C5"/>
    <w:rsid w:val="697E1A78"/>
    <w:rsid w:val="697E2C30"/>
    <w:rsid w:val="697F233D"/>
    <w:rsid w:val="697F2B98"/>
    <w:rsid w:val="697F2DBD"/>
    <w:rsid w:val="697F4E90"/>
    <w:rsid w:val="697F5E1B"/>
    <w:rsid w:val="69801C11"/>
    <w:rsid w:val="698060B5"/>
    <w:rsid w:val="69815588"/>
    <w:rsid w:val="69815A80"/>
    <w:rsid w:val="69824631"/>
    <w:rsid w:val="69825989"/>
    <w:rsid w:val="69831701"/>
    <w:rsid w:val="69845BA5"/>
    <w:rsid w:val="69852CC0"/>
    <w:rsid w:val="69855479"/>
    <w:rsid w:val="69865729"/>
    <w:rsid w:val="69865968"/>
    <w:rsid w:val="69866D21"/>
    <w:rsid w:val="69875FB0"/>
    <w:rsid w:val="69886D18"/>
    <w:rsid w:val="698931BC"/>
    <w:rsid w:val="698960C3"/>
    <w:rsid w:val="698A058E"/>
    <w:rsid w:val="698A12E2"/>
    <w:rsid w:val="698A2CDF"/>
    <w:rsid w:val="698A3417"/>
    <w:rsid w:val="698B155E"/>
    <w:rsid w:val="698B7FC2"/>
    <w:rsid w:val="698C5B83"/>
    <w:rsid w:val="698E1D54"/>
    <w:rsid w:val="698E432E"/>
    <w:rsid w:val="698E67D5"/>
    <w:rsid w:val="698F0050"/>
    <w:rsid w:val="698F6943"/>
    <w:rsid w:val="698F6991"/>
    <w:rsid w:val="698F6E42"/>
    <w:rsid w:val="69903460"/>
    <w:rsid w:val="6990454A"/>
    <w:rsid w:val="699102C2"/>
    <w:rsid w:val="69925649"/>
    <w:rsid w:val="6993044A"/>
    <w:rsid w:val="69933059"/>
    <w:rsid w:val="699346E7"/>
    <w:rsid w:val="69936754"/>
    <w:rsid w:val="6994390F"/>
    <w:rsid w:val="699479CE"/>
    <w:rsid w:val="69951B60"/>
    <w:rsid w:val="699527B5"/>
    <w:rsid w:val="69955974"/>
    <w:rsid w:val="699727DB"/>
    <w:rsid w:val="69975CFE"/>
    <w:rsid w:val="699833FF"/>
    <w:rsid w:val="699851AD"/>
    <w:rsid w:val="69992CD3"/>
    <w:rsid w:val="69995197"/>
    <w:rsid w:val="699A3A56"/>
    <w:rsid w:val="699A7177"/>
    <w:rsid w:val="699B4C9D"/>
    <w:rsid w:val="699B6A4B"/>
    <w:rsid w:val="699D09D8"/>
    <w:rsid w:val="699D27C3"/>
    <w:rsid w:val="699D69AF"/>
    <w:rsid w:val="699E645C"/>
    <w:rsid w:val="699E7743"/>
    <w:rsid w:val="699F2FC7"/>
    <w:rsid w:val="69A0147D"/>
    <w:rsid w:val="69A021B3"/>
    <w:rsid w:val="69A10851"/>
    <w:rsid w:val="69A176AB"/>
    <w:rsid w:val="69A221DB"/>
    <w:rsid w:val="69A22391"/>
    <w:rsid w:val="69A2427D"/>
    <w:rsid w:val="69A26638"/>
    <w:rsid w:val="69A27DD9"/>
    <w:rsid w:val="69A41627"/>
    <w:rsid w:val="69A41DA4"/>
    <w:rsid w:val="69A45BAC"/>
    <w:rsid w:val="69A47FF6"/>
    <w:rsid w:val="69A53E97"/>
    <w:rsid w:val="69A71894"/>
    <w:rsid w:val="69A753F0"/>
    <w:rsid w:val="69A7605A"/>
    <w:rsid w:val="69A81B1E"/>
    <w:rsid w:val="69A87392"/>
    <w:rsid w:val="69A9560C"/>
    <w:rsid w:val="69A973BA"/>
    <w:rsid w:val="69AA0EE6"/>
    <w:rsid w:val="69AA1187"/>
    <w:rsid w:val="69AA354B"/>
    <w:rsid w:val="69AA3FF6"/>
    <w:rsid w:val="69AC0C58"/>
    <w:rsid w:val="69AC5898"/>
    <w:rsid w:val="69AC6EAA"/>
    <w:rsid w:val="69AD0B6E"/>
    <w:rsid w:val="69AE1158"/>
    <w:rsid w:val="69AE335C"/>
    <w:rsid w:val="69AE3830"/>
    <w:rsid w:val="69AF1F2D"/>
    <w:rsid w:val="69AF24F6"/>
    <w:rsid w:val="69B048EF"/>
    <w:rsid w:val="69B107BA"/>
    <w:rsid w:val="69B11236"/>
    <w:rsid w:val="69B14E46"/>
    <w:rsid w:val="69B23B9D"/>
    <w:rsid w:val="69B248AE"/>
    <w:rsid w:val="69B27ED3"/>
    <w:rsid w:val="69B418AF"/>
    <w:rsid w:val="69B44A3F"/>
    <w:rsid w:val="69B44F51"/>
    <w:rsid w:val="69B452C5"/>
    <w:rsid w:val="69B61ACA"/>
    <w:rsid w:val="69B67D29"/>
    <w:rsid w:val="69B70A88"/>
    <w:rsid w:val="69B73E6E"/>
    <w:rsid w:val="69B83AA1"/>
    <w:rsid w:val="69B84CD5"/>
    <w:rsid w:val="69B86FDF"/>
    <w:rsid w:val="69B905E2"/>
    <w:rsid w:val="69B95123"/>
    <w:rsid w:val="69BA5C11"/>
    <w:rsid w:val="69BB4951"/>
    <w:rsid w:val="69BB70ED"/>
    <w:rsid w:val="69BD10B7"/>
    <w:rsid w:val="69BE2739"/>
    <w:rsid w:val="69BF098B"/>
    <w:rsid w:val="69C02956"/>
    <w:rsid w:val="69C04704"/>
    <w:rsid w:val="69C064B2"/>
    <w:rsid w:val="69C2047C"/>
    <w:rsid w:val="69C2222A"/>
    <w:rsid w:val="69C243A3"/>
    <w:rsid w:val="69C27F5A"/>
    <w:rsid w:val="69C41894"/>
    <w:rsid w:val="69C441F4"/>
    <w:rsid w:val="69C4757E"/>
    <w:rsid w:val="69C5055B"/>
    <w:rsid w:val="69C62A73"/>
    <w:rsid w:val="69C63B7F"/>
    <w:rsid w:val="69C67F6C"/>
    <w:rsid w:val="69C73CE4"/>
    <w:rsid w:val="69C75B99"/>
    <w:rsid w:val="69C80A80"/>
    <w:rsid w:val="69C86033"/>
    <w:rsid w:val="69C867E5"/>
    <w:rsid w:val="69C9180A"/>
    <w:rsid w:val="69C935B8"/>
    <w:rsid w:val="69C95A2B"/>
    <w:rsid w:val="69C97C69"/>
    <w:rsid w:val="69CA13F4"/>
    <w:rsid w:val="69CA7330"/>
    <w:rsid w:val="69CB059C"/>
    <w:rsid w:val="69CB37D4"/>
    <w:rsid w:val="69CB5582"/>
    <w:rsid w:val="69CB7B83"/>
    <w:rsid w:val="69CC0026"/>
    <w:rsid w:val="69CC3B17"/>
    <w:rsid w:val="69CD64A5"/>
    <w:rsid w:val="69CD6811"/>
    <w:rsid w:val="69CD7761"/>
    <w:rsid w:val="69CD7D75"/>
    <w:rsid w:val="69CE2946"/>
    <w:rsid w:val="69CE5072"/>
    <w:rsid w:val="69CE5517"/>
    <w:rsid w:val="69CF4947"/>
    <w:rsid w:val="69D01A3D"/>
    <w:rsid w:val="69D112C7"/>
    <w:rsid w:val="69D32689"/>
    <w:rsid w:val="69D44760"/>
    <w:rsid w:val="69D501AF"/>
    <w:rsid w:val="69D537A0"/>
    <w:rsid w:val="69D63CA9"/>
    <w:rsid w:val="69D63F27"/>
    <w:rsid w:val="69D656FB"/>
    <w:rsid w:val="69D70050"/>
    <w:rsid w:val="69D72179"/>
    <w:rsid w:val="69D75139"/>
    <w:rsid w:val="69D7551A"/>
    <w:rsid w:val="69D81B09"/>
    <w:rsid w:val="69D87C9F"/>
    <w:rsid w:val="69D95E39"/>
    <w:rsid w:val="69DA16C4"/>
    <w:rsid w:val="69DA7573"/>
    <w:rsid w:val="69DA7F8E"/>
    <w:rsid w:val="69DB150E"/>
    <w:rsid w:val="69DB32EB"/>
    <w:rsid w:val="69DB754E"/>
    <w:rsid w:val="69DC35C8"/>
    <w:rsid w:val="69DD3507"/>
    <w:rsid w:val="69DD7064"/>
    <w:rsid w:val="69DE1E3D"/>
    <w:rsid w:val="69DE4B97"/>
    <w:rsid w:val="69DF102E"/>
    <w:rsid w:val="69DF4B8A"/>
    <w:rsid w:val="69E00902"/>
    <w:rsid w:val="69E0792C"/>
    <w:rsid w:val="69E16412"/>
    <w:rsid w:val="69E314D4"/>
    <w:rsid w:val="69E35A81"/>
    <w:rsid w:val="69E44B6C"/>
    <w:rsid w:val="69E46644"/>
    <w:rsid w:val="69E5416A"/>
    <w:rsid w:val="69E55F18"/>
    <w:rsid w:val="69E57803"/>
    <w:rsid w:val="69E71C90"/>
    <w:rsid w:val="69E76134"/>
    <w:rsid w:val="69E76195"/>
    <w:rsid w:val="69E778CB"/>
    <w:rsid w:val="69E77EE2"/>
    <w:rsid w:val="69E93980"/>
    <w:rsid w:val="69E93B36"/>
    <w:rsid w:val="69E93C5A"/>
    <w:rsid w:val="69EA167D"/>
    <w:rsid w:val="69EA2BD4"/>
    <w:rsid w:val="69EA352F"/>
    <w:rsid w:val="69EA59A1"/>
    <w:rsid w:val="69EB2348"/>
    <w:rsid w:val="69EB79D2"/>
    <w:rsid w:val="69EC374B"/>
    <w:rsid w:val="69EC3E57"/>
    <w:rsid w:val="69EC54F9"/>
    <w:rsid w:val="69EE4AD5"/>
    <w:rsid w:val="69EF1C7F"/>
    <w:rsid w:val="69EF4FC9"/>
    <w:rsid w:val="69EF6B29"/>
    <w:rsid w:val="69EF7D08"/>
    <w:rsid w:val="69F0323B"/>
    <w:rsid w:val="69F04850"/>
    <w:rsid w:val="69F06D97"/>
    <w:rsid w:val="69F148BD"/>
    <w:rsid w:val="69F14D64"/>
    <w:rsid w:val="69F17170"/>
    <w:rsid w:val="69F21D41"/>
    <w:rsid w:val="69F30635"/>
    <w:rsid w:val="69F32F6D"/>
    <w:rsid w:val="69F331D1"/>
    <w:rsid w:val="69F34AD9"/>
    <w:rsid w:val="69F43B0C"/>
    <w:rsid w:val="69F47232"/>
    <w:rsid w:val="69F506C2"/>
    <w:rsid w:val="69F50AB8"/>
    <w:rsid w:val="69F54873"/>
    <w:rsid w:val="69F60125"/>
    <w:rsid w:val="69F6107C"/>
    <w:rsid w:val="69F61ED3"/>
    <w:rsid w:val="69F66377"/>
    <w:rsid w:val="69F71EF6"/>
    <w:rsid w:val="69F764C9"/>
    <w:rsid w:val="69F76BB8"/>
    <w:rsid w:val="69F831FA"/>
    <w:rsid w:val="69F85C4B"/>
    <w:rsid w:val="69F927C8"/>
    <w:rsid w:val="69F951FB"/>
    <w:rsid w:val="69F97043"/>
    <w:rsid w:val="69FA0370"/>
    <w:rsid w:val="69FA33E8"/>
    <w:rsid w:val="69FA5B9F"/>
    <w:rsid w:val="69FA5E67"/>
    <w:rsid w:val="69FA5FB7"/>
    <w:rsid w:val="69FA7C16"/>
    <w:rsid w:val="69FB017C"/>
    <w:rsid w:val="69FB1C3D"/>
    <w:rsid w:val="69FB4534"/>
    <w:rsid w:val="69FB573C"/>
    <w:rsid w:val="69FB772F"/>
    <w:rsid w:val="69FC1BE0"/>
    <w:rsid w:val="69FC662D"/>
    <w:rsid w:val="69FD3262"/>
    <w:rsid w:val="69FD43F4"/>
    <w:rsid w:val="69FD5CAC"/>
    <w:rsid w:val="69FF1774"/>
    <w:rsid w:val="69FF347E"/>
    <w:rsid w:val="69FF3DA6"/>
    <w:rsid w:val="69FF6FDA"/>
    <w:rsid w:val="6A00187E"/>
    <w:rsid w:val="6A0171F6"/>
    <w:rsid w:val="6A02145B"/>
    <w:rsid w:val="6A021836"/>
    <w:rsid w:val="6A026ACA"/>
    <w:rsid w:val="6A032CC6"/>
    <w:rsid w:val="6A040A94"/>
    <w:rsid w:val="6A0501B7"/>
    <w:rsid w:val="6A06480C"/>
    <w:rsid w:val="6A065A1F"/>
    <w:rsid w:val="6A0665BA"/>
    <w:rsid w:val="6A086DE1"/>
    <w:rsid w:val="6A097E59"/>
    <w:rsid w:val="6A0A1458"/>
    <w:rsid w:val="6A0A597F"/>
    <w:rsid w:val="6A0A5D5A"/>
    <w:rsid w:val="6A0B3BD1"/>
    <w:rsid w:val="6A0B4DA2"/>
    <w:rsid w:val="6A0C7949"/>
    <w:rsid w:val="6A0E36C1"/>
    <w:rsid w:val="6A0F5152"/>
    <w:rsid w:val="6A0F6054"/>
    <w:rsid w:val="6A10026E"/>
    <w:rsid w:val="6A1011E7"/>
    <w:rsid w:val="6A102F95"/>
    <w:rsid w:val="6A117255"/>
    <w:rsid w:val="6A1231B1"/>
    <w:rsid w:val="6A127BEA"/>
    <w:rsid w:val="6A130CD7"/>
    <w:rsid w:val="6A136F29"/>
    <w:rsid w:val="6A141B24"/>
    <w:rsid w:val="6A15236B"/>
    <w:rsid w:val="6A1524C6"/>
    <w:rsid w:val="6A152CA1"/>
    <w:rsid w:val="6A154A4F"/>
    <w:rsid w:val="6A161228"/>
    <w:rsid w:val="6A162576"/>
    <w:rsid w:val="6A164324"/>
    <w:rsid w:val="6A16656B"/>
    <w:rsid w:val="6A171F2F"/>
    <w:rsid w:val="6A1732CB"/>
    <w:rsid w:val="6A175853"/>
    <w:rsid w:val="6A183A5C"/>
    <w:rsid w:val="6A190D6A"/>
    <w:rsid w:val="6A191449"/>
    <w:rsid w:val="6A1A1F23"/>
    <w:rsid w:val="6A1A6328"/>
    <w:rsid w:val="6A1A691F"/>
    <w:rsid w:val="6A1B23DD"/>
    <w:rsid w:val="6A1B780C"/>
    <w:rsid w:val="6A1C1E8D"/>
    <w:rsid w:val="6A1D1B56"/>
    <w:rsid w:val="6A1D3ACB"/>
    <w:rsid w:val="6A1D56B2"/>
    <w:rsid w:val="6A1D6AD4"/>
    <w:rsid w:val="6A1F58CE"/>
    <w:rsid w:val="6A20004C"/>
    <w:rsid w:val="6A201030"/>
    <w:rsid w:val="6A2018D7"/>
    <w:rsid w:val="6A203953"/>
    <w:rsid w:val="6A226C4C"/>
    <w:rsid w:val="6A22716C"/>
    <w:rsid w:val="6A2276DF"/>
    <w:rsid w:val="6A230B6F"/>
    <w:rsid w:val="6A233D8C"/>
    <w:rsid w:val="6A237081"/>
    <w:rsid w:val="6A2379A6"/>
    <w:rsid w:val="6A243740"/>
    <w:rsid w:val="6A2442BC"/>
    <w:rsid w:val="6A244C92"/>
    <w:rsid w:val="6A2473CA"/>
    <w:rsid w:val="6A254B57"/>
    <w:rsid w:val="6A255D80"/>
    <w:rsid w:val="6A257299"/>
    <w:rsid w:val="6A2627B9"/>
    <w:rsid w:val="6A270980"/>
    <w:rsid w:val="6A294057"/>
    <w:rsid w:val="6A2941F2"/>
    <w:rsid w:val="6A2B4273"/>
    <w:rsid w:val="6A2B6021"/>
    <w:rsid w:val="6A2D1B26"/>
    <w:rsid w:val="6A2D6C76"/>
    <w:rsid w:val="6A2E3D63"/>
    <w:rsid w:val="6A2E75C5"/>
    <w:rsid w:val="6A2F0853"/>
    <w:rsid w:val="6A2F7112"/>
    <w:rsid w:val="6A2F775A"/>
    <w:rsid w:val="6A302924"/>
    <w:rsid w:val="6A303637"/>
    <w:rsid w:val="6A310F89"/>
    <w:rsid w:val="6A31115D"/>
    <w:rsid w:val="6A311C69"/>
    <w:rsid w:val="6A31288F"/>
    <w:rsid w:val="6A324AEE"/>
    <w:rsid w:val="6A3273AF"/>
    <w:rsid w:val="6A333127"/>
    <w:rsid w:val="6A335BC1"/>
    <w:rsid w:val="6A341991"/>
    <w:rsid w:val="6A342EDC"/>
    <w:rsid w:val="6A345981"/>
    <w:rsid w:val="6A352F84"/>
    <w:rsid w:val="6A3550F2"/>
    <w:rsid w:val="6A355B55"/>
    <w:rsid w:val="6A357D4F"/>
    <w:rsid w:val="6A366774"/>
    <w:rsid w:val="6A3751B8"/>
    <w:rsid w:val="6A376FC8"/>
    <w:rsid w:val="6A38569B"/>
    <w:rsid w:val="6A39090B"/>
    <w:rsid w:val="6A3A6264"/>
    <w:rsid w:val="6A3A66AE"/>
    <w:rsid w:val="6A3B3AD7"/>
    <w:rsid w:val="6A3C7F3D"/>
    <w:rsid w:val="6A3D7B02"/>
    <w:rsid w:val="6A3E6F26"/>
    <w:rsid w:val="6A3F2D21"/>
    <w:rsid w:val="6A3F387A"/>
    <w:rsid w:val="6A404461"/>
    <w:rsid w:val="6A410F0B"/>
    <w:rsid w:val="6A4120F3"/>
    <w:rsid w:val="6A413A96"/>
    <w:rsid w:val="6A415844"/>
    <w:rsid w:val="6A427A88"/>
    <w:rsid w:val="6A427FA9"/>
    <w:rsid w:val="6A430694"/>
    <w:rsid w:val="6A434131"/>
    <w:rsid w:val="6A4378EC"/>
    <w:rsid w:val="6A4419A9"/>
    <w:rsid w:val="6A4470E3"/>
    <w:rsid w:val="6A454566"/>
    <w:rsid w:val="6A4570DC"/>
    <w:rsid w:val="6A4610AD"/>
    <w:rsid w:val="6A462E5B"/>
    <w:rsid w:val="6A470981"/>
    <w:rsid w:val="6A470AF9"/>
    <w:rsid w:val="6A472A68"/>
    <w:rsid w:val="6A474B69"/>
    <w:rsid w:val="6A475A5D"/>
    <w:rsid w:val="6A481109"/>
    <w:rsid w:val="6A4842D1"/>
    <w:rsid w:val="6A484E25"/>
    <w:rsid w:val="6A485757"/>
    <w:rsid w:val="6A4862BC"/>
    <w:rsid w:val="6A486BD3"/>
    <w:rsid w:val="6A49288A"/>
    <w:rsid w:val="6A49294B"/>
    <w:rsid w:val="6A4946F9"/>
    <w:rsid w:val="6A4A2640"/>
    <w:rsid w:val="6A4B221F"/>
    <w:rsid w:val="6A4B384A"/>
    <w:rsid w:val="6A4B66C3"/>
    <w:rsid w:val="6A4B7D7B"/>
    <w:rsid w:val="6A4B7DE5"/>
    <w:rsid w:val="6A4C00EA"/>
    <w:rsid w:val="6A4C294C"/>
    <w:rsid w:val="6A4C57D2"/>
    <w:rsid w:val="6A4C5F97"/>
    <w:rsid w:val="6A4D243B"/>
    <w:rsid w:val="6A4D4109"/>
    <w:rsid w:val="6A4D41E9"/>
    <w:rsid w:val="6A4E3ABD"/>
    <w:rsid w:val="6A4E3B2B"/>
    <w:rsid w:val="6A4E61B3"/>
    <w:rsid w:val="6A4F3A53"/>
    <w:rsid w:val="6A4F42DF"/>
    <w:rsid w:val="6A4F5A50"/>
    <w:rsid w:val="6A501D40"/>
    <w:rsid w:val="6A50275D"/>
    <w:rsid w:val="6A502E5C"/>
    <w:rsid w:val="6A503CD9"/>
    <w:rsid w:val="6A505A87"/>
    <w:rsid w:val="6A506614"/>
    <w:rsid w:val="6A506E04"/>
    <w:rsid w:val="6A507B8C"/>
    <w:rsid w:val="6A520EC7"/>
    <w:rsid w:val="6A520F40"/>
    <w:rsid w:val="6A521800"/>
    <w:rsid w:val="6A524F0C"/>
    <w:rsid w:val="6A527A52"/>
    <w:rsid w:val="6A5351E3"/>
    <w:rsid w:val="6A543FCE"/>
    <w:rsid w:val="6A550E2D"/>
    <w:rsid w:val="6A550E78"/>
    <w:rsid w:val="6A5512F0"/>
    <w:rsid w:val="6A55309E"/>
    <w:rsid w:val="6A554E4C"/>
    <w:rsid w:val="6A55713A"/>
    <w:rsid w:val="6A560481"/>
    <w:rsid w:val="6A564E8E"/>
    <w:rsid w:val="6A56740D"/>
    <w:rsid w:val="6A576E16"/>
    <w:rsid w:val="6A5825B4"/>
    <w:rsid w:val="6A5A4329"/>
    <w:rsid w:val="6A5B7579"/>
    <w:rsid w:val="6A5C267E"/>
    <w:rsid w:val="6A5C442C"/>
    <w:rsid w:val="6A5D4DB5"/>
    <w:rsid w:val="6A5E5483"/>
    <w:rsid w:val="6A5E63F6"/>
    <w:rsid w:val="6A5F216E"/>
    <w:rsid w:val="6A5F5CCB"/>
    <w:rsid w:val="6A607681"/>
    <w:rsid w:val="6A615EE7"/>
    <w:rsid w:val="6A6255CE"/>
    <w:rsid w:val="6A6339FC"/>
    <w:rsid w:val="6A641533"/>
    <w:rsid w:val="6A6432E1"/>
    <w:rsid w:val="6A644542"/>
    <w:rsid w:val="6A6634FD"/>
    <w:rsid w:val="6A6660AD"/>
    <w:rsid w:val="6A666BA8"/>
    <w:rsid w:val="6A667059"/>
    <w:rsid w:val="6A670633"/>
    <w:rsid w:val="6A67706F"/>
    <w:rsid w:val="6A6809E4"/>
    <w:rsid w:val="6A682DD1"/>
    <w:rsid w:val="6A6844BF"/>
    <w:rsid w:val="6A684DEB"/>
    <w:rsid w:val="6A68794A"/>
    <w:rsid w:val="6A693F9F"/>
    <w:rsid w:val="6A696B49"/>
    <w:rsid w:val="6A697750"/>
    <w:rsid w:val="6A6A7183"/>
    <w:rsid w:val="6A6B0B13"/>
    <w:rsid w:val="6A6B3457"/>
    <w:rsid w:val="6A6B466F"/>
    <w:rsid w:val="6A6B4794"/>
    <w:rsid w:val="6A6B49FF"/>
    <w:rsid w:val="6A6C0F2E"/>
    <w:rsid w:val="6A6D488B"/>
    <w:rsid w:val="6A6D4BA8"/>
    <w:rsid w:val="6A6D7FCC"/>
    <w:rsid w:val="6A6E23B2"/>
    <w:rsid w:val="6A6E5F0E"/>
    <w:rsid w:val="6A6E67BE"/>
    <w:rsid w:val="6A701C86"/>
    <w:rsid w:val="6A702F80"/>
    <w:rsid w:val="6A70380B"/>
    <w:rsid w:val="6A706591"/>
    <w:rsid w:val="6A707ED8"/>
    <w:rsid w:val="6A710606"/>
    <w:rsid w:val="6A721EA2"/>
    <w:rsid w:val="6A7234F6"/>
    <w:rsid w:val="6A7252AB"/>
    <w:rsid w:val="6A731776"/>
    <w:rsid w:val="6A7318D2"/>
    <w:rsid w:val="6A7379C8"/>
    <w:rsid w:val="6A745C1A"/>
    <w:rsid w:val="6A753740"/>
    <w:rsid w:val="6A762432"/>
    <w:rsid w:val="6A774BB5"/>
    <w:rsid w:val="6A775908"/>
    <w:rsid w:val="6A7764A8"/>
    <w:rsid w:val="6A783C6B"/>
    <w:rsid w:val="6A785773"/>
    <w:rsid w:val="6A793230"/>
    <w:rsid w:val="6A7A0D56"/>
    <w:rsid w:val="6A7A4286"/>
    <w:rsid w:val="6A7B13C8"/>
    <w:rsid w:val="6A7B2EC5"/>
    <w:rsid w:val="6A7B4289"/>
    <w:rsid w:val="6A7B50CC"/>
    <w:rsid w:val="6A7C062B"/>
    <w:rsid w:val="6A7C1F1D"/>
    <w:rsid w:val="6A7C4ACE"/>
    <w:rsid w:val="6A7C7973"/>
    <w:rsid w:val="6A7D0FBA"/>
    <w:rsid w:val="6A7D43A3"/>
    <w:rsid w:val="6A7D46E6"/>
    <w:rsid w:val="6A7D5B71"/>
    <w:rsid w:val="6A7E0089"/>
    <w:rsid w:val="6A7E0847"/>
    <w:rsid w:val="6A7F011B"/>
    <w:rsid w:val="6A800BE7"/>
    <w:rsid w:val="6A800C50"/>
    <w:rsid w:val="6A81158B"/>
    <w:rsid w:val="6A812A7E"/>
    <w:rsid w:val="6A815C41"/>
    <w:rsid w:val="6A822A1B"/>
    <w:rsid w:val="6A833EAB"/>
    <w:rsid w:val="6A8353C1"/>
    <w:rsid w:val="6A835E5D"/>
    <w:rsid w:val="6A8376B6"/>
    <w:rsid w:val="6A837BB0"/>
    <w:rsid w:val="6A837C0B"/>
    <w:rsid w:val="6A841BD5"/>
    <w:rsid w:val="6A843983"/>
    <w:rsid w:val="6A8564BA"/>
    <w:rsid w:val="6A856AEF"/>
    <w:rsid w:val="6A857F0C"/>
    <w:rsid w:val="6A8614A9"/>
    <w:rsid w:val="6A8676FB"/>
    <w:rsid w:val="6A883473"/>
    <w:rsid w:val="6A885221"/>
    <w:rsid w:val="6A890F99"/>
    <w:rsid w:val="6A8915F0"/>
    <w:rsid w:val="6A892D47"/>
    <w:rsid w:val="6A8949AA"/>
    <w:rsid w:val="6A894A5A"/>
    <w:rsid w:val="6A896275"/>
    <w:rsid w:val="6A8A0A3D"/>
    <w:rsid w:val="6A8A0E2F"/>
    <w:rsid w:val="6A8A11AD"/>
    <w:rsid w:val="6A8B2F63"/>
    <w:rsid w:val="6A8B3D7E"/>
    <w:rsid w:val="6A8B520E"/>
    <w:rsid w:val="6A8C6B30"/>
    <w:rsid w:val="6A8D0A8A"/>
    <w:rsid w:val="6A8D2298"/>
    <w:rsid w:val="6A8D6CDC"/>
    <w:rsid w:val="6A8E035E"/>
    <w:rsid w:val="6A8E4049"/>
    <w:rsid w:val="6A8E453F"/>
    <w:rsid w:val="6A8E78F8"/>
    <w:rsid w:val="6A8F3A58"/>
    <w:rsid w:val="6A8F3CE2"/>
    <w:rsid w:val="6A902328"/>
    <w:rsid w:val="6A927E4E"/>
    <w:rsid w:val="6A94006A"/>
    <w:rsid w:val="6A9516EC"/>
    <w:rsid w:val="6A9553CD"/>
    <w:rsid w:val="6A955B90"/>
    <w:rsid w:val="6A96597A"/>
    <w:rsid w:val="6A971908"/>
    <w:rsid w:val="6A9811DC"/>
    <w:rsid w:val="6A9842F1"/>
    <w:rsid w:val="6A986382"/>
    <w:rsid w:val="6A987B06"/>
    <w:rsid w:val="6A99215F"/>
    <w:rsid w:val="6A995680"/>
    <w:rsid w:val="6A996B6C"/>
    <w:rsid w:val="6A99745A"/>
    <w:rsid w:val="6A9A31A7"/>
    <w:rsid w:val="6A9A4F55"/>
    <w:rsid w:val="6A9B2C8D"/>
    <w:rsid w:val="6A9C2A7B"/>
    <w:rsid w:val="6A9C4DAF"/>
    <w:rsid w:val="6A9C6F1F"/>
    <w:rsid w:val="6A9E040D"/>
    <w:rsid w:val="6A9E2C97"/>
    <w:rsid w:val="6A9F07BD"/>
    <w:rsid w:val="6A9F14FB"/>
    <w:rsid w:val="6A9F379D"/>
    <w:rsid w:val="6A9F5180"/>
    <w:rsid w:val="6A9F5DB5"/>
    <w:rsid w:val="6AA04B14"/>
    <w:rsid w:val="6AA10B75"/>
    <w:rsid w:val="6AA15FA4"/>
    <w:rsid w:val="6AA30F4C"/>
    <w:rsid w:val="6AA3205B"/>
    <w:rsid w:val="6AA41737"/>
    <w:rsid w:val="6AA45202"/>
    <w:rsid w:val="6AA5227D"/>
    <w:rsid w:val="6AA54025"/>
    <w:rsid w:val="6AA574F6"/>
    <w:rsid w:val="6AA60986"/>
    <w:rsid w:val="6AA62270"/>
    <w:rsid w:val="6AA6380C"/>
    <w:rsid w:val="6AA65AC1"/>
    <w:rsid w:val="6AA66ADB"/>
    <w:rsid w:val="6AA8007B"/>
    <w:rsid w:val="6AA8059C"/>
    <w:rsid w:val="6AA81420"/>
    <w:rsid w:val="6AA87672"/>
    <w:rsid w:val="6AA933EA"/>
    <w:rsid w:val="6AA97B26"/>
    <w:rsid w:val="6AAA163C"/>
    <w:rsid w:val="6AAB0F10"/>
    <w:rsid w:val="6AAB7162"/>
    <w:rsid w:val="6AAD1E3B"/>
    <w:rsid w:val="6AAD4C88"/>
    <w:rsid w:val="6AAF599B"/>
    <w:rsid w:val="6AAF6C52"/>
    <w:rsid w:val="6AB04778"/>
    <w:rsid w:val="6AB16F29"/>
    <w:rsid w:val="6AB204F0"/>
    <w:rsid w:val="6AB22EF6"/>
    <w:rsid w:val="6AB230F0"/>
    <w:rsid w:val="6AB26742"/>
    <w:rsid w:val="6AB33639"/>
    <w:rsid w:val="6AB34371"/>
    <w:rsid w:val="6AB400A9"/>
    <w:rsid w:val="6AB46016"/>
    <w:rsid w:val="6AB51D8E"/>
    <w:rsid w:val="6AB63143"/>
    <w:rsid w:val="6AB701CA"/>
    <w:rsid w:val="6AB72338"/>
    <w:rsid w:val="6AB73D58"/>
    <w:rsid w:val="6AB8322B"/>
    <w:rsid w:val="6AB844F7"/>
    <w:rsid w:val="6AB84AD3"/>
    <w:rsid w:val="6AB853DB"/>
    <w:rsid w:val="6AB9187F"/>
    <w:rsid w:val="6AB96DFC"/>
    <w:rsid w:val="6ABA0CF1"/>
    <w:rsid w:val="6ABA1153"/>
    <w:rsid w:val="6ABA55F7"/>
    <w:rsid w:val="6ABA6B4B"/>
    <w:rsid w:val="6ABA7120"/>
    <w:rsid w:val="6ABB043B"/>
    <w:rsid w:val="6ABB171C"/>
    <w:rsid w:val="6ABC136F"/>
    <w:rsid w:val="6ABC577D"/>
    <w:rsid w:val="6ABC71AD"/>
    <w:rsid w:val="6ABD0DDD"/>
    <w:rsid w:val="6ABE0726"/>
    <w:rsid w:val="6ABE24DF"/>
    <w:rsid w:val="6ABE402A"/>
    <w:rsid w:val="6ABE6E95"/>
    <w:rsid w:val="6ABF49BB"/>
    <w:rsid w:val="6ABF5EF0"/>
    <w:rsid w:val="6AC029BD"/>
    <w:rsid w:val="6AC02C0D"/>
    <w:rsid w:val="6AC040FE"/>
    <w:rsid w:val="6AC25372"/>
    <w:rsid w:val="6AC27EAE"/>
    <w:rsid w:val="6AC41FD2"/>
    <w:rsid w:val="6AC427CE"/>
    <w:rsid w:val="6AC45C2D"/>
    <w:rsid w:val="6AC469C2"/>
    <w:rsid w:val="6AC50223"/>
    <w:rsid w:val="6AC56475"/>
    <w:rsid w:val="6AC63F9C"/>
    <w:rsid w:val="6AC6443E"/>
    <w:rsid w:val="6AC72890"/>
    <w:rsid w:val="6AC81AC2"/>
    <w:rsid w:val="6AC84158"/>
    <w:rsid w:val="6AC90B84"/>
    <w:rsid w:val="6AC951B0"/>
    <w:rsid w:val="6AC978EB"/>
    <w:rsid w:val="6ACA7D81"/>
    <w:rsid w:val="6ACB1211"/>
    <w:rsid w:val="6ACB15B2"/>
    <w:rsid w:val="6ACC7244"/>
    <w:rsid w:val="6ACD0E86"/>
    <w:rsid w:val="6ACD4982"/>
    <w:rsid w:val="6ACD532A"/>
    <w:rsid w:val="6ACD6702"/>
    <w:rsid w:val="6ACD70D8"/>
    <w:rsid w:val="6ACD7801"/>
    <w:rsid w:val="6ACE7B92"/>
    <w:rsid w:val="6ACF10A2"/>
    <w:rsid w:val="6ACF147A"/>
    <w:rsid w:val="6ACF2E50"/>
    <w:rsid w:val="6ACF301F"/>
    <w:rsid w:val="6ACF7866"/>
    <w:rsid w:val="6AD022CE"/>
    <w:rsid w:val="6AD16513"/>
    <w:rsid w:val="6AD16ECB"/>
    <w:rsid w:val="6AD22940"/>
    <w:rsid w:val="6AD246EE"/>
    <w:rsid w:val="6AD36262"/>
    <w:rsid w:val="6AD40E1E"/>
    <w:rsid w:val="6AD40FE2"/>
    <w:rsid w:val="6AD4155F"/>
    <w:rsid w:val="6AD42215"/>
    <w:rsid w:val="6AD466B8"/>
    <w:rsid w:val="6AD541DF"/>
    <w:rsid w:val="6AD55F8D"/>
    <w:rsid w:val="6AD62431"/>
    <w:rsid w:val="6AD64BE3"/>
    <w:rsid w:val="6AD761A9"/>
    <w:rsid w:val="6AD77F57"/>
    <w:rsid w:val="6AD82588"/>
    <w:rsid w:val="6AD83814"/>
    <w:rsid w:val="6AD86AB0"/>
    <w:rsid w:val="6AD96569"/>
    <w:rsid w:val="6AD97F39"/>
    <w:rsid w:val="6ADA0DE0"/>
    <w:rsid w:val="6ADA14B4"/>
    <w:rsid w:val="6ADA55BA"/>
    <w:rsid w:val="6ADA5C7C"/>
    <w:rsid w:val="6ADB2195"/>
    <w:rsid w:val="6ADB565B"/>
    <w:rsid w:val="6ADB5DB0"/>
    <w:rsid w:val="6ADC37BF"/>
    <w:rsid w:val="6ADC4B37"/>
    <w:rsid w:val="6ADC731B"/>
    <w:rsid w:val="6ADD1EE4"/>
    <w:rsid w:val="6ADD2C7C"/>
    <w:rsid w:val="6ADE12E5"/>
    <w:rsid w:val="6AE1287C"/>
    <w:rsid w:val="6AE12B83"/>
    <w:rsid w:val="6AE306AA"/>
    <w:rsid w:val="6AE3243F"/>
    <w:rsid w:val="6AE371E6"/>
    <w:rsid w:val="6AE37911"/>
    <w:rsid w:val="6AE461D0"/>
    <w:rsid w:val="6AE52674"/>
    <w:rsid w:val="6AE54FE4"/>
    <w:rsid w:val="6AE6019A"/>
    <w:rsid w:val="6AE663EC"/>
    <w:rsid w:val="6AE672A8"/>
    <w:rsid w:val="6AE85CC0"/>
    <w:rsid w:val="6AEA5EDC"/>
    <w:rsid w:val="6AEA7C8A"/>
    <w:rsid w:val="6AEB57B0"/>
    <w:rsid w:val="6AEC2279"/>
    <w:rsid w:val="6AEC723F"/>
    <w:rsid w:val="6AED1528"/>
    <w:rsid w:val="6AED2C53"/>
    <w:rsid w:val="6AEE4FE8"/>
    <w:rsid w:val="6AEF0BC5"/>
    <w:rsid w:val="6AEF52A0"/>
    <w:rsid w:val="6AEF5E7F"/>
    <w:rsid w:val="6AF02DC7"/>
    <w:rsid w:val="6AF326FD"/>
    <w:rsid w:val="6AF428B7"/>
    <w:rsid w:val="6AF64881"/>
    <w:rsid w:val="6AF6662F"/>
    <w:rsid w:val="6AF705F9"/>
    <w:rsid w:val="6AF87E20"/>
    <w:rsid w:val="6AF91789"/>
    <w:rsid w:val="6AF91C7B"/>
    <w:rsid w:val="6AF92B4D"/>
    <w:rsid w:val="6AF9611F"/>
    <w:rsid w:val="6AFA148F"/>
    <w:rsid w:val="6AFA462A"/>
    <w:rsid w:val="6AFA59F3"/>
    <w:rsid w:val="6AFB296E"/>
    <w:rsid w:val="6AFB546D"/>
    <w:rsid w:val="6AFB6BAE"/>
    <w:rsid w:val="6AFC003E"/>
    <w:rsid w:val="6AFC133C"/>
    <w:rsid w:val="6AFC1C1F"/>
    <w:rsid w:val="6AFC5C0F"/>
    <w:rsid w:val="6AFC79BD"/>
    <w:rsid w:val="6AFD1E0A"/>
    <w:rsid w:val="6AFD3700"/>
    <w:rsid w:val="6AFE3735"/>
    <w:rsid w:val="6AFE4741"/>
    <w:rsid w:val="6AFE54E3"/>
    <w:rsid w:val="6AFE552F"/>
    <w:rsid w:val="6AFE715F"/>
    <w:rsid w:val="6B011F97"/>
    <w:rsid w:val="6B013226"/>
    <w:rsid w:val="6B013EB0"/>
    <w:rsid w:val="6B016190"/>
    <w:rsid w:val="6B03154A"/>
    <w:rsid w:val="6B032AFA"/>
    <w:rsid w:val="6B033510"/>
    <w:rsid w:val="6B0400CD"/>
    <w:rsid w:val="6B0510F0"/>
    <w:rsid w:val="6B0517D9"/>
    <w:rsid w:val="6B05470D"/>
    <w:rsid w:val="6B054AC4"/>
    <w:rsid w:val="6B07083C"/>
    <w:rsid w:val="6B076A38"/>
    <w:rsid w:val="6B077D22"/>
    <w:rsid w:val="6B083084"/>
    <w:rsid w:val="6B0845B4"/>
    <w:rsid w:val="6B086D78"/>
    <w:rsid w:val="6B090119"/>
    <w:rsid w:val="6B090A33"/>
    <w:rsid w:val="6B091C1E"/>
    <w:rsid w:val="6B0967D2"/>
    <w:rsid w:val="6B0A0CB8"/>
    <w:rsid w:val="6B0A7F5F"/>
    <w:rsid w:val="6B0C05E7"/>
    <w:rsid w:val="6B0C289F"/>
    <w:rsid w:val="6B0C5E52"/>
    <w:rsid w:val="6B0D1BCA"/>
    <w:rsid w:val="6B0D32C2"/>
    <w:rsid w:val="6B0D3ACD"/>
    <w:rsid w:val="6B0D5727"/>
    <w:rsid w:val="6B0D7E2F"/>
    <w:rsid w:val="6B0E0304"/>
    <w:rsid w:val="6B0E38E3"/>
    <w:rsid w:val="6B0F76F1"/>
    <w:rsid w:val="6B102C5F"/>
    <w:rsid w:val="6B105217"/>
    <w:rsid w:val="6B106FC5"/>
    <w:rsid w:val="6B1139A5"/>
    <w:rsid w:val="6B115F8D"/>
    <w:rsid w:val="6B120F8F"/>
    <w:rsid w:val="6B122D3D"/>
    <w:rsid w:val="6B133153"/>
    <w:rsid w:val="6B146679"/>
    <w:rsid w:val="6B146AB5"/>
    <w:rsid w:val="6B1503B3"/>
    <w:rsid w:val="6B15282D"/>
    <w:rsid w:val="6B154A35"/>
    <w:rsid w:val="6B160F51"/>
    <w:rsid w:val="6B1661B6"/>
    <w:rsid w:val="6B170353"/>
    <w:rsid w:val="6B1724CA"/>
    <w:rsid w:val="6B173635"/>
    <w:rsid w:val="6B1747F7"/>
    <w:rsid w:val="6B17581D"/>
    <w:rsid w:val="6B187726"/>
    <w:rsid w:val="6B1901F0"/>
    <w:rsid w:val="6B19056F"/>
    <w:rsid w:val="6B1909F6"/>
    <w:rsid w:val="6B192137"/>
    <w:rsid w:val="6B19231D"/>
    <w:rsid w:val="6B1940CB"/>
    <w:rsid w:val="6B1A47F0"/>
    <w:rsid w:val="6B1B3BF9"/>
    <w:rsid w:val="6B1B42CF"/>
    <w:rsid w:val="6B1B42E7"/>
    <w:rsid w:val="6B1B507C"/>
    <w:rsid w:val="6B1B6095"/>
    <w:rsid w:val="6B1B7E43"/>
    <w:rsid w:val="6B1C02C5"/>
    <w:rsid w:val="6B1C3002"/>
    <w:rsid w:val="6B1C5EE7"/>
    <w:rsid w:val="6B1D240A"/>
    <w:rsid w:val="6B1E16E2"/>
    <w:rsid w:val="6B1E2863"/>
    <w:rsid w:val="6B1E5B86"/>
    <w:rsid w:val="6B1E7A37"/>
    <w:rsid w:val="6B1F5FA9"/>
    <w:rsid w:val="6B2036AC"/>
    <w:rsid w:val="6B20545A"/>
    <w:rsid w:val="6B2111D2"/>
    <w:rsid w:val="6B211820"/>
    <w:rsid w:val="6B21678C"/>
    <w:rsid w:val="6B226630"/>
    <w:rsid w:val="6B227199"/>
    <w:rsid w:val="6B2313EE"/>
    <w:rsid w:val="6B23319C"/>
    <w:rsid w:val="6B234F4A"/>
    <w:rsid w:val="6B240F2D"/>
    <w:rsid w:val="6B242BAA"/>
    <w:rsid w:val="6B244679"/>
    <w:rsid w:val="6B24724A"/>
    <w:rsid w:val="6B252A70"/>
    <w:rsid w:val="6B255559"/>
    <w:rsid w:val="6B264581"/>
    <w:rsid w:val="6B2667E8"/>
    <w:rsid w:val="6B272C8C"/>
    <w:rsid w:val="6B272FFA"/>
    <w:rsid w:val="6B283030"/>
    <w:rsid w:val="6B286A04"/>
    <w:rsid w:val="6B295AA1"/>
    <w:rsid w:val="6B296741"/>
    <w:rsid w:val="6B2974EE"/>
    <w:rsid w:val="6B2B3DFF"/>
    <w:rsid w:val="6B2B5629"/>
    <w:rsid w:val="6B2C2051"/>
    <w:rsid w:val="6B2C32ED"/>
    <w:rsid w:val="6B2D401B"/>
    <w:rsid w:val="6B2D4B29"/>
    <w:rsid w:val="6B2E02FC"/>
    <w:rsid w:val="6B2E2EE7"/>
    <w:rsid w:val="6B2F1B41"/>
    <w:rsid w:val="6B2F38EF"/>
    <w:rsid w:val="6B2F7D93"/>
    <w:rsid w:val="6B302EBD"/>
    <w:rsid w:val="6B3057ED"/>
    <w:rsid w:val="6B306F2E"/>
    <w:rsid w:val="6B3158B9"/>
    <w:rsid w:val="6B315A3D"/>
    <w:rsid w:val="6B317667"/>
    <w:rsid w:val="6B321631"/>
    <w:rsid w:val="6B322639"/>
    <w:rsid w:val="6B323610"/>
    <w:rsid w:val="6B336FB6"/>
    <w:rsid w:val="6B340F05"/>
    <w:rsid w:val="6B347157"/>
    <w:rsid w:val="6B347553"/>
    <w:rsid w:val="6B361121"/>
    <w:rsid w:val="6B364C7D"/>
    <w:rsid w:val="6B3929BF"/>
    <w:rsid w:val="6B3B2900"/>
    <w:rsid w:val="6B3B3AD9"/>
    <w:rsid w:val="6B3C7DBA"/>
    <w:rsid w:val="6B3D24B0"/>
    <w:rsid w:val="6B3D2A0E"/>
    <w:rsid w:val="6B3E64A3"/>
    <w:rsid w:val="6B3E753D"/>
    <w:rsid w:val="6B3F1B04"/>
    <w:rsid w:val="6B405AFC"/>
    <w:rsid w:val="6B4078AA"/>
    <w:rsid w:val="6B413622"/>
    <w:rsid w:val="6B416772"/>
    <w:rsid w:val="6B4355EC"/>
    <w:rsid w:val="6B446834"/>
    <w:rsid w:val="6B451364"/>
    <w:rsid w:val="6B460C38"/>
    <w:rsid w:val="6B467643"/>
    <w:rsid w:val="6B467B48"/>
    <w:rsid w:val="6B476E8A"/>
    <w:rsid w:val="6B482C03"/>
    <w:rsid w:val="6B48395C"/>
    <w:rsid w:val="6B4A24D7"/>
    <w:rsid w:val="6B4B2076"/>
    <w:rsid w:val="6B4C4FC6"/>
    <w:rsid w:val="6B4D0219"/>
    <w:rsid w:val="6B4D068F"/>
    <w:rsid w:val="6B4D33CA"/>
    <w:rsid w:val="6B4E56D4"/>
    <w:rsid w:val="6B4F0144"/>
    <w:rsid w:val="6B4F0FF6"/>
    <w:rsid w:val="6B4F21E3"/>
    <w:rsid w:val="6B511AB7"/>
    <w:rsid w:val="6B516267"/>
    <w:rsid w:val="6B523D99"/>
    <w:rsid w:val="6B52582F"/>
    <w:rsid w:val="6B52622B"/>
    <w:rsid w:val="6B5275DD"/>
    <w:rsid w:val="6B5415A7"/>
    <w:rsid w:val="6B543355"/>
    <w:rsid w:val="6B55564C"/>
    <w:rsid w:val="6B560E7C"/>
    <w:rsid w:val="6B567FE5"/>
    <w:rsid w:val="6B570429"/>
    <w:rsid w:val="6B571085"/>
    <w:rsid w:val="6B572E46"/>
    <w:rsid w:val="6B574BF4"/>
    <w:rsid w:val="6B5863F7"/>
    <w:rsid w:val="6B590EC0"/>
    <w:rsid w:val="6B59456F"/>
    <w:rsid w:val="6B5962BE"/>
    <w:rsid w:val="6B5A07C6"/>
    <w:rsid w:val="6B5A3B76"/>
    <w:rsid w:val="6B5B0B88"/>
    <w:rsid w:val="6B5C045C"/>
    <w:rsid w:val="6B5C1213"/>
    <w:rsid w:val="6B5C337A"/>
    <w:rsid w:val="6B5D66AE"/>
    <w:rsid w:val="6B5E41D4"/>
    <w:rsid w:val="6B5F0AE9"/>
    <w:rsid w:val="6B607F4C"/>
    <w:rsid w:val="6B621DBD"/>
    <w:rsid w:val="6B621F16"/>
    <w:rsid w:val="6B624183"/>
    <w:rsid w:val="6B6306B5"/>
    <w:rsid w:val="6B6317EA"/>
    <w:rsid w:val="6B63324D"/>
    <w:rsid w:val="6B6348F1"/>
    <w:rsid w:val="6B63632B"/>
    <w:rsid w:val="6B637A3C"/>
    <w:rsid w:val="6B6516E9"/>
    <w:rsid w:val="6B6537B4"/>
    <w:rsid w:val="6B656B5C"/>
    <w:rsid w:val="6B65729E"/>
    <w:rsid w:val="6B66073E"/>
    <w:rsid w:val="6B666FFD"/>
    <w:rsid w:val="6B67469A"/>
    <w:rsid w:val="6B67752D"/>
    <w:rsid w:val="6B680BAF"/>
    <w:rsid w:val="6B68305E"/>
    <w:rsid w:val="6B6844EE"/>
    <w:rsid w:val="6B686E01"/>
    <w:rsid w:val="6B6B0ECB"/>
    <w:rsid w:val="6B6C40AD"/>
    <w:rsid w:val="6B6C4B43"/>
    <w:rsid w:val="6B6C68F1"/>
    <w:rsid w:val="6B6D2669"/>
    <w:rsid w:val="6B6D43C2"/>
    <w:rsid w:val="6B6E2204"/>
    <w:rsid w:val="6B6F018F"/>
    <w:rsid w:val="6B6F4633"/>
    <w:rsid w:val="6B701F0D"/>
    <w:rsid w:val="6B7036D0"/>
    <w:rsid w:val="6B713F07"/>
    <w:rsid w:val="6B715851"/>
    <w:rsid w:val="6B715CB5"/>
    <w:rsid w:val="6B7162D6"/>
    <w:rsid w:val="6B722451"/>
    <w:rsid w:val="6B731183"/>
    <w:rsid w:val="6B731601"/>
    <w:rsid w:val="6B744176"/>
    <w:rsid w:val="6B7457A6"/>
    <w:rsid w:val="6B747E2B"/>
    <w:rsid w:val="6B76151E"/>
    <w:rsid w:val="6B777044"/>
    <w:rsid w:val="6B7806B0"/>
    <w:rsid w:val="6B781BDB"/>
    <w:rsid w:val="6B7834E8"/>
    <w:rsid w:val="6B7928A2"/>
    <w:rsid w:val="6B79572D"/>
    <w:rsid w:val="6B7B0B79"/>
    <w:rsid w:val="6B7B3E1F"/>
    <w:rsid w:val="6B7B4D86"/>
    <w:rsid w:val="6B7D0AFE"/>
    <w:rsid w:val="6B7E4876"/>
    <w:rsid w:val="6B7E6624"/>
    <w:rsid w:val="6B7F0A5C"/>
    <w:rsid w:val="6B7F12E5"/>
    <w:rsid w:val="6B7F6713"/>
    <w:rsid w:val="6B80239C"/>
    <w:rsid w:val="6B80414A"/>
    <w:rsid w:val="6B81193C"/>
    <w:rsid w:val="6B815627"/>
    <w:rsid w:val="6B8174C3"/>
    <w:rsid w:val="6B82180C"/>
    <w:rsid w:val="6B824366"/>
    <w:rsid w:val="6B826114"/>
    <w:rsid w:val="6B827EC3"/>
    <w:rsid w:val="6B830C86"/>
    <w:rsid w:val="6B83541A"/>
    <w:rsid w:val="6B8359E9"/>
    <w:rsid w:val="6B836826"/>
    <w:rsid w:val="6B841E8D"/>
    <w:rsid w:val="6B842586"/>
    <w:rsid w:val="6B8579B3"/>
    <w:rsid w:val="6B861ADD"/>
    <w:rsid w:val="6B864D9C"/>
    <w:rsid w:val="6B865B1A"/>
    <w:rsid w:val="6B8673CD"/>
    <w:rsid w:val="6B87197D"/>
    <w:rsid w:val="6B87372B"/>
    <w:rsid w:val="6B8754D9"/>
    <w:rsid w:val="6B880F07"/>
    <w:rsid w:val="6B882FFF"/>
    <w:rsid w:val="6B8955C7"/>
    <w:rsid w:val="6B896A79"/>
    <w:rsid w:val="6B896D76"/>
    <w:rsid w:val="6B897DA3"/>
    <w:rsid w:val="6B897E59"/>
    <w:rsid w:val="6B8A321B"/>
    <w:rsid w:val="6B8A3827"/>
    <w:rsid w:val="6B8A4FC9"/>
    <w:rsid w:val="6B8A5015"/>
    <w:rsid w:val="6B8A6D77"/>
    <w:rsid w:val="6B8B1F82"/>
    <w:rsid w:val="6B8B2B7E"/>
    <w:rsid w:val="6B8C0D41"/>
    <w:rsid w:val="6B8D6867"/>
    <w:rsid w:val="6B8E2D0B"/>
    <w:rsid w:val="6B8E4AB9"/>
    <w:rsid w:val="6B8E792C"/>
    <w:rsid w:val="6B8F0831"/>
    <w:rsid w:val="6B8F0DDA"/>
    <w:rsid w:val="6B902E71"/>
    <w:rsid w:val="6B906807"/>
    <w:rsid w:val="6B910106"/>
    <w:rsid w:val="6B923E7E"/>
    <w:rsid w:val="6B930322"/>
    <w:rsid w:val="6B930BEB"/>
    <w:rsid w:val="6B93601A"/>
    <w:rsid w:val="6B9419A4"/>
    <w:rsid w:val="6B945E48"/>
    <w:rsid w:val="6B945E63"/>
    <w:rsid w:val="6B947BF6"/>
    <w:rsid w:val="6B95409A"/>
    <w:rsid w:val="6B963C3C"/>
    <w:rsid w:val="6B96499B"/>
    <w:rsid w:val="6B96571C"/>
    <w:rsid w:val="6B9660DC"/>
    <w:rsid w:val="6B9678B6"/>
    <w:rsid w:val="6B9826A4"/>
    <w:rsid w:val="6B985938"/>
    <w:rsid w:val="6B9876E6"/>
    <w:rsid w:val="6B991E8C"/>
    <w:rsid w:val="6B99345E"/>
    <w:rsid w:val="6B99367E"/>
    <w:rsid w:val="6B9B1BB6"/>
    <w:rsid w:val="6B9B2D32"/>
    <w:rsid w:val="6B9D2F4E"/>
    <w:rsid w:val="6B9D4A45"/>
    <w:rsid w:val="6B9E2823"/>
    <w:rsid w:val="6B9E7376"/>
    <w:rsid w:val="6B9F0244"/>
    <w:rsid w:val="6B9F718E"/>
    <w:rsid w:val="6BA02A3F"/>
    <w:rsid w:val="6BA02D93"/>
    <w:rsid w:val="6BA115BC"/>
    <w:rsid w:val="6BA11AAE"/>
    <w:rsid w:val="6BA17D14"/>
    <w:rsid w:val="6BA31452"/>
    <w:rsid w:val="6BA3152C"/>
    <w:rsid w:val="6BA37E39"/>
    <w:rsid w:val="6BA40E61"/>
    <w:rsid w:val="6BA442DD"/>
    <w:rsid w:val="6BA53BB1"/>
    <w:rsid w:val="6BA66011"/>
    <w:rsid w:val="6BA67763"/>
    <w:rsid w:val="6BA70DF9"/>
    <w:rsid w:val="6BA75E62"/>
    <w:rsid w:val="6BA766F0"/>
    <w:rsid w:val="6BA77929"/>
    <w:rsid w:val="6BA808D2"/>
    <w:rsid w:val="6BA84448"/>
    <w:rsid w:val="6BA845D7"/>
    <w:rsid w:val="6BA8544F"/>
    <w:rsid w:val="6BA936A1"/>
    <w:rsid w:val="6BA978F6"/>
    <w:rsid w:val="6BAA4C19"/>
    <w:rsid w:val="6BAA65A9"/>
    <w:rsid w:val="6BAA7419"/>
    <w:rsid w:val="6BAB4A4B"/>
    <w:rsid w:val="6BAB6E72"/>
    <w:rsid w:val="6BAC13E3"/>
    <w:rsid w:val="6BAC2E61"/>
    <w:rsid w:val="6BAC3191"/>
    <w:rsid w:val="6BAC4266"/>
    <w:rsid w:val="6BAC4F3F"/>
    <w:rsid w:val="6BAC7798"/>
    <w:rsid w:val="6BAD2A66"/>
    <w:rsid w:val="6BAD32AD"/>
    <w:rsid w:val="6BAD4363"/>
    <w:rsid w:val="6BAE0CB8"/>
    <w:rsid w:val="6BAE1ABF"/>
    <w:rsid w:val="6BAE515B"/>
    <w:rsid w:val="6BAF4A30"/>
    <w:rsid w:val="6BB04C80"/>
    <w:rsid w:val="6BB05697"/>
    <w:rsid w:val="6BB072E7"/>
    <w:rsid w:val="6BB12556"/>
    <w:rsid w:val="6BB1370B"/>
    <w:rsid w:val="6BB169FA"/>
    <w:rsid w:val="6BB303B8"/>
    <w:rsid w:val="6BB32772"/>
    <w:rsid w:val="6BB33764"/>
    <w:rsid w:val="6BB34520"/>
    <w:rsid w:val="6BB350B5"/>
    <w:rsid w:val="6BB513B4"/>
    <w:rsid w:val="6BB535E0"/>
    <w:rsid w:val="6BB64010"/>
    <w:rsid w:val="6BB64CF3"/>
    <w:rsid w:val="6BB81B36"/>
    <w:rsid w:val="6BB90FAB"/>
    <w:rsid w:val="6BB973ED"/>
    <w:rsid w:val="6BBA3B00"/>
    <w:rsid w:val="6BBA58AE"/>
    <w:rsid w:val="6BBB1626"/>
    <w:rsid w:val="6BBD0EFB"/>
    <w:rsid w:val="6BBD4800"/>
    <w:rsid w:val="6BBD66FC"/>
    <w:rsid w:val="6BBD714D"/>
    <w:rsid w:val="6BBE4C73"/>
    <w:rsid w:val="6BBF2EC5"/>
    <w:rsid w:val="6BBF55EE"/>
    <w:rsid w:val="6BC009EB"/>
    <w:rsid w:val="6BC02799"/>
    <w:rsid w:val="6BC16813"/>
    <w:rsid w:val="6BC22528"/>
    <w:rsid w:val="6BC229B5"/>
    <w:rsid w:val="6BC3134E"/>
    <w:rsid w:val="6BC33C04"/>
    <w:rsid w:val="6BC35AC5"/>
    <w:rsid w:val="6BC404DB"/>
    <w:rsid w:val="6BC44A3E"/>
    <w:rsid w:val="6BC4672D"/>
    <w:rsid w:val="6BC524A5"/>
    <w:rsid w:val="6BC56001"/>
    <w:rsid w:val="6BC60D13"/>
    <w:rsid w:val="6BC71D79"/>
    <w:rsid w:val="6BC84A99"/>
    <w:rsid w:val="6BC95638"/>
    <w:rsid w:val="6BCA046F"/>
    <w:rsid w:val="6BCA186A"/>
    <w:rsid w:val="6BCA3618"/>
    <w:rsid w:val="6BCA388B"/>
    <w:rsid w:val="6BCA4735"/>
    <w:rsid w:val="6BCB3485"/>
    <w:rsid w:val="6BCB6558"/>
    <w:rsid w:val="6BCB7ABB"/>
    <w:rsid w:val="6BCC264F"/>
    <w:rsid w:val="6BCC55E2"/>
    <w:rsid w:val="6BCC5E9E"/>
    <w:rsid w:val="6BCC7750"/>
    <w:rsid w:val="6BCD0AFC"/>
    <w:rsid w:val="6BCD297E"/>
    <w:rsid w:val="6BCE135A"/>
    <w:rsid w:val="6BCE53EF"/>
    <w:rsid w:val="6BCE6C7A"/>
    <w:rsid w:val="6BCE7271"/>
    <w:rsid w:val="6BCF3D81"/>
    <w:rsid w:val="6BCF4E7B"/>
    <w:rsid w:val="6BCF626D"/>
    <w:rsid w:val="6BD025AE"/>
    <w:rsid w:val="6BD0415A"/>
    <w:rsid w:val="6BD050D2"/>
    <w:rsid w:val="6BD067BE"/>
    <w:rsid w:val="6BD209CA"/>
    <w:rsid w:val="6BD24B10"/>
    <w:rsid w:val="6BD27741"/>
    <w:rsid w:val="6BD44496"/>
    <w:rsid w:val="6BD44EF8"/>
    <w:rsid w:val="6BD4557B"/>
    <w:rsid w:val="6BD46244"/>
    <w:rsid w:val="6BD46EF8"/>
    <w:rsid w:val="6BD526E8"/>
    <w:rsid w:val="6BD6020E"/>
    <w:rsid w:val="6BD61FBC"/>
    <w:rsid w:val="6BD6356F"/>
    <w:rsid w:val="6BD82003"/>
    <w:rsid w:val="6BD821D8"/>
    <w:rsid w:val="6BD8236E"/>
    <w:rsid w:val="6BD8288F"/>
    <w:rsid w:val="6BD9104A"/>
    <w:rsid w:val="6BD910A1"/>
    <w:rsid w:val="6BD91AAD"/>
    <w:rsid w:val="6BD91EF0"/>
    <w:rsid w:val="6BD9587C"/>
    <w:rsid w:val="6BD959FF"/>
    <w:rsid w:val="6BD95BF8"/>
    <w:rsid w:val="6BD9731F"/>
    <w:rsid w:val="6BDA07AF"/>
    <w:rsid w:val="6BDA1AD3"/>
    <w:rsid w:val="6BDA1C3F"/>
    <w:rsid w:val="6BDA3380"/>
    <w:rsid w:val="6BDB3A77"/>
    <w:rsid w:val="6BDB75D3"/>
    <w:rsid w:val="6BDC420C"/>
    <w:rsid w:val="6BDC5D80"/>
    <w:rsid w:val="6BDD09AF"/>
    <w:rsid w:val="6BDD334B"/>
    <w:rsid w:val="6BDD79CE"/>
    <w:rsid w:val="6BDF3170"/>
    <w:rsid w:val="6BDF3567"/>
    <w:rsid w:val="6BDF4621"/>
    <w:rsid w:val="6BDF70C3"/>
    <w:rsid w:val="6BE0108D"/>
    <w:rsid w:val="6BE02E57"/>
    <w:rsid w:val="6BE10785"/>
    <w:rsid w:val="6BE23FA1"/>
    <w:rsid w:val="6BE2746D"/>
    <w:rsid w:val="6BE35B73"/>
    <w:rsid w:val="6BE36643"/>
    <w:rsid w:val="6BE40B7D"/>
    <w:rsid w:val="6BE44C83"/>
    <w:rsid w:val="6BE566A3"/>
    <w:rsid w:val="6BE56D52"/>
    <w:rsid w:val="6BE64567"/>
    <w:rsid w:val="6BE7241B"/>
    <w:rsid w:val="6BE72DB3"/>
    <w:rsid w:val="6BE734D8"/>
    <w:rsid w:val="6BE73D9E"/>
    <w:rsid w:val="6BE744F4"/>
    <w:rsid w:val="6BE75F78"/>
    <w:rsid w:val="6BE928F2"/>
    <w:rsid w:val="6BE966CE"/>
    <w:rsid w:val="6BE97F42"/>
    <w:rsid w:val="6BEA3CBA"/>
    <w:rsid w:val="6BEC17E0"/>
    <w:rsid w:val="6BEC5C84"/>
    <w:rsid w:val="6BEC7A32"/>
    <w:rsid w:val="6BED17F6"/>
    <w:rsid w:val="6BED3CFF"/>
    <w:rsid w:val="6BEE7306"/>
    <w:rsid w:val="6BEF0E44"/>
    <w:rsid w:val="6BF1329A"/>
    <w:rsid w:val="6BF15048"/>
    <w:rsid w:val="6BF16DF6"/>
    <w:rsid w:val="6BF174F7"/>
    <w:rsid w:val="6BF24A9C"/>
    <w:rsid w:val="6BF25C27"/>
    <w:rsid w:val="6BF40694"/>
    <w:rsid w:val="6BF445EB"/>
    <w:rsid w:val="6BF453B7"/>
    <w:rsid w:val="6BF46AF8"/>
    <w:rsid w:val="6BF54B38"/>
    <w:rsid w:val="6BF568E6"/>
    <w:rsid w:val="6BF57F88"/>
    <w:rsid w:val="6BF60B0A"/>
    <w:rsid w:val="6BF6265F"/>
    <w:rsid w:val="6BF7709E"/>
    <w:rsid w:val="6BF83C52"/>
    <w:rsid w:val="6BF83D38"/>
    <w:rsid w:val="6BF84629"/>
    <w:rsid w:val="6BF863D7"/>
    <w:rsid w:val="6BF86909"/>
    <w:rsid w:val="6BF9053F"/>
    <w:rsid w:val="6BF948CC"/>
    <w:rsid w:val="6BF951C8"/>
    <w:rsid w:val="6BF95CAB"/>
    <w:rsid w:val="6BFA1EC8"/>
    <w:rsid w:val="6BFA214F"/>
    <w:rsid w:val="6BFA6640"/>
    <w:rsid w:val="6BFA6658"/>
    <w:rsid w:val="6BFA6CA7"/>
    <w:rsid w:val="6BFB1A23"/>
    <w:rsid w:val="6BFB7C75"/>
    <w:rsid w:val="6BFC683C"/>
    <w:rsid w:val="6BFC73FB"/>
    <w:rsid w:val="6BFD062D"/>
    <w:rsid w:val="6BFD579B"/>
    <w:rsid w:val="6BFE540B"/>
    <w:rsid w:val="6BFF4080"/>
    <w:rsid w:val="6BFF4643"/>
    <w:rsid w:val="6BFF5A02"/>
    <w:rsid w:val="6C00528B"/>
    <w:rsid w:val="6C007BA7"/>
    <w:rsid w:val="6C01171A"/>
    <w:rsid w:val="6C0134DD"/>
    <w:rsid w:val="6C032A25"/>
    <w:rsid w:val="6C0407D9"/>
    <w:rsid w:val="6C0422DB"/>
    <w:rsid w:val="6C04283C"/>
    <w:rsid w:val="6C054650"/>
    <w:rsid w:val="6C057FAC"/>
    <w:rsid w:val="6C060F0D"/>
    <w:rsid w:val="6C0704B0"/>
    <w:rsid w:val="6C070C5C"/>
    <w:rsid w:val="6C07486C"/>
    <w:rsid w:val="6C075820"/>
    <w:rsid w:val="6C08382D"/>
    <w:rsid w:val="6C08513D"/>
    <w:rsid w:val="6C094CBD"/>
    <w:rsid w:val="6C0B435C"/>
    <w:rsid w:val="6C0B610A"/>
    <w:rsid w:val="6C0B75DD"/>
    <w:rsid w:val="6C0C3C30"/>
    <w:rsid w:val="6C0C59DE"/>
    <w:rsid w:val="6C0C76A7"/>
    <w:rsid w:val="6C0D01A2"/>
    <w:rsid w:val="6C0D2393"/>
    <w:rsid w:val="6C0E5BFA"/>
    <w:rsid w:val="6C0E79A8"/>
    <w:rsid w:val="6C0F54CE"/>
    <w:rsid w:val="6C103720"/>
    <w:rsid w:val="6C110C0F"/>
    <w:rsid w:val="6C112375"/>
    <w:rsid w:val="6C114DE0"/>
    <w:rsid w:val="6C134FBF"/>
    <w:rsid w:val="6C1418F6"/>
    <w:rsid w:val="6C150D37"/>
    <w:rsid w:val="6C180827"/>
    <w:rsid w:val="6C1825D5"/>
    <w:rsid w:val="6C191C64"/>
    <w:rsid w:val="6C193B86"/>
    <w:rsid w:val="6C1955F8"/>
    <w:rsid w:val="6C1958B7"/>
    <w:rsid w:val="6C1972DB"/>
    <w:rsid w:val="6C1A04F7"/>
    <w:rsid w:val="6C1A0813"/>
    <w:rsid w:val="6C1A634D"/>
    <w:rsid w:val="6C1A7259"/>
    <w:rsid w:val="6C1F30E8"/>
    <w:rsid w:val="6C1F5711"/>
    <w:rsid w:val="6C1F6EE3"/>
    <w:rsid w:val="6C20148A"/>
    <w:rsid w:val="6C203307"/>
    <w:rsid w:val="6C2076DB"/>
    <w:rsid w:val="6C21592D"/>
    <w:rsid w:val="6C2169EF"/>
    <w:rsid w:val="6C225202"/>
    <w:rsid w:val="6C240F7A"/>
    <w:rsid w:val="6C2418C5"/>
    <w:rsid w:val="6C24290A"/>
    <w:rsid w:val="6C2471CC"/>
    <w:rsid w:val="6C247C43"/>
    <w:rsid w:val="6C2500A5"/>
    <w:rsid w:val="6C256AA0"/>
    <w:rsid w:val="6C270246"/>
    <w:rsid w:val="6C272818"/>
    <w:rsid w:val="6C2732D4"/>
    <w:rsid w:val="6C277408"/>
    <w:rsid w:val="6C2925F3"/>
    <w:rsid w:val="6C296590"/>
    <w:rsid w:val="6C2A5FE8"/>
    <w:rsid w:val="6C2B2308"/>
    <w:rsid w:val="6C2B5ACD"/>
    <w:rsid w:val="6C2C3D1E"/>
    <w:rsid w:val="6C2C41E0"/>
    <w:rsid w:val="6C2C46E3"/>
    <w:rsid w:val="6C2C59B5"/>
    <w:rsid w:val="6C2D29B7"/>
    <w:rsid w:val="6C2E004A"/>
    <w:rsid w:val="6C2E489C"/>
    <w:rsid w:val="6C2F0F3D"/>
    <w:rsid w:val="6C2F14AA"/>
    <w:rsid w:val="6C2F5282"/>
    <w:rsid w:val="6C2F7CCA"/>
    <w:rsid w:val="6C305B70"/>
    <w:rsid w:val="6C3118E9"/>
    <w:rsid w:val="6C313697"/>
    <w:rsid w:val="6C323504"/>
    <w:rsid w:val="6C33740F"/>
    <w:rsid w:val="6C343A69"/>
    <w:rsid w:val="6C351944"/>
    <w:rsid w:val="6C35284A"/>
    <w:rsid w:val="6C365AE7"/>
    <w:rsid w:val="6C373F4C"/>
    <w:rsid w:val="6C375151"/>
    <w:rsid w:val="6C376EFF"/>
    <w:rsid w:val="6C38017C"/>
    <w:rsid w:val="6C3811CB"/>
    <w:rsid w:val="6C384A25"/>
    <w:rsid w:val="6C397D24"/>
    <w:rsid w:val="6C3A079D"/>
    <w:rsid w:val="6C3A254B"/>
    <w:rsid w:val="6C3A4645"/>
    <w:rsid w:val="6C3B36A6"/>
    <w:rsid w:val="6C3B7737"/>
    <w:rsid w:val="6C3C2173"/>
    <w:rsid w:val="6C3C271D"/>
    <w:rsid w:val="6C3C49FB"/>
    <w:rsid w:val="6C3C4EDF"/>
    <w:rsid w:val="6C3D028D"/>
    <w:rsid w:val="6C3D203B"/>
    <w:rsid w:val="6C3D7344"/>
    <w:rsid w:val="6C3E19C6"/>
    <w:rsid w:val="6C3F14DF"/>
    <w:rsid w:val="6C3F3B3F"/>
    <w:rsid w:val="6C400A9D"/>
    <w:rsid w:val="6C411B2C"/>
    <w:rsid w:val="6C4141C2"/>
    <w:rsid w:val="6C417D7E"/>
    <w:rsid w:val="6C423D73"/>
    <w:rsid w:val="6C433EC6"/>
    <w:rsid w:val="6C44161C"/>
    <w:rsid w:val="6C4433CA"/>
    <w:rsid w:val="6C44786E"/>
    <w:rsid w:val="6C464207"/>
    <w:rsid w:val="6C465394"/>
    <w:rsid w:val="6C4703D4"/>
    <w:rsid w:val="6C471E85"/>
    <w:rsid w:val="6C4722FE"/>
    <w:rsid w:val="6C474C68"/>
    <w:rsid w:val="6C496C32"/>
    <w:rsid w:val="6C4A68AF"/>
    <w:rsid w:val="6C4B0D0B"/>
    <w:rsid w:val="6C4B29AA"/>
    <w:rsid w:val="6C4B6506"/>
    <w:rsid w:val="6C4C203A"/>
    <w:rsid w:val="6C4C2FE8"/>
    <w:rsid w:val="6C4C5516"/>
    <w:rsid w:val="6C4D639D"/>
    <w:rsid w:val="6C4E4249"/>
    <w:rsid w:val="6C501D6F"/>
    <w:rsid w:val="6C506213"/>
    <w:rsid w:val="6C511FF3"/>
    <w:rsid w:val="6C5134B2"/>
    <w:rsid w:val="6C515047"/>
    <w:rsid w:val="6C5222E4"/>
    <w:rsid w:val="6C5309A3"/>
    <w:rsid w:val="6C53185F"/>
    <w:rsid w:val="6C5374D3"/>
    <w:rsid w:val="6C537AB1"/>
    <w:rsid w:val="6C540873"/>
    <w:rsid w:val="6C5506B8"/>
    <w:rsid w:val="6C554DEE"/>
    <w:rsid w:val="6C5606CF"/>
    <w:rsid w:val="6C5630FD"/>
    <w:rsid w:val="6C563129"/>
    <w:rsid w:val="6C563B87"/>
    <w:rsid w:val="6C567661"/>
    <w:rsid w:val="6C57134F"/>
    <w:rsid w:val="6C57189D"/>
    <w:rsid w:val="6C5755A2"/>
    <w:rsid w:val="6C5775A1"/>
    <w:rsid w:val="6C5807B4"/>
    <w:rsid w:val="6C580C23"/>
    <w:rsid w:val="6C590EA6"/>
    <w:rsid w:val="6C5A0E3F"/>
    <w:rsid w:val="6C5A7E3D"/>
    <w:rsid w:val="6C5B0BDE"/>
    <w:rsid w:val="6C5B59F4"/>
    <w:rsid w:val="6C5C0714"/>
    <w:rsid w:val="6C5C4BB7"/>
    <w:rsid w:val="6C5C5A57"/>
    <w:rsid w:val="6C5D1A55"/>
    <w:rsid w:val="6C5D1FE8"/>
    <w:rsid w:val="6C5E0930"/>
    <w:rsid w:val="6C5F1FB2"/>
    <w:rsid w:val="6C5F3CBB"/>
    <w:rsid w:val="6C6060C5"/>
    <w:rsid w:val="6C60616D"/>
    <w:rsid w:val="6C611866"/>
    <w:rsid w:val="6C613F7C"/>
    <w:rsid w:val="6C6153F8"/>
    <w:rsid w:val="6C617E4C"/>
    <w:rsid w:val="6C621AA2"/>
    <w:rsid w:val="6C625C2C"/>
    <w:rsid w:val="6C627CF4"/>
    <w:rsid w:val="6C636C38"/>
    <w:rsid w:val="6C641928"/>
    <w:rsid w:val="6C643A6C"/>
    <w:rsid w:val="6C64581A"/>
    <w:rsid w:val="6C647510"/>
    <w:rsid w:val="6C657A6C"/>
    <w:rsid w:val="6C66246E"/>
    <w:rsid w:val="6C667F65"/>
    <w:rsid w:val="6C6770B8"/>
    <w:rsid w:val="6C686B68"/>
    <w:rsid w:val="6C687591"/>
    <w:rsid w:val="6C691082"/>
    <w:rsid w:val="6C6972D4"/>
    <w:rsid w:val="6C6A1488"/>
    <w:rsid w:val="6C6A357A"/>
    <w:rsid w:val="6C6A4059"/>
    <w:rsid w:val="6C6A4C46"/>
    <w:rsid w:val="6C6A75EB"/>
    <w:rsid w:val="6C6B0957"/>
    <w:rsid w:val="6C6B4DFB"/>
    <w:rsid w:val="6C6B6BA9"/>
    <w:rsid w:val="6C6C00BA"/>
    <w:rsid w:val="6C6C46CF"/>
    <w:rsid w:val="6C6C553E"/>
    <w:rsid w:val="6C6C60A4"/>
    <w:rsid w:val="6C6D0B73"/>
    <w:rsid w:val="6C6E6699"/>
    <w:rsid w:val="6C6E6E01"/>
    <w:rsid w:val="6C6E73E5"/>
    <w:rsid w:val="6C700663"/>
    <w:rsid w:val="6C702411"/>
    <w:rsid w:val="6C7041BF"/>
    <w:rsid w:val="6C7052FA"/>
    <w:rsid w:val="6C70613B"/>
    <w:rsid w:val="6C707211"/>
    <w:rsid w:val="6C711CE5"/>
    <w:rsid w:val="6C7123A2"/>
    <w:rsid w:val="6C715FA4"/>
    <w:rsid w:val="6C7216FC"/>
    <w:rsid w:val="6C7218C1"/>
    <w:rsid w:val="6C722230"/>
    <w:rsid w:val="6C726189"/>
    <w:rsid w:val="6C727F37"/>
    <w:rsid w:val="6C731F01"/>
    <w:rsid w:val="6C732867"/>
    <w:rsid w:val="6C7353BC"/>
    <w:rsid w:val="6C742A7F"/>
    <w:rsid w:val="6C757CDC"/>
    <w:rsid w:val="6C7625FC"/>
    <w:rsid w:val="6C762A3A"/>
    <w:rsid w:val="6C77379F"/>
    <w:rsid w:val="6C773A8C"/>
    <w:rsid w:val="6C783074"/>
    <w:rsid w:val="6C7837BE"/>
    <w:rsid w:val="6C78592B"/>
    <w:rsid w:val="6C78665D"/>
    <w:rsid w:val="6C7948C7"/>
    <w:rsid w:val="6C7A1FD0"/>
    <w:rsid w:val="6C7A3290"/>
    <w:rsid w:val="6C7A5C62"/>
    <w:rsid w:val="6C7B240D"/>
    <w:rsid w:val="6C7C0DB6"/>
    <w:rsid w:val="6C7C2B64"/>
    <w:rsid w:val="6C7C7BAF"/>
    <w:rsid w:val="6C7D023C"/>
    <w:rsid w:val="6C7D068A"/>
    <w:rsid w:val="6C7D4B2E"/>
    <w:rsid w:val="6C7D662D"/>
    <w:rsid w:val="6C7D68DC"/>
    <w:rsid w:val="6C7E26B5"/>
    <w:rsid w:val="6C7E4786"/>
    <w:rsid w:val="6C7E69B1"/>
    <w:rsid w:val="6C7F08A6"/>
    <w:rsid w:val="6C7F2EDF"/>
    <w:rsid w:val="6C7F4402"/>
    <w:rsid w:val="6C7F61CD"/>
    <w:rsid w:val="6C81461E"/>
    <w:rsid w:val="6C815D68"/>
    <w:rsid w:val="6C82205F"/>
    <w:rsid w:val="6C823EF2"/>
    <w:rsid w:val="6C833770"/>
    <w:rsid w:val="6C835F4E"/>
    <w:rsid w:val="6C844C00"/>
    <w:rsid w:val="6C845EBC"/>
    <w:rsid w:val="6C847C6A"/>
    <w:rsid w:val="6C866827"/>
    <w:rsid w:val="6C871E3B"/>
    <w:rsid w:val="6C87373C"/>
    <w:rsid w:val="6C891725"/>
    <w:rsid w:val="6C892993"/>
    <w:rsid w:val="6C8934D3"/>
    <w:rsid w:val="6C895281"/>
    <w:rsid w:val="6C8A0A72"/>
    <w:rsid w:val="6C8B2DA7"/>
    <w:rsid w:val="6C8B547F"/>
    <w:rsid w:val="6C8B724B"/>
    <w:rsid w:val="6C8D32E6"/>
    <w:rsid w:val="6C8D4D71"/>
    <w:rsid w:val="6C8D73F3"/>
    <w:rsid w:val="6C8E1FC4"/>
    <w:rsid w:val="6C8E2897"/>
    <w:rsid w:val="6C8E6D3B"/>
    <w:rsid w:val="6C9048E4"/>
    <w:rsid w:val="6C917C2E"/>
    <w:rsid w:val="6C9205D9"/>
    <w:rsid w:val="6C922387"/>
    <w:rsid w:val="6C924135"/>
    <w:rsid w:val="6C9323D3"/>
    <w:rsid w:val="6C9405FC"/>
    <w:rsid w:val="6C944351"/>
    <w:rsid w:val="6C9500C9"/>
    <w:rsid w:val="6C95345F"/>
    <w:rsid w:val="6C953C26"/>
    <w:rsid w:val="6C97174C"/>
    <w:rsid w:val="6C97799E"/>
    <w:rsid w:val="6C993206"/>
    <w:rsid w:val="6C9A123C"/>
    <w:rsid w:val="6C9C1458"/>
    <w:rsid w:val="6C9C3206"/>
    <w:rsid w:val="6C9D0D2C"/>
    <w:rsid w:val="6C9D56C5"/>
    <w:rsid w:val="6C9D6EE8"/>
    <w:rsid w:val="6C9E6F7E"/>
    <w:rsid w:val="6C9F2CF6"/>
    <w:rsid w:val="6C9F3C26"/>
    <w:rsid w:val="6CA1081C"/>
    <w:rsid w:val="6CA125CA"/>
    <w:rsid w:val="6CA200F0"/>
    <w:rsid w:val="6CA26533"/>
    <w:rsid w:val="6CA31619"/>
    <w:rsid w:val="6CA34594"/>
    <w:rsid w:val="6CA36342"/>
    <w:rsid w:val="6CA4287F"/>
    <w:rsid w:val="6CA51246"/>
    <w:rsid w:val="6CA51C88"/>
    <w:rsid w:val="6CA51E3D"/>
    <w:rsid w:val="6CA555B2"/>
    <w:rsid w:val="6CA6001D"/>
    <w:rsid w:val="6CA60EDB"/>
    <w:rsid w:val="6CA63BF4"/>
    <w:rsid w:val="6CA65E33"/>
    <w:rsid w:val="6CA67BE1"/>
    <w:rsid w:val="6CA8212E"/>
    <w:rsid w:val="6CA83959"/>
    <w:rsid w:val="6CA95923"/>
    <w:rsid w:val="6CA96BCC"/>
    <w:rsid w:val="6CAB3449"/>
    <w:rsid w:val="6CAB5700"/>
    <w:rsid w:val="6CAC5DDF"/>
    <w:rsid w:val="6CAD2AF0"/>
    <w:rsid w:val="6CAD423A"/>
    <w:rsid w:val="6CAD71C1"/>
    <w:rsid w:val="6CAE2F39"/>
    <w:rsid w:val="6CAE401C"/>
    <w:rsid w:val="6CAE445B"/>
    <w:rsid w:val="6CAE4CE7"/>
    <w:rsid w:val="6CAE6A95"/>
    <w:rsid w:val="6CAF0FC9"/>
    <w:rsid w:val="6CAF5142"/>
    <w:rsid w:val="6CAF5292"/>
    <w:rsid w:val="6CAF58C0"/>
    <w:rsid w:val="6CB0278D"/>
    <w:rsid w:val="6CB0280D"/>
    <w:rsid w:val="6CB144A4"/>
    <w:rsid w:val="6CB247D7"/>
    <w:rsid w:val="6CB253C7"/>
    <w:rsid w:val="6CB322FE"/>
    <w:rsid w:val="6CB34986"/>
    <w:rsid w:val="6CB406F1"/>
    <w:rsid w:val="6CB41F7C"/>
    <w:rsid w:val="6CB467A2"/>
    <w:rsid w:val="6CB5251A"/>
    <w:rsid w:val="6CB56076"/>
    <w:rsid w:val="6CB73B9C"/>
    <w:rsid w:val="6CB749A8"/>
    <w:rsid w:val="6CB7608B"/>
    <w:rsid w:val="6CB93DB8"/>
    <w:rsid w:val="6CBA368C"/>
    <w:rsid w:val="6CBA6410"/>
    <w:rsid w:val="6CBC6B37"/>
    <w:rsid w:val="6CBD325C"/>
    <w:rsid w:val="6CBD4F2A"/>
    <w:rsid w:val="6CBE7962"/>
    <w:rsid w:val="6CBF6F1A"/>
    <w:rsid w:val="6CC022D5"/>
    <w:rsid w:val="6CC02668"/>
    <w:rsid w:val="6CC10EBE"/>
    <w:rsid w:val="6CC12C6C"/>
    <w:rsid w:val="6CC16FAD"/>
    <w:rsid w:val="6CC20BF3"/>
    <w:rsid w:val="6CC22C06"/>
    <w:rsid w:val="6CC23A00"/>
    <w:rsid w:val="6CC24BA2"/>
    <w:rsid w:val="6CC27773"/>
    <w:rsid w:val="6CC30793"/>
    <w:rsid w:val="6CC369E5"/>
    <w:rsid w:val="6CC4275D"/>
    <w:rsid w:val="6CC4450B"/>
    <w:rsid w:val="6CC47610"/>
    <w:rsid w:val="6CC53523"/>
    <w:rsid w:val="6CC56E0A"/>
    <w:rsid w:val="6CC60393"/>
    <w:rsid w:val="6CC62031"/>
    <w:rsid w:val="6CC820E8"/>
    <w:rsid w:val="6CC83FFB"/>
    <w:rsid w:val="6CC84D49"/>
    <w:rsid w:val="6CC86812"/>
    <w:rsid w:val="6CC90328"/>
    <w:rsid w:val="6CC91B21"/>
    <w:rsid w:val="6CCA7D73"/>
    <w:rsid w:val="6CCC36A2"/>
    <w:rsid w:val="6CCD4886"/>
    <w:rsid w:val="6CD02B7B"/>
    <w:rsid w:val="6CD04C5E"/>
    <w:rsid w:val="6CD10E05"/>
    <w:rsid w:val="6CD113A9"/>
    <w:rsid w:val="6CD15F8E"/>
    <w:rsid w:val="6CD17F9C"/>
    <w:rsid w:val="6CD209D6"/>
    <w:rsid w:val="6CD24E7A"/>
    <w:rsid w:val="6CD31BD8"/>
    <w:rsid w:val="6CD429A0"/>
    <w:rsid w:val="6CD504C6"/>
    <w:rsid w:val="6CD531CC"/>
    <w:rsid w:val="6CD56718"/>
    <w:rsid w:val="6CD644A8"/>
    <w:rsid w:val="6CD72490"/>
    <w:rsid w:val="6CD73AC3"/>
    <w:rsid w:val="6CD7423E"/>
    <w:rsid w:val="6CD8023F"/>
    <w:rsid w:val="6CD824EC"/>
    <w:rsid w:val="6CD94028"/>
    <w:rsid w:val="6CD960E9"/>
    <w:rsid w:val="6CD97FB6"/>
    <w:rsid w:val="6CDA3D2E"/>
    <w:rsid w:val="6CDA5ADC"/>
    <w:rsid w:val="6CDA788A"/>
    <w:rsid w:val="6CDB1F80"/>
    <w:rsid w:val="6CDB309D"/>
    <w:rsid w:val="6CDB4E63"/>
    <w:rsid w:val="6CDB604D"/>
    <w:rsid w:val="6CDC145C"/>
    <w:rsid w:val="6CDC17AA"/>
    <w:rsid w:val="6CDC1B00"/>
    <w:rsid w:val="6CDE381E"/>
    <w:rsid w:val="6CDE3BFC"/>
    <w:rsid w:val="6CDE5B45"/>
    <w:rsid w:val="6CDF1345"/>
    <w:rsid w:val="6CDF1C45"/>
    <w:rsid w:val="6CDF201C"/>
    <w:rsid w:val="6CDF2B6F"/>
    <w:rsid w:val="6CDF2DFA"/>
    <w:rsid w:val="6CDF3254"/>
    <w:rsid w:val="6CDF75D7"/>
    <w:rsid w:val="6CE01F59"/>
    <w:rsid w:val="6CE02047"/>
    <w:rsid w:val="6CE07597"/>
    <w:rsid w:val="6CE10C19"/>
    <w:rsid w:val="6CE12C2A"/>
    <w:rsid w:val="6CE13039"/>
    <w:rsid w:val="6CE1418C"/>
    <w:rsid w:val="6CE150BD"/>
    <w:rsid w:val="6CE16E6B"/>
    <w:rsid w:val="6CE3173B"/>
    <w:rsid w:val="6CE36AAC"/>
    <w:rsid w:val="6CE3704F"/>
    <w:rsid w:val="6CE4167D"/>
    <w:rsid w:val="6CE52749"/>
    <w:rsid w:val="6CE54BAD"/>
    <w:rsid w:val="6CE55009"/>
    <w:rsid w:val="6CE556CB"/>
    <w:rsid w:val="6CE60925"/>
    <w:rsid w:val="6CE626D3"/>
    <w:rsid w:val="6CE801F9"/>
    <w:rsid w:val="6CE81FA7"/>
    <w:rsid w:val="6CE824D1"/>
    <w:rsid w:val="6CE86060"/>
    <w:rsid w:val="6CE95D1F"/>
    <w:rsid w:val="6CEB1A97"/>
    <w:rsid w:val="6CEB2A7E"/>
    <w:rsid w:val="6CEB5F3B"/>
    <w:rsid w:val="6CEB7CE9"/>
    <w:rsid w:val="6CEC129F"/>
    <w:rsid w:val="6CED1885"/>
    <w:rsid w:val="6CED1CB3"/>
    <w:rsid w:val="6CED3E70"/>
    <w:rsid w:val="6CED4180"/>
    <w:rsid w:val="6CED606E"/>
    <w:rsid w:val="6CEE0258"/>
    <w:rsid w:val="6CEE0E98"/>
    <w:rsid w:val="6CEE4DA1"/>
    <w:rsid w:val="6CEF1588"/>
    <w:rsid w:val="6CF03552"/>
    <w:rsid w:val="6CF05300"/>
    <w:rsid w:val="6CF070AE"/>
    <w:rsid w:val="6CF110B0"/>
    <w:rsid w:val="6CF130DA"/>
    <w:rsid w:val="6CF21078"/>
    <w:rsid w:val="6CF30226"/>
    <w:rsid w:val="6CF40DC4"/>
    <w:rsid w:val="6CF50B68"/>
    <w:rsid w:val="6CF51523"/>
    <w:rsid w:val="6CF52916"/>
    <w:rsid w:val="6CF634D1"/>
    <w:rsid w:val="6CF7043C"/>
    <w:rsid w:val="6CF748E0"/>
    <w:rsid w:val="6CF85932"/>
    <w:rsid w:val="6CF87842"/>
    <w:rsid w:val="6CF92406"/>
    <w:rsid w:val="6CF92413"/>
    <w:rsid w:val="6CFA7F2C"/>
    <w:rsid w:val="6CFB0696"/>
    <w:rsid w:val="6CFB5D38"/>
    <w:rsid w:val="6CFC1EF7"/>
    <w:rsid w:val="6CFC5A53"/>
    <w:rsid w:val="6CFC6F46"/>
    <w:rsid w:val="6CFD408C"/>
    <w:rsid w:val="6CFE36B4"/>
    <w:rsid w:val="6CFE5C6F"/>
    <w:rsid w:val="6CFF4B44"/>
    <w:rsid w:val="6D0019E7"/>
    <w:rsid w:val="6D003795"/>
    <w:rsid w:val="6D0112BB"/>
    <w:rsid w:val="6D013069"/>
    <w:rsid w:val="6D023CAB"/>
    <w:rsid w:val="6D025B8F"/>
    <w:rsid w:val="6D036096"/>
    <w:rsid w:val="6D036DE1"/>
    <w:rsid w:val="6D036F2F"/>
    <w:rsid w:val="6D042A47"/>
    <w:rsid w:val="6D042DE6"/>
    <w:rsid w:val="6D0520F7"/>
    <w:rsid w:val="6D056FFD"/>
    <w:rsid w:val="6D06067F"/>
    <w:rsid w:val="6D08089B"/>
    <w:rsid w:val="6D0810F4"/>
    <w:rsid w:val="6D0843F7"/>
    <w:rsid w:val="6D0858D0"/>
    <w:rsid w:val="6D090170"/>
    <w:rsid w:val="6D097AC7"/>
    <w:rsid w:val="6D0A3F6D"/>
    <w:rsid w:val="6D0B038C"/>
    <w:rsid w:val="6D0B3EE8"/>
    <w:rsid w:val="6D0D1A0E"/>
    <w:rsid w:val="6D0D4104"/>
    <w:rsid w:val="6D0D5444"/>
    <w:rsid w:val="6D0D5EB2"/>
    <w:rsid w:val="6D0F39D8"/>
    <w:rsid w:val="6D0F4639"/>
    <w:rsid w:val="6D0F5D7A"/>
    <w:rsid w:val="6D0F6103"/>
    <w:rsid w:val="6D103FBE"/>
    <w:rsid w:val="6D10720A"/>
    <w:rsid w:val="6D12014B"/>
    <w:rsid w:val="6D121612"/>
    <w:rsid w:val="6D12171A"/>
    <w:rsid w:val="6D12280D"/>
    <w:rsid w:val="6D1246FB"/>
    <w:rsid w:val="6D126C64"/>
    <w:rsid w:val="6D147240"/>
    <w:rsid w:val="6D156B14"/>
    <w:rsid w:val="6D162BBC"/>
    <w:rsid w:val="6D16450C"/>
    <w:rsid w:val="6D170ADE"/>
    <w:rsid w:val="6D17288C"/>
    <w:rsid w:val="6D175D26"/>
    <w:rsid w:val="6D176247"/>
    <w:rsid w:val="6D184DC4"/>
    <w:rsid w:val="6D18512F"/>
    <w:rsid w:val="6D192AA9"/>
    <w:rsid w:val="6D192AFE"/>
    <w:rsid w:val="6D1946ED"/>
    <w:rsid w:val="6D194857"/>
    <w:rsid w:val="6D1A0306"/>
    <w:rsid w:val="6D1A237D"/>
    <w:rsid w:val="6D1A7A6C"/>
    <w:rsid w:val="6D1C328F"/>
    <w:rsid w:val="6D1C4347"/>
    <w:rsid w:val="6D1C57AD"/>
    <w:rsid w:val="6D1C66E8"/>
    <w:rsid w:val="6D1D00CD"/>
    <w:rsid w:val="6D1D3C35"/>
    <w:rsid w:val="6D1D6ACC"/>
    <w:rsid w:val="6D1E00BF"/>
    <w:rsid w:val="6D1E7A9D"/>
    <w:rsid w:val="6D1F5A72"/>
    <w:rsid w:val="6D1F7993"/>
    <w:rsid w:val="6D203E37"/>
    <w:rsid w:val="6D2055BE"/>
    <w:rsid w:val="6D206CFF"/>
    <w:rsid w:val="6D2154B9"/>
    <w:rsid w:val="6D233F3F"/>
    <w:rsid w:val="6D235680"/>
    <w:rsid w:val="6D236B90"/>
    <w:rsid w:val="6D254FA9"/>
    <w:rsid w:val="6D260D22"/>
    <w:rsid w:val="6D262AD0"/>
    <w:rsid w:val="6D264001"/>
    <w:rsid w:val="6D264A09"/>
    <w:rsid w:val="6D276982"/>
    <w:rsid w:val="6D282CEC"/>
    <w:rsid w:val="6D286599"/>
    <w:rsid w:val="6D2A0812"/>
    <w:rsid w:val="6D2A1711"/>
    <w:rsid w:val="6D2A44C2"/>
    <w:rsid w:val="6D2A6A64"/>
    <w:rsid w:val="6D2A729C"/>
    <w:rsid w:val="6D2B318A"/>
    <w:rsid w:val="6D2B3E12"/>
    <w:rsid w:val="6D2B458A"/>
    <w:rsid w:val="6D2B6338"/>
    <w:rsid w:val="6D2C27DC"/>
    <w:rsid w:val="6D2C295E"/>
    <w:rsid w:val="6D2C6732"/>
    <w:rsid w:val="6D2D4006"/>
    <w:rsid w:val="6D2E262D"/>
    <w:rsid w:val="6D2E31E2"/>
    <w:rsid w:val="6D2F3C23"/>
    <w:rsid w:val="6D2F407A"/>
    <w:rsid w:val="6D2F5E28"/>
    <w:rsid w:val="6D2F7BD6"/>
    <w:rsid w:val="6D321585"/>
    <w:rsid w:val="6D3272D0"/>
    <w:rsid w:val="6D333A34"/>
    <w:rsid w:val="6D342CE0"/>
    <w:rsid w:val="6D342E96"/>
    <w:rsid w:val="6D343630"/>
    <w:rsid w:val="6D3451EC"/>
    <w:rsid w:val="6D34781D"/>
    <w:rsid w:val="6D351D7E"/>
    <w:rsid w:val="6D351F33"/>
    <w:rsid w:val="6D35228E"/>
    <w:rsid w:val="6D354110"/>
    <w:rsid w:val="6D354A0E"/>
    <w:rsid w:val="6D355F92"/>
    <w:rsid w:val="6D371181"/>
    <w:rsid w:val="6D372F2F"/>
    <w:rsid w:val="6D373845"/>
    <w:rsid w:val="6D384CD5"/>
    <w:rsid w:val="6D392803"/>
    <w:rsid w:val="6D394EF9"/>
    <w:rsid w:val="6D3A5C48"/>
    <w:rsid w:val="6D3A657B"/>
    <w:rsid w:val="6D3B3907"/>
    <w:rsid w:val="6D3B6AE2"/>
    <w:rsid w:val="6D3C1113"/>
    <w:rsid w:val="6D3C6227"/>
    <w:rsid w:val="6D3C6797"/>
    <w:rsid w:val="6D3D2026"/>
    <w:rsid w:val="6D3D5F38"/>
    <w:rsid w:val="6D3E250F"/>
    <w:rsid w:val="6D3E42BD"/>
    <w:rsid w:val="6D3E606B"/>
    <w:rsid w:val="6D3F3718"/>
    <w:rsid w:val="6D400035"/>
    <w:rsid w:val="6D404BA8"/>
    <w:rsid w:val="6D415210"/>
    <w:rsid w:val="6D423AD0"/>
    <w:rsid w:val="6D427B14"/>
    <w:rsid w:val="6D437B25"/>
    <w:rsid w:val="6D437F11"/>
    <w:rsid w:val="6D4449B9"/>
    <w:rsid w:val="6D452A7B"/>
    <w:rsid w:val="6D4549E6"/>
    <w:rsid w:val="6D461EAA"/>
    <w:rsid w:val="6D465A44"/>
    <w:rsid w:val="6D4713C4"/>
    <w:rsid w:val="6D48513C"/>
    <w:rsid w:val="6D4939F6"/>
    <w:rsid w:val="6D49739B"/>
    <w:rsid w:val="6D4A2C62"/>
    <w:rsid w:val="6D4A775D"/>
    <w:rsid w:val="6D4B1CBB"/>
    <w:rsid w:val="6D4B2536"/>
    <w:rsid w:val="6D4B34F1"/>
    <w:rsid w:val="6D4C69DA"/>
    <w:rsid w:val="6D4D0214"/>
    <w:rsid w:val="6D4D4500"/>
    <w:rsid w:val="6D4D45DB"/>
    <w:rsid w:val="6D4D4F8B"/>
    <w:rsid w:val="6D4E3F87"/>
    <w:rsid w:val="6D4F0278"/>
    <w:rsid w:val="6D4F2026"/>
    <w:rsid w:val="6D4F320D"/>
    <w:rsid w:val="6D512242"/>
    <w:rsid w:val="6D512F58"/>
    <w:rsid w:val="6D52189D"/>
    <w:rsid w:val="6D5238C5"/>
    <w:rsid w:val="6D527D69"/>
    <w:rsid w:val="6D535F1B"/>
    <w:rsid w:val="6D536555"/>
    <w:rsid w:val="6D544E73"/>
    <w:rsid w:val="6D54588F"/>
    <w:rsid w:val="6D54763D"/>
    <w:rsid w:val="6D550310"/>
    <w:rsid w:val="6D560EAF"/>
    <w:rsid w:val="6D57712D"/>
    <w:rsid w:val="6D584C6A"/>
    <w:rsid w:val="6D5902D4"/>
    <w:rsid w:val="6D5910F7"/>
    <w:rsid w:val="6D592EA5"/>
    <w:rsid w:val="6D594C53"/>
    <w:rsid w:val="6D597414"/>
    <w:rsid w:val="6D5B0636"/>
    <w:rsid w:val="6D5B09CB"/>
    <w:rsid w:val="6D5B4E6F"/>
    <w:rsid w:val="6D5B6C1D"/>
    <w:rsid w:val="6D5C2C40"/>
    <w:rsid w:val="6D5C369D"/>
    <w:rsid w:val="6D5C4743"/>
    <w:rsid w:val="6D5D3163"/>
    <w:rsid w:val="6D5D5560"/>
    <w:rsid w:val="6D5D6493"/>
    <w:rsid w:val="6D5E0131"/>
    <w:rsid w:val="6D5E04BB"/>
    <w:rsid w:val="6D5E495F"/>
    <w:rsid w:val="6D5F11EF"/>
    <w:rsid w:val="6D5F493F"/>
    <w:rsid w:val="6D601360"/>
    <w:rsid w:val="6D602485"/>
    <w:rsid w:val="6D602A51"/>
    <w:rsid w:val="6D605FE2"/>
    <w:rsid w:val="6D6222DE"/>
    <w:rsid w:val="6D6279BC"/>
    <w:rsid w:val="6D631F76"/>
    <w:rsid w:val="6D633425"/>
    <w:rsid w:val="6D633D24"/>
    <w:rsid w:val="6D636813"/>
    <w:rsid w:val="6D63701B"/>
    <w:rsid w:val="6D637130"/>
    <w:rsid w:val="6D6372E5"/>
    <w:rsid w:val="6D643FA3"/>
    <w:rsid w:val="6D65184A"/>
    <w:rsid w:val="6D6535F8"/>
    <w:rsid w:val="6D654FB7"/>
    <w:rsid w:val="6D655CEE"/>
    <w:rsid w:val="6D657A9C"/>
    <w:rsid w:val="6D662EE5"/>
    <w:rsid w:val="6D6655C2"/>
    <w:rsid w:val="6D666520"/>
    <w:rsid w:val="6D68758C"/>
    <w:rsid w:val="6D6A3304"/>
    <w:rsid w:val="6D6A50B2"/>
    <w:rsid w:val="6D6B12A5"/>
    <w:rsid w:val="6D6B459B"/>
    <w:rsid w:val="6D6B5282"/>
    <w:rsid w:val="6D6C0E2A"/>
    <w:rsid w:val="6D6D08A0"/>
    <w:rsid w:val="6D6D6950"/>
    <w:rsid w:val="6D6E5CA5"/>
    <w:rsid w:val="6D6F10B6"/>
    <w:rsid w:val="6D6F26C8"/>
    <w:rsid w:val="6D6F4477"/>
    <w:rsid w:val="6D6F4814"/>
    <w:rsid w:val="6D7026B9"/>
    <w:rsid w:val="6D7101EF"/>
    <w:rsid w:val="6D714693"/>
    <w:rsid w:val="6D716F1A"/>
    <w:rsid w:val="6D741A8D"/>
    <w:rsid w:val="6D742357"/>
    <w:rsid w:val="6D747CDF"/>
    <w:rsid w:val="6D754F28"/>
    <w:rsid w:val="6D76145E"/>
    <w:rsid w:val="6D763A57"/>
    <w:rsid w:val="6D777848"/>
    <w:rsid w:val="6D7935F8"/>
    <w:rsid w:val="6D7B0D9A"/>
    <w:rsid w:val="6D7B106D"/>
    <w:rsid w:val="6D7B222A"/>
    <w:rsid w:val="6D7B72BF"/>
    <w:rsid w:val="6D7B7337"/>
    <w:rsid w:val="6D7C0AE9"/>
    <w:rsid w:val="6D7C6B93"/>
    <w:rsid w:val="6D7D0715"/>
    <w:rsid w:val="6D7D4B4A"/>
    <w:rsid w:val="6D7D4DE5"/>
    <w:rsid w:val="6D7D79A2"/>
    <w:rsid w:val="6D7E504C"/>
    <w:rsid w:val="6D7E5A8E"/>
    <w:rsid w:val="6D7E5C43"/>
    <w:rsid w:val="6D800B9D"/>
    <w:rsid w:val="6D80203B"/>
    <w:rsid w:val="6D8048D6"/>
    <w:rsid w:val="6D807B87"/>
    <w:rsid w:val="6D813259"/>
    <w:rsid w:val="6D8141AA"/>
    <w:rsid w:val="6D81609C"/>
    <w:rsid w:val="6D825488"/>
    <w:rsid w:val="6D8343C6"/>
    <w:rsid w:val="6D836174"/>
    <w:rsid w:val="6D841D33"/>
    <w:rsid w:val="6D842FC0"/>
    <w:rsid w:val="6D8433DC"/>
    <w:rsid w:val="6D85712C"/>
    <w:rsid w:val="6D8754F4"/>
    <w:rsid w:val="6D875C64"/>
    <w:rsid w:val="6D8819DC"/>
    <w:rsid w:val="6D881C5D"/>
    <w:rsid w:val="6D884FF4"/>
    <w:rsid w:val="6D8A0652"/>
    <w:rsid w:val="6D8A12B0"/>
    <w:rsid w:val="6D8A24C1"/>
    <w:rsid w:val="6D8A305E"/>
    <w:rsid w:val="6D8A457D"/>
    <w:rsid w:val="6D8A67CF"/>
    <w:rsid w:val="6D8A7447"/>
    <w:rsid w:val="6D8A7502"/>
    <w:rsid w:val="6D8B6DD7"/>
    <w:rsid w:val="6D8C31AF"/>
    <w:rsid w:val="6D8C327A"/>
    <w:rsid w:val="6D8C3992"/>
    <w:rsid w:val="6D8C43AF"/>
    <w:rsid w:val="6D8C5028"/>
    <w:rsid w:val="6D8D155E"/>
    <w:rsid w:val="6D8D7847"/>
    <w:rsid w:val="6D8E1BCA"/>
    <w:rsid w:val="6D8E2425"/>
    <w:rsid w:val="6D8E61F1"/>
    <w:rsid w:val="6D8F2D6B"/>
    <w:rsid w:val="6D8F730E"/>
    <w:rsid w:val="6D901B30"/>
    <w:rsid w:val="6D913D1E"/>
    <w:rsid w:val="6D9143ED"/>
    <w:rsid w:val="6D924450"/>
    <w:rsid w:val="6D936168"/>
    <w:rsid w:val="6D942D67"/>
    <w:rsid w:val="6D943EDD"/>
    <w:rsid w:val="6D952DD1"/>
    <w:rsid w:val="6D957DBC"/>
    <w:rsid w:val="6D9629FE"/>
    <w:rsid w:val="6D965EA7"/>
    <w:rsid w:val="6D9754E4"/>
    <w:rsid w:val="6D99628D"/>
    <w:rsid w:val="6D997745"/>
    <w:rsid w:val="6D9A454D"/>
    <w:rsid w:val="6D9B1501"/>
    <w:rsid w:val="6D9B34BE"/>
    <w:rsid w:val="6D9B47B1"/>
    <w:rsid w:val="6D9B5D2B"/>
    <w:rsid w:val="6D9C0D39"/>
    <w:rsid w:val="6D9C0FE4"/>
    <w:rsid w:val="6D9D2101"/>
    <w:rsid w:val="6D9D5488"/>
    <w:rsid w:val="6D9E29F3"/>
    <w:rsid w:val="6D9E2FAE"/>
    <w:rsid w:val="6D9E3E83"/>
    <w:rsid w:val="6D9E76B5"/>
    <w:rsid w:val="6D9F6A54"/>
    <w:rsid w:val="6DA02882"/>
    <w:rsid w:val="6DA06D26"/>
    <w:rsid w:val="6DA22A9E"/>
    <w:rsid w:val="6DA2484C"/>
    <w:rsid w:val="6DA265FA"/>
    <w:rsid w:val="6DA31074"/>
    <w:rsid w:val="6DA31FF1"/>
    <w:rsid w:val="6DA32372"/>
    <w:rsid w:val="6DA42380"/>
    <w:rsid w:val="6DA46816"/>
    <w:rsid w:val="6DA531CF"/>
    <w:rsid w:val="6DA57E98"/>
    <w:rsid w:val="6DA60539"/>
    <w:rsid w:val="6DA6442F"/>
    <w:rsid w:val="6DA71E62"/>
    <w:rsid w:val="6DA73957"/>
    <w:rsid w:val="6DA751E6"/>
    <w:rsid w:val="6DA87988"/>
    <w:rsid w:val="6DA9738C"/>
    <w:rsid w:val="6DAA1953"/>
    <w:rsid w:val="6DAB2E3F"/>
    <w:rsid w:val="6DAB625C"/>
    <w:rsid w:val="6DAC1227"/>
    <w:rsid w:val="6DAC56CB"/>
    <w:rsid w:val="6DAC7479"/>
    <w:rsid w:val="6DAD16DA"/>
    <w:rsid w:val="6DAE50AD"/>
    <w:rsid w:val="6DAE668A"/>
    <w:rsid w:val="6DAE7C8E"/>
    <w:rsid w:val="6DAF073B"/>
    <w:rsid w:val="6DAF51BB"/>
    <w:rsid w:val="6DB037F2"/>
    <w:rsid w:val="6DB07549"/>
    <w:rsid w:val="6DB12CE1"/>
    <w:rsid w:val="6DB1683D"/>
    <w:rsid w:val="6DB225B5"/>
    <w:rsid w:val="6DB262DC"/>
    <w:rsid w:val="6DB34098"/>
    <w:rsid w:val="6DB35AB6"/>
    <w:rsid w:val="6DB41F36"/>
    <w:rsid w:val="6DB46F41"/>
    <w:rsid w:val="6DB47339"/>
    <w:rsid w:val="6DB51592"/>
    <w:rsid w:val="6DB545B6"/>
    <w:rsid w:val="6DB56E82"/>
    <w:rsid w:val="6DB602F7"/>
    <w:rsid w:val="6DB61E15"/>
    <w:rsid w:val="6DB706DA"/>
    <w:rsid w:val="6DB70FA5"/>
    <w:rsid w:val="6DB81974"/>
    <w:rsid w:val="6DB86AA0"/>
    <w:rsid w:val="6DB91B96"/>
    <w:rsid w:val="6DB9246A"/>
    <w:rsid w:val="6DBA24F0"/>
    <w:rsid w:val="6DBB590E"/>
    <w:rsid w:val="6DBC2638"/>
    <w:rsid w:val="6DBC76BD"/>
    <w:rsid w:val="6DBD3434"/>
    <w:rsid w:val="6DBE0F5A"/>
    <w:rsid w:val="6DBE53FE"/>
    <w:rsid w:val="6DBE7791"/>
    <w:rsid w:val="6DBF48FD"/>
    <w:rsid w:val="6DC01176"/>
    <w:rsid w:val="6DC04CD2"/>
    <w:rsid w:val="6DC05C64"/>
    <w:rsid w:val="6DC05D8D"/>
    <w:rsid w:val="6DC06FEE"/>
    <w:rsid w:val="6DC074CE"/>
    <w:rsid w:val="6DC107C8"/>
    <w:rsid w:val="6DC14958"/>
    <w:rsid w:val="6DC24EEE"/>
    <w:rsid w:val="6DC26C9C"/>
    <w:rsid w:val="6DC347C2"/>
    <w:rsid w:val="6DC36570"/>
    <w:rsid w:val="6DC42A14"/>
    <w:rsid w:val="6DC43C2B"/>
    <w:rsid w:val="6DC522E8"/>
    <w:rsid w:val="6DC53B13"/>
    <w:rsid w:val="6DC5678C"/>
    <w:rsid w:val="6DC6179E"/>
    <w:rsid w:val="6DC6202A"/>
    <w:rsid w:val="6DC63D25"/>
    <w:rsid w:val="6DC742B3"/>
    <w:rsid w:val="6DC747D0"/>
    <w:rsid w:val="6DC75C60"/>
    <w:rsid w:val="6DC771BD"/>
    <w:rsid w:val="6DC81DD9"/>
    <w:rsid w:val="6DC82C26"/>
    <w:rsid w:val="6DC87326"/>
    <w:rsid w:val="6DC957DF"/>
    <w:rsid w:val="6DCA1A0F"/>
    <w:rsid w:val="6DCA2A63"/>
    <w:rsid w:val="6DCA3150"/>
    <w:rsid w:val="6DCA3466"/>
    <w:rsid w:val="6DCA5B51"/>
    <w:rsid w:val="6DCB07EA"/>
    <w:rsid w:val="6DCB5CE9"/>
    <w:rsid w:val="6DCC18C9"/>
    <w:rsid w:val="6DCC303F"/>
    <w:rsid w:val="6DCC3D4E"/>
    <w:rsid w:val="6DCC47E7"/>
    <w:rsid w:val="6DCD577E"/>
    <w:rsid w:val="6DCD6F00"/>
    <w:rsid w:val="6DCE1692"/>
    <w:rsid w:val="6DCE5641"/>
    <w:rsid w:val="6DCE6C2B"/>
    <w:rsid w:val="6DCF3167"/>
    <w:rsid w:val="6DD00132"/>
    <w:rsid w:val="6DD020E1"/>
    <w:rsid w:val="6DD10C8D"/>
    <w:rsid w:val="6DD13555"/>
    <w:rsid w:val="6DD14348"/>
    <w:rsid w:val="6DD16EDF"/>
    <w:rsid w:val="6DD234DC"/>
    <w:rsid w:val="6DD27449"/>
    <w:rsid w:val="6DD469CF"/>
    <w:rsid w:val="6DD47CDE"/>
    <w:rsid w:val="6DD55AE9"/>
    <w:rsid w:val="6DD62942"/>
    <w:rsid w:val="6DD644F6"/>
    <w:rsid w:val="6DD662A4"/>
    <w:rsid w:val="6DD71B95"/>
    <w:rsid w:val="6DD8201C"/>
    <w:rsid w:val="6DD90074"/>
    <w:rsid w:val="6DD90585"/>
    <w:rsid w:val="6DD93FE6"/>
    <w:rsid w:val="6DD95D94"/>
    <w:rsid w:val="6DDA08B7"/>
    <w:rsid w:val="6DDA1504"/>
    <w:rsid w:val="6DDA2238"/>
    <w:rsid w:val="6DDA27CC"/>
    <w:rsid w:val="6DDB3775"/>
    <w:rsid w:val="6DDB7D5E"/>
    <w:rsid w:val="6DDD69F5"/>
    <w:rsid w:val="6DDE31A2"/>
    <w:rsid w:val="6DDE33AA"/>
    <w:rsid w:val="6DDE5831"/>
    <w:rsid w:val="6DE00E8F"/>
    <w:rsid w:val="6DE02FB4"/>
    <w:rsid w:val="6DE0700D"/>
    <w:rsid w:val="6DE108BA"/>
    <w:rsid w:val="6DE16806"/>
    <w:rsid w:val="6DE2064C"/>
    <w:rsid w:val="6DE213D7"/>
    <w:rsid w:val="6DE2231B"/>
    <w:rsid w:val="6DE22E9A"/>
    <w:rsid w:val="6DE24C48"/>
    <w:rsid w:val="6DE2733E"/>
    <w:rsid w:val="6DE33CF7"/>
    <w:rsid w:val="6DE362EB"/>
    <w:rsid w:val="6DE41446"/>
    <w:rsid w:val="6DE44E65"/>
    <w:rsid w:val="6DE468C8"/>
    <w:rsid w:val="6DE47554"/>
    <w:rsid w:val="6DE50BDD"/>
    <w:rsid w:val="6DE52928"/>
    <w:rsid w:val="6DE5406F"/>
    <w:rsid w:val="6DE54739"/>
    <w:rsid w:val="6DE54DB4"/>
    <w:rsid w:val="6DE704B1"/>
    <w:rsid w:val="6DE74955"/>
    <w:rsid w:val="6DE83B08"/>
    <w:rsid w:val="6DE85FD7"/>
    <w:rsid w:val="6DE94229"/>
    <w:rsid w:val="6DEA13CF"/>
    <w:rsid w:val="6DEA61F3"/>
    <w:rsid w:val="6DEA7DD0"/>
    <w:rsid w:val="6DEA7FA1"/>
    <w:rsid w:val="6DEB2489"/>
    <w:rsid w:val="6DEB708C"/>
    <w:rsid w:val="6DEC1F6B"/>
    <w:rsid w:val="6DEC5AC7"/>
    <w:rsid w:val="6DED64EA"/>
    <w:rsid w:val="6DEE5CE3"/>
    <w:rsid w:val="6DEF3809"/>
    <w:rsid w:val="6DEF55B7"/>
    <w:rsid w:val="6DF10E45"/>
    <w:rsid w:val="6DF1132F"/>
    <w:rsid w:val="6DF2007A"/>
    <w:rsid w:val="6DF235AD"/>
    <w:rsid w:val="6DF24C3A"/>
    <w:rsid w:val="6DF2778B"/>
    <w:rsid w:val="6DF30C1B"/>
    <w:rsid w:val="6DF332FA"/>
    <w:rsid w:val="6DF378FC"/>
    <w:rsid w:val="6DF40919"/>
    <w:rsid w:val="6DF42BCE"/>
    <w:rsid w:val="6DF5308D"/>
    <w:rsid w:val="6DF57072"/>
    <w:rsid w:val="6DF63A95"/>
    <w:rsid w:val="6DF66946"/>
    <w:rsid w:val="6DF66E8B"/>
    <w:rsid w:val="6DF725F1"/>
    <w:rsid w:val="6DF774C8"/>
    <w:rsid w:val="6DF826BE"/>
    <w:rsid w:val="6DF8337A"/>
    <w:rsid w:val="6DF901E4"/>
    <w:rsid w:val="6DF947B3"/>
    <w:rsid w:val="6DFA0AEE"/>
    <w:rsid w:val="6DFA6436"/>
    <w:rsid w:val="6DFA6592"/>
    <w:rsid w:val="6DFB1F7E"/>
    <w:rsid w:val="6DFB3F5C"/>
    <w:rsid w:val="6DFC502C"/>
    <w:rsid w:val="6DFD1A82"/>
    <w:rsid w:val="6DFD3941"/>
    <w:rsid w:val="6DFD53F7"/>
    <w:rsid w:val="6DFD746F"/>
    <w:rsid w:val="6DFD7CD4"/>
    <w:rsid w:val="6DFE08FF"/>
    <w:rsid w:val="6DFE57FA"/>
    <w:rsid w:val="6E005A16"/>
    <w:rsid w:val="6E006EAB"/>
    <w:rsid w:val="6E011B8F"/>
    <w:rsid w:val="6E02033A"/>
    <w:rsid w:val="6E0252EB"/>
    <w:rsid w:val="6E030710"/>
    <w:rsid w:val="6E032E11"/>
    <w:rsid w:val="6E0330A4"/>
    <w:rsid w:val="6E036C20"/>
    <w:rsid w:val="6E041063"/>
    <w:rsid w:val="6E043B72"/>
    <w:rsid w:val="6E0472B5"/>
    <w:rsid w:val="6E062662"/>
    <w:rsid w:val="6E063371"/>
    <w:rsid w:val="6E070B53"/>
    <w:rsid w:val="6E071B45"/>
    <w:rsid w:val="6E075669"/>
    <w:rsid w:val="6E076DA5"/>
    <w:rsid w:val="6E0867B7"/>
    <w:rsid w:val="6E093483"/>
    <w:rsid w:val="6E0949F7"/>
    <w:rsid w:val="6E096781"/>
    <w:rsid w:val="6E0A0A62"/>
    <w:rsid w:val="6E0B0643"/>
    <w:rsid w:val="6E0B4C16"/>
    <w:rsid w:val="6E0B7AD3"/>
    <w:rsid w:val="6E0C01FA"/>
    <w:rsid w:val="6E0C76AD"/>
    <w:rsid w:val="6E0C7F17"/>
    <w:rsid w:val="6E0D1551"/>
    <w:rsid w:val="6E0D6F64"/>
    <w:rsid w:val="6E0E03F4"/>
    <w:rsid w:val="6E0E5A3E"/>
    <w:rsid w:val="6E0E5B84"/>
    <w:rsid w:val="6E0F17B6"/>
    <w:rsid w:val="6E0F4BB0"/>
    <w:rsid w:val="6E0F4DD7"/>
    <w:rsid w:val="6E0F56C4"/>
    <w:rsid w:val="6E10504B"/>
    <w:rsid w:val="6E1051A7"/>
    <w:rsid w:val="6E1119D2"/>
    <w:rsid w:val="6E112190"/>
    <w:rsid w:val="6E112F12"/>
    <w:rsid w:val="6E11552E"/>
    <w:rsid w:val="6E1241EE"/>
    <w:rsid w:val="6E130205"/>
    <w:rsid w:val="6E13236A"/>
    <w:rsid w:val="6E141832"/>
    <w:rsid w:val="6E14378C"/>
    <w:rsid w:val="6E14501E"/>
    <w:rsid w:val="6E15721F"/>
    <w:rsid w:val="6E182D60"/>
    <w:rsid w:val="6E18518F"/>
    <w:rsid w:val="6E1868BC"/>
    <w:rsid w:val="6E192936"/>
    <w:rsid w:val="6E1A0886"/>
    <w:rsid w:val="6E1A6AD8"/>
    <w:rsid w:val="6E1B015A"/>
    <w:rsid w:val="6E1C1D4A"/>
    <w:rsid w:val="6E1C659B"/>
    <w:rsid w:val="6E1D2124"/>
    <w:rsid w:val="6E1D3ED3"/>
    <w:rsid w:val="6E1E5318"/>
    <w:rsid w:val="6E1F40EF"/>
    <w:rsid w:val="6E1F5E9D"/>
    <w:rsid w:val="6E1F6131"/>
    <w:rsid w:val="6E2039C3"/>
    <w:rsid w:val="6E20553A"/>
    <w:rsid w:val="6E212186"/>
    <w:rsid w:val="6E216EC0"/>
    <w:rsid w:val="6E2244E8"/>
    <w:rsid w:val="6E22686A"/>
    <w:rsid w:val="6E22773B"/>
    <w:rsid w:val="6E23118A"/>
    <w:rsid w:val="6E237DA5"/>
    <w:rsid w:val="6E241705"/>
    <w:rsid w:val="6E2434B3"/>
    <w:rsid w:val="6E245261"/>
    <w:rsid w:val="6E2503F1"/>
    <w:rsid w:val="6E250FD9"/>
    <w:rsid w:val="6E253714"/>
    <w:rsid w:val="6E263BE5"/>
    <w:rsid w:val="6E26667B"/>
    <w:rsid w:val="6E2711F5"/>
    <w:rsid w:val="6E274D51"/>
    <w:rsid w:val="6E290AC9"/>
    <w:rsid w:val="6E291C0C"/>
    <w:rsid w:val="6E292877"/>
    <w:rsid w:val="6E294FFC"/>
    <w:rsid w:val="6E296D1B"/>
    <w:rsid w:val="6E2A4841"/>
    <w:rsid w:val="6E2A65EF"/>
    <w:rsid w:val="6E2B2A93"/>
    <w:rsid w:val="6E2B6812"/>
    <w:rsid w:val="6E2B6E3D"/>
    <w:rsid w:val="6E2D0726"/>
    <w:rsid w:val="6E2D0758"/>
    <w:rsid w:val="6E2D0AC4"/>
    <w:rsid w:val="6E2D119A"/>
    <w:rsid w:val="6E2D397D"/>
    <w:rsid w:val="6E2E003F"/>
    <w:rsid w:val="6E2E4332"/>
    <w:rsid w:val="6E2E60E0"/>
    <w:rsid w:val="6E2E629D"/>
    <w:rsid w:val="6E2E7B61"/>
    <w:rsid w:val="6E2E7E8E"/>
    <w:rsid w:val="6E2E7ECC"/>
    <w:rsid w:val="6E2F0A19"/>
    <w:rsid w:val="6E3000AA"/>
    <w:rsid w:val="6E30177C"/>
    <w:rsid w:val="6E301E58"/>
    <w:rsid w:val="6E305DF1"/>
    <w:rsid w:val="6E3077EF"/>
    <w:rsid w:val="6E3127E0"/>
    <w:rsid w:val="6E313E22"/>
    <w:rsid w:val="6E324C1E"/>
    <w:rsid w:val="6E325752"/>
    <w:rsid w:val="6E331948"/>
    <w:rsid w:val="6E337B9A"/>
    <w:rsid w:val="6E3404FB"/>
    <w:rsid w:val="6E34236A"/>
    <w:rsid w:val="6E34753E"/>
    <w:rsid w:val="6E361438"/>
    <w:rsid w:val="6E3616CC"/>
    <w:rsid w:val="6E370438"/>
    <w:rsid w:val="6E371499"/>
    <w:rsid w:val="6E375C58"/>
    <w:rsid w:val="6E375EBF"/>
    <w:rsid w:val="6E380D0C"/>
    <w:rsid w:val="6E381068"/>
    <w:rsid w:val="6E382EA8"/>
    <w:rsid w:val="6E384497"/>
    <w:rsid w:val="6E3851B0"/>
    <w:rsid w:val="6E386625"/>
    <w:rsid w:val="6E3902D9"/>
    <w:rsid w:val="6E393228"/>
    <w:rsid w:val="6E396833"/>
    <w:rsid w:val="6E3A0F28"/>
    <w:rsid w:val="6E3A408D"/>
    <w:rsid w:val="6E3A6CA9"/>
    <w:rsid w:val="6E3B25AB"/>
    <w:rsid w:val="6E3B4203"/>
    <w:rsid w:val="6E3B584D"/>
    <w:rsid w:val="6E3B7411"/>
    <w:rsid w:val="6E3C08A1"/>
    <w:rsid w:val="6E3D1D31"/>
    <w:rsid w:val="6E3D27C7"/>
    <w:rsid w:val="6E3D4575"/>
    <w:rsid w:val="6E3D6323"/>
    <w:rsid w:val="6E3E0957"/>
    <w:rsid w:val="6E3E629B"/>
    <w:rsid w:val="6E405E13"/>
    <w:rsid w:val="6E4073A1"/>
    <w:rsid w:val="6E414065"/>
    <w:rsid w:val="6E415A81"/>
    <w:rsid w:val="6E417EEB"/>
    <w:rsid w:val="6E437664"/>
    <w:rsid w:val="6E443B55"/>
    <w:rsid w:val="6E445245"/>
    <w:rsid w:val="6E445903"/>
    <w:rsid w:val="6E44657B"/>
    <w:rsid w:val="6E453094"/>
    <w:rsid w:val="6E461CB0"/>
    <w:rsid w:val="6E464524"/>
    <w:rsid w:val="6E4719CD"/>
    <w:rsid w:val="6E4753F3"/>
    <w:rsid w:val="6E486E44"/>
    <w:rsid w:val="6E496ACF"/>
    <w:rsid w:val="6E496F01"/>
    <w:rsid w:val="6E4A0A40"/>
    <w:rsid w:val="6E4C2A0A"/>
    <w:rsid w:val="6E4C47B8"/>
    <w:rsid w:val="6E4D0486"/>
    <w:rsid w:val="6E4E22DE"/>
    <w:rsid w:val="6E4F4BD9"/>
    <w:rsid w:val="6E5001A7"/>
    <w:rsid w:val="6E501734"/>
    <w:rsid w:val="6E5024FA"/>
    <w:rsid w:val="6E510020"/>
    <w:rsid w:val="6E511DCE"/>
    <w:rsid w:val="6E514CED"/>
    <w:rsid w:val="6E522AE8"/>
    <w:rsid w:val="6E524208"/>
    <w:rsid w:val="6E526272"/>
    <w:rsid w:val="6E526446"/>
    <w:rsid w:val="6E533D98"/>
    <w:rsid w:val="6E535B46"/>
    <w:rsid w:val="6E5445AE"/>
    <w:rsid w:val="6E544903"/>
    <w:rsid w:val="6E546B28"/>
    <w:rsid w:val="6E551448"/>
    <w:rsid w:val="6E5518BE"/>
    <w:rsid w:val="6E5552AC"/>
    <w:rsid w:val="6E557B10"/>
    <w:rsid w:val="6E562FDE"/>
    <w:rsid w:val="6E56579E"/>
    <w:rsid w:val="6E5711BD"/>
    <w:rsid w:val="6E572EC4"/>
    <w:rsid w:val="6E573888"/>
    <w:rsid w:val="6E580931"/>
    <w:rsid w:val="6E58315D"/>
    <w:rsid w:val="6E5874A5"/>
    <w:rsid w:val="6E587601"/>
    <w:rsid w:val="6E597B85"/>
    <w:rsid w:val="6E5A0455"/>
    <w:rsid w:val="6E5A0C83"/>
    <w:rsid w:val="6E5A1D19"/>
    <w:rsid w:val="6E5A2DAC"/>
    <w:rsid w:val="6E5B0D9A"/>
    <w:rsid w:val="6E5B2C4D"/>
    <w:rsid w:val="6E5B49FB"/>
    <w:rsid w:val="6E5B627E"/>
    <w:rsid w:val="6E5B69FB"/>
    <w:rsid w:val="6E5C0E9F"/>
    <w:rsid w:val="6E5D0773"/>
    <w:rsid w:val="6E5D4C17"/>
    <w:rsid w:val="6E5D69C5"/>
    <w:rsid w:val="6E5D6C31"/>
    <w:rsid w:val="6E5E36C9"/>
    <w:rsid w:val="6E5E3720"/>
    <w:rsid w:val="6E5E634F"/>
    <w:rsid w:val="6E5F098F"/>
    <w:rsid w:val="6E5F44EB"/>
    <w:rsid w:val="6E61284D"/>
    <w:rsid w:val="6E612A2C"/>
    <w:rsid w:val="6E623FDB"/>
    <w:rsid w:val="6E627594"/>
    <w:rsid w:val="6E630E33"/>
    <w:rsid w:val="6E632386"/>
    <w:rsid w:val="6E6334D6"/>
    <w:rsid w:val="6E634208"/>
    <w:rsid w:val="6E641B01"/>
    <w:rsid w:val="6E647D53"/>
    <w:rsid w:val="6E65215E"/>
    <w:rsid w:val="6E661B5D"/>
    <w:rsid w:val="6E661D1D"/>
    <w:rsid w:val="6E6632C4"/>
    <w:rsid w:val="6E66587A"/>
    <w:rsid w:val="6E671E41"/>
    <w:rsid w:val="6E6733A0"/>
    <w:rsid w:val="6E677844"/>
    <w:rsid w:val="6E680E2B"/>
    <w:rsid w:val="6E681C8B"/>
    <w:rsid w:val="6E6935BC"/>
    <w:rsid w:val="6E697118"/>
    <w:rsid w:val="6E6A6794"/>
    <w:rsid w:val="6E6B10E2"/>
    <w:rsid w:val="6E6B1DA1"/>
    <w:rsid w:val="6E6C09B6"/>
    <w:rsid w:val="6E6C3C51"/>
    <w:rsid w:val="6E6C4E5A"/>
    <w:rsid w:val="6E6C6C08"/>
    <w:rsid w:val="6E6D32E1"/>
    <w:rsid w:val="6E6E038D"/>
    <w:rsid w:val="6E6E0A4A"/>
    <w:rsid w:val="6E6E22A0"/>
    <w:rsid w:val="6E6F4BC0"/>
    <w:rsid w:val="6E7004A6"/>
    <w:rsid w:val="6E7043F7"/>
    <w:rsid w:val="6E70494A"/>
    <w:rsid w:val="6E71421E"/>
    <w:rsid w:val="6E7156FD"/>
    <w:rsid w:val="6E7160CB"/>
    <w:rsid w:val="6E7220B1"/>
    <w:rsid w:val="6E722B2A"/>
    <w:rsid w:val="6E72551C"/>
    <w:rsid w:val="6E72657C"/>
    <w:rsid w:val="6E7301B4"/>
    <w:rsid w:val="6E731D44"/>
    <w:rsid w:val="6E737F96"/>
    <w:rsid w:val="6E740E0F"/>
    <w:rsid w:val="6E7449D1"/>
    <w:rsid w:val="6E7543A1"/>
    <w:rsid w:val="6E761835"/>
    <w:rsid w:val="6E775CD9"/>
    <w:rsid w:val="6E7764B9"/>
    <w:rsid w:val="6E776D06"/>
    <w:rsid w:val="6E7855AD"/>
    <w:rsid w:val="6E79069E"/>
    <w:rsid w:val="6E7A30D3"/>
    <w:rsid w:val="6E7B60FF"/>
    <w:rsid w:val="6E7B6E4B"/>
    <w:rsid w:val="6E7C32EF"/>
    <w:rsid w:val="6E7D2BC3"/>
    <w:rsid w:val="6E7E3225"/>
    <w:rsid w:val="6E7F2F23"/>
    <w:rsid w:val="6E7F46B5"/>
    <w:rsid w:val="6E7F4B8D"/>
    <w:rsid w:val="6E804461"/>
    <w:rsid w:val="6E8055FC"/>
    <w:rsid w:val="6E810905"/>
    <w:rsid w:val="6E8219F6"/>
    <w:rsid w:val="6E8403F6"/>
    <w:rsid w:val="6E841B99"/>
    <w:rsid w:val="6E843F52"/>
    <w:rsid w:val="6E8468DA"/>
    <w:rsid w:val="6E8472F1"/>
    <w:rsid w:val="6E8619B7"/>
    <w:rsid w:val="6E862D78"/>
    <w:rsid w:val="6E863525"/>
    <w:rsid w:val="6E8727B5"/>
    <w:rsid w:val="6E872E47"/>
    <w:rsid w:val="6E8757F0"/>
    <w:rsid w:val="6E8968AB"/>
    <w:rsid w:val="6E8A0699"/>
    <w:rsid w:val="6E8A131C"/>
    <w:rsid w:val="6E8B52E0"/>
    <w:rsid w:val="6E8B5ECC"/>
    <w:rsid w:val="6E8B7D6D"/>
    <w:rsid w:val="6E8B7F60"/>
    <w:rsid w:val="6E8C5638"/>
    <w:rsid w:val="6E8E4DD0"/>
    <w:rsid w:val="6E8E6BB1"/>
    <w:rsid w:val="6E90563A"/>
    <w:rsid w:val="6E906D9A"/>
    <w:rsid w:val="6E91666F"/>
    <w:rsid w:val="6E916ACA"/>
    <w:rsid w:val="6E92178E"/>
    <w:rsid w:val="6E922B12"/>
    <w:rsid w:val="6E9248C1"/>
    <w:rsid w:val="6E930639"/>
    <w:rsid w:val="6E932B2B"/>
    <w:rsid w:val="6E934195"/>
    <w:rsid w:val="6E934B75"/>
    <w:rsid w:val="6E942F90"/>
    <w:rsid w:val="6E946813"/>
    <w:rsid w:val="6E95001C"/>
    <w:rsid w:val="6E954359"/>
    <w:rsid w:val="6E957F0D"/>
    <w:rsid w:val="6E964BB0"/>
    <w:rsid w:val="6E967D6B"/>
    <w:rsid w:val="6E97293C"/>
    <w:rsid w:val="6E982293"/>
    <w:rsid w:val="6E993296"/>
    <w:rsid w:val="6E99525C"/>
    <w:rsid w:val="6E996735"/>
    <w:rsid w:val="6E997E2D"/>
    <w:rsid w:val="6E9A3775"/>
    <w:rsid w:val="6E9A5523"/>
    <w:rsid w:val="6E9C129B"/>
    <w:rsid w:val="6E9C3E88"/>
    <w:rsid w:val="6E9C48AC"/>
    <w:rsid w:val="6E9C4E7A"/>
    <w:rsid w:val="6E9C531E"/>
    <w:rsid w:val="6E9C573F"/>
    <w:rsid w:val="6E9D3265"/>
    <w:rsid w:val="6E9D3DB7"/>
    <w:rsid w:val="6E9E5D53"/>
    <w:rsid w:val="6E9F0D8B"/>
    <w:rsid w:val="6E9F3FDF"/>
    <w:rsid w:val="6E9F6FDD"/>
    <w:rsid w:val="6E9F7714"/>
    <w:rsid w:val="6EA04B62"/>
    <w:rsid w:val="6EA12C23"/>
    <w:rsid w:val="6EA13894"/>
    <w:rsid w:val="6EA14B04"/>
    <w:rsid w:val="6EA165BF"/>
    <w:rsid w:val="6EA168B2"/>
    <w:rsid w:val="6EA2262A"/>
    <w:rsid w:val="6EA2607D"/>
    <w:rsid w:val="6EA34083"/>
    <w:rsid w:val="6EA36ACE"/>
    <w:rsid w:val="6EA43AB0"/>
    <w:rsid w:val="6EA463A2"/>
    <w:rsid w:val="6EA6036C"/>
    <w:rsid w:val="6EA60822"/>
    <w:rsid w:val="6EA60FA1"/>
    <w:rsid w:val="6EA6211A"/>
    <w:rsid w:val="6EA63EC8"/>
    <w:rsid w:val="6EA7121C"/>
    <w:rsid w:val="6EA840E4"/>
    <w:rsid w:val="6EA84230"/>
    <w:rsid w:val="6EA8553A"/>
    <w:rsid w:val="6EA87A60"/>
    <w:rsid w:val="6EA939B8"/>
    <w:rsid w:val="6EA97E5C"/>
    <w:rsid w:val="6EAA61E1"/>
    <w:rsid w:val="6EAB14DE"/>
    <w:rsid w:val="6EAC36D2"/>
    <w:rsid w:val="6EAC5256"/>
    <w:rsid w:val="6EAD0A7E"/>
    <w:rsid w:val="6EAD3C6D"/>
    <w:rsid w:val="6EAD4B62"/>
    <w:rsid w:val="6EAE1485"/>
    <w:rsid w:val="6EAE50CF"/>
    <w:rsid w:val="6EAE733F"/>
    <w:rsid w:val="6EAF2053"/>
    <w:rsid w:val="6EAF46BE"/>
    <w:rsid w:val="6EAF54F7"/>
    <w:rsid w:val="6EB011EB"/>
    <w:rsid w:val="6EB02F99"/>
    <w:rsid w:val="6EB034E3"/>
    <w:rsid w:val="6EB04D47"/>
    <w:rsid w:val="6EB14883"/>
    <w:rsid w:val="6EB1510F"/>
    <w:rsid w:val="6EB20ABF"/>
    <w:rsid w:val="6EB23E4E"/>
    <w:rsid w:val="6EB24BD0"/>
    <w:rsid w:val="6EB3508F"/>
    <w:rsid w:val="6EB365E5"/>
    <w:rsid w:val="6EB448B1"/>
    <w:rsid w:val="6EB563D5"/>
    <w:rsid w:val="6EB64310"/>
    <w:rsid w:val="6EB74327"/>
    <w:rsid w:val="6EB74911"/>
    <w:rsid w:val="6EB74A08"/>
    <w:rsid w:val="6EB8009F"/>
    <w:rsid w:val="6EB833B6"/>
    <w:rsid w:val="6EB9343E"/>
    <w:rsid w:val="6EB96C17"/>
    <w:rsid w:val="6EBA3E17"/>
    <w:rsid w:val="6EBA5BC5"/>
    <w:rsid w:val="6EBA7973"/>
    <w:rsid w:val="6EBB195F"/>
    <w:rsid w:val="6EBB39A7"/>
    <w:rsid w:val="6EBB69F8"/>
    <w:rsid w:val="6EBB7AAC"/>
    <w:rsid w:val="6EBC053F"/>
    <w:rsid w:val="6EBC4996"/>
    <w:rsid w:val="6EBC6FBF"/>
    <w:rsid w:val="6EBD0F25"/>
    <w:rsid w:val="6EBD1212"/>
    <w:rsid w:val="6EBE084F"/>
    <w:rsid w:val="6EBE3907"/>
    <w:rsid w:val="6EBE71CA"/>
    <w:rsid w:val="6EBF142E"/>
    <w:rsid w:val="6EC11684"/>
    <w:rsid w:val="6EC14EDE"/>
    <w:rsid w:val="6EC17357"/>
    <w:rsid w:val="6EC30F1E"/>
    <w:rsid w:val="6EC35D0D"/>
    <w:rsid w:val="6EC407F2"/>
    <w:rsid w:val="6EC41AB7"/>
    <w:rsid w:val="6EC425A0"/>
    <w:rsid w:val="6EC440CB"/>
    <w:rsid w:val="6EC461F9"/>
    <w:rsid w:val="6EC46F28"/>
    <w:rsid w:val="6EC6186E"/>
    <w:rsid w:val="6EC627BC"/>
    <w:rsid w:val="6EC66318"/>
    <w:rsid w:val="6EC71B6C"/>
    <w:rsid w:val="6EC72090"/>
    <w:rsid w:val="6EC72AFA"/>
    <w:rsid w:val="6EC8176A"/>
    <w:rsid w:val="6EC8292D"/>
    <w:rsid w:val="6EC86534"/>
    <w:rsid w:val="6EC9547F"/>
    <w:rsid w:val="6ECA1F29"/>
    <w:rsid w:val="6ECB0602"/>
    <w:rsid w:val="6ECB1B80"/>
    <w:rsid w:val="6ECB392F"/>
    <w:rsid w:val="6ECB7DD2"/>
    <w:rsid w:val="6ECD3B4B"/>
    <w:rsid w:val="6ECD414C"/>
    <w:rsid w:val="6ECD4815"/>
    <w:rsid w:val="6ECD58F9"/>
    <w:rsid w:val="6ECE14D2"/>
    <w:rsid w:val="6ECF78C3"/>
    <w:rsid w:val="6ED00063"/>
    <w:rsid w:val="6ED053E9"/>
    <w:rsid w:val="6ED0612B"/>
    <w:rsid w:val="6ED07197"/>
    <w:rsid w:val="6ED21161"/>
    <w:rsid w:val="6ED22748"/>
    <w:rsid w:val="6ED26B2E"/>
    <w:rsid w:val="6ED303BE"/>
    <w:rsid w:val="6ED36C87"/>
    <w:rsid w:val="6ED469C6"/>
    <w:rsid w:val="6ED50C51"/>
    <w:rsid w:val="6ED52D4F"/>
    <w:rsid w:val="6ED547AD"/>
    <w:rsid w:val="6ED554AF"/>
    <w:rsid w:val="6ED57F01"/>
    <w:rsid w:val="6ED70525"/>
    <w:rsid w:val="6ED718EE"/>
    <w:rsid w:val="6ED732D1"/>
    <w:rsid w:val="6ED749C9"/>
    <w:rsid w:val="6ED77D85"/>
    <w:rsid w:val="6ED83E9E"/>
    <w:rsid w:val="6ED85216"/>
    <w:rsid w:val="6ED8604B"/>
    <w:rsid w:val="6ED924EF"/>
    <w:rsid w:val="6ED92677"/>
    <w:rsid w:val="6ED926EF"/>
    <w:rsid w:val="6ED963DF"/>
    <w:rsid w:val="6ED97056"/>
    <w:rsid w:val="6EDB4DC7"/>
    <w:rsid w:val="6EDB572C"/>
    <w:rsid w:val="6EDC1070"/>
    <w:rsid w:val="6EDC27B1"/>
    <w:rsid w:val="6EDC3D8E"/>
    <w:rsid w:val="6EDD0ED1"/>
    <w:rsid w:val="6EDD18B4"/>
    <w:rsid w:val="6EDD2500"/>
    <w:rsid w:val="6EDD3944"/>
    <w:rsid w:val="6EDD529A"/>
    <w:rsid w:val="6EDE46F8"/>
    <w:rsid w:val="6EDE7B06"/>
    <w:rsid w:val="6EDF562C"/>
    <w:rsid w:val="6EDF73DA"/>
    <w:rsid w:val="6EE02FE7"/>
    <w:rsid w:val="6EE12150"/>
    <w:rsid w:val="6EE13CDE"/>
    <w:rsid w:val="6EE15810"/>
    <w:rsid w:val="6EE175F6"/>
    <w:rsid w:val="6EE20B07"/>
    <w:rsid w:val="6EE20EBC"/>
    <w:rsid w:val="6EE25ED9"/>
    <w:rsid w:val="6EE306E9"/>
    <w:rsid w:val="6EE331BA"/>
    <w:rsid w:val="6EE3511C"/>
    <w:rsid w:val="6EE669BA"/>
    <w:rsid w:val="6EE90259"/>
    <w:rsid w:val="6EE964AB"/>
    <w:rsid w:val="6EEA4379"/>
    <w:rsid w:val="6EEA46FD"/>
    <w:rsid w:val="6EEB2223"/>
    <w:rsid w:val="6EEB3C07"/>
    <w:rsid w:val="6EEB3DC4"/>
    <w:rsid w:val="6EEB3FD1"/>
    <w:rsid w:val="6EEB4B04"/>
    <w:rsid w:val="6EEB569F"/>
    <w:rsid w:val="6EEB5C46"/>
    <w:rsid w:val="6EEC06B7"/>
    <w:rsid w:val="6EED1AF7"/>
    <w:rsid w:val="6EED3736"/>
    <w:rsid w:val="6EED4FF7"/>
    <w:rsid w:val="6EED6E2B"/>
    <w:rsid w:val="6EED7D49"/>
    <w:rsid w:val="6EEE555E"/>
    <w:rsid w:val="6EEE586F"/>
    <w:rsid w:val="6EEF60FD"/>
    <w:rsid w:val="6EF020B7"/>
    <w:rsid w:val="6EF04837"/>
    <w:rsid w:val="6EF0738C"/>
    <w:rsid w:val="6EF07839"/>
    <w:rsid w:val="6EF15C93"/>
    <w:rsid w:val="6EF2162C"/>
    <w:rsid w:val="6EF235B1"/>
    <w:rsid w:val="6EF25D5A"/>
    <w:rsid w:val="6EF267EF"/>
    <w:rsid w:val="6EF26947"/>
    <w:rsid w:val="6EF30A38"/>
    <w:rsid w:val="6EF32E85"/>
    <w:rsid w:val="6EF37CF9"/>
    <w:rsid w:val="6EF410D7"/>
    <w:rsid w:val="6EF463C2"/>
    <w:rsid w:val="6EF647E8"/>
    <w:rsid w:val="6EF70BC7"/>
    <w:rsid w:val="6EF72976"/>
    <w:rsid w:val="6EF73B79"/>
    <w:rsid w:val="6EF74724"/>
    <w:rsid w:val="6EF74EF7"/>
    <w:rsid w:val="6EF75E3A"/>
    <w:rsid w:val="6EF77938"/>
    <w:rsid w:val="6EF8049C"/>
    <w:rsid w:val="6EF82458"/>
    <w:rsid w:val="6EF87108"/>
    <w:rsid w:val="6EF912D2"/>
    <w:rsid w:val="6EF966EE"/>
    <w:rsid w:val="6EFA0228"/>
    <w:rsid w:val="6EFA4214"/>
    <w:rsid w:val="6EFB5A89"/>
    <w:rsid w:val="6EFC1D3A"/>
    <w:rsid w:val="6EFC4430"/>
    <w:rsid w:val="6EFC5E00"/>
    <w:rsid w:val="6EFC61DE"/>
    <w:rsid w:val="6EFC7F8C"/>
    <w:rsid w:val="6EFD04AE"/>
    <w:rsid w:val="6EFE29F3"/>
    <w:rsid w:val="6EFE47B9"/>
    <w:rsid w:val="6EFE5688"/>
    <w:rsid w:val="6EFE72C5"/>
    <w:rsid w:val="6EFF271E"/>
    <w:rsid w:val="6EFF3DC2"/>
    <w:rsid w:val="6F001B31"/>
    <w:rsid w:val="6F00230B"/>
    <w:rsid w:val="6F002DB9"/>
    <w:rsid w:val="6F0075AE"/>
    <w:rsid w:val="6F033B30"/>
    <w:rsid w:val="6F03756C"/>
    <w:rsid w:val="6F045C56"/>
    <w:rsid w:val="6F0532E4"/>
    <w:rsid w:val="6F060E0B"/>
    <w:rsid w:val="6F064A7F"/>
    <w:rsid w:val="6F067A81"/>
    <w:rsid w:val="6F0737B2"/>
    <w:rsid w:val="6F084B83"/>
    <w:rsid w:val="6F086931"/>
    <w:rsid w:val="6F094457"/>
    <w:rsid w:val="6F0A08FB"/>
    <w:rsid w:val="6F0A37CC"/>
    <w:rsid w:val="6F0B01CF"/>
    <w:rsid w:val="6F0B6421"/>
    <w:rsid w:val="6F0B6CBF"/>
    <w:rsid w:val="6F0C36BF"/>
    <w:rsid w:val="6F0D409E"/>
    <w:rsid w:val="6F0D4695"/>
    <w:rsid w:val="6F0F3D3E"/>
    <w:rsid w:val="6F0F4163"/>
    <w:rsid w:val="6F0F5F11"/>
    <w:rsid w:val="6F1057E5"/>
    <w:rsid w:val="6F106A8F"/>
    <w:rsid w:val="6F121376"/>
    <w:rsid w:val="6F125A01"/>
    <w:rsid w:val="6F133D10"/>
    <w:rsid w:val="6F1352D6"/>
    <w:rsid w:val="6F13553F"/>
    <w:rsid w:val="6F137867"/>
    <w:rsid w:val="6F143527"/>
    <w:rsid w:val="6F143787"/>
    <w:rsid w:val="6F157D71"/>
    <w:rsid w:val="6F1654F2"/>
    <w:rsid w:val="6F165D07"/>
    <w:rsid w:val="6F173018"/>
    <w:rsid w:val="6F176B74"/>
    <w:rsid w:val="6F186900"/>
    <w:rsid w:val="6F190B3E"/>
    <w:rsid w:val="6F1912C3"/>
    <w:rsid w:val="6F1928EC"/>
    <w:rsid w:val="6F1966EB"/>
    <w:rsid w:val="6F196C97"/>
    <w:rsid w:val="6F196D90"/>
    <w:rsid w:val="6F1A3BE3"/>
    <w:rsid w:val="6F1A551B"/>
    <w:rsid w:val="6F1A6664"/>
    <w:rsid w:val="6F1B2B08"/>
    <w:rsid w:val="6F1B6007"/>
    <w:rsid w:val="6F1C062E"/>
    <w:rsid w:val="6F2002FF"/>
    <w:rsid w:val="6F204E84"/>
    <w:rsid w:val="6F211DB7"/>
    <w:rsid w:val="6F213E96"/>
    <w:rsid w:val="6F225983"/>
    <w:rsid w:val="6F2319BD"/>
    <w:rsid w:val="6F23376B"/>
    <w:rsid w:val="6F234F46"/>
    <w:rsid w:val="6F235519"/>
    <w:rsid w:val="6F240921"/>
    <w:rsid w:val="6F2474E3"/>
    <w:rsid w:val="6F2477C6"/>
    <w:rsid w:val="6F254E91"/>
    <w:rsid w:val="6F255735"/>
    <w:rsid w:val="6F257866"/>
    <w:rsid w:val="6F257A62"/>
    <w:rsid w:val="6F26325B"/>
    <w:rsid w:val="6F273616"/>
    <w:rsid w:val="6F280D81"/>
    <w:rsid w:val="6F282B2F"/>
    <w:rsid w:val="6F287EEA"/>
    <w:rsid w:val="6F2A4AF9"/>
    <w:rsid w:val="6F2B0871"/>
    <w:rsid w:val="6F2B1F97"/>
    <w:rsid w:val="6F2B6AC3"/>
    <w:rsid w:val="6F2C33B6"/>
    <w:rsid w:val="6F2D283B"/>
    <w:rsid w:val="6F2D6397"/>
    <w:rsid w:val="6F2E3EBD"/>
    <w:rsid w:val="6F2E6055"/>
    <w:rsid w:val="6F2F0361"/>
    <w:rsid w:val="6F2F1DA8"/>
    <w:rsid w:val="6F2F34E9"/>
    <w:rsid w:val="6F2F54CD"/>
    <w:rsid w:val="6F2F65B3"/>
    <w:rsid w:val="6F3004E9"/>
    <w:rsid w:val="6F300CA7"/>
    <w:rsid w:val="6F307C36"/>
    <w:rsid w:val="6F310873"/>
    <w:rsid w:val="6F320729"/>
    <w:rsid w:val="6F3239AE"/>
    <w:rsid w:val="6F324290"/>
    <w:rsid w:val="6F327939"/>
    <w:rsid w:val="6F3332FA"/>
    <w:rsid w:val="6F33558D"/>
    <w:rsid w:val="6F336231"/>
    <w:rsid w:val="6F342212"/>
    <w:rsid w:val="6F347726"/>
    <w:rsid w:val="6F350B4C"/>
    <w:rsid w:val="6F35349E"/>
    <w:rsid w:val="6F355C1A"/>
    <w:rsid w:val="6F361A36"/>
    <w:rsid w:val="6F370FC4"/>
    <w:rsid w:val="6F37191E"/>
    <w:rsid w:val="6F372DB8"/>
    <w:rsid w:val="6F37310B"/>
    <w:rsid w:val="6F3761C5"/>
    <w:rsid w:val="6F38269A"/>
    <w:rsid w:val="6F385CDC"/>
    <w:rsid w:val="6F397E6E"/>
    <w:rsid w:val="6F3A0AB4"/>
    <w:rsid w:val="6F3A2C46"/>
    <w:rsid w:val="6F3B1A8C"/>
    <w:rsid w:val="6F3B4F58"/>
    <w:rsid w:val="6F3C1652"/>
    <w:rsid w:val="6F3C2A7E"/>
    <w:rsid w:val="6F3C2F1C"/>
    <w:rsid w:val="6F3C482C"/>
    <w:rsid w:val="6F3F5BD9"/>
    <w:rsid w:val="6F3F60CB"/>
    <w:rsid w:val="6F401996"/>
    <w:rsid w:val="6F405C47"/>
    <w:rsid w:val="6F415050"/>
    <w:rsid w:val="6F416D8D"/>
    <w:rsid w:val="6F421950"/>
    <w:rsid w:val="6F4328C5"/>
    <w:rsid w:val="6F451933"/>
    <w:rsid w:val="6F452C36"/>
    <w:rsid w:val="6F471020"/>
    <w:rsid w:val="6F481423"/>
    <w:rsid w:val="6F4834A7"/>
    <w:rsid w:val="6F490CF7"/>
    <w:rsid w:val="6F492957"/>
    <w:rsid w:val="6F496C60"/>
    <w:rsid w:val="6F4B0F13"/>
    <w:rsid w:val="6F4B1580"/>
    <w:rsid w:val="6F4B4199"/>
    <w:rsid w:val="6F4B4A6F"/>
    <w:rsid w:val="6F4D07E7"/>
    <w:rsid w:val="6F4D4C8B"/>
    <w:rsid w:val="6F4D5330"/>
    <w:rsid w:val="6F4D6A71"/>
    <w:rsid w:val="6F4E076D"/>
    <w:rsid w:val="6F4F05D9"/>
    <w:rsid w:val="6F4F27B2"/>
    <w:rsid w:val="6F4F2C76"/>
    <w:rsid w:val="6F4F4560"/>
    <w:rsid w:val="6F4F47BA"/>
    <w:rsid w:val="6F4F5B38"/>
    <w:rsid w:val="6F4F630E"/>
    <w:rsid w:val="6F5002D8"/>
    <w:rsid w:val="6F507677"/>
    <w:rsid w:val="6F51603E"/>
    <w:rsid w:val="6F51652A"/>
    <w:rsid w:val="6F5172B8"/>
    <w:rsid w:val="6F520F62"/>
    <w:rsid w:val="6F524050"/>
    <w:rsid w:val="6F525DFE"/>
    <w:rsid w:val="6F527D12"/>
    <w:rsid w:val="6F537761"/>
    <w:rsid w:val="6F540929"/>
    <w:rsid w:val="6F541B76"/>
    <w:rsid w:val="6F547DC8"/>
    <w:rsid w:val="6F551878"/>
    <w:rsid w:val="6F55769C"/>
    <w:rsid w:val="6F561264"/>
    <w:rsid w:val="6F562E77"/>
    <w:rsid w:val="6F563B40"/>
    <w:rsid w:val="6F571023"/>
    <w:rsid w:val="6F571666"/>
    <w:rsid w:val="6F5778B8"/>
    <w:rsid w:val="6F583B84"/>
    <w:rsid w:val="6F5908F1"/>
    <w:rsid w:val="6F595C3B"/>
    <w:rsid w:val="6F5A061A"/>
    <w:rsid w:val="6F5A1075"/>
    <w:rsid w:val="6F5A2F04"/>
    <w:rsid w:val="6F5A64A4"/>
    <w:rsid w:val="6F5B08AF"/>
    <w:rsid w:val="6F5B24A2"/>
    <w:rsid w:val="6F5B2505"/>
    <w:rsid w:val="6F5B7934"/>
    <w:rsid w:val="6F5C19F5"/>
    <w:rsid w:val="6F5C4632"/>
    <w:rsid w:val="6F5C62BD"/>
    <w:rsid w:val="6F5C6C7D"/>
    <w:rsid w:val="6F5D7B3C"/>
    <w:rsid w:val="6F5E29F5"/>
    <w:rsid w:val="6F5F10A7"/>
    <w:rsid w:val="6F5F3301"/>
    <w:rsid w:val="6F60051B"/>
    <w:rsid w:val="6F60676D"/>
    <w:rsid w:val="6F611B12"/>
    <w:rsid w:val="6F614293"/>
    <w:rsid w:val="6F621E85"/>
    <w:rsid w:val="6F63625D"/>
    <w:rsid w:val="6F640217"/>
    <w:rsid w:val="6F653D83"/>
    <w:rsid w:val="6F655B31"/>
    <w:rsid w:val="6F6624F4"/>
    <w:rsid w:val="6F681F38"/>
    <w:rsid w:val="6F685A10"/>
    <w:rsid w:val="6F6873CF"/>
    <w:rsid w:val="6F6A0B6A"/>
    <w:rsid w:val="6F6A1399"/>
    <w:rsid w:val="6F6A4E94"/>
    <w:rsid w:val="6F6A53C6"/>
    <w:rsid w:val="6F6B04C3"/>
    <w:rsid w:val="6F6B1FFA"/>
    <w:rsid w:val="6F6B690B"/>
    <w:rsid w:val="6F6B6EC0"/>
    <w:rsid w:val="6F6C4D08"/>
    <w:rsid w:val="6F6D2C38"/>
    <w:rsid w:val="6F6F097B"/>
    <w:rsid w:val="6F6F5EA9"/>
    <w:rsid w:val="6F6F69B0"/>
    <w:rsid w:val="6F7015CB"/>
    <w:rsid w:val="6F7044D6"/>
    <w:rsid w:val="6F70543C"/>
    <w:rsid w:val="6F712728"/>
    <w:rsid w:val="6F715E6C"/>
    <w:rsid w:val="6F7172EF"/>
    <w:rsid w:val="6F721EC1"/>
    <w:rsid w:val="6F7246F2"/>
    <w:rsid w:val="6F7333C0"/>
    <w:rsid w:val="6F737553"/>
    <w:rsid w:val="6F7420DC"/>
    <w:rsid w:val="6F742218"/>
    <w:rsid w:val="6F743FC6"/>
    <w:rsid w:val="6F7447ED"/>
    <w:rsid w:val="6F745D74"/>
    <w:rsid w:val="6F751AEC"/>
    <w:rsid w:val="6F755C7D"/>
    <w:rsid w:val="6F765F90"/>
    <w:rsid w:val="6F771D08"/>
    <w:rsid w:val="6F773138"/>
    <w:rsid w:val="6F773AB6"/>
    <w:rsid w:val="6F7752A4"/>
    <w:rsid w:val="6F775864"/>
    <w:rsid w:val="6F78316E"/>
    <w:rsid w:val="6F7915DC"/>
    <w:rsid w:val="6F793947"/>
    <w:rsid w:val="6F7A5A8E"/>
    <w:rsid w:val="6F7A7103"/>
    <w:rsid w:val="6F7B35A7"/>
    <w:rsid w:val="6F7B4EC0"/>
    <w:rsid w:val="6F7B5355"/>
    <w:rsid w:val="6F7C10CD"/>
    <w:rsid w:val="6F7C2E7B"/>
    <w:rsid w:val="6F7C6217"/>
    <w:rsid w:val="6F7C63CD"/>
    <w:rsid w:val="6F7E3097"/>
    <w:rsid w:val="6F7E3ECB"/>
    <w:rsid w:val="6F7E6BF3"/>
    <w:rsid w:val="6F7E6E13"/>
    <w:rsid w:val="6F7F4719"/>
    <w:rsid w:val="6F8001BF"/>
    <w:rsid w:val="6F800BBD"/>
    <w:rsid w:val="6F80296B"/>
    <w:rsid w:val="6F8045D5"/>
    <w:rsid w:val="6F810491"/>
    <w:rsid w:val="6F811AC9"/>
    <w:rsid w:val="6F8166E3"/>
    <w:rsid w:val="6F8306AD"/>
    <w:rsid w:val="6F83245B"/>
    <w:rsid w:val="6F834209"/>
    <w:rsid w:val="6F852BA1"/>
    <w:rsid w:val="6F854425"/>
    <w:rsid w:val="6F857F81"/>
    <w:rsid w:val="6F860EA1"/>
    <w:rsid w:val="6F861130"/>
    <w:rsid w:val="6F862A9F"/>
    <w:rsid w:val="6F863CF9"/>
    <w:rsid w:val="6F8644AC"/>
    <w:rsid w:val="6F866DC3"/>
    <w:rsid w:val="6F867ACD"/>
    <w:rsid w:val="6F8706D0"/>
    <w:rsid w:val="6F887A72"/>
    <w:rsid w:val="6F8906CD"/>
    <w:rsid w:val="6F8917A1"/>
    <w:rsid w:val="6F89730F"/>
    <w:rsid w:val="6F8976A6"/>
    <w:rsid w:val="6F8A083F"/>
    <w:rsid w:val="6F8A37EA"/>
    <w:rsid w:val="6F8A5710"/>
    <w:rsid w:val="6F8B02EA"/>
    <w:rsid w:val="6F8B07EA"/>
    <w:rsid w:val="6F8B473A"/>
    <w:rsid w:val="6F8C57B4"/>
    <w:rsid w:val="6F8C5C0C"/>
    <w:rsid w:val="6F8D27C3"/>
    <w:rsid w:val="6F8D32DA"/>
    <w:rsid w:val="6F8D5088"/>
    <w:rsid w:val="6F8D6E36"/>
    <w:rsid w:val="6F8F2BAE"/>
    <w:rsid w:val="6F8F6824"/>
    <w:rsid w:val="6F901890"/>
    <w:rsid w:val="6F903700"/>
    <w:rsid w:val="6F907417"/>
    <w:rsid w:val="6F914B78"/>
    <w:rsid w:val="6F915675"/>
    <w:rsid w:val="6F91686D"/>
    <w:rsid w:val="6F9208F0"/>
    <w:rsid w:val="6F92247E"/>
    <w:rsid w:val="6F926779"/>
    <w:rsid w:val="6F926B42"/>
    <w:rsid w:val="6F930BF3"/>
    <w:rsid w:val="6F932245"/>
    <w:rsid w:val="6F944668"/>
    <w:rsid w:val="6F954251"/>
    <w:rsid w:val="6F955464"/>
    <w:rsid w:val="6F963F3C"/>
    <w:rsid w:val="6F966578"/>
    <w:rsid w:val="6F97113A"/>
    <w:rsid w:val="6F9730E7"/>
    <w:rsid w:val="6F9735B3"/>
    <w:rsid w:val="6F9742E9"/>
    <w:rsid w:val="6F97449F"/>
    <w:rsid w:val="6F975F07"/>
    <w:rsid w:val="6F977B87"/>
    <w:rsid w:val="6F977CB5"/>
    <w:rsid w:val="6F981236"/>
    <w:rsid w:val="6F983DC8"/>
    <w:rsid w:val="6F983F70"/>
    <w:rsid w:val="6F984159"/>
    <w:rsid w:val="6F992425"/>
    <w:rsid w:val="6F992483"/>
    <w:rsid w:val="6F9925DA"/>
    <w:rsid w:val="6F992790"/>
    <w:rsid w:val="6F9B77A5"/>
    <w:rsid w:val="6F9C19C5"/>
    <w:rsid w:val="6F9C351D"/>
    <w:rsid w:val="6F9C52CB"/>
    <w:rsid w:val="6F9C6257"/>
    <w:rsid w:val="6F9C6B73"/>
    <w:rsid w:val="6F9D176F"/>
    <w:rsid w:val="6F9E0519"/>
    <w:rsid w:val="6F9E1043"/>
    <w:rsid w:val="6F9F4BD8"/>
    <w:rsid w:val="6FA024AE"/>
    <w:rsid w:val="6FA0300D"/>
    <w:rsid w:val="6FA04DBB"/>
    <w:rsid w:val="6FA10B33"/>
    <w:rsid w:val="6FA16378"/>
    <w:rsid w:val="6FA220C9"/>
    <w:rsid w:val="6FA26D85"/>
    <w:rsid w:val="6FA30016"/>
    <w:rsid w:val="6FA30DF8"/>
    <w:rsid w:val="6FA32AFD"/>
    <w:rsid w:val="6FA35BE0"/>
    <w:rsid w:val="6FA42FFA"/>
    <w:rsid w:val="6FA45C67"/>
    <w:rsid w:val="6FA50623"/>
    <w:rsid w:val="6FA523D2"/>
    <w:rsid w:val="6FA65ECF"/>
    <w:rsid w:val="6FA66C8F"/>
    <w:rsid w:val="6FA67EF8"/>
    <w:rsid w:val="6FA75643"/>
    <w:rsid w:val="6FA75F3B"/>
    <w:rsid w:val="6FA7614A"/>
    <w:rsid w:val="6FA7767C"/>
    <w:rsid w:val="6FA81EC2"/>
    <w:rsid w:val="6FA873CB"/>
    <w:rsid w:val="6FA916C9"/>
    <w:rsid w:val="6FA91D99"/>
    <w:rsid w:val="6FA973ED"/>
    <w:rsid w:val="6FAA3E8C"/>
    <w:rsid w:val="6FAA6CD5"/>
    <w:rsid w:val="6FAB179A"/>
    <w:rsid w:val="6FAB5E6E"/>
    <w:rsid w:val="6FAB7A39"/>
    <w:rsid w:val="6FAC5A7B"/>
    <w:rsid w:val="6FAC5D4C"/>
    <w:rsid w:val="6FAD3191"/>
    <w:rsid w:val="6FAD572A"/>
    <w:rsid w:val="6FAD74D8"/>
    <w:rsid w:val="6FAD7ED4"/>
    <w:rsid w:val="6FAE0C15"/>
    <w:rsid w:val="6FAF14A2"/>
    <w:rsid w:val="6FAF3250"/>
    <w:rsid w:val="6FAF46CD"/>
    <w:rsid w:val="6FB22D40"/>
    <w:rsid w:val="6FB24AEE"/>
    <w:rsid w:val="6FB2689C"/>
    <w:rsid w:val="6FB344DE"/>
    <w:rsid w:val="6FB37203"/>
    <w:rsid w:val="6FB40D83"/>
    <w:rsid w:val="6FB42615"/>
    <w:rsid w:val="6FB47687"/>
    <w:rsid w:val="6FB530D2"/>
    <w:rsid w:val="6FB645DF"/>
    <w:rsid w:val="6FB6638D"/>
    <w:rsid w:val="6FB70357"/>
    <w:rsid w:val="6FB70750"/>
    <w:rsid w:val="6FB72E5F"/>
    <w:rsid w:val="6FB865A9"/>
    <w:rsid w:val="6FB90660"/>
    <w:rsid w:val="6FB940CF"/>
    <w:rsid w:val="6FB94A59"/>
    <w:rsid w:val="6FB96C71"/>
    <w:rsid w:val="6FB97C2B"/>
    <w:rsid w:val="6FBB0689"/>
    <w:rsid w:val="6FBB1BF5"/>
    <w:rsid w:val="6FBB2BF0"/>
    <w:rsid w:val="6FBB39A3"/>
    <w:rsid w:val="6FBB4290"/>
    <w:rsid w:val="6FBB7E47"/>
    <w:rsid w:val="6FBC5A26"/>
    <w:rsid w:val="6FBD0161"/>
    <w:rsid w:val="6FBD10E0"/>
    <w:rsid w:val="6FBD596D"/>
    <w:rsid w:val="6FBE3493"/>
    <w:rsid w:val="6FBF29F0"/>
    <w:rsid w:val="6FBF41C2"/>
    <w:rsid w:val="6FC00925"/>
    <w:rsid w:val="6FC0490C"/>
    <w:rsid w:val="6FC14D32"/>
    <w:rsid w:val="6FC164C8"/>
    <w:rsid w:val="6FC16ACD"/>
    <w:rsid w:val="6FC16AE2"/>
    <w:rsid w:val="6FC23F65"/>
    <w:rsid w:val="6FC24F69"/>
    <w:rsid w:val="6FC3279B"/>
    <w:rsid w:val="6FC34F4E"/>
    <w:rsid w:val="6FC41D71"/>
    <w:rsid w:val="6FC425FD"/>
    <w:rsid w:val="6FC445FC"/>
    <w:rsid w:val="6FC4797A"/>
    <w:rsid w:val="6FC50CC6"/>
    <w:rsid w:val="6FC565D0"/>
    <w:rsid w:val="6FC57846"/>
    <w:rsid w:val="6FC62348"/>
    <w:rsid w:val="6FC629E2"/>
    <w:rsid w:val="6FC7238E"/>
    <w:rsid w:val="6FC76ED1"/>
    <w:rsid w:val="6FC82564"/>
    <w:rsid w:val="6FC97E45"/>
    <w:rsid w:val="6FCA008A"/>
    <w:rsid w:val="6FCA1E38"/>
    <w:rsid w:val="6FCA2B56"/>
    <w:rsid w:val="6FCA62DC"/>
    <w:rsid w:val="6FCB3EA6"/>
    <w:rsid w:val="6FCB3F36"/>
    <w:rsid w:val="6FCC15A3"/>
    <w:rsid w:val="6FCC3E02"/>
    <w:rsid w:val="6FCC5BB0"/>
    <w:rsid w:val="6FCC795E"/>
    <w:rsid w:val="6FCD14BC"/>
    <w:rsid w:val="6FCD1928"/>
    <w:rsid w:val="6FCD3AAA"/>
    <w:rsid w:val="6FCE10E6"/>
    <w:rsid w:val="6FCE2827"/>
    <w:rsid w:val="6FCF38F2"/>
    <w:rsid w:val="6FCF744E"/>
    <w:rsid w:val="6FD03FAE"/>
    <w:rsid w:val="6FD20CED"/>
    <w:rsid w:val="6FD24A6F"/>
    <w:rsid w:val="6FD26F3F"/>
    <w:rsid w:val="6FD40F09"/>
    <w:rsid w:val="6FD42CB7"/>
    <w:rsid w:val="6FD435EC"/>
    <w:rsid w:val="6FD44A65"/>
    <w:rsid w:val="6FD46AA0"/>
    <w:rsid w:val="6FD607DD"/>
    <w:rsid w:val="6FD6082B"/>
    <w:rsid w:val="6FD63D52"/>
    <w:rsid w:val="6FD66A2F"/>
    <w:rsid w:val="6FD70D7C"/>
    <w:rsid w:val="6FD74555"/>
    <w:rsid w:val="6FD76303"/>
    <w:rsid w:val="6FD809F9"/>
    <w:rsid w:val="6FD84D69"/>
    <w:rsid w:val="6FD902CD"/>
    <w:rsid w:val="6FD9207B"/>
    <w:rsid w:val="6FD9651F"/>
    <w:rsid w:val="6FDA22EF"/>
    <w:rsid w:val="6FDA7919"/>
    <w:rsid w:val="6FDB225A"/>
    <w:rsid w:val="6FDB2297"/>
    <w:rsid w:val="6FDC00F8"/>
    <w:rsid w:val="6FDC36EA"/>
    <w:rsid w:val="6FDD600F"/>
    <w:rsid w:val="6FDD7DBD"/>
    <w:rsid w:val="6FDE231C"/>
    <w:rsid w:val="6FDE3CAF"/>
    <w:rsid w:val="6FDF0D64"/>
    <w:rsid w:val="6FDF206B"/>
    <w:rsid w:val="6FE0340A"/>
    <w:rsid w:val="6FE078AE"/>
    <w:rsid w:val="6FE10C9D"/>
    <w:rsid w:val="6FE16D2C"/>
    <w:rsid w:val="6FE205CE"/>
    <w:rsid w:val="6FE27182"/>
    <w:rsid w:val="6FE3114C"/>
    <w:rsid w:val="6FE335BD"/>
    <w:rsid w:val="6FE37643"/>
    <w:rsid w:val="6FE40070"/>
    <w:rsid w:val="6FE41E52"/>
    <w:rsid w:val="6FE50A20"/>
    <w:rsid w:val="6FE56C72"/>
    <w:rsid w:val="6FE64594"/>
    <w:rsid w:val="6FE64AB9"/>
    <w:rsid w:val="6FE70C3C"/>
    <w:rsid w:val="6FE733CE"/>
    <w:rsid w:val="6FE74546"/>
    <w:rsid w:val="6FE74798"/>
    <w:rsid w:val="6FE757D4"/>
    <w:rsid w:val="6FE82C85"/>
    <w:rsid w:val="6FE86762"/>
    <w:rsid w:val="6FEA24DA"/>
    <w:rsid w:val="6FEA4288"/>
    <w:rsid w:val="6FEB0D44"/>
    <w:rsid w:val="6FEB5085"/>
    <w:rsid w:val="6FEC31DF"/>
    <w:rsid w:val="6FED2096"/>
    <w:rsid w:val="6FED3D79"/>
    <w:rsid w:val="6FED5B27"/>
    <w:rsid w:val="6FEE50F9"/>
    <w:rsid w:val="6FEE6B24"/>
    <w:rsid w:val="6FEF001D"/>
    <w:rsid w:val="6FEF5D43"/>
    <w:rsid w:val="6FEF76ED"/>
    <w:rsid w:val="6FF005A6"/>
    <w:rsid w:val="6FF02FF0"/>
    <w:rsid w:val="6FF07311"/>
    <w:rsid w:val="6FF11ABB"/>
    <w:rsid w:val="6FF15617"/>
    <w:rsid w:val="6FF26164"/>
    <w:rsid w:val="6FF375E1"/>
    <w:rsid w:val="6FF45107"/>
    <w:rsid w:val="6FF4510E"/>
    <w:rsid w:val="6FF46EB5"/>
    <w:rsid w:val="6FF50CA5"/>
    <w:rsid w:val="6FF60E7F"/>
    <w:rsid w:val="6FF70753"/>
    <w:rsid w:val="6FF81EF4"/>
    <w:rsid w:val="6FF869A5"/>
    <w:rsid w:val="6FF90841"/>
    <w:rsid w:val="6FF9096F"/>
    <w:rsid w:val="6FF9271D"/>
    <w:rsid w:val="6FF927B8"/>
    <w:rsid w:val="6FFB0C2E"/>
    <w:rsid w:val="6FFB46E7"/>
    <w:rsid w:val="6FFC5590"/>
    <w:rsid w:val="6FFD3FBC"/>
    <w:rsid w:val="6FFD4164"/>
    <w:rsid w:val="6FFD4572"/>
    <w:rsid w:val="6FFE1AE2"/>
    <w:rsid w:val="6FFE30EF"/>
    <w:rsid w:val="6FFE7D34"/>
    <w:rsid w:val="6FFF2288"/>
    <w:rsid w:val="6FFF24F7"/>
    <w:rsid w:val="6FFF2863"/>
    <w:rsid w:val="6FFF2A18"/>
    <w:rsid w:val="6FFF4531"/>
    <w:rsid w:val="70001E21"/>
    <w:rsid w:val="70004226"/>
    <w:rsid w:val="7003534A"/>
    <w:rsid w:val="700417EE"/>
    <w:rsid w:val="7004359C"/>
    <w:rsid w:val="70044037"/>
    <w:rsid w:val="70051A4A"/>
    <w:rsid w:val="700539FF"/>
    <w:rsid w:val="7005520F"/>
    <w:rsid w:val="70076BE8"/>
    <w:rsid w:val="70082960"/>
    <w:rsid w:val="700965DD"/>
    <w:rsid w:val="70096E04"/>
    <w:rsid w:val="700C06A3"/>
    <w:rsid w:val="700C41FF"/>
    <w:rsid w:val="700C64C3"/>
    <w:rsid w:val="700D50E9"/>
    <w:rsid w:val="700F3CEF"/>
    <w:rsid w:val="700F6D92"/>
    <w:rsid w:val="701029A4"/>
    <w:rsid w:val="70103DD3"/>
    <w:rsid w:val="70111815"/>
    <w:rsid w:val="70113A6A"/>
    <w:rsid w:val="70115CB9"/>
    <w:rsid w:val="70117A67"/>
    <w:rsid w:val="70127D1F"/>
    <w:rsid w:val="70131A31"/>
    <w:rsid w:val="701337DF"/>
    <w:rsid w:val="70147557"/>
    <w:rsid w:val="70147F1E"/>
    <w:rsid w:val="70157C70"/>
    <w:rsid w:val="70161521"/>
    <w:rsid w:val="70161F73"/>
    <w:rsid w:val="70174AF7"/>
    <w:rsid w:val="701752CC"/>
    <w:rsid w:val="70176057"/>
    <w:rsid w:val="701778DC"/>
    <w:rsid w:val="70180D6C"/>
    <w:rsid w:val="70180EAF"/>
    <w:rsid w:val="70182BA3"/>
    <w:rsid w:val="70187047"/>
    <w:rsid w:val="7018762A"/>
    <w:rsid w:val="701958C0"/>
    <w:rsid w:val="7019691C"/>
    <w:rsid w:val="701A625D"/>
    <w:rsid w:val="701A7EF7"/>
    <w:rsid w:val="701B05C9"/>
    <w:rsid w:val="701B6B38"/>
    <w:rsid w:val="701B6FDE"/>
    <w:rsid w:val="701C79D2"/>
    <w:rsid w:val="701C7B88"/>
    <w:rsid w:val="701D01BA"/>
    <w:rsid w:val="701E0537"/>
    <w:rsid w:val="701E19F8"/>
    <w:rsid w:val="701E3F32"/>
    <w:rsid w:val="701E7147"/>
    <w:rsid w:val="701F03D6"/>
    <w:rsid w:val="7020414E"/>
    <w:rsid w:val="70205B1C"/>
    <w:rsid w:val="70216F0C"/>
    <w:rsid w:val="70217031"/>
    <w:rsid w:val="702205AA"/>
    <w:rsid w:val="70221C74"/>
    <w:rsid w:val="70227A0B"/>
    <w:rsid w:val="70242AD1"/>
    <w:rsid w:val="70251764"/>
    <w:rsid w:val="70253370"/>
    <w:rsid w:val="70254AB1"/>
    <w:rsid w:val="7025500E"/>
    <w:rsid w:val="702552C0"/>
    <w:rsid w:val="7026070B"/>
    <w:rsid w:val="7026202E"/>
    <w:rsid w:val="70264800"/>
    <w:rsid w:val="70265EC4"/>
    <w:rsid w:val="70272229"/>
    <w:rsid w:val="702754DC"/>
    <w:rsid w:val="70282000"/>
    <w:rsid w:val="70291255"/>
    <w:rsid w:val="70294DB1"/>
    <w:rsid w:val="702966B0"/>
    <w:rsid w:val="702A0B29"/>
    <w:rsid w:val="702A28D7"/>
    <w:rsid w:val="702B71E2"/>
    <w:rsid w:val="702C0672"/>
    <w:rsid w:val="702C3243"/>
    <w:rsid w:val="702C450F"/>
    <w:rsid w:val="702C48A1"/>
    <w:rsid w:val="702D2A5D"/>
    <w:rsid w:val="702D39F5"/>
    <w:rsid w:val="702E686B"/>
    <w:rsid w:val="702F613F"/>
    <w:rsid w:val="702F6FF3"/>
    <w:rsid w:val="70310109"/>
    <w:rsid w:val="70310B89"/>
    <w:rsid w:val="703272C8"/>
    <w:rsid w:val="703379DD"/>
    <w:rsid w:val="70357BF9"/>
    <w:rsid w:val="7036127C"/>
    <w:rsid w:val="703674CE"/>
    <w:rsid w:val="70370356"/>
    <w:rsid w:val="70381498"/>
    <w:rsid w:val="70393008"/>
    <w:rsid w:val="70393BE0"/>
    <w:rsid w:val="703A0CA9"/>
    <w:rsid w:val="703A5210"/>
    <w:rsid w:val="703B0F88"/>
    <w:rsid w:val="703B4AE4"/>
    <w:rsid w:val="703B5596"/>
    <w:rsid w:val="703D085C"/>
    <w:rsid w:val="703D15F7"/>
    <w:rsid w:val="703D260A"/>
    <w:rsid w:val="703F45D4"/>
    <w:rsid w:val="703F46DD"/>
    <w:rsid w:val="703F7DF9"/>
    <w:rsid w:val="70404811"/>
    <w:rsid w:val="7040644A"/>
    <w:rsid w:val="7040659E"/>
    <w:rsid w:val="70407F78"/>
    <w:rsid w:val="70413A40"/>
    <w:rsid w:val="70422316"/>
    <w:rsid w:val="704240C4"/>
    <w:rsid w:val="70424573"/>
    <w:rsid w:val="70441BEA"/>
    <w:rsid w:val="70453BB5"/>
    <w:rsid w:val="70455963"/>
    <w:rsid w:val="70462105"/>
    <w:rsid w:val="70462679"/>
    <w:rsid w:val="7046283D"/>
    <w:rsid w:val="7046495D"/>
    <w:rsid w:val="70470535"/>
    <w:rsid w:val="7047792D"/>
    <w:rsid w:val="70485E9C"/>
    <w:rsid w:val="70486052"/>
    <w:rsid w:val="7048670A"/>
    <w:rsid w:val="7048688F"/>
    <w:rsid w:val="70490E0B"/>
    <w:rsid w:val="704936A5"/>
    <w:rsid w:val="70495410"/>
    <w:rsid w:val="704A2F79"/>
    <w:rsid w:val="704A4D27"/>
    <w:rsid w:val="704B3081"/>
    <w:rsid w:val="704B508B"/>
    <w:rsid w:val="704C0A9F"/>
    <w:rsid w:val="704C4F43"/>
    <w:rsid w:val="704D1834"/>
    <w:rsid w:val="704D7074"/>
    <w:rsid w:val="704E0CBB"/>
    <w:rsid w:val="704E1843"/>
    <w:rsid w:val="704E4817"/>
    <w:rsid w:val="704E514D"/>
    <w:rsid w:val="704F233D"/>
    <w:rsid w:val="704F4E9C"/>
    <w:rsid w:val="704F70A5"/>
    <w:rsid w:val="705020FD"/>
    <w:rsid w:val="70505DA3"/>
    <w:rsid w:val="705067E1"/>
    <w:rsid w:val="705077DB"/>
    <w:rsid w:val="70512559"/>
    <w:rsid w:val="70514307"/>
    <w:rsid w:val="705160B5"/>
    <w:rsid w:val="7052238D"/>
    <w:rsid w:val="7053007F"/>
    <w:rsid w:val="70531E2E"/>
    <w:rsid w:val="7053381D"/>
    <w:rsid w:val="705362D1"/>
    <w:rsid w:val="70537491"/>
    <w:rsid w:val="70545BA6"/>
    <w:rsid w:val="70551AFC"/>
    <w:rsid w:val="70553BFE"/>
    <w:rsid w:val="705636CC"/>
    <w:rsid w:val="70566CE4"/>
    <w:rsid w:val="705838E8"/>
    <w:rsid w:val="70585696"/>
    <w:rsid w:val="70587444"/>
    <w:rsid w:val="70590E33"/>
    <w:rsid w:val="705931BC"/>
    <w:rsid w:val="70593490"/>
    <w:rsid w:val="705A5516"/>
    <w:rsid w:val="705A5DE5"/>
    <w:rsid w:val="705A7660"/>
    <w:rsid w:val="705B14DA"/>
    <w:rsid w:val="705B1F35"/>
    <w:rsid w:val="705B5186"/>
    <w:rsid w:val="705B6F34"/>
    <w:rsid w:val="705C0B43"/>
    <w:rsid w:val="705C0BE1"/>
    <w:rsid w:val="705C3277"/>
    <w:rsid w:val="705D0EFE"/>
    <w:rsid w:val="705D2CAC"/>
    <w:rsid w:val="705E77F2"/>
    <w:rsid w:val="705E7C37"/>
    <w:rsid w:val="705F07D2"/>
    <w:rsid w:val="705F4540"/>
    <w:rsid w:val="705F4C76"/>
    <w:rsid w:val="705F6A24"/>
    <w:rsid w:val="70603795"/>
    <w:rsid w:val="70616401"/>
    <w:rsid w:val="706202C3"/>
    <w:rsid w:val="706237FC"/>
    <w:rsid w:val="70624A53"/>
    <w:rsid w:val="706252EA"/>
    <w:rsid w:val="7062683E"/>
    <w:rsid w:val="7063345C"/>
    <w:rsid w:val="70633C32"/>
    <w:rsid w:val="706347FA"/>
    <w:rsid w:val="7064228D"/>
    <w:rsid w:val="7064403B"/>
    <w:rsid w:val="70645DDA"/>
    <w:rsid w:val="70653BFC"/>
    <w:rsid w:val="70657DB3"/>
    <w:rsid w:val="70661C93"/>
    <w:rsid w:val="70662480"/>
    <w:rsid w:val="70671D7D"/>
    <w:rsid w:val="70673B2B"/>
    <w:rsid w:val="70674864"/>
    <w:rsid w:val="7068079A"/>
    <w:rsid w:val="70681E7A"/>
    <w:rsid w:val="706833D9"/>
    <w:rsid w:val="70693F6C"/>
    <w:rsid w:val="706A7307"/>
    <w:rsid w:val="706C1141"/>
    <w:rsid w:val="706C2DD8"/>
    <w:rsid w:val="706C7393"/>
    <w:rsid w:val="706D1DD0"/>
    <w:rsid w:val="706D6F95"/>
    <w:rsid w:val="706E0500"/>
    <w:rsid w:val="706E20F5"/>
    <w:rsid w:val="706E310B"/>
    <w:rsid w:val="706E4EB9"/>
    <w:rsid w:val="706F0977"/>
    <w:rsid w:val="706F09F5"/>
    <w:rsid w:val="706F478E"/>
    <w:rsid w:val="70700C31"/>
    <w:rsid w:val="70707D6D"/>
    <w:rsid w:val="70712C1D"/>
    <w:rsid w:val="707263E0"/>
    <w:rsid w:val="707264CC"/>
    <w:rsid w:val="70726B15"/>
    <w:rsid w:val="70730722"/>
    <w:rsid w:val="707324D0"/>
    <w:rsid w:val="70733469"/>
    <w:rsid w:val="70741DA4"/>
    <w:rsid w:val="70750CC3"/>
    <w:rsid w:val="7075449A"/>
    <w:rsid w:val="70756248"/>
    <w:rsid w:val="70761FC0"/>
    <w:rsid w:val="7076720C"/>
    <w:rsid w:val="7076792C"/>
    <w:rsid w:val="70773A4E"/>
    <w:rsid w:val="707840A8"/>
    <w:rsid w:val="70785D38"/>
    <w:rsid w:val="70795E23"/>
    <w:rsid w:val="70797E3B"/>
    <w:rsid w:val="707A560C"/>
    <w:rsid w:val="707B1974"/>
    <w:rsid w:val="707B1FCA"/>
    <w:rsid w:val="707B2A29"/>
    <w:rsid w:val="707B3132"/>
    <w:rsid w:val="707B75D6"/>
    <w:rsid w:val="707D08C8"/>
    <w:rsid w:val="707D165B"/>
    <w:rsid w:val="707D6EAA"/>
    <w:rsid w:val="707F2C23"/>
    <w:rsid w:val="7080196A"/>
    <w:rsid w:val="70804FA2"/>
    <w:rsid w:val="70812E3F"/>
    <w:rsid w:val="7082710F"/>
    <w:rsid w:val="70840239"/>
    <w:rsid w:val="70853FB1"/>
    <w:rsid w:val="70856B87"/>
    <w:rsid w:val="70871AD7"/>
    <w:rsid w:val="70875F7B"/>
    <w:rsid w:val="70883B9D"/>
    <w:rsid w:val="7088676E"/>
    <w:rsid w:val="7089011A"/>
    <w:rsid w:val="708928E7"/>
    <w:rsid w:val="70893AA1"/>
    <w:rsid w:val="708B5A6B"/>
    <w:rsid w:val="708B7819"/>
    <w:rsid w:val="708C17E3"/>
    <w:rsid w:val="708C3591"/>
    <w:rsid w:val="708C4E16"/>
    <w:rsid w:val="708D5980"/>
    <w:rsid w:val="708D69DB"/>
    <w:rsid w:val="708E10B8"/>
    <w:rsid w:val="708E2E66"/>
    <w:rsid w:val="708F38BB"/>
    <w:rsid w:val="708F59A7"/>
    <w:rsid w:val="708F7F54"/>
    <w:rsid w:val="70910BA8"/>
    <w:rsid w:val="70922A46"/>
    <w:rsid w:val="70932B72"/>
    <w:rsid w:val="709370DD"/>
    <w:rsid w:val="70937FE0"/>
    <w:rsid w:val="70950698"/>
    <w:rsid w:val="709541F4"/>
    <w:rsid w:val="709661BE"/>
    <w:rsid w:val="70966F26"/>
    <w:rsid w:val="70967F6C"/>
    <w:rsid w:val="70971E04"/>
    <w:rsid w:val="70981F36"/>
    <w:rsid w:val="70982959"/>
    <w:rsid w:val="70983692"/>
    <w:rsid w:val="709965CC"/>
    <w:rsid w:val="709A41CE"/>
    <w:rsid w:val="709A5CAE"/>
    <w:rsid w:val="709B0AF6"/>
    <w:rsid w:val="709B2943"/>
    <w:rsid w:val="709B35B6"/>
    <w:rsid w:val="709B5583"/>
    <w:rsid w:val="709C53B3"/>
    <w:rsid w:val="709D0814"/>
    <w:rsid w:val="709D12FB"/>
    <w:rsid w:val="709D2305"/>
    <w:rsid w:val="709D579F"/>
    <w:rsid w:val="709D754D"/>
    <w:rsid w:val="709E54A1"/>
    <w:rsid w:val="709E580C"/>
    <w:rsid w:val="709F1517"/>
    <w:rsid w:val="709F2557"/>
    <w:rsid w:val="709F441D"/>
    <w:rsid w:val="70A01B6B"/>
    <w:rsid w:val="70A02B99"/>
    <w:rsid w:val="70A032B4"/>
    <w:rsid w:val="70A03947"/>
    <w:rsid w:val="70A14331"/>
    <w:rsid w:val="70A22DB5"/>
    <w:rsid w:val="70A24B63"/>
    <w:rsid w:val="70A26911"/>
    <w:rsid w:val="70A33376"/>
    <w:rsid w:val="70A408DB"/>
    <w:rsid w:val="70A41C35"/>
    <w:rsid w:val="70A42380"/>
    <w:rsid w:val="70A50BD6"/>
    <w:rsid w:val="70A530C5"/>
    <w:rsid w:val="70A5341D"/>
    <w:rsid w:val="70A5463B"/>
    <w:rsid w:val="70A60DDE"/>
    <w:rsid w:val="70A628A5"/>
    <w:rsid w:val="70A677C9"/>
    <w:rsid w:val="70A81A46"/>
    <w:rsid w:val="70A83377"/>
    <w:rsid w:val="70A9269F"/>
    <w:rsid w:val="70A94143"/>
    <w:rsid w:val="70A97C9F"/>
    <w:rsid w:val="70AA0678"/>
    <w:rsid w:val="70AA6B36"/>
    <w:rsid w:val="70AA6F37"/>
    <w:rsid w:val="70AB1EB8"/>
    <w:rsid w:val="70AB31E3"/>
    <w:rsid w:val="70AB4C60"/>
    <w:rsid w:val="70AB7EBB"/>
    <w:rsid w:val="70AC0136"/>
    <w:rsid w:val="70AC05C3"/>
    <w:rsid w:val="70AC1397"/>
    <w:rsid w:val="70AC5B69"/>
    <w:rsid w:val="70AC6B7D"/>
    <w:rsid w:val="70AC7790"/>
    <w:rsid w:val="70AD4428"/>
    <w:rsid w:val="70AD6ED1"/>
    <w:rsid w:val="70AD6FB3"/>
    <w:rsid w:val="70AD7537"/>
    <w:rsid w:val="70AE3508"/>
    <w:rsid w:val="70AE5C04"/>
    <w:rsid w:val="70AF2EDA"/>
    <w:rsid w:val="70AF7261"/>
    <w:rsid w:val="70B00342"/>
    <w:rsid w:val="70B01370"/>
    <w:rsid w:val="70B11649"/>
    <w:rsid w:val="70B14DA6"/>
    <w:rsid w:val="70B17F5B"/>
    <w:rsid w:val="70B26E0A"/>
    <w:rsid w:val="70B271F3"/>
    <w:rsid w:val="70B276AC"/>
    <w:rsid w:val="70B27B82"/>
    <w:rsid w:val="70B30B1E"/>
    <w:rsid w:val="70B32E6B"/>
    <w:rsid w:val="70B54896"/>
    <w:rsid w:val="70B707BE"/>
    <w:rsid w:val="70B72773"/>
    <w:rsid w:val="70B825D8"/>
    <w:rsid w:val="70B86135"/>
    <w:rsid w:val="70BA1EAD"/>
    <w:rsid w:val="70BA3DE5"/>
    <w:rsid w:val="70BB15FC"/>
    <w:rsid w:val="70BB16AE"/>
    <w:rsid w:val="70BB22A5"/>
    <w:rsid w:val="70BB6B82"/>
    <w:rsid w:val="70BC2A8C"/>
    <w:rsid w:val="70BC5C25"/>
    <w:rsid w:val="70BD199D"/>
    <w:rsid w:val="70BD2C9E"/>
    <w:rsid w:val="70BD3042"/>
    <w:rsid w:val="70BD374B"/>
    <w:rsid w:val="70BD46AC"/>
    <w:rsid w:val="70BD7BEF"/>
    <w:rsid w:val="70BE6C1B"/>
    <w:rsid w:val="70BF1388"/>
    <w:rsid w:val="70BF3967"/>
    <w:rsid w:val="70BF39FA"/>
    <w:rsid w:val="70BF5715"/>
    <w:rsid w:val="70C00334"/>
    <w:rsid w:val="70C1148D"/>
    <w:rsid w:val="70C13D2D"/>
    <w:rsid w:val="70C20D61"/>
    <w:rsid w:val="70C27716"/>
    <w:rsid w:val="70C311F5"/>
    <w:rsid w:val="70C312DB"/>
    <w:rsid w:val="70C31ED0"/>
    <w:rsid w:val="70C32C21"/>
    <w:rsid w:val="70C40F7D"/>
    <w:rsid w:val="70C42ABD"/>
    <w:rsid w:val="70C44D6E"/>
    <w:rsid w:val="70C47767"/>
    <w:rsid w:val="70C5080C"/>
    <w:rsid w:val="70C62C01"/>
    <w:rsid w:val="70C64CF5"/>
    <w:rsid w:val="70C6670F"/>
    <w:rsid w:val="70C7280E"/>
    <w:rsid w:val="70C73F22"/>
    <w:rsid w:val="70C74299"/>
    <w:rsid w:val="70C8271B"/>
    <w:rsid w:val="70C83005"/>
    <w:rsid w:val="70C930F5"/>
    <w:rsid w:val="70C94C38"/>
    <w:rsid w:val="70C96594"/>
    <w:rsid w:val="70CB230C"/>
    <w:rsid w:val="70CB269D"/>
    <w:rsid w:val="70CB40BA"/>
    <w:rsid w:val="70CC10D4"/>
    <w:rsid w:val="70CC15D1"/>
    <w:rsid w:val="70CC1BE0"/>
    <w:rsid w:val="70CC411D"/>
    <w:rsid w:val="70CC5AE2"/>
    <w:rsid w:val="70CD3A11"/>
    <w:rsid w:val="70CE3500"/>
    <w:rsid w:val="70CE3BAA"/>
    <w:rsid w:val="70CE5958"/>
    <w:rsid w:val="70CF32D7"/>
    <w:rsid w:val="70D0347E"/>
    <w:rsid w:val="70D1202C"/>
    <w:rsid w:val="70D144B9"/>
    <w:rsid w:val="70D15980"/>
    <w:rsid w:val="70D171F6"/>
    <w:rsid w:val="70D23371"/>
    <w:rsid w:val="70D2369A"/>
    <w:rsid w:val="70D30931"/>
    <w:rsid w:val="70D311C0"/>
    <w:rsid w:val="70D32F6E"/>
    <w:rsid w:val="70D333EA"/>
    <w:rsid w:val="70D36142"/>
    <w:rsid w:val="70D42EF7"/>
    <w:rsid w:val="70D475D2"/>
    <w:rsid w:val="70D527EE"/>
    <w:rsid w:val="70D54F38"/>
    <w:rsid w:val="70D70CB1"/>
    <w:rsid w:val="70D80585"/>
    <w:rsid w:val="70D867D7"/>
    <w:rsid w:val="70DA254F"/>
    <w:rsid w:val="70DA42FD"/>
    <w:rsid w:val="70DA6137"/>
    <w:rsid w:val="70DB00DB"/>
    <w:rsid w:val="70DC1E23"/>
    <w:rsid w:val="70DC62C7"/>
    <w:rsid w:val="70DD3DED"/>
    <w:rsid w:val="70DD5B9B"/>
    <w:rsid w:val="70DE203F"/>
    <w:rsid w:val="70DF5DB7"/>
    <w:rsid w:val="70E00746"/>
    <w:rsid w:val="70E00B75"/>
    <w:rsid w:val="70E21403"/>
    <w:rsid w:val="70E2353F"/>
    <w:rsid w:val="70E3772C"/>
    <w:rsid w:val="70E50557"/>
    <w:rsid w:val="70E53128"/>
    <w:rsid w:val="70E64A50"/>
    <w:rsid w:val="70E66D61"/>
    <w:rsid w:val="70E672F9"/>
    <w:rsid w:val="70E7076F"/>
    <w:rsid w:val="70E76A1A"/>
    <w:rsid w:val="70E84FE9"/>
    <w:rsid w:val="70E909E4"/>
    <w:rsid w:val="70E90A8A"/>
    <w:rsid w:val="70E92F39"/>
    <w:rsid w:val="70EB3C4B"/>
    <w:rsid w:val="70EB475C"/>
    <w:rsid w:val="70EB650A"/>
    <w:rsid w:val="70EC042A"/>
    <w:rsid w:val="70EE1B56"/>
    <w:rsid w:val="70EE2A0A"/>
    <w:rsid w:val="70EE3826"/>
    <w:rsid w:val="70EE5FFA"/>
    <w:rsid w:val="70EE6535"/>
    <w:rsid w:val="70F058CE"/>
    <w:rsid w:val="70F102DB"/>
    <w:rsid w:val="70F12E0C"/>
    <w:rsid w:val="70F21646"/>
    <w:rsid w:val="70F23945"/>
    <w:rsid w:val="70F25AEA"/>
    <w:rsid w:val="70F27898"/>
    <w:rsid w:val="70F3716D"/>
    <w:rsid w:val="70F51137"/>
    <w:rsid w:val="70F52EE5"/>
    <w:rsid w:val="70F530D1"/>
    <w:rsid w:val="70F536CF"/>
    <w:rsid w:val="70F57389"/>
    <w:rsid w:val="70F61E34"/>
    <w:rsid w:val="70F679C3"/>
    <w:rsid w:val="70F74EAF"/>
    <w:rsid w:val="70F76AAB"/>
    <w:rsid w:val="70F76C5D"/>
    <w:rsid w:val="70F83224"/>
    <w:rsid w:val="70F8390F"/>
    <w:rsid w:val="70F86D26"/>
    <w:rsid w:val="70F920EA"/>
    <w:rsid w:val="70F92D2F"/>
    <w:rsid w:val="70F96E79"/>
    <w:rsid w:val="70F9762E"/>
    <w:rsid w:val="70F97E5D"/>
    <w:rsid w:val="70FA04FB"/>
    <w:rsid w:val="70FA499F"/>
    <w:rsid w:val="70FB534E"/>
    <w:rsid w:val="70FC24C5"/>
    <w:rsid w:val="70FE283F"/>
    <w:rsid w:val="70FE448F"/>
    <w:rsid w:val="70FE623D"/>
    <w:rsid w:val="70FF5B11"/>
    <w:rsid w:val="71003969"/>
    <w:rsid w:val="7101188A"/>
    <w:rsid w:val="71015D2D"/>
    <w:rsid w:val="71023D91"/>
    <w:rsid w:val="71025602"/>
    <w:rsid w:val="71031AA6"/>
    <w:rsid w:val="71033854"/>
    <w:rsid w:val="710342FF"/>
    <w:rsid w:val="71035A94"/>
    <w:rsid w:val="71035C45"/>
    <w:rsid w:val="71035FB5"/>
    <w:rsid w:val="7103616B"/>
    <w:rsid w:val="71036320"/>
    <w:rsid w:val="7104137A"/>
    <w:rsid w:val="71045729"/>
    <w:rsid w:val="71053BD0"/>
    <w:rsid w:val="71057EAD"/>
    <w:rsid w:val="71062461"/>
    <w:rsid w:val="71063344"/>
    <w:rsid w:val="71063BA2"/>
    <w:rsid w:val="710650F2"/>
    <w:rsid w:val="71067B98"/>
    <w:rsid w:val="71072407"/>
    <w:rsid w:val="71072C18"/>
    <w:rsid w:val="71081240"/>
    <w:rsid w:val="71082F6B"/>
    <w:rsid w:val="710864C2"/>
    <w:rsid w:val="710A1EB2"/>
    <w:rsid w:val="710B6BAC"/>
    <w:rsid w:val="710C022E"/>
    <w:rsid w:val="710E21F8"/>
    <w:rsid w:val="710F044A"/>
    <w:rsid w:val="710F37C4"/>
    <w:rsid w:val="710F4C54"/>
    <w:rsid w:val="710F6A7D"/>
    <w:rsid w:val="711041C2"/>
    <w:rsid w:val="71114E0D"/>
    <w:rsid w:val="711175A0"/>
    <w:rsid w:val="71117CB3"/>
    <w:rsid w:val="71121CE9"/>
    <w:rsid w:val="71123A97"/>
    <w:rsid w:val="71125845"/>
    <w:rsid w:val="711368B9"/>
    <w:rsid w:val="7113767A"/>
    <w:rsid w:val="71145A61"/>
    <w:rsid w:val="71147B1F"/>
    <w:rsid w:val="71155335"/>
    <w:rsid w:val="711557DB"/>
    <w:rsid w:val="711733E6"/>
    <w:rsid w:val="71174B27"/>
    <w:rsid w:val="71175551"/>
    <w:rsid w:val="7117779D"/>
    <w:rsid w:val="71177976"/>
    <w:rsid w:val="71190E82"/>
    <w:rsid w:val="711A0B9D"/>
    <w:rsid w:val="711A183F"/>
    <w:rsid w:val="711A3883"/>
    <w:rsid w:val="711A6DEF"/>
    <w:rsid w:val="711B05DE"/>
    <w:rsid w:val="711C0290"/>
    <w:rsid w:val="711C2B67"/>
    <w:rsid w:val="711C3A13"/>
    <w:rsid w:val="711C5DC8"/>
    <w:rsid w:val="711C5E78"/>
    <w:rsid w:val="711C66C3"/>
    <w:rsid w:val="711D243B"/>
    <w:rsid w:val="711D41EA"/>
    <w:rsid w:val="711D4AD7"/>
    <w:rsid w:val="711D4CB0"/>
    <w:rsid w:val="711D6139"/>
    <w:rsid w:val="711E1E29"/>
    <w:rsid w:val="711E68DF"/>
    <w:rsid w:val="711E6AE1"/>
    <w:rsid w:val="711F2660"/>
    <w:rsid w:val="711F4406"/>
    <w:rsid w:val="712026E3"/>
    <w:rsid w:val="71205BD9"/>
    <w:rsid w:val="7121017E"/>
    <w:rsid w:val="712107AA"/>
    <w:rsid w:val="71211937"/>
    <w:rsid w:val="71211A02"/>
    <w:rsid w:val="71211F2C"/>
    <w:rsid w:val="7122081F"/>
    <w:rsid w:val="712209D4"/>
    <w:rsid w:val="71220B8A"/>
    <w:rsid w:val="71220D40"/>
    <w:rsid w:val="71220EF5"/>
    <w:rsid w:val="71221C3A"/>
    <w:rsid w:val="71223D8A"/>
    <w:rsid w:val="7123187F"/>
    <w:rsid w:val="71233EF6"/>
    <w:rsid w:val="71235CA4"/>
    <w:rsid w:val="71243D51"/>
    <w:rsid w:val="71245578"/>
    <w:rsid w:val="712559EA"/>
    <w:rsid w:val="71265794"/>
    <w:rsid w:val="712826C2"/>
    <w:rsid w:val="71285068"/>
    <w:rsid w:val="71285249"/>
    <w:rsid w:val="712903CC"/>
    <w:rsid w:val="712A5284"/>
    <w:rsid w:val="712B2DAA"/>
    <w:rsid w:val="712B4B58"/>
    <w:rsid w:val="712B6653"/>
    <w:rsid w:val="712C12FD"/>
    <w:rsid w:val="712C1ED4"/>
    <w:rsid w:val="712D4D5C"/>
    <w:rsid w:val="712D586F"/>
    <w:rsid w:val="712E0A38"/>
    <w:rsid w:val="712E4649"/>
    <w:rsid w:val="712E46AC"/>
    <w:rsid w:val="712E53E1"/>
    <w:rsid w:val="712E5597"/>
    <w:rsid w:val="712E574D"/>
    <w:rsid w:val="712E63F7"/>
    <w:rsid w:val="712F0AD2"/>
    <w:rsid w:val="712F2B3D"/>
    <w:rsid w:val="71310AAD"/>
    <w:rsid w:val="71312E46"/>
    <w:rsid w:val="713131B1"/>
    <w:rsid w:val="71327C95"/>
    <w:rsid w:val="71327FEE"/>
    <w:rsid w:val="7133622C"/>
    <w:rsid w:val="71342534"/>
    <w:rsid w:val="71347EB1"/>
    <w:rsid w:val="71353C29"/>
    <w:rsid w:val="713559D7"/>
    <w:rsid w:val="71361540"/>
    <w:rsid w:val="71367DFF"/>
    <w:rsid w:val="7137174F"/>
    <w:rsid w:val="713752AB"/>
    <w:rsid w:val="71381023"/>
    <w:rsid w:val="71381C11"/>
    <w:rsid w:val="7138219F"/>
    <w:rsid w:val="713954C7"/>
    <w:rsid w:val="713A681E"/>
    <w:rsid w:val="713B27E1"/>
    <w:rsid w:val="713B3F22"/>
    <w:rsid w:val="713C0B14"/>
    <w:rsid w:val="713C3C71"/>
    <w:rsid w:val="713C4FB8"/>
    <w:rsid w:val="713D663A"/>
    <w:rsid w:val="713D6842"/>
    <w:rsid w:val="713D717D"/>
    <w:rsid w:val="713D7A09"/>
    <w:rsid w:val="713D7BBE"/>
    <w:rsid w:val="713E2ADE"/>
    <w:rsid w:val="713F23B2"/>
    <w:rsid w:val="713F3D33"/>
    <w:rsid w:val="713F6856"/>
    <w:rsid w:val="7141612A"/>
    <w:rsid w:val="714238D8"/>
    <w:rsid w:val="71424001"/>
    <w:rsid w:val="714300F4"/>
    <w:rsid w:val="71431EA2"/>
    <w:rsid w:val="71437785"/>
    <w:rsid w:val="71437AF8"/>
    <w:rsid w:val="71454C52"/>
    <w:rsid w:val="7145607D"/>
    <w:rsid w:val="71456AD4"/>
    <w:rsid w:val="71461992"/>
    <w:rsid w:val="71463740"/>
    <w:rsid w:val="71470D84"/>
    <w:rsid w:val="714740E6"/>
    <w:rsid w:val="7148161C"/>
    <w:rsid w:val="714831D4"/>
    <w:rsid w:val="7148395C"/>
    <w:rsid w:val="71494703"/>
    <w:rsid w:val="71494FDF"/>
    <w:rsid w:val="714A1482"/>
    <w:rsid w:val="714A3317"/>
    <w:rsid w:val="714A5E25"/>
    <w:rsid w:val="714A6275"/>
    <w:rsid w:val="714A76D4"/>
    <w:rsid w:val="714B0C88"/>
    <w:rsid w:val="714B26F6"/>
    <w:rsid w:val="714B51FB"/>
    <w:rsid w:val="714B5D87"/>
    <w:rsid w:val="714B6FA9"/>
    <w:rsid w:val="714C487F"/>
    <w:rsid w:val="714D0F73"/>
    <w:rsid w:val="714D1ABA"/>
    <w:rsid w:val="714D2D21"/>
    <w:rsid w:val="714D4BF6"/>
    <w:rsid w:val="714D4CB9"/>
    <w:rsid w:val="714D5712"/>
    <w:rsid w:val="714D6F6C"/>
    <w:rsid w:val="714E3E56"/>
    <w:rsid w:val="714F304D"/>
    <w:rsid w:val="714F461D"/>
    <w:rsid w:val="714F6A99"/>
    <w:rsid w:val="715004C8"/>
    <w:rsid w:val="71502811"/>
    <w:rsid w:val="715045BF"/>
    <w:rsid w:val="7150503B"/>
    <w:rsid w:val="7150636D"/>
    <w:rsid w:val="715069EC"/>
    <w:rsid w:val="71512821"/>
    <w:rsid w:val="71520337"/>
    <w:rsid w:val="715267E6"/>
    <w:rsid w:val="71526AD5"/>
    <w:rsid w:val="71533639"/>
    <w:rsid w:val="71542301"/>
    <w:rsid w:val="715440AF"/>
    <w:rsid w:val="71545E71"/>
    <w:rsid w:val="71553388"/>
    <w:rsid w:val="715553CD"/>
    <w:rsid w:val="71566079"/>
    <w:rsid w:val="7157360E"/>
    <w:rsid w:val="71581D09"/>
    <w:rsid w:val="7158344A"/>
    <w:rsid w:val="71593474"/>
    <w:rsid w:val="715A543E"/>
    <w:rsid w:val="715B3690"/>
    <w:rsid w:val="715B5300"/>
    <w:rsid w:val="715C0F98"/>
    <w:rsid w:val="715C11B6"/>
    <w:rsid w:val="715D03C3"/>
    <w:rsid w:val="715D6773"/>
    <w:rsid w:val="715E074C"/>
    <w:rsid w:val="715E6CDC"/>
    <w:rsid w:val="715F0B4D"/>
    <w:rsid w:val="715F2A54"/>
    <w:rsid w:val="715F4802"/>
    <w:rsid w:val="715F5390"/>
    <w:rsid w:val="71600BC3"/>
    <w:rsid w:val="7160306C"/>
    <w:rsid w:val="716035E4"/>
    <w:rsid w:val="71623A54"/>
    <w:rsid w:val="716270CD"/>
    <w:rsid w:val="71633B00"/>
    <w:rsid w:val="716342F2"/>
    <w:rsid w:val="716360A0"/>
    <w:rsid w:val="71665B90"/>
    <w:rsid w:val="71685DAD"/>
    <w:rsid w:val="7169742F"/>
    <w:rsid w:val="716A11FC"/>
    <w:rsid w:val="716A38D3"/>
    <w:rsid w:val="716A5126"/>
    <w:rsid w:val="716A5491"/>
    <w:rsid w:val="716B017F"/>
    <w:rsid w:val="716B13F9"/>
    <w:rsid w:val="716B2939"/>
    <w:rsid w:val="716B764B"/>
    <w:rsid w:val="716D1F17"/>
    <w:rsid w:val="716D2DC3"/>
    <w:rsid w:val="716D3EB2"/>
    <w:rsid w:val="716D5171"/>
    <w:rsid w:val="716F5BE6"/>
    <w:rsid w:val="716F6B00"/>
    <w:rsid w:val="716F783D"/>
    <w:rsid w:val="717007BD"/>
    <w:rsid w:val="71701722"/>
    <w:rsid w:val="717165A8"/>
    <w:rsid w:val="71716B68"/>
    <w:rsid w:val="717209D9"/>
    <w:rsid w:val="71721018"/>
    <w:rsid w:val="71722787"/>
    <w:rsid w:val="7172784A"/>
    <w:rsid w:val="71732971"/>
    <w:rsid w:val="717414E2"/>
    <w:rsid w:val="71744751"/>
    <w:rsid w:val="71755543"/>
    <w:rsid w:val="71755DD4"/>
    <w:rsid w:val="71763E02"/>
    <w:rsid w:val="717669D3"/>
    <w:rsid w:val="71767403"/>
    <w:rsid w:val="71771B4C"/>
    <w:rsid w:val="7177474E"/>
    <w:rsid w:val="71775FF0"/>
    <w:rsid w:val="7178018F"/>
    <w:rsid w:val="71781CD3"/>
    <w:rsid w:val="71782651"/>
    <w:rsid w:val="71787E12"/>
    <w:rsid w:val="71791D68"/>
    <w:rsid w:val="71795354"/>
    <w:rsid w:val="717A392A"/>
    <w:rsid w:val="717A4CCA"/>
    <w:rsid w:val="717A6C8A"/>
    <w:rsid w:val="717B788E"/>
    <w:rsid w:val="717C0D36"/>
    <w:rsid w:val="717D4A3E"/>
    <w:rsid w:val="717E112C"/>
    <w:rsid w:val="717F0411"/>
    <w:rsid w:val="717F0F19"/>
    <w:rsid w:val="71802656"/>
    <w:rsid w:val="71804EA4"/>
    <w:rsid w:val="718129CA"/>
    <w:rsid w:val="71816E6E"/>
    <w:rsid w:val="71826481"/>
    <w:rsid w:val="718304F0"/>
    <w:rsid w:val="71840FD7"/>
    <w:rsid w:val="71844269"/>
    <w:rsid w:val="7185070D"/>
    <w:rsid w:val="7185134D"/>
    <w:rsid w:val="71852264"/>
    <w:rsid w:val="718538F7"/>
    <w:rsid w:val="71864D87"/>
    <w:rsid w:val="71866233"/>
    <w:rsid w:val="71876217"/>
    <w:rsid w:val="718766C1"/>
    <w:rsid w:val="71877958"/>
    <w:rsid w:val="718801FD"/>
    <w:rsid w:val="7188773A"/>
    <w:rsid w:val="718906CE"/>
    <w:rsid w:val="7189187F"/>
    <w:rsid w:val="71891A7B"/>
    <w:rsid w:val="718A7AD1"/>
    <w:rsid w:val="718B4B98"/>
    <w:rsid w:val="718B55F7"/>
    <w:rsid w:val="718B7769"/>
    <w:rsid w:val="718C1268"/>
    <w:rsid w:val="718C1A9B"/>
    <w:rsid w:val="718C1DC7"/>
    <w:rsid w:val="718C28F0"/>
    <w:rsid w:val="718C456D"/>
    <w:rsid w:val="718D136F"/>
    <w:rsid w:val="718D37CA"/>
    <w:rsid w:val="718D5813"/>
    <w:rsid w:val="718E3B2A"/>
    <w:rsid w:val="718F0297"/>
    <w:rsid w:val="718F158B"/>
    <w:rsid w:val="718F1699"/>
    <w:rsid w:val="718F40F9"/>
    <w:rsid w:val="718F5EC6"/>
    <w:rsid w:val="71900E5F"/>
    <w:rsid w:val="71902586"/>
    <w:rsid w:val="7190752E"/>
    <w:rsid w:val="71922E29"/>
    <w:rsid w:val="71926986"/>
    <w:rsid w:val="71933F02"/>
    <w:rsid w:val="71940098"/>
    <w:rsid w:val="71940950"/>
    <w:rsid w:val="719454B4"/>
    <w:rsid w:val="7194581F"/>
    <w:rsid w:val="71946BA2"/>
    <w:rsid w:val="71950224"/>
    <w:rsid w:val="719675A7"/>
    <w:rsid w:val="719730CF"/>
    <w:rsid w:val="71973686"/>
    <w:rsid w:val="71973F9C"/>
    <w:rsid w:val="71976E24"/>
    <w:rsid w:val="71995F66"/>
    <w:rsid w:val="719A3A8C"/>
    <w:rsid w:val="719B1CDE"/>
    <w:rsid w:val="719B725E"/>
    <w:rsid w:val="719C7804"/>
    <w:rsid w:val="719D21B7"/>
    <w:rsid w:val="719E357C"/>
    <w:rsid w:val="71A010A2"/>
    <w:rsid w:val="71A05546"/>
    <w:rsid w:val="71A072F4"/>
    <w:rsid w:val="71A1198F"/>
    <w:rsid w:val="71A1306D"/>
    <w:rsid w:val="71A14E1B"/>
    <w:rsid w:val="71A1746E"/>
    <w:rsid w:val="71A41A8A"/>
    <w:rsid w:val="71A54641"/>
    <w:rsid w:val="71A5490B"/>
    <w:rsid w:val="71A54C8A"/>
    <w:rsid w:val="71A60683"/>
    <w:rsid w:val="71A617A0"/>
    <w:rsid w:val="71A70508"/>
    <w:rsid w:val="71A768D5"/>
    <w:rsid w:val="71A803D2"/>
    <w:rsid w:val="71A861A9"/>
    <w:rsid w:val="71A86F66"/>
    <w:rsid w:val="71A90121"/>
    <w:rsid w:val="71A93F0D"/>
    <w:rsid w:val="71AA1F21"/>
    <w:rsid w:val="71AA3CCF"/>
    <w:rsid w:val="71AB5C99"/>
    <w:rsid w:val="71AB6039"/>
    <w:rsid w:val="71AC01E3"/>
    <w:rsid w:val="71AC324F"/>
    <w:rsid w:val="71AD1DC3"/>
    <w:rsid w:val="71AD37BF"/>
    <w:rsid w:val="71AD7C63"/>
    <w:rsid w:val="71AF12E6"/>
    <w:rsid w:val="71AF3895"/>
    <w:rsid w:val="71B0505E"/>
    <w:rsid w:val="71B12624"/>
    <w:rsid w:val="71B20DD6"/>
    <w:rsid w:val="71B2150C"/>
    <w:rsid w:val="71B21877"/>
    <w:rsid w:val="71B3023E"/>
    <w:rsid w:val="71B33DA4"/>
    <w:rsid w:val="71B44B4E"/>
    <w:rsid w:val="71B47B68"/>
    <w:rsid w:val="71B608C6"/>
    <w:rsid w:val="71B62FE9"/>
    <w:rsid w:val="71B63BE1"/>
    <w:rsid w:val="71B65312"/>
    <w:rsid w:val="71B66B18"/>
    <w:rsid w:val="71B66C2D"/>
    <w:rsid w:val="71B73BB5"/>
    <w:rsid w:val="71B7463E"/>
    <w:rsid w:val="71B903B6"/>
    <w:rsid w:val="71B91357"/>
    <w:rsid w:val="71BA612D"/>
    <w:rsid w:val="71BB2380"/>
    <w:rsid w:val="71BB359F"/>
    <w:rsid w:val="71BB4078"/>
    <w:rsid w:val="71BB565C"/>
    <w:rsid w:val="71BB5EDC"/>
    <w:rsid w:val="71BD7A27"/>
    <w:rsid w:val="71BE1389"/>
    <w:rsid w:val="71BE3C1E"/>
    <w:rsid w:val="71BE59CD"/>
    <w:rsid w:val="71BE777B"/>
    <w:rsid w:val="71BF6118"/>
    <w:rsid w:val="71C0472B"/>
    <w:rsid w:val="71C047CB"/>
    <w:rsid w:val="71C06EF3"/>
    <w:rsid w:val="71C07946"/>
    <w:rsid w:val="71C07997"/>
    <w:rsid w:val="71C13B33"/>
    <w:rsid w:val="71C1506F"/>
    <w:rsid w:val="71C22866"/>
    <w:rsid w:val="71C22D87"/>
    <w:rsid w:val="71C31C35"/>
    <w:rsid w:val="71C32FE3"/>
    <w:rsid w:val="71C33899"/>
    <w:rsid w:val="71C34D91"/>
    <w:rsid w:val="71C36D9C"/>
    <w:rsid w:val="71C50B09"/>
    <w:rsid w:val="71C57C1C"/>
    <w:rsid w:val="71C70D25"/>
    <w:rsid w:val="71C7125F"/>
    <w:rsid w:val="71C72AD3"/>
    <w:rsid w:val="71C773DD"/>
    <w:rsid w:val="71C845AC"/>
    <w:rsid w:val="71C84B3A"/>
    <w:rsid w:val="71C8684B"/>
    <w:rsid w:val="71CA0EB7"/>
    <w:rsid w:val="71CA25C3"/>
    <w:rsid w:val="71CA376C"/>
    <w:rsid w:val="71CA4371"/>
    <w:rsid w:val="71CA6D36"/>
    <w:rsid w:val="71CB35CB"/>
    <w:rsid w:val="71CC1CC1"/>
    <w:rsid w:val="71CC633B"/>
    <w:rsid w:val="71CD128D"/>
    <w:rsid w:val="71CD20B4"/>
    <w:rsid w:val="71CE09AC"/>
    <w:rsid w:val="71CE7EB8"/>
    <w:rsid w:val="71CF3736"/>
    <w:rsid w:val="71CF667C"/>
    <w:rsid w:val="71CF7875"/>
    <w:rsid w:val="71CF7BDA"/>
    <w:rsid w:val="71D00ACC"/>
    <w:rsid w:val="71D018B1"/>
    <w:rsid w:val="71D04167"/>
    <w:rsid w:val="71D15700"/>
    <w:rsid w:val="71D24A99"/>
    <w:rsid w:val="71D25F6E"/>
    <w:rsid w:val="71D260B4"/>
    <w:rsid w:val="71D27F8A"/>
    <w:rsid w:val="71D3338E"/>
    <w:rsid w:val="71D376CA"/>
    <w:rsid w:val="71D40D4C"/>
    <w:rsid w:val="71D42FBF"/>
    <w:rsid w:val="71D56EC9"/>
    <w:rsid w:val="71D60F68"/>
    <w:rsid w:val="71D64AC4"/>
    <w:rsid w:val="71D67417"/>
    <w:rsid w:val="71D76A8E"/>
    <w:rsid w:val="71D83AA8"/>
    <w:rsid w:val="71D8462F"/>
    <w:rsid w:val="71D85D70"/>
    <w:rsid w:val="71DA0690"/>
    <w:rsid w:val="71DA0B5A"/>
    <w:rsid w:val="71DB2075"/>
    <w:rsid w:val="71DB20DB"/>
    <w:rsid w:val="71DB2A29"/>
    <w:rsid w:val="71DB657E"/>
    <w:rsid w:val="71DC529C"/>
    <w:rsid w:val="71DC5E53"/>
    <w:rsid w:val="71DE1BCB"/>
    <w:rsid w:val="71DE7F6F"/>
    <w:rsid w:val="71E01DE7"/>
    <w:rsid w:val="71E07F14"/>
    <w:rsid w:val="71E13469"/>
    <w:rsid w:val="71E219F3"/>
    <w:rsid w:val="71E27215"/>
    <w:rsid w:val="71E32596"/>
    <w:rsid w:val="71E36524"/>
    <w:rsid w:val="71E371E1"/>
    <w:rsid w:val="71E47A9C"/>
    <w:rsid w:val="71E5047D"/>
    <w:rsid w:val="71E557A3"/>
    <w:rsid w:val="71E64DD4"/>
    <w:rsid w:val="71E7106A"/>
    <w:rsid w:val="71E73175"/>
    <w:rsid w:val="71E80C9B"/>
    <w:rsid w:val="71E8768A"/>
    <w:rsid w:val="71EA0570"/>
    <w:rsid w:val="71EA278F"/>
    <w:rsid w:val="71EA4A14"/>
    <w:rsid w:val="71EB2AA5"/>
    <w:rsid w:val="71EB5723"/>
    <w:rsid w:val="71EC078C"/>
    <w:rsid w:val="71EC253A"/>
    <w:rsid w:val="71EC2889"/>
    <w:rsid w:val="71EC42E8"/>
    <w:rsid w:val="71ED3A67"/>
    <w:rsid w:val="71ED5C87"/>
    <w:rsid w:val="71EE4526"/>
    <w:rsid w:val="71EF202A"/>
    <w:rsid w:val="71EF3DD8"/>
    <w:rsid w:val="71EF5B86"/>
    <w:rsid w:val="71F118FE"/>
    <w:rsid w:val="71F12C3E"/>
    <w:rsid w:val="71F135FB"/>
    <w:rsid w:val="71F13D46"/>
    <w:rsid w:val="71F16917"/>
    <w:rsid w:val="71F17B50"/>
    <w:rsid w:val="71F22A14"/>
    <w:rsid w:val="71F238C8"/>
    <w:rsid w:val="71F25309"/>
    <w:rsid w:val="71F25676"/>
    <w:rsid w:val="71F31B1A"/>
    <w:rsid w:val="71F36EB1"/>
    <w:rsid w:val="71F426C7"/>
    <w:rsid w:val="71F4319C"/>
    <w:rsid w:val="71F46A46"/>
    <w:rsid w:val="71F47640"/>
    <w:rsid w:val="71F5250F"/>
    <w:rsid w:val="71F52ABC"/>
    <w:rsid w:val="71F52BF0"/>
    <w:rsid w:val="71F66E02"/>
    <w:rsid w:val="71F66F14"/>
    <w:rsid w:val="71F70C92"/>
    <w:rsid w:val="71F7127B"/>
    <w:rsid w:val="71F80109"/>
    <w:rsid w:val="71F83C19"/>
    <w:rsid w:val="71F85B6D"/>
    <w:rsid w:val="71F87FE7"/>
    <w:rsid w:val="71F907B3"/>
    <w:rsid w:val="71F9675B"/>
    <w:rsid w:val="71FB09CF"/>
    <w:rsid w:val="71FB3645"/>
    <w:rsid w:val="71FB57D1"/>
    <w:rsid w:val="71FC02A3"/>
    <w:rsid w:val="71FC3E82"/>
    <w:rsid w:val="71FC6C91"/>
    <w:rsid w:val="71FD241D"/>
    <w:rsid w:val="71FD4747"/>
    <w:rsid w:val="71FD4AC1"/>
    <w:rsid w:val="71FD4E21"/>
    <w:rsid w:val="71FD64F5"/>
    <w:rsid w:val="71FE06CE"/>
    <w:rsid w:val="71FE401B"/>
    <w:rsid w:val="71FF0F1B"/>
    <w:rsid w:val="71FF6F78"/>
    <w:rsid w:val="7200021F"/>
    <w:rsid w:val="72001B41"/>
    <w:rsid w:val="72005FE5"/>
    <w:rsid w:val="720074D6"/>
    <w:rsid w:val="72011973"/>
    <w:rsid w:val="72014E2E"/>
    <w:rsid w:val="720155F8"/>
    <w:rsid w:val="720158B9"/>
    <w:rsid w:val="72021D5D"/>
    <w:rsid w:val="72024AF4"/>
    <w:rsid w:val="72024F10"/>
    <w:rsid w:val="7202789C"/>
    <w:rsid w:val="72030E1E"/>
    <w:rsid w:val="72031996"/>
    <w:rsid w:val="7203573A"/>
    <w:rsid w:val="720438FD"/>
    <w:rsid w:val="72047A8C"/>
    <w:rsid w:val="72062ED0"/>
    <w:rsid w:val="72070FFB"/>
    <w:rsid w:val="720713B5"/>
    <w:rsid w:val="720723DB"/>
    <w:rsid w:val="72084E9A"/>
    <w:rsid w:val="720930EC"/>
    <w:rsid w:val="72096D3A"/>
    <w:rsid w:val="720A0BFF"/>
    <w:rsid w:val="720A29C0"/>
    <w:rsid w:val="720A602E"/>
    <w:rsid w:val="720A6576"/>
    <w:rsid w:val="720A7322"/>
    <w:rsid w:val="720B0B63"/>
    <w:rsid w:val="720B10AE"/>
    <w:rsid w:val="720B208F"/>
    <w:rsid w:val="720C0947"/>
    <w:rsid w:val="720C2BD8"/>
    <w:rsid w:val="720C425F"/>
    <w:rsid w:val="720C6738"/>
    <w:rsid w:val="720D0C00"/>
    <w:rsid w:val="720D49AF"/>
    <w:rsid w:val="720F6228"/>
    <w:rsid w:val="72102B90"/>
    <w:rsid w:val="7210336D"/>
    <w:rsid w:val="721101F2"/>
    <w:rsid w:val="72111FA0"/>
    <w:rsid w:val="72113D4E"/>
    <w:rsid w:val="721149AE"/>
    <w:rsid w:val="72115F01"/>
    <w:rsid w:val="72121874"/>
    <w:rsid w:val="72127391"/>
    <w:rsid w:val="721377A2"/>
    <w:rsid w:val="72160E86"/>
    <w:rsid w:val="72161365"/>
    <w:rsid w:val="72165809"/>
    <w:rsid w:val="721671A2"/>
    <w:rsid w:val="72170632"/>
    <w:rsid w:val="721726F7"/>
    <w:rsid w:val="72181E6B"/>
    <w:rsid w:val="7218219A"/>
    <w:rsid w:val="72184A89"/>
    <w:rsid w:val="7218753B"/>
    <w:rsid w:val="721904C7"/>
    <w:rsid w:val="721909E8"/>
    <w:rsid w:val="72193A68"/>
    <w:rsid w:val="721970A7"/>
    <w:rsid w:val="721A47FB"/>
    <w:rsid w:val="721C3014"/>
    <w:rsid w:val="721D26F3"/>
    <w:rsid w:val="721E646B"/>
    <w:rsid w:val="721F290F"/>
    <w:rsid w:val="721F6F7D"/>
    <w:rsid w:val="72200435"/>
    <w:rsid w:val="72203F91"/>
    <w:rsid w:val="72225F5B"/>
    <w:rsid w:val="72227D09"/>
    <w:rsid w:val="72231CD3"/>
    <w:rsid w:val="722326AE"/>
    <w:rsid w:val="722374C4"/>
    <w:rsid w:val="722515A8"/>
    <w:rsid w:val="72252C36"/>
    <w:rsid w:val="722604FB"/>
    <w:rsid w:val="72264D1E"/>
    <w:rsid w:val="722707F9"/>
    <w:rsid w:val="72275320"/>
    <w:rsid w:val="72280003"/>
    <w:rsid w:val="72282939"/>
    <w:rsid w:val="72285403"/>
    <w:rsid w:val="722872EA"/>
    <w:rsid w:val="72294188"/>
    <w:rsid w:val="7229553C"/>
    <w:rsid w:val="722A3062"/>
    <w:rsid w:val="722A4EEC"/>
    <w:rsid w:val="722A54E3"/>
    <w:rsid w:val="722A671B"/>
    <w:rsid w:val="722B41AC"/>
    <w:rsid w:val="722B6505"/>
    <w:rsid w:val="722C2936"/>
    <w:rsid w:val="722C6DDA"/>
    <w:rsid w:val="722C7F38"/>
    <w:rsid w:val="722E4789"/>
    <w:rsid w:val="722F0678"/>
    <w:rsid w:val="722F312A"/>
    <w:rsid w:val="722F332F"/>
    <w:rsid w:val="7230291A"/>
    <w:rsid w:val="72304B84"/>
    <w:rsid w:val="72312642"/>
    <w:rsid w:val="723172D3"/>
    <w:rsid w:val="72331F17"/>
    <w:rsid w:val="72334747"/>
    <w:rsid w:val="72335600"/>
    <w:rsid w:val="72345FDA"/>
    <w:rsid w:val="72347190"/>
    <w:rsid w:val="72347A3D"/>
    <w:rsid w:val="72356ABA"/>
    <w:rsid w:val="723652CB"/>
    <w:rsid w:val="7236678B"/>
    <w:rsid w:val="72367553"/>
    <w:rsid w:val="723701E9"/>
    <w:rsid w:val="72380C91"/>
    <w:rsid w:val="7238635A"/>
    <w:rsid w:val="72386ABD"/>
    <w:rsid w:val="7239253B"/>
    <w:rsid w:val="72395053"/>
    <w:rsid w:val="723A510C"/>
    <w:rsid w:val="723B701D"/>
    <w:rsid w:val="723C0EBC"/>
    <w:rsid w:val="723D2D95"/>
    <w:rsid w:val="723D3A8D"/>
    <w:rsid w:val="723D4B43"/>
    <w:rsid w:val="723E08BB"/>
    <w:rsid w:val="723E2669"/>
    <w:rsid w:val="723E4E4F"/>
    <w:rsid w:val="723E7F81"/>
    <w:rsid w:val="723F07B2"/>
    <w:rsid w:val="723F4C6C"/>
    <w:rsid w:val="72400400"/>
    <w:rsid w:val="72406FD7"/>
    <w:rsid w:val="7241389E"/>
    <w:rsid w:val="7242215A"/>
    <w:rsid w:val="7242215D"/>
    <w:rsid w:val="724252B1"/>
    <w:rsid w:val="724265FE"/>
    <w:rsid w:val="72435ED2"/>
    <w:rsid w:val="724361BE"/>
    <w:rsid w:val="72442376"/>
    <w:rsid w:val="724434F9"/>
    <w:rsid w:val="7244671B"/>
    <w:rsid w:val="72451C4A"/>
    <w:rsid w:val="7245221F"/>
    <w:rsid w:val="724539F8"/>
    <w:rsid w:val="72457E9C"/>
    <w:rsid w:val="72463042"/>
    <w:rsid w:val="72473C14"/>
    <w:rsid w:val="724759C2"/>
    <w:rsid w:val="72477710"/>
    <w:rsid w:val="724908EF"/>
    <w:rsid w:val="7249798C"/>
    <w:rsid w:val="72497C1F"/>
    <w:rsid w:val="724A2CF5"/>
    <w:rsid w:val="724A54B2"/>
    <w:rsid w:val="724A7260"/>
    <w:rsid w:val="724B6A51"/>
    <w:rsid w:val="724C122A"/>
    <w:rsid w:val="724C4D86"/>
    <w:rsid w:val="724C5F20"/>
    <w:rsid w:val="724E3B8F"/>
    <w:rsid w:val="724E4730"/>
    <w:rsid w:val="724F4670"/>
    <w:rsid w:val="724F5EA2"/>
    <w:rsid w:val="72507598"/>
    <w:rsid w:val="72513479"/>
    <w:rsid w:val="7251707E"/>
    <w:rsid w:val="72520D48"/>
    <w:rsid w:val="72522E7D"/>
    <w:rsid w:val="72523553"/>
    <w:rsid w:val="72531906"/>
    <w:rsid w:val="72531F1A"/>
    <w:rsid w:val="72532286"/>
    <w:rsid w:val="725325B9"/>
    <w:rsid w:val="72536115"/>
    <w:rsid w:val="72541E8D"/>
    <w:rsid w:val="7254518B"/>
    <w:rsid w:val="72553024"/>
    <w:rsid w:val="72556331"/>
    <w:rsid w:val="72561A63"/>
    <w:rsid w:val="72564B05"/>
    <w:rsid w:val="72565C05"/>
    <w:rsid w:val="725669BE"/>
    <w:rsid w:val="7258372B"/>
    <w:rsid w:val="72587BCF"/>
    <w:rsid w:val="725928EB"/>
    <w:rsid w:val="7259495B"/>
    <w:rsid w:val="725956F5"/>
    <w:rsid w:val="725974A3"/>
    <w:rsid w:val="725B2B9B"/>
    <w:rsid w:val="725B2D60"/>
    <w:rsid w:val="725B321B"/>
    <w:rsid w:val="725B76BF"/>
    <w:rsid w:val="725C0153"/>
    <w:rsid w:val="725C04A6"/>
    <w:rsid w:val="725D17CA"/>
    <w:rsid w:val="725E2DC6"/>
    <w:rsid w:val="725F0ED6"/>
    <w:rsid w:val="725F0F5E"/>
    <w:rsid w:val="725F3E24"/>
    <w:rsid w:val="7260194B"/>
    <w:rsid w:val="72601C31"/>
    <w:rsid w:val="72601F31"/>
    <w:rsid w:val="72604B19"/>
    <w:rsid w:val="72606251"/>
    <w:rsid w:val="72606A84"/>
    <w:rsid w:val="726102B7"/>
    <w:rsid w:val="72614C18"/>
    <w:rsid w:val="72617C34"/>
    <w:rsid w:val="7262038A"/>
    <w:rsid w:val="72620A4E"/>
    <w:rsid w:val="72622BD7"/>
    <w:rsid w:val="72624021"/>
    <w:rsid w:val="726245AA"/>
    <w:rsid w:val="7263270B"/>
    <w:rsid w:val="72640322"/>
    <w:rsid w:val="726522EC"/>
    <w:rsid w:val="7265245B"/>
    <w:rsid w:val="72661108"/>
    <w:rsid w:val="72661522"/>
    <w:rsid w:val="72662077"/>
    <w:rsid w:val="72662FF9"/>
    <w:rsid w:val="72664129"/>
    <w:rsid w:val="72664AB2"/>
    <w:rsid w:val="72666D30"/>
    <w:rsid w:val="726704E0"/>
    <w:rsid w:val="7267192A"/>
    <w:rsid w:val="72671BC0"/>
    <w:rsid w:val="72676064"/>
    <w:rsid w:val="7267703D"/>
    <w:rsid w:val="72681409"/>
    <w:rsid w:val="72686A49"/>
    <w:rsid w:val="72695938"/>
    <w:rsid w:val="726A2AAA"/>
    <w:rsid w:val="726A2ABF"/>
    <w:rsid w:val="726A345E"/>
    <w:rsid w:val="726A422D"/>
    <w:rsid w:val="726A4AC3"/>
    <w:rsid w:val="726A7902"/>
    <w:rsid w:val="726A7CD2"/>
    <w:rsid w:val="726B30F6"/>
    <w:rsid w:val="726B5B54"/>
    <w:rsid w:val="726C367A"/>
    <w:rsid w:val="726C71D7"/>
    <w:rsid w:val="726C77A5"/>
    <w:rsid w:val="726E11A1"/>
    <w:rsid w:val="726E28BB"/>
    <w:rsid w:val="726E2F4F"/>
    <w:rsid w:val="726E73F3"/>
    <w:rsid w:val="726F091C"/>
    <w:rsid w:val="726F30E6"/>
    <w:rsid w:val="726F4F19"/>
    <w:rsid w:val="726F75AB"/>
    <w:rsid w:val="727051DB"/>
    <w:rsid w:val="72707DAC"/>
    <w:rsid w:val="72710C91"/>
    <w:rsid w:val="727138BB"/>
    <w:rsid w:val="72714DC7"/>
    <w:rsid w:val="727152C9"/>
    <w:rsid w:val="7271666B"/>
    <w:rsid w:val="727205FB"/>
    <w:rsid w:val="727226CC"/>
    <w:rsid w:val="727268E0"/>
    <w:rsid w:val="72727AFB"/>
    <w:rsid w:val="72730565"/>
    <w:rsid w:val="727308A6"/>
    <w:rsid w:val="7275252F"/>
    <w:rsid w:val="727560F9"/>
    <w:rsid w:val="727568C2"/>
    <w:rsid w:val="72760055"/>
    <w:rsid w:val="727640AC"/>
    <w:rsid w:val="7278201F"/>
    <w:rsid w:val="72790BE7"/>
    <w:rsid w:val="727A2772"/>
    <w:rsid w:val="727A287F"/>
    <w:rsid w:val="727A5D97"/>
    <w:rsid w:val="727A7B45"/>
    <w:rsid w:val="727B566C"/>
    <w:rsid w:val="727C0BE5"/>
    <w:rsid w:val="727C3957"/>
    <w:rsid w:val="727D3192"/>
    <w:rsid w:val="727D467B"/>
    <w:rsid w:val="727D5888"/>
    <w:rsid w:val="727E23B0"/>
    <w:rsid w:val="727E6D8E"/>
    <w:rsid w:val="727F0C70"/>
    <w:rsid w:val="727F33AE"/>
    <w:rsid w:val="727F5D65"/>
    <w:rsid w:val="72804610"/>
    <w:rsid w:val="72807126"/>
    <w:rsid w:val="7281396A"/>
    <w:rsid w:val="728167C1"/>
    <w:rsid w:val="72822E9E"/>
    <w:rsid w:val="72827CC8"/>
    <w:rsid w:val="728409C4"/>
    <w:rsid w:val="72845C7B"/>
    <w:rsid w:val="72850298"/>
    <w:rsid w:val="7285306D"/>
    <w:rsid w:val="728537AF"/>
    <w:rsid w:val="7285473C"/>
    <w:rsid w:val="72860B42"/>
    <w:rsid w:val="72867F86"/>
    <w:rsid w:val="72872262"/>
    <w:rsid w:val="72881414"/>
    <w:rsid w:val="72882ECF"/>
    <w:rsid w:val="72886033"/>
    <w:rsid w:val="7288706E"/>
    <w:rsid w:val="72893053"/>
    <w:rsid w:val="7289422C"/>
    <w:rsid w:val="728A58AF"/>
    <w:rsid w:val="728C4044"/>
    <w:rsid w:val="728C5ACB"/>
    <w:rsid w:val="728C5E44"/>
    <w:rsid w:val="728C7879"/>
    <w:rsid w:val="728D2BFB"/>
    <w:rsid w:val="728D396E"/>
    <w:rsid w:val="728D4357"/>
    <w:rsid w:val="728E0759"/>
    <w:rsid w:val="728E1843"/>
    <w:rsid w:val="728E2F63"/>
    <w:rsid w:val="728E539F"/>
    <w:rsid w:val="728F78F8"/>
    <w:rsid w:val="729055BB"/>
    <w:rsid w:val="72907369"/>
    <w:rsid w:val="72912A35"/>
    <w:rsid w:val="729130E1"/>
    <w:rsid w:val="7292340F"/>
    <w:rsid w:val="72927A84"/>
    <w:rsid w:val="72930C07"/>
    <w:rsid w:val="72931BE2"/>
    <w:rsid w:val="72936E59"/>
    <w:rsid w:val="72952BD1"/>
    <w:rsid w:val="7295497F"/>
    <w:rsid w:val="729606F7"/>
    <w:rsid w:val="72966949"/>
    <w:rsid w:val="7297443F"/>
    <w:rsid w:val="729752B9"/>
    <w:rsid w:val="72981137"/>
    <w:rsid w:val="729A1F96"/>
    <w:rsid w:val="729B4A7B"/>
    <w:rsid w:val="729B5226"/>
    <w:rsid w:val="729B5F95"/>
    <w:rsid w:val="729B6D42"/>
    <w:rsid w:val="729C3F60"/>
    <w:rsid w:val="729C539E"/>
    <w:rsid w:val="729C5939"/>
    <w:rsid w:val="729D47C4"/>
    <w:rsid w:val="729D4CC8"/>
    <w:rsid w:val="729D55E2"/>
    <w:rsid w:val="729F05BE"/>
    <w:rsid w:val="729F57FE"/>
    <w:rsid w:val="729F75AC"/>
    <w:rsid w:val="72A042BA"/>
    <w:rsid w:val="72A06BB4"/>
    <w:rsid w:val="72A14009"/>
    <w:rsid w:val="72A168F6"/>
    <w:rsid w:val="72A20E4A"/>
    <w:rsid w:val="72A21144"/>
    <w:rsid w:val="72A24A00"/>
    <w:rsid w:val="72A2659A"/>
    <w:rsid w:val="72A2709C"/>
    <w:rsid w:val="72A3207E"/>
    <w:rsid w:val="72A40476"/>
    <w:rsid w:val="72A434DA"/>
    <w:rsid w:val="72A5093A"/>
    <w:rsid w:val="72A619EF"/>
    <w:rsid w:val="72A652F0"/>
    <w:rsid w:val="72A66542"/>
    <w:rsid w:val="72A66B8C"/>
    <w:rsid w:val="72A746B3"/>
    <w:rsid w:val="72A81BF6"/>
    <w:rsid w:val="72A81DAB"/>
    <w:rsid w:val="72AA2F6E"/>
    <w:rsid w:val="72AA4610"/>
    <w:rsid w:val="72AB41A3"/>
    <w:rsid w:val="72AB72EF"/>
    <w:rsid w:val="72AB76B5"/>
    <w:rsid w:val="72AC3973"/>
    <w:rsid w:val="72AC3A77"/>
    <w:rsid w:val="72AC4C91"/>
    <w:rsid w:val="72AD517D"/>
    <w:rsid w:val="72AE1008"/>
    <w:rsid w:val="72B017B9"/>
    <w:rsid w:val="72B0215E"/>
    <w:rsid w:val="72B03567"/>
    <w:rsid w:val="72B15531"/>
    <w:rsid w:val="72B172DF"/>
    <w:rsid w:val="72B26EE8"/>
    <w:rsid w:val="72B308E0"/>
    <w:rsid w:val="72B312A9"/>
    <w:rsid w:val="72B31984"/>
    <w:rsid w:val="72B362CD"/>
    <w:rsid w:val="72B3764B"/>
    <w:rsid w:val="72B50B7E"/>
    <w:rsid w:val="72B666A4"/>
    <w:rsid w:val="72B672BE"/>
    <w:rsid w:val="72B72541"/>
    <w:rsid w:val="72B77C07"/>
    <w:rsid w:val="72B8066E"/>
    <w:rsid w:val="72B868C0"/>
    <w:rsid w:val="72BA496F"/>
    <w:rsid w:val="72BA6194"/>
    <w:rsid w:val="72BB015E"/>
    <w:rsid w:val="72BB0ABC"/>
    <w:rsid w:val="72BC63B0"/>
    <w:rsid w:val="72BC7BD1"/>
    <w:rsid w:val="72BD1A99"/>
    <w:rsid w:val="72BD4C9B"/>
    <w:rsid w:val="72BD5C84"/>
    <w:rsid w:val="72BD7A32"/>
    <w:rsid w:val="72BE1661"/>
    <w:rsid w:val="72BE3C88"/>
    <w:rsid w:val="72BE7843"/>
    <w:rsid w:val="72BF19FC"/>
    <w:rsid w:val="72BF7C4E"/>
    <w:rsid w:val="72C00D4D"/>
    <w:rsid w:val="72C0444C"/>
    <w:rsid w:val="72C04D9D"/>
    <w:rsid w:val="72C139C6"/>
    <w:rsid w:val="72C1582D"/>
    <w:rsid w:val="72C158C8"/>
    <w:rsid w:val="72C214EC"/>
    <w:rsid w:val="72C2329A"/>
    <w:rsid w:val="72C24A83"/>
    <w:rsid w:val="72C25048"/>
    <w:rsid w:val="72C352B5"/>
    <w:rsid w:val="72C36EB5"/>
    <w:rsid w:val="72C37A54"/>
    <w:rsid w:val="72C406D5"/>
    <w:rsid w:val="72C45265"/>
    <w:rsid w:val="72C45CD5"/>
    <w:rsid w:val="72C47013"/>
    <w:rsid w:val="72C62D8B"/>
    <w:rsid w:val="72C65E03"/>
    <w:rsid w:val="72C66324"/>
    <w:rsid w:val="72C708B1"/>
    <w:rsid w:val="72C708F5"/>
    <w:rsid w:val="72C76B03"/>
    <w:rsid w:val="72C77465"/>
    <w:rsid w:val="72C81120"/>
    <w:rsid w:val="72C94629"/>
    <w:rsid w:val="72C97A08"/>
    <w:rsid w:val="72CA1617"/>
    <w:rsid w:val="72CB03A1"/>
    <w:rsid w:val="72CB65F3"/>
    <w:rsid w:val="72CB757B"/>
    <w:rsid w:val="72CC236B"/>
    <w:rsid w:val="72CC6117"/>
    <w:rsid w:val="72CD1B96"/>
    <w:rsid w:val="72CE5795"/>
    <w:rsid w:val="72CE60E3"/>
    <w:rsid w:val="72CE7E91"/>
    <w:rsid w:val="72CF0B36"/>
    <w:rsid w:val="72CF47E7"/>
    <w:rsid w:val="72CF66BC"/>
    <w:rsid w:val="72D03C09"/>
    <w:rsid w:val="72D07765"/>
    <w:rsid w:val="72D134DE"/>
    <w:rsid w:val="72D229A4"/>
    <w:rsid w:val="72D44D37"/>
    <w:rsid w:val="72D500BF"/>
    <w:rsid w:val="72D50E79"/>
    <w:rsid w:val="72D51C6B"/>
    <w:rsid w:val="72D52FCE"/>
    <w:rsid w:val="72D53AEE"/>
    <w:rsid w:val="72D57472"/>
    <w:rsid w:val="72D763B0"/>
    <w:rsid w:val="72D80D10"/>
    <w:rsid w:val="72D82ABE"/>
    <w:rsid w:val="72D970E4"/>
    <w:rsid w:val="72DA05E4"/>
    <w:rsid w:val="72DA58DB"/>
    <w:rsid w:val="72DA7865"/>
    <w:rsid w:val="72DB0CEA"/>
    <w:rsid w:val="72DB1E9F"/>
    <w:rsid w:val="72DB67BC"/>
    <w:rsid w:val="72DB6D6B"/>
    <w:rsid w:val="72DC25AE"/>
    <w:rsid w:val="72DE2802"/>
    <w:rsid w:val="72DE6D6E"/>
    <w:rsid w:val="72DF3E4C"/>
    <w:rsid w:val="72DF437B"/>
    <w:rsid w:val="72DF56A6"/>
    <w:rsid w:val="72DF5BFA"/>
    <w:rsid w:val="72E0000C"/>
    <w:rsid w:val="72E02E21"/>
    <w:rsid w:val="72E07A4D"/>
    <w:rsid w:val="72E133AF"/>
    <w:rsid w:val="72E17BC5"/>
    <w:rsid w:val="72E256EB"/>
    <w:rsid w:val="72E41784"/>
    <w:rsid w:val="72E41CA5"/>
    <w:rsid w:val="72E41E5B"/>
    <w:rsid w:val="72E50CBE"/>
    <w:rsid w:val="72E512AD"/>
    <w:rsid w:val="72E541B2"/>
    <w:rsid w:val="72E651DB"/>
    <w:rsid w:val="72E70F53"/>
    <w:rsid w:val="72E72D01"/>
    <w:rsid w:val="72E7530E"/>
    <w:rsid w:val="72E77CA6"/>
    <w:rsid w:val="72E824FD"/>
    <w:rsid w:val="72E83F34"/>
    <w:rsid w:val="72E8679E"/>
    <w:rsid w:val="72E97C2E"/>
    <w:rsid w:val="72EA1B5C"/>
    <w:rsid w:val="72EA3C8F"/>
    <w:rsid w:val="72EB07E3"/>
    <w:rsid w:val="72EB0A43"/>
    <w:rsid w:val="72EE408F"/>
    <w:rsid w:val="72EF7CA5"/>
    <w:rsid w:val="72F0605A"/>
    <w:rsid w:val="72F07B01"/>
    <w:rsid w:val="72F07E08"/>
    <w:rsid w:val="72F10CED"/>
    <w:rsid w:val="72F1559A"/>
    <w:rsid w:val="72F21DBC"/>
    <w:rsid w:val="72F21F81"/>
    <w:rsid w:val="72F35B4A"/>
    <w:rsid w:val="72F378F8"/>
    <w:rsid w:val="72F42ADC"/>
    <w:rsid w:val="72F5541E"/>
    <w:rsid w:val="72F571CC"/>
    <w:rsid w:val="72F61FEA"/>
    <w:rsid w:val="72F62232"/>
    <w:rsid w:val="72F63973"/>
    <w:rsid w:val="72F74533"/>
    <w:rsid w:val="72F82BA8"/>
    <w:rsid w:val="72F83160"/>
    <w:rsid w:val="72F83767"/>
    <w:rsid w:val="72F86CBC"/>
    <w:rsid w:val="72F87AB6"/>
    <w:rsid w:val="72FA0C86"/>
    <w:rsid w:val="72FA6ED8"/>
    <w:rsid w:val="72FB055A"/>
    <w:rsid w:val="72FB5F77"/>
    <w:rsid w:val="72FC49FE"/>
    <w:rsid w:val="72FC67AC"/>
    <w:rsid w:val="72FD0F0F"/>
    <w:rsid w:val="72FD221B"/>
    <w:rsid w:val="72FD2525"/>
    <w:rsid w:val="72FE2BF5"/>
    <w:rsid w:val="72FF44EF"/>
    <w:rsid w:val="72FF629D"/>
    <w:rsid w:val="73007C5C"/>
    <w:rsid w:val="73014ED1"/>
    <w:rsid w:val="730160D2"/>
    <w:rsid w:val="730247A7"/>
    <w:rsid w:val="730252BB"/>
    <w:rsid w:val="73025992"/>
    <w:rsid w:val="73025D8D"/>
    <w:rsid w:val="73027B3B"/>
    <w:rsid w:val="730408AC"/>
    <w:rsid w:val="73041B05"/>
    <w:rsid w:val="730438B3"/>
    <w:rsid w:val="73043C22"/>
    <w:rsid w:val="73047529"/>
    <w:rsid w:val="7306263C"/>
    <w:rsid w:val="7306587D"/>
    <w:rsid w:val="73071E07"/>
    <w:rsid w:val="730733EE"/>
    <w:rsid w:val="73076EFF"/>
    <w:rsid w:val="73085D88"/>
    <w:rsid w:val="730906A8"/>
    <w:rsid w:val="73092C77"/>
    <w:rsid w:val="7309781E"/>
    <w:rsid w:val="730B2E93"/>
    <w:rsid w:val="730B4C41"/>
    <w:rsid w:val="730B69EF"/>
    <w:rsid w:val="730D3FD7"/>
    <w:rsid w:val="730D6A28"/>
    <w:rsid w:val="730E028E"/>
    <w:rsid w:val="730E379A"/>
    <w:rsid w:val="730E4732"/>
    <w:rsid w:val="730E64E0"/>
    <w:rsid w:val="730E74C1"/>
    <w:rsid w:val="731036B8"/>
    <w:rsid w:val="73103A23"/>
    <w:rsid w:val="73105207"/>
    <w:rsid w:val="73105304"/>
    <w:rsid w:val="7311057B"/>
    <w:rsid w:val="73113267"/>
    <w:rsid w:val="73117060"/>
    <w:rsid w:val="73117D7E"/>
    <w:rsid w:val="73122968"/>
    <w:rsid w:val="73124222"/>
    <w:rsid w:val="73125FD0"/>
    <w:rsid w:val="73127444"/>
    <w:rsid w:val="7313040B"/>
    <w:rsid w:val="73141ECD"/>
    <w:rsid w:val="7315161C"/>
    <w:rsid w:val="7315655D"/>
    <w:rsid w:val="73165394"/>
    <w:rsid w:val="73165D49"/>
    <w:rsid w:val="73167E64"/>
    <w:rsid w:val="7318110C"/>
    <w:rsid w:val="73181D5A"/>
    <w:rsid w:val="73186167"/>
    <w:rsid w:val="7318735E"/>
    <w:rsid w:val="731909EC"/>
    <w:rsid w:val="731955B0"/>
    <w:rsid w:val="731972D9"/>
    <w:rsid w:val="731A30D6"/>
    <w:rsid w:val="731A4E85"/>
    <w:rsid w:val="731B41FE"/>
    <w:rsid w:val="731B42C8"/>
    <w:rsid w:val="731C0274"/>
    <w:rsid w:val="731C29AB"/>
    <w:rsid w:val="731C2C0E"/>
    <w:rsid w:val="731C3B0F"/>
    <w:rsid w:val="731D1633"/>
    <w:rsid w:val="731D4975"/>
    <w:rsid w:val="731E2E6D"/>
    <w:rsid w:val="731E31D8"/>
    <w:rsid w:val="731E60E1"/>
    <w:rsid w:val="731F249B"/>
    <w:rsid w:val="731F5D5E"/>
    <w:rsid w:val="7320390F"/>
    <w:rsid w:val="73207868"/>
    <w:rsid w:val="73214465"/>
    <w:rsid w:val="73216B68"/>
    <w:rsid w:val="73221F8B"/>
    <w:rsid w:val="73223D39"/>
    <w:rsid w:val="73231976"/>
    <w:rsid w:val="73236401"/>
    <w:rsid w:val="73237278"/>
    <w:rsid w:val="73245D03"/>
    <w:rsid w:val="73260519"/>
    <w:rsid w:val="73261A7B"/>
    <w:rsid w:val="73267CCD"/>
    <w:rsid w:val="732700DF"/>
    <w:rsid w:val="7327134F"/>
    <w:rsid w:val="7329331A"/>
    <w:rsid w:val="732A61AD"/>
    <w:rsid w:val="732D1E02"/>
    <w:rsid w:val="732D2E0A"/>
    <w:rsid w:val="732D45C7"/>
    <w:rsid w:val="732D4BB8"/>
    <w:rsid w:val="732E0930"/>
    <w:rsid w:val="732E3E57"/>
    <w:rsid w:val="732F23C3"/>
    <w:rsid w:val="733046A8"/>
    <w:rsid w:val="73306456"/>
    <w:rsid w:val="73316424"/>
    <w:rsid w:val="7331685F"/>
    <w:rsid w:val="73320420"/>
    <w:rsid w:val="73321E3C"/>
    <w:rsid w:val="73326672"/>
    <w:rsid w:val="73330D44"/>
    <w:rsid w:val="7333167C"/>
    <w:rsid w:val="73351CBE"/>
    <w:rsid w:val="73353A6C"/>
    <w:rsid w:val="73363AB5"/>
    <w:rsid w:val="73373C88"/>
    <w:rsid w:val="73375A36"/>
    <w:rsid w:val="733817AF"/>
    <w:rsid w:val="7338355D"/>
    <w:rsid w:val="7338490D"/>
    <w:rsid w:val="733862F7"/>
    <w:rsid w:val="73394BB6"/>
    <w:rsid w:val="733A0869"/>
    <w:rsid w:val="733A0F3F"/>
    <w:rsid w:val="733A1083"/>
    <w:rsid w:val="733A5527"/>
    <w:rsid w:val="733A67F9"/>
    <w:rsid w:val="733C0072"/>
    <w:rsid w:val="733C3AC8"/>
    <w:rsid w:val="733C4DFB"/>
    <w:rsid w:val="733D289D"/>
    <w:rsid w:val="733D30E0"/>
    <w:rsid w:val="733D6108"/>
    <w:rsid w:val="733E6DC5"/>
    <w:rsid w:val="733F2B3D"/>
    <w:rsid w:val="733F6699"/>
    <w:rsid w:val="733F7D5F"/>
    <w:rsid w:val="73403702"/>
    <w:rsid w:val="73410663"/>
    <w:rsid w:val="73415548"/>
    <w:rsid w:val="73426189"/>
    <w:rsid w:val="73427879"/>
    <w:rsid w:val="7343262D"/>
    <w:rsid w:val="7343340A"/>
    <w:rsid w:val="73433C8F"/>
    <w:rsid w:val="73441F01"/>
    <w:rsid w:val="73444267"/>
    <w:rsid w:val="73445FB2"/>
    <w:rsid w:val="734525B9"/>
    <w:rsid w:val="73455D2A"/>
    <w:rsid w:val="73456F57"/>
    <w:rsid w:val="734608FB"/>
    <w:rsid w:val="73461873"/>
    <w:rsid w:val="7346211D"/>
    <w:rsid w:val="73463ECB"/>
    <w:rsid w:val="73483414"/>
    <w:rsid w:val="734853D6"/>
    <w:rsid w:val="73497518"/>
    <w:rsid w:val="734A1857"/>
    <w:rsid w:val="734A6FCB"/>
    <w:rsid w:val="734B14E2"/>
    <w:rsid w:val="734B1B9C"/>
    <w:rsid w:val="734C0DB6"/>
    <w:rsid w:val="734C3B60"/>
    <w:rsid w:val="734D039A"/>
    <w:rsid w:val="7350457E"/>
    <w:rsid w:val="73504688"/>
    <w:rsid w:val="735069CE"/>
    <w:rsid w:val="73506AF8"/>
    <w:rsid w:val="735237EA"/>
    <w:rsid w:val="7352461E"/>
    <w:rsid w:val="73526E9E"/>
    <w:rsid w:val="73530396"/>
    <w:rsid w:val="73532145"/>
    <w:rsid w:val="735465E8"/>
    <w:rsid w:val="73554975"/>
    <w:rsid w:val="73565C82"/>
    <w:rsid w:val="73567404"/>
    <w:rsid w:val="73571C35"/>
    <w:rsid w:val="73573250"/>
    <w:rsid w:val="735743F6"/>
    <w:rsid w:val="735760D9"/>
    <w:rsid w:val="73576C48"/>
    <w:rsid w:val="73580CE9"/>
    <w:rsid w:val="735812E0"/>
    <w:rsid w:val="735B4F35"/>
    <w:rsid w:val="735C11EB"/>
    <w:rsid w:val="735C36EF"/>
    <w:rsid w:val="735D2FC3"/>
    <w:rsid w:val="735D3004"/>
    <w:rsid w:val="735D5637"/>
    <w:rsid w:val="735D6B82"/>
    <w:rsid w:val="735D79A5"/>
    <w:rsid w:val="735E1215"/>
    <w:rsid w:val="735E5E57"/>
    <w:rsid w:val="735F3B8B"/>
    <w:rsid w:val="735F4F8D"/>
    <w:rsid w:val="735F6D3B"/>
    <w:rsid w:val="73605D7B"/>
    <w:rsid w:val="736305DA"/>
    <w:rsid w:val="73634B51"/>
    <w:rsid w:val="7364359A"/>
    <w:rsid w:val="73644F06"/>
    <w:rsid w:val="73650303"/>
    <w:rsid w:val="736507F6"/>
    <w:rsid w:val="73657DD8"/>
    <w:rsid w:val="73657E98"/>
    <w:rsid w:val="73661E78"/>
    <w:rsid w:val="7366631C"/>
    <w:rsid w:val="73667409"/>
    <w:rsid w:val="7367064C"/>
    <w:rsid w:val="736769C7"/>
    <w:rsid w:val="73682094"/>
    <w:rsid w:val="73683E42"/>
    <w:rsid w:val="73691B22"/>
    <w:rsid w:val="73697BBA"/>
    <w:rsid w:val="736A3BFC"/>
    <w:rsid w:val="736A5E0C"/>
    <w:rsid w:val="736A5E4E"/>
    <w:rsid w:val="736B133A"/>
    <w:rsid w:val="736B1B84"/>
    <w:rsid w:val="736B47F8"/>
    <w:rsid w:val="736B605A"/>
    <w:rsid w:val="736B748E"/>
    <w:rsid w:val="736B7A45"/>
    <w:rsid w:val="736C3CDC"/>
    <w:rsid w:val="736D487B"/>
    <w:rsid w:val="736D57F8"/>
    <w:rsid w:val="736E51D0"/>
    <w:rsid w:val="736E5255"/>
    <w:rsid w:val="736E61E9"/>
    <w:rsid w:val="736E6F7E"/>
    <w:rsid w:val="736F3DAA"/>
    <w:rsid w:val="736F7856"/>
    <w:rsid w:val="736F7916"/>
    <w:rsid w:val="73716125"/>
    <w:rsid w:val="73722F12"/>
    <w:rsid w:val="73724CC1"/>
    <w:rsid w:val="73727918"/>
    <w:rsid w:val="73740A39"/>
    <w:rsid w:val="737427E7"/>
    <w:rsid w:val="7374702F"/>
    <w:rsid w:val="7375030D"/>
    <w:rsid w:val="737536C8"/>
    <w:rsid w:val="73760C83"/>
    <w:rsid w:val="737625FD"/>
    <w:rsid w:val="737722D7"/>
    <w:rsid w:val="73774085"/>
    <w:rsid w:val="7377413B"/>
    <w:rsid w:val="73774ACC"/>
    <w:rsid w:val="73777729"/>
    <w:rsid w:val="737819F1"/>
    <w:rsid w:val="73781BAB"/>
    <w:rsid w:val="73790403"/>
    <w:rsid w:val="7379604F"/>
    <w:rsid w:val="73797DFD"/>
    <w:rsid w:val="737A1C4F"/>
    <w:rsid w:val="737A1DC7"/>
    <w:rsid w:val="737A34D9"/>
    <w:rsid w:val="737A3B75"/>
    <w:rsid w:val="737A50E0"/>
    <w:rsid w:val="737A6252"/>
    <w:rsid w:val="737B66D0"/>
    <w:rsid w:val="737B6C2C"/>
    <w:rsid w:val="737C5B3F"/>
    <w:rsid w:val="737C5DF7"/>
    <w:rsid w:val="737E5413"/>
    <w:rsid w:val="737F118B"/>
    <w:rsid w:val="737F734B"/>
    <w:rsid w:val="73811C6B"/>
    <w:rsid w:val="73813156"/>
    <w:rsid w:val="73830B94"/>
    <w:rsid w:val="738343C3"/>
    <w:rsid w:val="73834F73"/>
    <w:rsid w:val="73835228"/>
    <w:rsid w:val="738549F4"/>
    <w:rsid w:val="7386251A"/>
    <w:rsid w:val="738642C8"/>
    <w:rsid w:val="738712BC"/>
    <w:rsid w:val="738766BD"/>
    <w:rsid w:val="7387688C"/>
    <w:rsid w:val="7387721E"/>
    <w:rsid w:val="73880040"/>
    <w:rsid w:val="7388317E"/>
    <w:rsid w:val="738844E4"/>
    <w:rsid w:val="73893DB8"/>
    <w:rsid w:val="738A025C"/>
    <w:rsid w:val="738B0AB6"/>
    <w:rsid w:val="738B18DE"/>
    <w:rsid w:val="738B4D3A"/>
    <w:rsid w:val="738B58EE"/>
    <w:rsid w:val="738B5D82"/>
    <w:rsid w:val="738B702F"/>
    <w:rsid w:val="738C30F5"/>
    <w:rsid w:val="738D1AFA"/>
    <w:rsid w:val="738D6022"/>
    <w:rsid w:val="738E13CF"/>
    <w:rsid w:val="738E466E"/>
    <w:rsid w:val="738E59B0"/>
    <w:rsid w:val="738F6E40"/>
    <w:rsid w:val="738F7621"/>
    <w:rsid w:val="738F7D62"/>
    <w:rsid w:val="73901162"/>
    <w:rsid w:val="739015EB"/>
    <w:rsid w:val="73903399"/>
    <w:rsid w:val="739104FC"/>
    <w:rsid w:val="73920D98"/>
    <w:rsid w:val="73922BF0"/>
    <w:rsid w:val="73935567"/>
    <w:rsid w:val="739369E5"/>
    <w:rsid w:val="739431E2"/>
    <w:rsid w:val="739509AF"/>
    <w:rsid w:val="73952CB2"/>
    <w:rsid w:val="73955234"/>
    <w:rsid w:val="73970606"/>
    <w:rsid w:val="73970F23"/>
    <w:rsid w:val="739755D2"/>
    <w:rsid w:val="739764D5"/>
    <w:rsid w:val="739817DB"/>
    <w:rsid w:val="7399049F"/>
    <w:rsid w:val="73992AC3"/>
    <w:rsid w:val="73993755"/>
    <w:rsid w:val="73997EF2"/>
    <w:rsid w:val="739A54A6"/>
    <w:rsid w:val="739A5FC5"/>
    <w:rsid w:val="739C7F8F"/>
    <w:rsid w:val="739C7FB4"/>
    <w:rsid w:val="739D0C1B"/>
    <w:rsid w:val="739D1444"/>
    <w:rsid w:val="739D28BA"/>
    <w:rsid w:val="739D45A2"/>
    <w:rsid w:val="739D662C"/>
    <w:rsid w:val="739E1612"/>
    <w:rsid w:val="73A016D5"/>
    <w:rsid w:val="73A0182E"/>
    <w:rsid w:val="73A12E13"/>
    <w:rsid w:val="73A13BF1"/>
    <w:rsid w:val="73A2698F"/>
    <w:rsid w:val="73A26DE2"/>
    <w:rsid w:val="73A3131E"/>
    <w:rsid w:val="73A33B75"/>
    <w:rsid w:val="73A3438C"/>
    <w:rsid w:val="73A3460C"/>
    <w:rsid w:val="73A34E7A"/>
    <w:rsid w:val="73A352B6"/>
    <w:rsid w:val="73A40BF2"/>
    <w:rsid w:val="73A429A0"/>
    <w:rsid w:val="73A50DA2"/>
    <w:rsid w:val="73A549A8"/>
    <w:rsid w:val="73A56E44"/>
    <w:rsid w:val="73A57421"/>
    <w:rsid w:val="73A62BBC"/>
    <w:rsid w:val="73A66718"/>
    <w:rsid w:val="73A7183F"/>
    <w:rsid w:val="73A7438A"/>
    <w:rsid w:val="73A806E2"/>
    <w:rsid w:val="73A81C78"/>
    <w:rsid w:val="73A821AB"/>
    <w:rsid w:val="73A82490"/>
    <w:rsid w:val="73AA0E77"/>
    <w:rsid w:val="73AA211A"/>
    <w:rsid w:val="73AA6208"/>
    <w:rsid w:val="73AB01D2"/>
    <w:rsid w:val="73AB1BA2"/>
    <w:rsid w:val="73AB1F81"/>
    <w:rsid w:val="73AC6367"/>
    <w:rsid w:val="73AC7AA8"/>
    <w:rsid w:val="73AD16F0"/>
    <w:rsid w:val="73AD284B"/>
    <w:rsid w:val="73AD3F4B"/>
    <w:rsid w:val="73AE6C3C"/>
    <w:rsid w:val="73AF26D7"/>
    <w:rsid w:val="73AF2BF8"/>
    <w:rsid w:val="73B01345"/>
    <w:rsid w:val="73B057E9"/>
    <w:rsid w:val="73B07481"/>
    <w:rsid w:val="73B115BF"/>
    <w:rsid w:val="73B132F9"/>
    <w:rsid w:val="73B15E8E"/>
    <w:rsid w:val="73B21561"/>
    <w:rsid w:val="73B2330F"/>
    <w:rsid w:val="73B258E6"/>
    <w:rsid w:val="73B37C50"/>
    <w:rsid w:val="73B41CDD"/>
    <w:rsid w:val="73B41F37"/>
    <w:rsid w:val="73B452D9"/>
    <w:rsid w:val="73B47087"/>
    <w:rsid w:val="73B52DFF"/>
    <w:rsid w:val="73B56012"/>
    <w:rsid w:val="73B576A5"/>
    <w:rsid w:val="73B61E7C"/>
    <w:rsid w:val="73B6372B"/>
    <w:rsid w:val="73B63EB1"/>
    <w:rsid w:val="73B674BC"/>
    <w:rsid w:val="73B70925"/>
    <w:rsid w:val="73B76B77"/>
    <w:rsid w:val="73B905C2"/>
    <w:rsid w:val="73B9469D"/>
    <w:rsid w:val="73BA21C4"/>
    <w:rsid w:val="73BA391A"/>
    <w:rsid w:val="73BA5FBF"/>
    <w:rsid w:val="73BA6283"/>
    <w:rsid w:val="73BC3C7F"/>
    <w:rsid w:val="73BC418E"/>
    <w:rsid w:val="73BE4628"/>
    <w:rsid w:val="73BE4B49"/>
    <w:rsid w:val="73BF77DA"/>
    <w:rsid w:val="73C007DA"/>
    <w:rsid w:val="73C05C6D"/>
    <w:rsid w:val="73C25F34"/>
    <w:rsid w:val="73C3042D"/>
    <w:rsid w:val="73C31078"/>
    <w:rsid w:val="73C34A0E"/>
    <w:rsid w:val="73C44DF0"/>
    <w:rsid w:val="73C51294"/>
    <w:rsid w:val="73C51AD5"/>
    <w:rsid w:val="73C52FE5"/>
    <w:rsid w:val="73C53042"/>
    <w:rsid w:val="73C60B68"/>
    <w:rsid w:val="73C633AB"/>
    <w:rsid w:val="73C6500C"/>
    <w:rsid w:val="73C66DBA"/>
    <w:rsid w:val="73C73EB4"/>
    <w:rsid w:val="73C73EF9"/>
    <w:rsid w:val="73C80D84"/>
    <w:rsid w:val="73C848E1"/>
    <w:rsid w:val="73C92407"/>
    <w:rsid w:val="73C93649"/>
    <w:rsid w:val="73CA18F0"/>
    <w:rsid w:val="73CA3D17"/>
    <w:rsid w:val="73CA7A2B"/>
    <w:rsid w:val="73CB043A"/>
    <w:rsid w:val="73CB44C1"/>
    <w:rsid w:val="73CC2623"/>
    <w:rsid w:val="73CD0149"/>
    <w:rsid w:val="73CD1EF7"/>
    <w:rsid w:val="73CD497D"/>
    <w:rsid w:val="73CD6DE1"/>
    <w:rsid w:val="73CE0271"/>
    <w:rsid w:val="73CE5B38"/>
    <w:rsid w:val="73CF3EC1"/>
    <w:rsid w:val="73D16609"/>
    <w:rsid w:val="73D239B1"/>
    <w:rsid w:val="73D25646"/>
    <w:rsid w:val="73D2575F"/>
    <w:rsid w:val="73D27513"/>
    <w:rsid w:val="73D27902"/>
    <w:rsid w:val="73D379B1"/>
    <w:rsid w:val="73D414D7"/>
    <w:rsid w:val="73D42D32"/>
    <w:rsid w:val="73D47729"/>
    <w:rsid w:val="73D56A03"/>
    <w:rsid w:val="73D63EBF"/>
    <w:rsid w:val="73D6524F"/>
    <w:rsid w:val="73D70675"/>
    <w:rsid w:val="73D70FC8"/>
    <w:rsid w:val="73D74B24"/>
    <w:rsid w:val="73D77E16"/>
    <w:rsid w:val="73D8674C"/>
    <w:rsid w:val="73D9089C"/>
    <w:rsid w:val="73D94D40"/>
    <w:rsid w:val="73D963D8"/>
    <w:rsid w:val="73DA22CE"/>
    <w:rsid w:val="73DA4614"/>
    <w:rsid w:val="73DA5FCA"/>
    <w:rsid w:val="73DA6766"/>
    <w:rsid w:val="73DB0AB8"/>
    <w:rsid w:val="73DB15E2"/>
    <w:rsid w:val="73DB15E8"/>
    <w:rsid w:val="73DB2866"/>
    <w:rsid w:val="73DC038C"/>
    <w:rsid w:val="73DC151C"/>
    <w:rsid w:val="73DC440E"/>
    <w:rsid w:val="73DD0749"/>
    <w:rsid w:val="73DD4830"/>
    <w:rsid w:val="73DE2356"/>
    <w:rsid w:val="73DE2426"/>
    <w:rsid w:val="73DE5E35"/>
    <w:rsid w:val="73DE5EB2"/>
    <w:rsid w:val="73DF4B63"/>
    <w:rsid w:val="73E13BF4"/>
    <w:rsid w:val="73E159A2"/>
    <w:rsid w:val="73E21F1B"/>
    <w:rsid w:val="73E32D82"/>
    <w:rsid w:val="73E3796C"/>
    <w:rsid w:val="73E45068"/>
    <w:rsid w:val="73E452A7"/>
    <w:rsid w:val="73E55492"/>
    <w:rsid w:val="73E6120B"/>
    <w:rsid w:val="73E62FB9"/>
    <w:rsid w:val="73E67988"/>
    <w:rsid w:val="73E7359C"/>
    <w:rsid w:val="73E73F89"/>
    <w:rsid w:val="73E75F6F"/>
    <w:rsid w:val="73E7745D"/>
    <w:rsid w:val="73E80EFC"/>
    <w:rsid w:val="73E94801"/>
    <w:rsid w:val="73EA2AA9"/>
    <w:rsid w:val="73EA4857"/>
    <w:rsid w:val="73EB3D67"/>
    <w:rsid w:val="73EB484F"/>
    <w:rsid w:val="73EB6821"/>
    <w:rsid w:val="73EB7799"/>
    <w:rsid w:val="73ED2599"/>
    <w:rsid w:val="73ED4347"/>
    <w:rsid w:val="73EF02E3"/>
    <w:rsid w:val="73EF055A"/>
    <w:rsid w:val="73EF1E6D"/>
    <w:rsid w:val="73EF6311"/>
    <w:rsid w:val="73F14A9B"/>
    <w:rsid w:val="73F2195D"/>
    <w:rsid w:val="73F3740F"/>
    <w:rsid w:val="73F41B79"/>
    <w:rsid w:val="73F5341C"/>
    <w:rsid w:val="73F6144E"/>
    <w:rsid w:val="73F61526"/>
    <w:rsid w:val="73F7090D"/>
    <w:rsid w:val="73F726B0"/>
    <w:rsid w:val="73F751C6"/>
    <w:rsid w:val="73F76F74"/>
    <w:rsid w:val="73F85D56"/>
    <w:rsid w:val="73F90F3E"/>
    <w:rsid w:val="73F93B41"/>
    <w:rsid w:val="73F94F64"/>
    <w:rsid w:val="73F957F0"/>
    <w:rsid w:val="73F97190"/>
    <w:rsid w:val="73FB2F08"/>
    <w:rsid w:val="73FB49D4"/>
    <w:rsid w:val="73FB4CB6"/>
    <w:rsid w:val="73FB728E"/>
    <w:rsid w:val="73FC0657"/>
    <w:rsid w:val="73FC0D7D"/>
    <w:rsid w:val="73FE0302"/>
    <w:rsid w:val="73FE47A6"/>
    <w:rsid w:val="73FF07E0"/>
    <w:rsid w:val="73FF71F5"/>
    <w:rsid w:val="74000DE6"/>
    <w:rsid w:val="740022CC"/>
    <w:rsid w:val="74017DF2"/>
    <w:rsid w:val="7402235F"/>
    <w:rsid w:val="74024296"/>
    <w:rsid w:val="74026044"/>
    <w:rsid w:val="740305F1"/>
    <w:rsid w:val="74031DBD"/>
    <w:rsid w:val="74034264"/>
    <w:rsid w:val="74035919"/>
    <w:rsid w:val="740404D8"/>
    <w:rsid w:val="74055AE2"/>
    <w:rsid w:val="740578E3"/>
    <w:rsid w:val="74060A0E"/>
    <w:rsid w:val="74061605"/>
    <w:rsid w:val="740617BB"/>
    <w:rsid w:val="7406353F"/>
    <w:rsid w:val="740643A1"/>
    <w:rsid w:val="740653C2"/>
    <w:rsid w:val="740706A3"/>
    <w:rsid w:val="740718AD"/>
    <w:rsid w:val="7407365B"/>
    <w:rsid w:val="74080A7C"/>
    <w:rsid w:val="74083C2C"/>
    <w:rsid w:val="74094463"/>
    <w:rsid w:val="740A6D83"/>
    <w:rsid w:val="740B2A1F"/>
    <w:rsid w:val="740C0C71"/>
    <w:rsid w:val="740C33C4"/>
    <w:rsid w:val="740C6EC3"/>
    <w:rsid w:val="740D6195"/>
    <w:rsid w:val="740E02D5"/>
    <w:rsid w:val="740E280E"/>
    <w:rsid w:val="740F0761"/>
    <w:rsid w:val="740F1765"/>
    <w:rsid w:val="740F250F"/>
    <w:rsid w:val="740F3B71"/>
    <w:rsid w:val="740F42BD"/>
    <w:rsid w:val="740F7567"/>
    <w:rsid w:val="74100036"/>
    <w:rsid w:val="74104579"/>
    <w:rsid w:val="741152AF"/>
    <w:rsid w:val="74123A14"/>
    <w:rsid w:val="74123DAE"/>
    <w:rsid w:val="74130252"/>
    <w:rsid w:val="74143FCA"/>
    <w:rsid w:val="74145D78"/>
    <w:rsid w:val="74146E06"/>
    <w:rsid w:val="74147B26"/>
    <w:rsid w:val="7415295F"/>
    <w:rsid w:val="74157F65"/>
    <w:rsid w:val="74161AF0"/>
    <w:rsid w:val="7416564C"/>
    <w:rsid w:val="741713C4"/>
    <w:rsid w:val="74185868"/>
    <w:rsid w:val="741915E0"/>
    <w:rsid w:val="7419338E"/>
    <w:rsid w:val="741953E8"/>
    <w:rsid w:val="741B0EB4"/>
    <w:rsid w:val="741B7106"/>
    <w:rsid w:val="741B7D08"/>
    <w:rsid w:val="741C01FC"/>
    <w:rsid w:val="741C1DA4"/>
    <w:rsid w:val="741C69DA"/>
    <w:rsid w:val="741D2F83"/>
    <w:rsid w:val="741D3D69"/>
    <w:rsid w:val="741E09A4"/>
    <w:rsid w:val="741E2752"/>
    <w:rsid w:val="741E6032"/>
    <w:rsid w:val="741E6BF6"/>
    <w:rsid w:val="741E793C"/>
    <w:rsid w:val="741F24FC"/>
    <w:rsid w:val="742023C5"/>
    <w:rsid w:val="7420296E"/>
    <w:rsid w:val="74210B29"/>
    <w:rsid w:val="74213FF1"/>
    <w:rsid w:val="742224F5"/>
    <w:rsid w:val="7422500A"/>
    <w:rsid w:val="742452F2"/>
    <w:rsid w:val="74251D33"/>
    <w:rsid w:val="7425781A"/>
    <w:rsid w:val="74257F85"/>
    <w:rsid w:val="74260013"/>
    <w:rsid w:val="74264E15"/>
    <w:rsid w:val="7426655C"/>
    <w:rsid w:val="742712C8"/>
    <w:rsid w:val="742729AD"/>
    <w:rsid w:val="742733FE"/>
    <w:rsid w:val="74281823"/>
    <w:rsid w:val="742835D1"/>
    <w:rsid w:val="742837BB"/>
    <w:rsid w:val="74283DBE"/>
    <w:rsid w:val="7428537F"/>
    <w:rsid w:val="74290BD2"/>
    <w:rsid w:val="7429650F"/>
    <w:rsid w:val="742970E4"/>
    <w:rsid w:val="742A10F7"/>
    <w:rsid w:val="742A379C"/>
    <w:rsid w:val="742A4FF5"/>
    <w:rsid w:val="742A559B"/>
    <w:rsid w:val="742A796C"/>
    <w:rsid w:val="742B12F0"/>
    <w:rsid w:val="742C1037"/>
    <w:rsid w:val="742E2270"/>
    <w:rsid w:val="742E508B"/>
    <w:rsid w:val="742F4960"/>
    <w:rsid w:val="742F670E"/>
    <w:rsid w:val="742F79B6"/>
    <w:rsid w:val="743005A4"/>
    <w:rsid w:val="74300A9E"/>
    <w:rsid w:val="7430612A"/>
    <w:rsid w:val="743106D8"/>
    <w:rsid w:val="74313014"/>
    <w:rsid w:val="74313FA8"/>
    <w:rsid w:val="74316D18"/>
    <w:rsid w:val="74322078"/>
    <w:rsid w:val="74324450"/>
    <w:rsid w:val="743326A2"/>
    <w:rsid w:val="743401C8"/>
    <w:rsid w:val="74341BF1"/>
    <w:rsid w:val="74341FF0"/>
    <w:rsid w:val="74363F40"/>
    <w:rsid w:val="74364F38"/>
    <w:rsid w:val="74367A9C"/>
    <w:rsid w:val="74371495"/>
    <w:rsid w:val="74373814"/>
    <w:rsid w:val="74381A66"/>
    <w:rsid w:val="743A455F"/>
    <w:rsid w:val="743A69D2"/>
    <w:rsid w:val="743B2F14"/>
    <w:rsid w:val="743C0782"/>
    <w:rsid w:val="743C0E2B"/>
    <w:rsid w:val="743D52CE"/>
    <w:rsid w:val="743E1047"/>
    <w:rsid w:val="743E4B66"/>
    <w:rsid w:val="743F7A11"/>
    <w:rsid w:val="74406B6D"/>
    <w:rsid w:val="7441134A"/>
    <w:rsid w:val="74412A76"/>
    <w:rsid w:val="744228E5"/>
    <w:rsid w:val="7443040B"/>
    <w:rsid w:val="74432895"/>
    <w:rsid w:val="7443665D"/>
    <w:rsid w:val="74437AAD"/>
    <w:rsid w:val="744523D5"/>
    <w:rsid w:val="74454183"/>
    <w:rsid w:val="744570D1"/>
    <w:rsid w:val="744620EA"/>
    <w:rsid w:val="744639CC"/>
    <w:rsid w:val="74463A57"/>
    <w:rsid w:val="744645AA"/>
    <w:rsid w:val="7447614D"/>
    <w:rsid w:val="744762DA"/>
    <w:rsid w:val="74477DEF"/>
    <w:rsid w:val="74477EFB"/>
    <w:rsid w:val="74480466"/>
    <w:rsid w:val="74480A90"/>
    <w:rsid w:val="744877CF"/>
    <w:rsid w:val="74493C73"/>
    <w:rsid w:val="74497898"/>
    <w:rsid w:val="744A1799"/>
    <w:rsid w:val="744A3547"/>
    <w:rsid w:val="744A79EB"/>
    <w:rsid w:val="744B09D2"/>
    <w:rsid w:val="744B56A6"/>
    <w:rsid w:val="744B7C3A"/>
    <w:rsid w:val="744C3764"/>
    <w:rsid w:val="744D4DE6"/>
    <w:rsid w:val="744E1C90"/>
    <w:rsid w:val="744E6C2F"/>
    <w:rsid w:val="744F41FD"/>
    <w:rsid w:val="744F5002"/>
    <w:rsid w:val="744F6DB0"/>
    <w:rsid w:val="74510D7A"/>
    <w:rsid w:val="7452064E"/>
    <w:rsid w:val="74527809"/>
    <w:rsid w:val="74534AF2"/>
    <w:rsid w:val="74535F81"/>
    <w:rsid w:val="745368A0"/>
    <w:rsid w:val="745443C6"/>
    <w:rsid w:val="74546174"/>
    <w:rsid w:val="745521E5"/>
    <w:rsid w:val="74563EFA"/>
    <w:rsid w:val="74566390"/>
    <w:rsid w:val="74583EB6"/>
    <w:rsid w:val="74584DDD"/>
    <w:rsid w:val="74587A8E"/>
    <w:rsid w:val="745919DD"/>
    <w:rsid w:val="745957A2"/>
    <w:rsid w:val="745A2518"/>
    <w:rsid w:val="745A79DB"/>
    <w:rsid w:val="745B3156"/>
    <w:rsid w:val="745B5608"/>
    <w:rsid w:val="745B5755"/>
    <w:rsid w:val="745C066F"/>
    <w:rsid w:val="745C1BA6"/>
    <w:rsid w:val="745C1EFA"/>
    <w:rsid w:val="745C394C"/>
    <w:rsid w:val="745D11FC"/>
    <w:rsid w:val="745D225F"/>
    <w:rsid w:val="745D327B"/>
    <w:rsid w:val="745D771F"/>
    <w:rsid w:val="745E3944"/>
    <w:rsid w:val="745E5245"/>
    <w:rsid w:val="745E666F"/>
    <w:rsid w:val="745E6FF3"/>
    <w:rsid w:val="745F451B"/>
    <w:rsid w:val="745F5087"/>
    <w:rsid w:val="745F59ED"/>
    <w:rsid w:val="74600FBD"/>
    <w:rsid w:val="74604B19"/>
    <w:rsid w:val="74610332"/>
    <w:rsid w:val="74611A54"/>
    <w:rsid w:val="74613030"/>
    <w:rsid w:val="746217A5"/>
    <w:rsid w:val="74624D35"/>
    <w:rsid w:val="74627923"/>
    <w:rsid w:val="74643D95"/>
    <w:rsid w:val="746463E4"/>
    <w:rsid w:val="746464FE"/>
    <w:rsid w:val="74650381"/>
    <w:rsid w:val="7465624D"/>
    <w:rsid w:val="7466072E"/>
    <w:rsid w:val="74670AD3"/>
    <w:rsid w:val="7467234B"/>
    <w:rsid w:val="746740F9"/>
    <w:rsid w:val="74675EA7"/>
    <w:rsid w:val="74676EE9"/>
    <w:rsid w:val="7468716B"/>
    <w:rsid w:val="74687E72"/>
    <w:rsid w:val="74695972"/>
    <w:rsid w:val="746960C4"/>
    <w:rsid w:val="7469779F"/>
    <w:rsid w:val="746A3BEA"/>
    <w:rsid w:val="746A5998"/>
    <w:rsid w:val="746B530C"/>
    <w:rsid w:val="746B77C6"/>
    <w:rsid w:val="746C136D"/>
    <w:rsid w:val="746D7236"/>
    <w:rsid w:val="746D75B0"/>
    <w:rsid w:val="746E2181"/>
    <w:rsid w:val="746E5488"/>
    <w:rsid w:val="746F7452"/>
    <w:rsid w:val="74703282"/>
    <w:rsid w:val="747131CA"/>
    <w:rsid w:val="74716D26"/>
    <w:rsid w:val="74724A55"/>
    <w:rsid w:val="74725E8F"/>
    <w:rsid w:val="74731A3A"/>
    <w:rsid w:val="74733422"/>
    <w:rsid w:val="74736F42"/>
    <w:rsid w:val="747405C4"/>
    <w:rsid w:val="747448B2"/>
    <w:rsid w:val="74744FEA"/>
    <w:rsid w:val="74745B1E"/>
    <w:rsid w:val="74746816"/>
    <w:rsid w:val="74750913"/>
    <w:rsid w:val="747607E0"/>
    <w:rsid w:val="74760B3E"/>
    <w:rsid w:val="74767A31"/>
    <w:rsid w:val="74767BFA"/>
    <w:rsid w:val="74771A11"/>
    <w:rsid w:val="74773233"/>
    <w:rsid w:val="7477799C"/>
    <w:rsid w:val="74784559"/>
    <w:rsid w:val="74786307"/>
    <w:rsid w:val="74791702"/>
    <w:rsid w:val="7479207F"/>
    <w:rsid w:val="74793E2D"/>
    <w:rsid w:val="74797122"/>
    <w:rsid w:val="747A1FA3"/>
    <w:rsid w:val="747A2167"/>
    <w:rsid w:val="747A37DF"/>
    <w:rsid w:val="747B4785"/>
    <w:rsid w:val="747B5DF7"/>
    <w:rsid w:val="747D1765"/>
    <w:rsid w:val="747D391D"/>
    <w:rsid w:val="747D44D4"/>
    <w:rsid w:val="747E1443"/>
    <w:rsid w:val="747E2874"/>
    <w:rsid w:val="74801CB7"/>
    <w:rsid w:val="7480340D"/>
    <w:rsid w:val="748051BB"/>
    <w:rsid w:val="74814FA4"/>
    <w:rsid w:val="74824B95"/>
    <w:rsid w:val="74832F17"/>
    <w:rsid w:val="74836A59"/>
    <w:rsid w:val="74842138"/>
    <w:rsid w:val="748457F7"/>
    <w:rsid w:val="74850137"/>
    <w:rsid w:val="74852401"/>
    <w:rsid w:val="748527D2"/>
    <w:rsid w:val="748542AD"/>
    <w:rsid w:val="74872D28"/>
    <w:rsid w:val="74890514"/>
    <w:rsid w:val="748905DC"/>
    <w:rsid w:val="74891878"/>
    <w:rsid w:val="748922C2"/>
    <w:rsid w:val="74895A9B"/>
    <w:rsid w:val="748A505A"/>
    <w:rsid w:val="748A603A"/>
    <w:rsid w:val="748A7DE8"/>
    <w:rsid w:val="748C1DB2"/>
    <w:rsid w:val="748C511C"/>
    <w:rsid w:val="748C590E"/>
    <w:rsid w:val="748D0748"/>
    <w:rsid w:val="74913DDA"/>
    <w:rsid w:val="7491561A"/>
    <w:rsid w:val="74916C03"/>
    <w:rsid w:val="749250C1"/>
    <w:rsid w:val="74932A0C"/>
    <w:rsid w:val="74933140"/>
    <w:rsid w:val="74934EEE"/>
    <w:rsid w:val="74942A15"/>
    <w:rsid w:val="7495180F"/>
    <w:rsid w:val="74951AA2"/>
    <w:rsid w:val="74957EBE"/>
    <w:rsid w:val="74963D55"/>
    <w:rsid w:val="749649DF"/>
    <w:rsid w:val="74981814"/>
    <w:rsid w:val="749860AC"/>
    <w:rsid w:val="7499002B"/>
    <w:rsid w:val="74990BAC"/>
    <w:rsid w:val="74997C29"/>
    <w:rsid w:val="749A4180"/>
    <w:rsid w:val="749A6048"/>
    <w:rsid w:val="749A7033"/>
    <w:rsid w:val="749B0247"/>
    <w:rsid w:val="749C01C9"/>
    <w:rsid w:val="749C34D3"/>
    <w:rsid w:val="749D1493"/>
    <w:rsid w:val="749D7B1B"/>
    <w:rsid w:val="749E3893"/>
    <w:rsid w:val="749E7403"/>
    <w:rsid w:val="749E7791"/>
    <w:rsid w:val="749F1AE5"/>
    <w:rsid w:val="749F7D37"/>
    <w:rsid w:val="74A0243F"/>
    <w:rsid w:val="74A0760B"/>
    <w:rsid w:val="74A11102"/>
    <w:rsid w:val="74A138CF"/>
    <w:rsid w:val="74A167A7"/>
    <w:rsid w:val="74A215D5"/>
    <w:rsid w:val="74A23383"/>
    <w:rsid w:val="74A30DC0"/>
    <w:rsid w:val="74A371E3"/>
    <w:rsid w:val="74A57231"/>
    <w:rsid w:val="74A67EE4"/>
    <w:rsid w:val="74A72748"/>
    <w:rsid w:val="74A72FAF"/>
    <w:rsid w:val="74A76BEC"/>
    <w:rsid w:val="74A80825"/>
    <w:rsid w:val="74A929C2"/>
    <w:rsid w:val="74A94712"/>
    <w:rsid w:val="74A9506F"/>
    <w:rsid w:val="74AA2238"/>
    <w:rsid w:val="74AA4EFC"/>
    <w:rsid w:val="74AA6D03"/>
    <w:rsid w:val="74AA72AA"/>
    <w:rsid w:val="74AB25CF"/>
    <w:rsid w:val="74AB66DC"/>
    <w:rsid w:val="74AC4202"/>
    <w:rsid w:val="74AC7D5E"/>
    <w:rsid w:val="74AD4072"/>
    <w:rsid w:val="74AE3006"/>
    <w:rsid w:val="74AE3AD6"/>
    <w:rsid w:val="74AE7614"/>
    <w:rsid w:val="74AF7363"/>
    <w:rsid w:val="74B03CF2"/>
    <w:rsid w:val="74B11819"/>
    <w:rsid w:val="74B24854"/>
    <w:rsid w:val="74B310ED"/>
    <w:rsid w:val="74B33326"/>
    <w:rsid w:val="74B35591"/>
    <w:rsid w:val="74B3579F"/>
    <w:rsid w:val="74B40561"/>
    <w:rsid w:val="74B41D45"/>
    <w:rsid w:val="74B44E65"/>
    <w:rsid w:val="74B51309"/>
    <w:rsid w:val="74B530B7"/>
    <w:rsid w:val="74B60BDD"/>
    <w:rsid w:val="74B631B8"/>
    <w:rsid w:val="74B63BFA"/>
    <w:rsid w:val="74B64665"/>
    <w:rsid w:val="74B66E2F"/>
    <w:rsid w:val="74B67EDA"/>
    <w:rsid w:val="74B706C6"/>
    <w:rsid w:val="74B862DE"/>
    <w:rsid w:val="74B86703"/>
    <w:rsid w:val="74B91229"/>
    <w:rsid w:val="74B9247B"/>
    <w:rsid w:val="74B93FE7"/>
    <w:rsid w:val="74BA06CD"/>
    <w:rsid w:val="74BA2CF0"/>
    <w:rsid w:val="74BA691F"/>
    <w:rsid w:val="74BB20D6"/>
    <w:rsid w:val="74BB2697"/>
    <w:rsid w:val="74BB61F3"/>
    <w:rsid w:val="74BC2C75"/>
    <w:rsid w:val="74BC4C21"/>
    <w:rsid w:val="74BD1ECE"/>
    <w:rsid w:val="74BD1F6B"/>
    <w:rsid w:val="74BE0BC4"/>
    <w:rsid w:val="74BE6F1F"/>
    <w:rsid w:val="74BF39E0"/>
    <w:rsid w:val="74BF3F35"/>
    <w:rsid w:val="74C01A5C"/>
    <w:rsid w:val="74C2347B"/>
    <w:rsid w:val="74C23A26"/>
    <w:rsid w:val="74C25736"/>
    <w:rsid w:val="74C27582"/>
    <w:rsid w:val="74C3785A"/>
    <w:rsid w:val="74C432FA"/>
    <w:rsid w:val="74C4371F"/>
    <w:rsid w:val="74C51232"/>
    <w:rsid w:val="74C5589B"/>
    <w:rsid w:val="74C56744"/>
    <w:rsid w:val="74C57072"/>
    <w:rsid w:val="74C7103C"/>
    <w:rsid w:val="74C72F0F"/>
    <w:rsid w:val="74C74B98"/>
    <w:rsid w:val="74C768A4"/>
    <w:rsid w:val="74C87474"/>
    <w:rsid w:val="74C90910"/>
    <w:rsid w:val="74C91279"/>
    <w:rsid w:val="74C92ADB"/>
    <w:rsid w:val="74C96B62"/>
    <w:rsid w:val="74CB0178"/>
    <w:rsid w:val="74CB0B2C"/>
    <w:rsid w:val="74CD4672"/>
    <w:rsid w:val="74CD4A92"/>
    <w:rsid w:val="74CE4337"/>
    <w:rsid w:val="74D00269"/>
    <w:rsid w:val="74D029AE"/>
    <w:rsid w:val="74D06143"/>
    <w:rsid w:val="74D1126D"/>
    <w:rsid w:val="74D11287"/>
    <w:rsid w:val="74D12CB3"/>
    <w:rsid w:val="74D13C69"/>
    <w:rsid w:val="74D177C5"/>
    <w:rsid w:val="74D26370"/>
    <w:rsid w:val="74D27BBB"/>
    <w:rsid w:val="74D304DE"/>
    <w:rsid w:val="74D309FE"/>
    <w:rsid w:val="74D3178F"/>
    <w:rsid w:val="74D3353D"/>
    <w:rsid w:val="74D379E1"/>
    <w:rsid w:val="74D41F4E"/>
    <w:rsid w:val="74D43649"/>
    <w:rsid w:val="74D472B5"/>
    <w:rsid w:val="74D527BF"/>
    <w:rsid w:val="74D53759"/>
    <w:rsid w:val="74D56E5B"/>
    <w:rsid w:val="74D6302D"/>
    <w:rsid w:val="74D6305D"/>
    <w:rsid w:val="74D71B35"/>
    <w:rsid w:val="74D75CA5"/>
    <w:rsid w:val="74DA502E"/>
    <w:rsid w:val="74DC0F51"/>
    <w:rsid w:val="74DC4AE7"/>
    <w:rsid w:val="74DD0860"/>
    <w:rsid w:val="74DD43BC"/>
    <w:rsid w:val="74DD616A"/>
    <w:rsid w:val="74DD71F8"/>
    <w:rsid w:val="74DE0981"/>
    <w:rsid w:val="74DE3FE1"/>
    <w:rsid w:val="74DE4C7C"/>
    <w:rsid w:val="74DF0134"/>
    <w:rsid w:val="74DF0F78"/>
    <w:rsid w:val="74DF4B7F"/>
    <w:rsid w:val="74DF5273"/>
    <w:rsid w:val="74DF6386"/>
    <w:rsid w:val="74E019EA"/>
    <w:rsid w:val="74E01B66"/>
    <w:rsid w:val="74E01E45"/>
    <w:rsid w:val="74E03EAC"/>
    <w:rsid w:val="74E041E1"/>
    <w:rsid w:val="74E05C5A"/>
    <w:rsid w:val="74E15085"/>
    <w:rsid w:val="74E41BEE"/>
    <w:rsid w:val="74E44527"/>
    <w:rsid w:val="74E630FE"/>
    <w:rsid w:val="74E67714"/>
    <w:rsid w:val="74E67E6E"/>
    <w:rsid w:val="74E72327"/>
    <w:rsid w:val="74E82CC2"/>
    <w:rsid w:val="74E86C8C"/>
    <w:rsid w:val="74E92D60"/>
    <w:rsid w:val="74E93A65"/>
    <w:rsid w:val="74E97204"/>
    <w:rsid w:val="74EA287D"/>
    <w:rsid w:val="74EA3555"/>
    <w:rsid w:val="74EA47B0"/>
    <w:rsid w:val="74ED1FCE"/>
    <w:rsid w:val="74EE3366"/>
    <w:rsid w:val="74EE481B"/>
    <w:rsid w:val="74EE65C9"/>
    <w:rsid w:val="74EF0A49"/>
    <w:rsid w:val="74EF59B8"/>
    <w:rsid w:val="74EF5F37"/>
    <w:rsid w:val="74EF63FA"/>
    <w:rsid w:val="74F001B7"/>
    <w:rsid w:val="74F02341"/>
    <w:rsid w:val="74F048A1"/>
    <w:rsid w:val="74F04CC7"/>
    <w:rsid w:val="74F0564D"/>
    <w:rsid w:val="74F073C7"/>
    <w:rsid w:val="74F10FB1"/>
    <w:rsid w:val="74F11C15"/>
    <w:rsid w:val="74F146EB"/>
    <w:rsid w:val="74F160B9"/>
    <w:rsid w:val="74F2294A"/>
    <w:rsid w:val="74F234DA"/>
    <w:rsid w:val="74F320E1"/>
    <w:rsid w:val="74F33BDF"/>
    <w:rsid w:val="74F34607"/>
    <w:rsid w:val="74F50668"/>
    <w:rsid w:val="74F55BA9"/>
    <w:rsid w:val="74F6296D"/>
    <w:rsid w:val="74F63938"/>
    <w:rsid w:val="74F6547D"/>
    <w:rsid w:val="74F71921"/>
    <w:rsid w:val="74F811F5"/>
    <w:rsid w:val="74F82E6E"/>
    <w:rsid w:val="74F82FA3"/>
    <w:rsid w:val="74F8786E"/>
    <w:rsid w:val="74F902CF"/>
    <w:rsid w:val="74F91BBA"/>
    <w:rsid w:val="74F9762B"/>
    <w:rsid w:val="74FA6D1C"/>
    <w:rsid w:val="74FB22D9"/>
    <w:rsid w:val="74FC0CE6"/>
    <w:rsid w:val="74FC2045"/>
    <w:rsid w:val="74FC6F38"/>
    <w:rsid w:val="74FD19CB"/>
    <w:rsid w:val="74FD50AD"/>
    <w:rsid w:val="74FD73DE"/>
    <w:rsid w:val="74FE7754"/>
    <w:rsid w:val="74FF07D6"/>
    <w:rsid w:val="74FF5D68"/>
    <w:rsid w:val="74FF69A7"/>
    <w:rsid w:val="75000581"/>
    <w:rsid w:val="75006EBC"/>
    <w:rsid w:val="7501034C"/>
    <w:rsid w:val="7501589A"/>
    <w:rsid w:val="750202C6"/>
    <w:rsid w:val="75021C99"/>
    <w:rsid w:val="75023E22"/>
    <w:rsid w:val="75031102"/>
    <w:rsid w:val="750353C1"/>
    <w:rsid w:val="75043CCE"/>
    <w:rsid w:val="75044B7C"/>
    <w:rsid w:val="7504540F"/>
    <w:rsid w:val="75045DEC"/>
    <w:rsid w:val="750477ED"/>
    <w:rsid w:val="75051799"/>
    <w:rsid w:val="75061B64"/>
    <w:rsid w:val="75063912"/>
    <w:rsid w:val="75064209"/>
    <w:rsid w:val="750724A3"/>
    <w:rsid w:val="7507768A"/>
    <w:rsid w:val="7508394A"/>
    <w:rsid w:val="750951B1"/>
    <w:rsid w:val="75096F5F"/>
    <w:rsid w:val="750A7697"/>
    <w:rsid w:val="750B0F29"/>
    <w:rsid w:val="750B3FCF"/>
    <w:rsid w:val="750B6AA1"/>
    <w:rsid w:val="750C229C"/>
    <w:rsid w:val="750C4CA1"/>
    <w:rsid w:val="750D281F"/>
    <w:rsid w:val="750D2EF3"/>
    <w:rsid w:val="750D6524"/>
    <w:rsid w:val="750E099D"/>
    <w:rsid w:val="750E0A19"/>
    <w:rsid w:val="750E6225"/>
    <w:rsid w:val="750E6C6B"/>
    <w:rsid w:val="751002ED"/>
    <w:rsid w:val="75104791"/>
    <w:rsid w:val="75107E41"/>
    <w:rsid w:val="75117E21"/>
    <w:rsid w:val="75122761"/>
    <w:rsid w:val="751467C2"/>
    <w:rsid w:val="751537E1"/>
    <w:rsid w:val="75156511"/>
    <w:rsid w:val="751610E2"/>
    <w:rsid w:val="7516167C"/>
    <w:rsid w:val="75175B20"/>
    <w:rsid w:val="75175BB6"/>
    <w:rsid w:val="75175DCD"/>
    <w:rsid w:val="75183137"/>
    <w:rsid w:val="75183646"/>
    <w:rsid w:val="751865D3"/>
    <w:rsid w:val="751900B0"/>
    <w:rsid w:val="75192260"/>
    <w:rsid w:val="751A116C"/>
    <w:rsid w:val="751A3139"/>
    <w:rsid w:val="751A60D1"/>
    <w:rsid w:val="751D0C5C"/>
    <w:rsid w:val="751D7874"/>
    <w:rsid w:val="751E0498"/>
    <w:rsid w:val="751E0920"/>
    <w:rsid w:val="751E2D31"/>
    <w:rsid w:val="751F373A"/>
    <w:rsid w:val="75212B44"/>
    <w:rsid w:val="7521699E"/>
    <w:rsid w:val="75220020"/>
    <w:rsid w:val="75226272"/>
    <w:rsid w:val="75232716"/>
    <w:rsid w:val="75243D99"/>
    <w:rsid w:val="75250442"/>
    <w:rsid w:val="75257C64"/>
    <w:rsid w:val="7526055E"/>
    <w:rsid w:val="75260BD6"/>
    <w:rsid w:val="752624DC"/>
    <w:rsid w:val="75265D63"/>
    <w:rsid w:val="75271ADB"/>
    <w:rsid w:val="75280003"/>
    <w:rsid w:val="75284CB2"/>
    <w:rsid w:val="75287D38"/>
    <w:rsid w:val="75297601"/>
    <w:rsid w:val="752B1309"/>
    <w:rsid w:val="752B4A48"/>
    <w:rsid w:val="752B4F6B"/>
    <w:rsid w:val="752B5127"/>
    <w:rsid w:val="752B5547"/>
    <w:rsid w:val="752B7CDA"/>
    <w:rsid w:val="752C6947"/>
    <w:rsid w:val="752C70F1"/>
    <w:rsid w:val="752D4797"/>
    <w:rsid w:val="752E10BB"/>
    <w:rsid w:val="752E42B2"/>
    <w:rsid w:val="752F5B99"/>
    <w:rsid w:val="7530098F"/>
    <w:rsid w:val="753041C6"/>
    <w:rsid w:val="75304351"/>
    <w:rsid w:val="75304950"/>
    <w:rsid w:val="75311864"/>
    <w:rsid w:val="753164B5"/>
    <w:rsid w:val="75321767"/>
    <w:rsid w:val="75324707"/>
    <w:rsid w:val="753352D6"/>
    <w:rsid w:val="75336492"/>
    <w:rsid w:val="753366D1"/>
    <w:rsid w:val="75340FCB"/>
    <w:rsid w:val="75343293"/>
    <w:rsid w:val="75344C10"/>
    <w:rsid w:val="75351DAC"/>
    <w:rsid w:val="75351F96"/>
    <w:rsid w:val="753538EE"/>
    <w:rsid w:val="75355AFA"/>
    <w:rsid w:val="75361B5B"/>
    <w:rsid w:val="7536480C"/>
    <w:rsid w:val="753748D1"/>
    <w:rsid w:val="75380FF2"/>
    <w:rsid w:val="75384946"/>
    <w:rsid w:val="75385A96"/>
    <w:rsid w:val="75387844"/>
    <w:rsid w:val="75397305"/>
    <w:rsid w:val="75397EDA"/>
    <w:rsid w:val="753A227F"/>
    <w:rsid w:val="753A35BC"/>
    <w:rsid w:val="753B10E2"/>
    <w:rsid w:val="753B196C"/>
    <w:rsid w:val="753C0A3B"/>
    <w:rsid w:val="753C612C"/>
    <w:rsid w:val="753C6389"/>
    <w:rsid w:val="753C7334"/>
    <w:rsid w:val="753D5DF5"/>
    <w:rsid w:val="753D5FB3"/>
    <w:rsid w:val="753E571C"/>
    <w:rsid w:val="753F5076"/>
    <w:rsid w:val="753F658A"/>
    <w:rsid w:val="753F6E24"/>
    <w:rsid w:val="7541494A"/>
    <w:rsid w:val="754200FE"/>
    <w:rsid w:val="75425FE1"/>
    <w:rsid w:val="75436915"/>
    <w:rsid w:val="7544268D"/>
    <w:rsid w:val="754461E9"/>
    <w:rsid w:val="75446D82"/>
    <w:rsid w:val="75466405"/>
    <w:rsid w:val="75473464"/>
    <w:rsid w:val="75475CD9"/>
    <w:rsid w:val="75480616"/>
    <w:rsid w:val="75481A38"/>
    <w:rsid w:val="75481E2B"/>
    <w:rsid w:val="7548286D"/>
    <w:rsid w:val="75484C03"/>
    <w:rsid w:val="7548753E"/>
    <w:rsid w:val="754937FF"/>
    <w:rsid w:val="754948E1"/>
    <w:rsid w:val="75495400"/>
    <w:rsid w:val="754A7097"/>
    <w:rsid w:val="754B3A1B"/>
    <w:rsid w:val="754B6E9D"/>
    <w:rsid w:val="754B7577"/>
    <w:rsid w:val="754C28F1"/>
    <w:rsid w:val="754C32EF"/>
    <w:rsid w:val="754D1541"/>
    <w:rsid w:val="754D7793"/>
    <w:rsid w:val="754D77F9"/>
    <w:rsid w:val="754E0E15"/>
    <w:rsid w:val="754E7732"/>
    <w:rsid w:val="75516DD5"/>
    <w:rsid w:val="75525022"/>
    <w:rsid w:val="75526B58"/>
    <w:rsid w:val="75530036"/>
    <w:rsid w:val="75530B22"/>
    <w:rsid w:val="75536811"/>
    <w:rsid w:val="75542A4A"/>
    <w:rsid w:val="75545B9E"/>
    <w:rsid w:val="755503F6"/>
    <w:rsid w:val="755521A4"/>
    <w:rsid w:val="7555438F"/>
    <w:rsid w:val="75555DF6"/>
    <w:rsid w:val="7556245D"/>
    <w:rsid w:val="75564E94"/>
    <w:rsid w:val="75570EC6"/>
    <w:rsid w:val="7557416E"/>
    <w:rsid w:val="75575F1C"/>
    <w:rsid w:val="75581DEE"/>
    <w:rsid w:val="755840C1"/>
    <w:rsid w:val="75587EE6"/>
    <w:rsid w:val="755937AF"/>
    <w:rsid w:val="75596138"/>
    <w:rsid w:val="755A1A7D"/>
    <w:rsid w:val="755A1EB0"/>
    <w:rsid w:val="755A3C5E"/>
    <w:rsid w:val="755B0F56"/>
    <w:rsid w:val="755B3F44"/>
    <w:rsid w:val="755C23E6"/>
    <w:rsid w:val="755C3532"/>
    <w:rsid w:val="755E16D3"/>
    <w:rsid w:val="755E374E"/>
    <w:rsid w:val="755F3023"/>
    <w:rsid w:val="755F4C01"/>
    <w:rsid w:val="755F74C6"/>
    <w:rsid w:val="75606259"/>
    <w:rsid w:val="75610283"/>
    <w:rsid w:val="75616258"/>
    <w:rsid w:val="75622B13"/>
    <w:rsid w:val="756248C1"/>
    <w:rsid w:val="75632A66"/>
    <w:rsid w:val="756357C0"/>
    <w:rsid w:val="75642008"/>
    <w:rsid w:val="75645430"/>
    <w:rsid w:val="7564688B"/>
    <w:rsid w:val="75660855"/>
    <w:rsid w:val="756643B1"/>
    <w:rsid w:val="75664928"/>
    <w:rsid w:val="75666069"/>
    <w:rsid w:val="75671ED7"/>
    <w:rsid w:val="756774F9"/>
    <w:rsid w:val="75680129"/>
    <w:rsid w:val="756845CD"/>
    <w:rsid w:val="756920F3"/>
    <w:rsid w:val="756923C9"/>
    <w:rsid w:val="756938C9"/>
    <w:rsid w:val="756B19C7"/>
    <w:rsid w:val="756B1EDB"/>
    <w:rsid w:val="756B3978"/>
    <w:rsid w:val="756C336B"/>
    <w:rsid w:val="756C44E1"/>
    <w:rsid w:val="756D1BE3"/>
    <w:rsid w:val="756D1C2A"/>
    <w:rsid w:val="756D32C7"/>
    <w:rsid w:val="756D3991"/>
    <w:rsid w:val="756D40E1"/>
    <w:rsid w:val="756E14B8"/>
    <w:rsid w:val="756E5C1E"/>
    <w:rsid w:val="756E770A"/>
    <w:rsid w:val="756F2579"/>
    <w:rsid w:val="756F65F9"/>
    <w:rsid w:val="75701CEC"/>
    <w:rsid w:val="75715C07"/>
    <w:rsid w:val="75720FA8"/>
    <w:rsid w:val="75722A45"/>
    <w:rsid w:val="75732BB9"/>
    <w:rsid w:val="75734D20"/>
    <w:rsid w:val="75736ACE"/>
    <w:rsid w:val="75741AFD"/>
    <w:rsid w:val="75742828"/>
    <w:rsid w:val="75750A98"/>
    <w:rsid w:val="75753202"/>
    <w:rsid w:val="75764D82"/>
    <w:rsid w:val="757651BE"/>
    <w:rsid w:val="75765999"/>
    <w:rsid w:val="7577036C"/>
    <w:rsid w:val="75774810"/>
    <w:rsid w:val="757758AD"/>
    <w:rsid w:val="757817DA"/>
    <w:rsid w:val="757840E4"/>
    <w:rsid w:val="75784AD0"/>
    <w:rsid w:val="75786F3E"/>
    <w:rsid w:val="757873D4"/>
    <w:rsid w:val="75792336"/>
    <w:rsid w:val="757944DF"/>
    <w:rsid w:val="75795034"/>
    <w:rsid w:val="75797DEE"/>
    <w:rsid w:val="757A1C0A"/>
    <w:rsid w:val="757C1E26"/>
    <w:rsid w:val="757C2E60"/>
    <w:rsid w:val="757C3BD5"/>
    <w:rsid w:val="757C5983"/>
    <w:rsid w:val="757C7358"/>
    <w:rsid w:val="757D16FB"/>
    <w:rsid w:val="757E5B9F"/>
    <w:rsid w:val="757F1917"/>
    <w:rsid w:val="757F5473"/>
    <w:rsid w:val="75802C86"/>
    <w:rsid w:val="758066D9"/>
    <w:rsid w:val="75810342"/>
    <w:rsid w:val="758111EB"/>
    <w:rsid w:val="75812F99"/>
    <w:rsid w:val="758141FF"/>
    <w:rsid w:val="758142C0"/>
    <w:rsid w:val="7581743D"/>
    <w:rsid w:val="75823513"/>
    <w:rsid w:val="758236D3"/>
    <w:rsid w:val="758304B9"/>
    <w:rsid w:val="75840CDB"/>
    <w:rsid w:val="75846F2D"/>
    <w:rsid w:val="75852311"/>
    <w:rsid w:val="758575AF"/>
    <w:rsid w:val="75862CA5"/>
    <w:rsid w:val="75863F12"/>
    <w:rsid w:val="758642CD"/>
    <w:rsid w:val="7586670B"/>
    <w:rsid w:val="75866801"/>
    <w:rsid w:val="75874327"/>
    <w:rsid w:val="75877F73"/>
    <w:rsid w:val="758807CB"/>
    <w:rsid w:val="75882579"/>
    <w:rsid w:val="75886832"/>
    <w:rsid w:val="75897CC2"/>
    <w:rsid w:val="758A3DD2"/>
    <w:rsid w:val="758A5C43"/>
    <w:rsid w:val="758A69B5"/>
    <w:rsid w:val="758A7F22"/>
    <w:rsid w:val="758B02BC"/>
    <w:rsid w:val="758B206A"/>
    <w:rsid w:val="758C1355"/>
    <w:rsid w:val="758C27C7"/>
    <w:rsid w:val="758D193E"/>
    <w:rsid w:val="758D37CE"/>
    <w:rsid w:val="758D5DE2"/>
    <w:rsid w:val="758D7B90"/>
    <w:rsid w:val="758E3908"/>
    <w:rsid w:val="758E5037"/>
    <w:rsid w:val="758E5275"/>
    <w:rsid w:val="758E56B6"/>
    <w:rsid w:val="758E5A8C"/>
    <w:rsid w:val="758F3128"/>
    <w:rsid w:val="7590142E"/>
    <w:rsid w:val="7590605C"/>
    <w:rsid w:val="75917CED"/>
    <w:rsid w:val="759247C1"/>
    <w:rsid w:val="75944617"/>
    <w:rsid w:val="75950E36"/>
    <w:rsid w:val="75952EE8"/>
    <w:rsid w:val="75963A07"/>
    <w:rsid w:val="75970A0E"/>
    <w:rsid w:val="759727BC"/>
    <w:rsid w:val="75976A11"/>
    <w:rsid w:val="75990C47"/>
    <w:rsid w:val="759929D8"/>
    <w:rsid w:val="75994786"/>
    <w:rsid w:val="759A04FF"/>
    <w:rsid w:val="759A3818"/>
    <w:rsid w:val="759A405B"/>
    <w:rsid w:val="759A4D9C"/>
    <w:rsid w:val="759C1034"/>
    <w:rsid w:val="759D0549"/>
    <w:rsid w:val="759E1D9D"/>
    <w:rsid w:val="759E3647"/>
    <w:rsid w:val="759E3B4B"/>
    <w:rsid w:val="759E7FEF"/>
    <w:rsid w:val="759F0B0D"/>
    <w:rsid w:val="75A0276E"/>
    <w:rsid w:val="75A03D67"/>
    <w:rsid w:val="75A1188D"/>
    <w:rsid w:val="75A153E9"/>
    <w:rsid w:val="75A33C56"/>
    <w:rsid w:val="75A35201"/>
    <w:rsid w:val="75A35223"/>
    <w:rsid w:val="75A35605"/>
    <w:rsid w:val="75A5137D"/>
    <w:rsid w:val="75A61DBB"/>
    <w:rsid w:val="75A634FC"/>
    <w:rsid w:val="75A64B7C"/>
    <w:rsid w:val="75A66EA3"/>
    <w:rsid w:val="75A76D86"/>
    <w:rsid w:val="75A803E5"/>
    <w:rsid w:val="75A849CA"/>
    <w:rsid w:val="75A872AC"/>
    <w:rsid w:val="75AA195E"/>
    <w:rsid w:val="75AA6994"/>
    <w:rsid w:val="75AB3911"/>
    <w:rsid w:val="75AB44BA"/>
    <w:rsid w:val="75AB6268"/>
    <w:rsid w:val="75AC3648"/>
    <w:rsid w:val="75AC691C"/>
    <w:rsid w:val="75AD0232"/>
    <w:rsid w:val="75AD3D8E"/>
    <w:rsid w:val="75AE2BA9"/>
    <w:rsid w:val="75AE7B06"/>
    <w:rsid w:val="75AF5D58"/>
    <w:rsid w:val="75B0215F"/>
    <w:rsid w:val="75B06567"/>
    <w:rsid w:val="75B07D22"/>
    <w:rsid w:val="75B275F6"/>
    <w:rsid w:val="75B34224"/>
    <w:rsid w:val="75B3511C"/>
    <w:rsid w:val="75B37082"/>
    <w:rsid w:val="75B4336E"/>
    <w:rsid w:val="75B4496C"/>
    <w:rsid w:val="75B50C36"/>
    <w:rsid w:val="75B549D8"/>
    <w:rsid w:val="75B570E6"/>
    <w:rsid w:val="75B72E5F"/>
    <w:rsid w:val="75B841D0"/>
    <w:rsid w:val="75B90985"/>
    <w:rsid w:val="75B9389A"/>
    <w:rsid w:val="75B959AB"/>
    <w:rsid w:val="75B95ED0"/>
    <w:rsid w:val="75BA6A9A"/>
    <w:rsid w:val="75BB4292"/>
    <w:rsid w:val="75BC2223"/>
    <w:rsid w:val="75BC3008"/>
    <w:rsid w:val="75BC3CCA"/>
    <w:rsid w:val="75BC4BFC"/>
    <w:rsid w:val="75BC4DB1"/>
    <w:rsid w:val="75BE243F"/>
    <w:rsid w:val="75BE41ED"/>
    <w:rsid w:val="75BE625B"/>
    <w:rsid w:val="75BF3AC1"/>
    <w:rsid w:val="75BF402B"/>
    <w:rsid w:val="75C00110"/>
    <w:rsid w:val="75C06028"/>
    <w:rsid w:val="75C17839"/>
    <w:rsid w:val="75C31803"/>
    <w:rsid w:val="75C37A55"/>
    <w:rsid w:val="75C41015"/>
    <w:rsid w:val="75C444A0"/>
    <w:rsid w:val="75C44DF2"/>
    <w:rsid w:val="75C45D80"/>
    <w:rsid w:val="75C4732A"/>
    <w:rsid w:val="75C612F4"/>
    <w:rsid w:val="75C630A2"/>
    <w:rsid w:val="75C64E50"/>
    <w:rsid w:val="75CA033B"/>
    <w:rsid w:val="75CA0DE4"/>
    <w:rsid w:val="75CA466E"/>
    <w:rsid w:val="75CA590D"/>
    <w:rsid w:val="75CA7744"/>
    <w:rsid w:val="75CA7E1A"/>
    <w:rsid w:val="75CB2083"/>
    <w:rsid w:val="75CB4B5C"/>
    <w:rsid w:val="75CB690A"/>
    <w:rsid w:val="75CC3053"/>
    <w:rsid w:val="75CC4484"/>
    <w:rsid w:val="75CD2682"/>
    <w:rsid w:val="75CD61DE"/>
    <w:rsid w:val="75CE1F56"/>
    <w:rsid w:val="75CE7B37"/>
    <w:rsid w:val="75CF63FA"/>
    <w:rsid w:val="75D05CCE"/>
    <w:rsid w:val="75D17351"/>
    <w:rsid w:val="75D21A46"/>
    <w:rsid w:val="75D237F5"/>
    <w:rsid w:val="75D242E6"/>
    <w:rsid w:val="75D25EEA"/>
    <w:rsid w:val="75D266F1"/>
    <w:rsid w:val="75D354AB"/>
    <w:rsid w:val="75D3788E"/>
    <w:rsid w:val="75D43A11"/>
    <w:rsid w:val="75D4756D"/>
    <w:rsid w:val="75D50136"/>
    <w:rsid w:val="75D51537"/>
    <w:rsid w:val="75D532E5"/>
    <w:rsid w:val="75D562C9"/>
    <w:rsid w:val="75D66F71"/>
    <w:rsid w:val="75D73501"/>
    <w:rsid w:val="75D73FAF"/>
    <w:rsid w:val="75D740B3"/>
    <w:rsid w:val="75D77F15"/>
    <w:rsid w:val="75D8075B"/>
    <w:rsid w:val="75D82F01"/>
    <w:rsid w:val="75D837BA"/>
    <w:rsid w:val="75D91027"/>
    <w:rsid w:val="75D91BB6"/>
    <w:rsid w:val="75D92DD5"/>
    <w:rsid w:val="75D94A2A"/>
    <w:rsid w:val="75D94C4A"/>
    <w:rsid w:val="75DA08FB"/>
    <w:rsid w:val="75DA0985"/>
    <w:rsid w:val="75DA0CAB"/>
    <w:rsid w:val="75DA14E0"/>
    <w:rsid w:val="75DC28C5"/>
    <w:rsid w:val="75DC35CB"/>
    <w:rsid w:val="75DE03EB"/>
    <w:rsid w:val="75DE3047"/>
    <w:rsid w:val="75DE488F"/>
    <w:rsid w:val="75DF0437"/>
    <w:rsid w:val="75DF2801"/>
    <w:rsid w:val="75DF5F11"/>
    <w:rsid w:val="75DF60FF"/>
    <w:rsid w:val="75E17EDC"/>
    <w:rsid w:val="75E2029E"/>
    <w:rsid w:val="75E27748"/>
    <w:rsid w:val="75E27A20"/>
    <w:rsid w:val="75E27A67"/>
    <w:rsid w:val="75E33C54"/>
    <w:rsid w:val="75E35A02"/>
    <w:rsid w:val="75E40342"/>
    <w:rsid w:val="75E43528"/>
    <w:rsid w:val="75E47073"/>
    <w:rsid w:val="75E557E8"/>
    <w:rsid w:val="75E55D28"/>
    <w:rsid w:val="75E63744"/>
    <w:rsid w:val="75E70430"/>
    <w:rsid w:val="75E708A2"/>
    <w:rsid w:val="75E74AD6"/>
    <w:rsid w:val="75E83018"/>
    <w:rsid w:val="75E874BC"/>
    <w:rsid w:val="75E9473F"/>
    <w:rsid w:val="75E97310"/>
    <w:rsid w:val="75EA3234"/>
    <w:rsid w:val="75EA6D90"/>
    <w:rsid w:val="75EB0D5A"/>
    <w:rsid w:val="75EB2B08"/>
    <w:rsid w:val="75EB2C19"/>
    <w:rsid w:val="75EC189E"/>
    <w:rsid w:val="75EC7941"/>
    <w:rsid w:val="75ED1395"/>
    <w:rsid w:val="75ED5569"/>
    <w:rsid w:val="75ED6880"/>
    <w:rsid w:val="75EF084A"/>
    <w:rsid w:val="75F0011F"/>
    <w:rsid w:val="75F06371"/>
    <w:rsid w:val="75F11520"/>
    <w:rsid w:val="75F220E9"/>
    <w:rsid w:val="75F23E97"/>
    <w:rsid w:val="75F2493A"/>
    <w:rsid w:val="75F36E92"/>
    <w:rsid w:val="75F405F9"/>
    <w:rsid w:val="75F44BA2"/>
    <w:rsid w:val="75F5476F"/>
    <w:rsid w:val="75F55735"/>
    <w:rsid w:val="75F57E8B"/>
    <w:rsid w:val="75F608F4"/>
    <w:rsid w:val="75F628F1"/>
    <w:rsid w:val="75F652E4"/>
    <w:rsid w:val="75F66805"/>
    <w:rsid w:val="75F668FD"/>
    <w:rsid w:val="75F674AA"/>
    <w:rsid w:val="75F75DC3"/>
    <w:rsid w:val="75F776FF"/>
    <w:rsid w:val="75F82DA4"/>
    <w:rsid w:val="75F96FD3"/>
    <w:rsid w:val="75FA2644"/>
    <w:rsid w:val="75FA2D4B"/>
    <w:rsid w:val="75FA5118"/>
    <w:rsid w:val="75FA6B54"/>
    <w:rsid w:val="75FC2F67"/>
    <w:rsid w:val="75FC6D83"/>
    <w:rsid w:val="75FD59A8"/>
    <w:rsid w:val="75FE0A8D"/>
    <w:rsid w:val="75FE283B"/>
    <w:rsid w:val="75FE45EA"/>
    <w:rsid w:val="75FE6CDF"/>
    <w:rsid w:val="75FF3FA8"/>
    <w:rsid w:val="7601057E"/>
    <w:rsid w:val="76013E56"/>
    <w:rsid w:val="760140DA"/>
    <w:rsid w:val="760360A4"/>
    <w:rsid w:val="76037E52"/>
    <w:rsid w:val="76051E1C"/>
    <w:rsid w:val="76053BCA"/>
    <w:rsid w:val="76054E3F"/>
    <w:rsid w:val="76061712"/>
    <w:rsid w:val="760628A5"/>
    <w:rsid w:val="7608190C"/>
    <w:rsid w:val="76085468"/>
    <w:rsid w:val="7608632B"/>
    <w:rsid w:val="760929F9"/>
    <w:rsid w:val="760951B9"/>
    <w:rsid w:val="760A11E0"/>
    <w:rsid w:val="760A394A"/>
    <w:rsid w:val="760A5684"/>
    <w:rsid w:val="760C0482"/>
    <w:rsid w:val="760C0F69"/>
    <w:rsid w:val="760C31AA"/>
    <w:rsid w:val="760C55D0"/>
    <w:rsid w:val="760D0CD1"/>
    <w:rsid w:val="760D0DEB"/>
    <w:rsid w:val="760D135B"/>
    <w:rsid w:val="760D3B3A"/>
    <w:rsid w:val="760D6F22"/>
    <w:rsid w:val="760E4FCA"/>
    <w:rsid w:val="760F2C9B"/>
    <w:rsid w:val="7610256F"/>
    <w:rsid w:val="76106B47"/>
    <w:rsid w:val="7611394B"/>
    <w:rsid w:val="76115B8C"/>
    <w:rsid w:val="76116A13"/>
    <w:rsid w:val="76120095"/>
    <w:rsid w:val="7612404B"/>
    <w:rsid w:val="76124539"/>
    <w:rsid w:val="76124DDB"/>
    <w:rsid w:val="761266FC"/>
    <w:rsid w:val="76134C16"/>
    <w:rsid w:val="76135BC0"/>
    <w:rsid w:val="76143E0D"/>
    <w:rsid w:val="761476FB"/>
    <w:rsid w:val="76157686"/>
    <w:rsid w:val="76157B85"/>
    <w:rsid w:val="7616035B"/>
    <w:rsid w:val="761672E0"/>
    <w:rsid w:val="7617086B"/>
    <w:rsid w:val="76171CE3"/>
    <w:rsid w:val="761722FD"/>
    <w:rsid w:val="76172CE4"/>
    <w:rsid w:val="761738FD"/>
    <w:rsid w:val="7617607C"/>
    <w:rsid w:val="76180C4D"/>
    <w:rsid w:val="761873BA"/>
    <w:rsid w:val="76191423"/>
    <w:rsid w:val="761920DD"/>
    <w:rsid w:val="761958C7"/>
    <w:rsid w:val="76197675"/>
    <w:rsid w:val="761A4C25"/>
    <w:rsid w:val="761B11C0"/>
    <w:rsid w:val="761D1E17"/>
    <w:rsid w:val="761D1EEE"/>
    <w:rsid w:val="761D4C9F"/>
    <w:rsid w:val="761D53B8"/>
    <w:rsid w:val="761E2EDE"/>
    <w:rsid w:val="761E4C8C"/>
    <w:rsid w:val="76202654"/>
    <w:rsid w:val="762069DE"/>
    <w:rsid w:val="7621652A"/>
    <w:rsid w:val="762229CE"/>
    <w:rsid w:val="7622555B"/>
    <w:rsid w:val="76241DC1"/>
    <w:rsid w:val="76241FBF"/>
    <w:rsid w:val="76253251"/>
    <w:rsid w:val="76254258"/>
    <w:rsid w:val="7625426C"/>
    <w:rsid w:val="7625601A"/>
    <w:rsid w:val="76261D92"/>
    <w:rsid w:val="76263B40"/>
    <w:rsid w:val="7626750D"/>
    <w:rsid w:val="76287001"/>
    <w:rsid w:val="762878B8"/>
    <w:rsid w:val="762A0487"/>
    <w:rsid w:val="762A1882"/>
    <w:rsid w:val="762A3631"/>
    <w:rsid w:val="762A53DF"/>
    <w:rsid w:val="762C55FB"/>
    <w:rsid w:val="762D19E3"/>
    <w:rsid w:val="762D3121"/>
    <w:rsid w:val="762D45B4"/>
    <w:rsid w:val="762D4ECF"/>
    <w:rsid w:val="762F0C47"/>
    <w:rsid w:val="762F1370"/>
    <w:rsid w:val="762F1CF6"/>
    <w:rsid w:val="762F50EB"/>
    <w:rsid w:val="7630000A"/>
    <w:rsid w:val="7630676D"/>
    <w:rsid w:val="76312C11"/>
    <w:rsid w:val="763174AC"/>
    <w:rsid w:val="763224E5"/>
    <w:rsid w:val="763237FD"/>
    <w:rsid w:val="76324D40"/>
    <w:rsid w:val="76325C2F"/>
    <w:rsid w:val="76326989"/>
    <w:rsid w:val="763371A8"/>
    <w:rsid w:val="76341F4F"/>
    <w:rsid w:val="7635099D"/>
    <w:rsid w:val="76351605"/>
    <w:rsid w:val="7636251E"/>
    <w:rsid w:val="76362AC1"/>
    <w:rsid w:val="763641D6"/>
    <w:rsid w:val="76373F9F"/>
    <w:rsid w:val="7638054D"/>
    <w:rsid w:val="76380B44"/>
    <w:rsid w:val="763816C7"/>
    <w:rsid w:val="76386952"/>
    <w:rsid w:val="76391AC6"/>
    <w:rsid w:val="76393874"/>
    <w:rsid w:val="76397F86"/>
    <w:rsid w:val="763A311B"/>
    <w:rsid w:val="763A3DB1"/>
    <w:rsid w:val="763B3A90"/>
    <w:rsid w:val="763B75EC"/>
    <w:rsid w:val="763C3364"/>
    <w:rsid w:val="763C5112"/>
    <w:rsid w:val="763D1781"/>
    <w:rsid w:val="763E0E8A"/>
    <w:rsid w:val="763E310C"/>
    <w:rsid w:val="763F1768"/>
    <w:rsid w:val="763F46EA"/>
    <w:rsid w:val="764010A6"/>
    <w:rsid w:val="764015B2"/>
    <w:rsid w:val="7641097A"/>
    <w:rsid w:val="7641383A"/>
    <w:rsid w:val="76424E1E"/>
    <w:rsid w:val="76433665"/>
    <w:rsid w:val="764467DA"/>
    <w:rsid w:val="764566BC"/>
    <w:rsid w:val="76472366"/>
    <w:rsid w:val="764726B6"/>
    <w:rsid w:val="764741E2"/>
    <w:rsid w:val="7647594D"/>
    <w:rsid w:val="76481C89"/>
    <w:rsid w:val="7648459A"/>
    <w:rsid w:val="7649264C"/>
    <w:rsid w:val="764A5A81"/>
    <w:rsid w:val="764A6140"/>
    <w:rsid w:val="764A782F"/>
    <w:rsid w:val="764B5422"/>
    <w:rsid w:val="764C17F9"/>
    <w:rsid w:val="764C5FBF"/>
    <w:rsid w:val="764D1B7C"/>
    <w:rsid w:val="764D37C3"/>
    <w:rsid w:val="764D5571"/>
    <w:rsid w:val="764D788C"/>
    <w:rsid w:val="764E245D"/>
    <w:rsid w:val="764F12E9"/>
    <w:rsid w:val="764F3097"/>
    <w:rsid w:val="76506F9E"/>
    <w:rsid w:val="76514825"/>
    <w:rsid w:val="7651660B"/>
    <w:rsid w:val="7652226E"/>
    <w:rsid w:val="76522B87"/>
    <w:rsid w:val="76524935"/>
    <w:rsid w:val="76530DD9"/>
    <w:rsid w:val="76544B8E"/>
    <w:rsid w:val="7654775F"/>
    <w:rsid w:val="76553877"/>
    <w:rsid w:val="765608C9"/>
    <w:rsid w:val="7656207F"/>
    <w:rsid w:val="76562600"/>
    <w:rsid w:val="7657019E"/>
    <w:rsid w:val="76571277"/>
    <w:rsid w:val="7658227D"/>
    <w:rsid w:val="765863F0"/>
    <w:rsid w:val="765929B4"/>
    <w:rsid w:val="76593F16"/>
    <w:rsid w:val="765B1A3C"/>
    <w:rsid w:val="765B47D0"/>
    <w:rsid w:val="765B5EE0"/>
    <w:rsid w:val="765C57B4"/>
    <w:rsid w:val="765C6A8D"/>
    <w:rsid w:val="765C72C6"/>
    <w:rsid w:val="765D3A06"/>
    <w:rsid w:val="765D7381"/>
    <w:rsid w:val="765E152C"/>
    <w:rsid w:val="765E777E"/>
    <w:rsid w:val="766052A4"/>
    <w:rsid w:val="76607052"/>
    <w:rsid w:val="7662726E"/>
    <w:rsid w:val="76636B42"/>
    <w:rsid w:val="76637A2B"/>
    <w:rsid w:val="76647254"/>
    <w:rsid w:val="76650B0D"/>
    <w:rsid w:val="766528BB"/>
    <w:rsid w:val="76654F0B"/>
    <w:rsid w:val="766703E1"/>
    <w:rsid w:val="76673DE8"/>
    <w:rsid w:val="76674885"/>
    <w:rsid w:val="7668312F"/>
    <w:rsid w:val="766905FD"/>
    <w:rsid w:val="7669222B"/>
    <w:rsid w:val="766A10C9"/>
    <w:rsid w:val="766A1C7F"/>
    <w:rsid w:val="766A30C6"/>
    <w:rsid w:val="766B2934"/>
    <w:rsid w:val="766B2E15"/>
    <w:rsid w:val="766B649E"/>
    <w:rsid w:val="766C34A7"/>
    <w:rsid w:val="766C5613"/>
    <w:rsid w:val="766D085D"/>
    <w:rsid w:val="766D169F"/>
    <w:rsid w:val="766D176F"/>
    <w:rsid w:val="766D1B33"/>
    <w:rsid w:val="766D1C47"/>
    <w:rsid w:val="766D3522"/>
    <w:rsid w:val="766D5FF6"/>
    <w:rsid w:val="766E4BA1"/>
    <w:rsid w:val="766E5C13"/>
    <w:rsid w:val="766E7089"/>
    <w:rsid w:val="766F36ED"/>
    <w:rsid w:val="766F3739"/>
    <w:rsid w:val="766F54E7"/>
    <w:rsid w:val="7671125F"/>
    <w:rsid w:val="7671300D"/>
    <w:rsid w:val="76714D14"/>
    <w:rsid w:val="767174B1"/>
    <w:rsid w:val="76724FD8"/>
    <w:rsid w:val="767302CA"/>
    <w:rsid w:val="76746FA2"/>
    <w:rsid w:val="767479C4"/>
    <w:rsid w:val="767541F0"/>
    <w:rsid w:val="76760624"/>
    <w:rsid w:val="76764AC8"/>
    <w:rsid w:val="76766A98"/>
    <w:rsid w:val="7677439C"/>
    <w:rsid w:val="76783F68"/>
    <w:rsid w:val="767842D3"/>
    <w:rsid w:val="76796B5A"/>
    <w:rsid w:val="767B290A"/>
    <w:rsid w:val="767B3E8C"/>
    <w:rsid w:val="767B65B5"/>
    <w:rsid w:val="767D2B04"/>
    <w:rsid w:val="767D5E56"/>
    <w:rsid w:val="767D7C04"/>
    <w:rsid w:val="767E29CC"/>
    <w:rsid w:val="767E4B87"/>
    <w:rsid w:val="767F128B"/>
    <w:rsid w:val="768014A2"/>
    <w:rsid w:val="7680271B"/>
    <w:rsid w:val="76811770"/>
    <w:rsid w:val="76816FC9"/>
    <w:rsid w:val="768216BE"/>
    <w:rsid w:val="7682346D"/>
    <w:rsid w:val="76830F93"/>
    <w:rsid w:val="76832D41"/>
    <w:rsid w:val="768371E5"/>
    <w:rsid w:val="76845A85"/>
    <w:rsid w:val="76845FCB"/>
    <w:rsid w:val="76852727"/>
    <w:rsid w:val="768571C8"/>
    <w:rsid w:val="76866C66"/>
    <w:rsid w:val="76870A83"/>
    <w:rsid w:val="768947FB"/>
    <w:rsid w:val="76894F0E"/>
    <w:rsid w:val="768A0573"/>
    <w:rsid w:val="768A3B3D"/>
    <w:rsid w:val="768B3ED9"/>
    <w:rsid w:val="768C388F"/>
    <w:rsid w:val="768C6099"/>
    <w:rsid w:val="768D0F4C"/>
    <w:rsid w:val="768E5086"/>
    <w:rsid w:val="768E697B"/>
    <w:rsid w:val="768F16E6"/>
    <w:rsid w:val="768F5B89"/>
    <w:rsid w:val="769043E9"/>
    <w:rsid w:val="76911902"/>
    <w:rsid w:val="769136B0"/>
    <w:rsid w:val="76915F3A"/>
    <w:rsid w:val="769211D6"/>
    <w:rsid w:val="7692374C"/>
    <w:rsid w:val="76925611"/>
    <w:rsid w:val="76933762"/>
    <w:rsid w:val="7693567A"/>
    <w:rsid w:val="769361BC"/>
    <w:rsid w:val="76940C2C"/>
    <w:rsid w:val="76941662"/>
    <w:rsid w:val="76946CFC"/>
    <w:rsid w:val="76953008"/>
    <w:rsid w:val="7696084C"/>
    <w:rsid w:val="76960CC6"/>
    <w:rsid w:val="76962A74"/>
    <w:rsid w:val="76966F18"/>
    <w:rsid w:val="769746AA"/>
    <w:rsid w:val="76977780"/>
    <w:rsid w:val="769829FF"/>
    <w:rsid w:val="76982C90"/>
    <w:rsid w:val="769907B6"/>
    <w:rsid w:val="76991B20"/>
    <w:rsid w:val="769A2AE8"/>
    <w:rsid w:val="769A5C92"/>
    <w:rsid w:val="769A6A08"/>
    <w:rsid w:val="769B1EF4"/>
    <w:rsid w:val="769D02A6"/>
    <w:rsid w:val="769D1561"/>
    <w:rsid w:val="769D2054"/>
    <w:rsid w:val="769D3E02"/>
    <w:rsid w:val="769D4A3B"/>
    <w:rsid w:val="769E2054"/>
    <w:rsid w:val="769E5DCD"/>
    <w:rsid w:val="769E73E4"/>
    <w:rsid w:val="769F401E"/>
    <w:rsid w:val="76A01A54"/>
    <w:rsid w:val="76A03194"/>
    <w:rsid w:val="76A1233D"/>
    <w:rsid w:val="76A21419"/>
    <w:rsid w:val="76A258BD"/>
    <w:rsid w:val="76A2766B"/>
    <w:rsid w:val="76A31898"/>
    <w:rsid w:val="76A3428D"/>
    <w:rsid w:val="76A344AC"/>
    <w:rsid w:val="76A421E3"/>
    <w:rsid w:val="76A466E5"/>
    <w:rsid w:val="76A50F09"/>
    <w:rsid w:val="76A553AD"/>
    <w:rsid w:val="76A55B76"/>
    <w:rsid w:val="76A5715B"/>
    <w:rsid w:val="76A71125"/>
    <w:rsid w:val="76A72ED3"/>
    <w:rsid w:val="76A809F9"/>
    <w:rsid w:val="76A827A7"/>
    <w:rsid w:val="76A84862"/>
    <w:rsid w:val="76A84CD5"/>
    <w:rsid w:val="76A92DB6"/>
    <w:rsid w:val="76A96509"/>
    <w:rsid w:val="76AC04E9"/>
    <w:rsid w:val="76AC673B"/>
    <w:rsid w:val="76AE4262"/>
    <w:rsid w:val="76AE5DCB"/>
    <w:rsid w:val="76AF1D88"/>
    <w:rsid w:val="76AF6C28"/>
    <w:rsid w:val="76AF7FDA"/>
    <w:rsid w:val="76B01A68"/>
    <w:rsid w:val="76B0242E"/>
    <w:rsid w:val="76B02C89"/>
    <w:rsid w:val="76B05768"/>
    <w:rsid w:val="76B13D52"/>
    <w:rsid w:val="76B15AD4"/>
    <w:rsid w:val="76B178AE"/>
    <w:rsid w:val="76B26CEA"/>
    <w:rsid w:val="76B27C1A"/>
    <w:rsid w:val="76B31878"/>
    <w:rsid w:val="76B34539"/>
    <w:rsid w:val="76B4739E"/>
    <w:rsid w:val="76B52C7C"/>
    <w:rsid w:val="76B635E5"/>
    <w:rsid w:val="76B743F3"/>
    <w:rsid w:val="76B80C3C"/>
    <w:rsid w:val="76B850E0"/>
    <w:rsid w:val="76B86E8E"/>
    <w:rsid w:val="76B92B53"/>
    <w:rsid w:val="76B92C06"/>
    <w:rsid w:val="76BA4015"/>
    <w:rsid w:val="76BA5055"/>
    <w:rsid w:val="76BA690C"/>
    <w:rsid w:val="76BC462B"/>
    <w:rsid w:val="76BD26F7"/>
    <w:rsid w:val="76BD44A5"/>
    <w:rsid w:val="76BD6253"/>
    <w:rsid w:val="76BE23D9"/>
    <w:rsid w:val="76BF021D"/>
    <w:rsid w:val="76BF1842"/>
    <w:rsid w:val="76BF476C"/>
    <w:rsid w:val="76BF646F"/>
    <w:rsid w:val="76C01D47"/>
    <w:rsid w:val="76C03F95"/>
    <w:rsid w:val="76C1103D"/>
    <w:rsid w:val="76C13C0E"/>
    <w:rsid w:val="76C174E4"/>
    <w:rsid w:val="76C20097"/>
    <w:rsid w:val="76C21ABB"/>
    <w:rsid w:val="76C27A63"/>
    <w:rsid w:val="76C27D0D"/>
    <w:rsid w:val="76C372BB"/>
    <w:rsid w:val="76C375E1"/>
    <w:rsid w:val="76C421E9"/>
    <w:rsid w:val="76C43A85"/>
    <w:rsid w:val="76C45833"/>
    <w:rsid w:val="76C5235F"/>
    <w:rsid w:val="76C557DC"/>
    <w:rsid w:val="76C61836"/>
    <w:rsid w:val="76C70E7F"/>
    <w:rsid w:val="76C75151"/>
    <w:rsid w:val="76C75323"/>
    <w:rsid w:val="76C76C24"/>
    <w:rsid w:val="76C770D1"/>
    <w:rsid w:val="76C9109B"/>
    <w:rsid w:val="76C95ACB"/>
    <w:rsid w:val="76CA0970"/>
    <w:rsid w:val="76CA4BFC"/>
    <w:rsid w:val="76CA63C9"/>
    <w:rsid w:val="76CC10D8"/>
    <w:rsid w:val="76CC22D8"/>
    <w:rsid w:val="76CC293A"/>
    <w:rsid w:val="76CC4173"/>
    <w:rsid w:val="76CE66B2"/>
    <w:rsid w:val="76CF1695"/>
    <w:rsid w:val="76CF2656"/>
    <w:rsid w:val="76D0185E"/>
    <w:rsid w:val="76D020D3"/>
    <w:rsid w:val="76D0242A"/>
    <w:rsid w:val="76D11CFE"/>
    <w:rsid w:val="76D17F50"/>
    <w:rsid w:val="76D23B71"/>
    <w:rsid w:val="76D3114B"/>
    <w:rsid w:val="76D37824"/>
    <w:rsid w:val="76D42084"/>
    <w:rsid w:val="76D4359C"/>
    <w:rsid w:val="76D474B3"/>
    <w:rsid w:val="76D50072"/>
    <w:rsid w:val="76D50943"/>
    <w:rsid w:val="76D6598D"/>
    <w:rsid w:val="76D67314"/>
    <w:rsid w:val="76D7417D"/>
    <w:rsid w:val="76D8241E"/>
    <w:rsid w:val="76D90003"/>
    <w:rsid w:val="76D90BB3"/>
    <w:rsid w:val="76D91E95"/>
    <w:rsid w:val="76DA32A9"/>
    <w:rsid w:val="76DA5EF6"/>
    <w:rsid w:val="76DB2A57"/>
    <w:rsid w:val="76DB7386"/>
    <w:rsid w:val="76DC3431"/>
    <w:rsid w:val="76DD3FCF"/>
    <w:rsid w:val="76DD5674"/>
    <w:rsid w:val="76DE0EEB"/>
    <w:rsid w:val="76DE26DD"/>
    <w:rsid w:val="76DE441B"/>
    <w:rsid w:val="76DE7968"/>
    <w:rsid w:val="76DF08BF"/>
    <w:rsid w:val="76DF2F23"/>
    <w:rsid w:val="76DF6B4E"/>
    <w:rsid w:val="76DF78F2"/>
    <w:rsid w:val="76E00193"/>
    <w:rsid w:val="76E01F41"/>
    <w:rsid w:val="76E06E8B"/>
    <w:rsid w:val="76E07D29"/>
    <w:rsid w:val="76E16C23"/>
    <w:rsid w:val="76E24688"/>
    <w:rsid w:val="76E25CB9"/>
    <w:rsid w:val="76E45ED5"/>
    <w:rsid w:val="76E47C83"/>
    <w:rsid w:val="76E539FB"/>
    <w:rsid w:val="76E557A9"/>
    <w:rsid w:val="76E732D0"/>
    <w:rsid w:val="76E738E9"/>
    <w:rsid w:val="76E804FA"/>
    <w:rsid w:val="76E84269"/>
    <w:rsid w:val="76E934EC"/>
    <w:rsid w:val="76E9529A"/>
    <w:rsid w:val="76EA0E72"/>
    <w:rsid w:val="76EB0D89"/>
    <w:rsid w:val="76EB6545"/>
    <w:rsid w:val="76EC08E6"/>
    <w:rsid w:val="76EC1B63"/>
    <w:rsid w:val="76EC2FDC"/>
    <w:rsid w:val="76EC44D1"/>
    <w:rsid w:val="76ED315D"/>
    <w:rsid w:val="76EE3833"/>
    <w:rsid w:val="76EF03D6"/>
    <w:rsid w:val="76EF40BB"/>
    <w:rsid w:val="76EF504E"/>
    <w:rsid w:val="76F02B96"/>
    <w:rsid w:val="76F0423E"/>
    <w:rsid w:val="76F0487A"/>
    <w:rsid w:val="76F103E5"/>
    <w:rsid w:val="76F105F2"/>
    <w:rsid w:val="76F125B0"/>
    <w:rsid w:val="76F15606"/>
    <w:rsid w:val="76F32EF9"/>
    <w:rsid w:val="76F33ECC"/>
    <w:rsid w:val="76F3560D"/>
    <w:rsid w:val="76F36118"/>
    <w:rsid w:val="76F36508"/>
    <w:rsid w:val="76F373A1"/>
    <w:rsid w:val="76F459ED"/>
    <w:rsid w:val="76F46254"/>
    <w:rsid w:val="76F46A9D"/>
    <w:rsid w:val="76F52AFE"/>
    <w:rsid w:val="76F612C6"/>
    <w:rsid w:val="76F65C09"/>
    <w:rsid w:val="76F679B7"/>
    <w:rsid w:val="76F7541E"/>
    <w:rsid w:val="76F854DD"/>
    <w:rsid w:val="76F87DDA"/>
    <w:rsid w:val="76F908F6"/>
    <w:rsid w:val="76FA1255"/>
    <w:rsid w:val="76FA12D1"/>
    <w:rsid w:val="76FB0D44"/>
    <w:rsid w:val="76FB2034"/>
    <w:rsid w:val="76FB4FCD"/>
    <w:rsid w:val="76FB522F"/>
    <w:rsid w:val="76FB56D0"/>
    <w:rsid w:val="76FC0769"/>
    <w:rsid w:val="76FD172B"/>
    <w:rsid w:val="76FD2CDA"/>
    <w:rsid w:val="76FE78E8"/>
    <w:rsid w:val="76FF2D0F"/>
    <w:rsid w:val="76FF4ABD"/>
    <w:rsid w:val="76FF686B"/>
    <w:rsid w:val="770025E3"/>
    <w:rsid w:val="77003C35"/>
    <w:rsid w:val="77004391"/>
    <w:rsid w:val="77020109"/>
    <w:rsid w:val="7702398D"/>
    <w:rsid w:val="770245AD"/>
    <w:rsid w:val="77025E86"/>
    <w:rsid w:val="7702635B"/>
    <w:rsid w:val="77030D31"/>
    <w:rsid w:val="77040325"/>
    <w:rsid w:val="77040D55"/>
    <w:rsid w:val="77043E82"/>
    <w:rsid w:val="7705172F"/>
    <w:rsid w:val="77055120"/>
    <w:rsid w:val="77062109"/>
    <w:rsid w:val="77071BC4"/>
    <w:rsid w:val="77076DF4"/>
    <w:rsid w:val="770772DC"/>
    <w:rsid w:val="77086732"/>
    <w:rsid w:val="77091498"/>
    <w:rsid w:val="770937D2"/>
    <w:rsid w:val="770976EA"/>
    <w:rsid w:val="770A7031"/>
    <w:rsid w:val="770B2153"/>
    <w:rsid w:val="770C2D36"/>
    <w:rsid w:val="770D4EB8"/>
    <w:rsid w:val="770F1F64"/>
    <w:rsid w:val="770F2826"/>
    <w:rsid w:val="77100A78"/>
    <w:rsid w:val="7710423A"/>
    <w:rsid w:val="77106CCA"/>
    <w:rsid w:val="77116F21"/>
    <w:rsid w:val="77130569"/>
    <w:rsid w:val="7713060F"/>
    <w:rsid w:val="77130BF9"/>
    <w:rsid w:val="77135965"/>
    <w:rsid w:val="77137762"/>
    <w:rsid w:val="77147E3D"/>
    <w:rsid w:val="771509A7"/>
    <w:rsid w:val="77155DD6"/>
    <w:rsid w:val="771603BF"/>
    <w:rsid w:val="77160DE1"/>
    <w:rsid w:val="77161162"/>
    <w:rsid w:val="77163BB5"/>
    <w:rsid w:val="77165BF8"/>
    <w:rsid w:val="77176BA7"/>
    <w:rsid w:val="77176D5C"/>
    <w:rsid w:val="771816DB"/>
    <w:rsid w:val="77183DD1"/>
    <w:rsid w:val="77185B7F"/>
    <w:rsid w:val="77187528"/>
    <w:rsid w:val="77195B0D"/>
    <w:rsid w:val="771A07B8"/>
    <w:rsid w:val="771A36A5"/>
    <w:rsid w:val="771A5453"/>
    <w:rsid w:val="771D0647"/>
    <w:rsid w:val="771D3195"/>
    <w:rsid w:val="771D4F43"/>
    <w:rsid w:val="771D50DB"/>
    <w:rsid w:val="771D5995"/>
    <w:rsid w:val="771D7139"/>
    <w:rsid w:val="771E05C9"/>
    <w:rsid w:val="771F1A59"/>
    <w:rsid w:val="771F2A69"/>
    <w:rsid w:val="771F319A"/>
    <w:rsid w:val="771F6F0D"/>
    <w:rsid w:val="772067E2"/>
    <w:rsid w:val="772258AA"/>
    <w:rsid w:val="772269FE"/>
    <w:rsid w:val="77231CAB"/>
    <w:rsid w:val="77240332"/>
    <w:rsid w:val="77244524"/>
    <w:rsid w:val="7725204A"/>
    <w:rsid w:val="77253DF8"/>
    <w:rsid w:val="7726029C"/>
    <w:rsid w:val="772605D7"/>
    <w:rsid w:val="772700B6"/>
    <w:rsid w:val="77271704"/>
    <w:rsid w:val="77274014"/>
    <w:rsid w:val="77277B70"/>
    <w:rsid w:val="77277D4B"/>
    <w:rsid w:val="772938E8"/>
    <w:rsid w:val="772A140E"/>
    <w:rsid w:val="772A3A45"/>
    <w:rsid w:val="772B1C5E"/>
    <w:rsid w:val="772B58B2"/>
    <w:rsid w:val="772B68AA"/>
    <w:rsid w:val="772B7660"/>
    <w:rsid w:val="772C33D8"/>
    <w:rsid w:val="772C579E"/>
    <w:rsid w:val="772D22DB"/>
    <w:rsid w:val="772D2747"/>
    <w:rsid w:val="772E7BF1"/>
    <w:rsid w:val="7730111A"/>
    <w:rsid w:val="77304C77"/>
    <w:rsid w:val="773109EF"/>
    <w:rsid w:val="7731279D"/>
    <w:rsid w:val="77323A7C"/>
    <w:rsid w:val="77324E93"/>
    <w:rsid w:val="77334767"/>
    <w:rsid w:val="7734348A"/>
    <w:rsid w:val="7735228D"/>
    <w:rsid w:val="77356731"/>
    <w:rsid w:val="773615C6"/>
    <w:rsid w:val="77362007"/>
    <w:rsid w:val="77364257"/>
    <w:rsid w:val="77366850"/>
    <w:rsid w:val="77377CE0"/>
    <w:rsid w:val="77383B2B"/>
    <w:rsid w:val="77385F6C"/>
    <w:rsid w:val="7738674E"/>
    <w:rsid w:val="7739409B"/>
    <w:rsid w:val="773A18CF"/>
    <w:rsid w:val="773A5AF5"/>
    <w:rsid w:val="773B6544"/>
    <w:rsid w:val="773C7ABF"/>
    <w:rsid w:val="773D55E5"/>
    <w:rsid w:val="773D6723"/>
    <w:rsid w:val="773E07BA"/>
    <w:rsid w:val="773F1043"/>
    <w:rsid w:val="773F135E"/>
    <w:rsid w:val="773F1640"/>
    <w:rsid w:val="773F40BA"/>
    <w:rsid w:val="773F7236"/>
    <w:rsid w:val="77400C32"/>
    <w:rsid w:val="774050A4"/>
    <w:rsid w:val="77416534"/>
    <w:rsid w:val="77420E4E"/>
    <w:rsid w:val="774249AA"/>
    <w:rsid w:val="77426218"/>
    <w:rsid w:val="77435747"/>
    <w:rsid w:val="77440722"/>
    <w:rsid w:val="774421EE"/>
    <w:rsid w:val="774424D0"/>
    <w:rsid w:val="77446974"/>
    <w:rsid w:val="77447586"/>
    <w:rsid w:val="774502E9"/>
    <w:rsid w:val="77453A38"/>
    <w:rsid w:val="77455E56"/>
    <w:rsid w:val="77461810"/>
    <w:rsid w:val="77461973"/>
    <w:rsid w:val="774626EC"/>
    <w:rsid w:val="77471237"/>
    <w:rsid w:val="774723A6"/>
    <w:rsid w:val="77477CC6"/>
    <w:rsid w:val="774834C4"/>
    <w:rsid w:val="774849C1"/>
    <w:rsid w:val="77484F63"/>
    <w:rsid w:val="77490794"/>
    <w:rsid w:val="774921DC"/>
    <w:rsid w:val="77493F8A"/>
    <w:rsid w:val="774A680B"/>
    <w:rsid w:val="774B720A"/>
    <w:rsid w:val="774C0A76"/>
    <w:rsid w:val="774C33C7"/>
    <w:rsid w:val="774C5A91"/>
    <w:rsid w:val="774C75D7"/>
    <w:rsid w:val="774D50AD"/>
    <w:rsid w:val="774E15A1"/>
    <w:rsid w:val="774F6553"/>
    <w:rsid w:val="7750512E"/>
    <w:rsid w:val="77510F5D"/>
    <w:rsid w:val="77512E3F"/>
    <w:rsid w:val="77527BB9"/>
    <w:rsid w:val="77534E09"/>
    <w:rsid w:val="77542C46"/>
    <w:rsid w:val="77543A72"/>
    <w:rsid w:val="77544611"/>
    <w:rsid w:val="77550B81"/>
    <w:rsid w:val="7755292F"/>
    <w:rsid w:val="77553269"/>
    <w:rsid w:val="775545EE"/>
    <w:rsid w:val="775546DD"/>
    <w:rsid w:val="7755566B"/>
    <w:rsid w:val="77562203"/>
    <w:rsid w:val="775766A7"/>
    <w:rsid w:val="775822F8"/>
    <w:rsid w:val="7758241F"/>
    <w:rsid w:val="7759307A"/>
    <w:rsid w:val="77595165"/>
    <w:rsid w:val="775A1CF3"/>
    <w:rsid w:val="775A6197"/>
    <w:rsid w:val="775A7F45"/>
    <w:rsid w:val="775B5A6C"/>
    <w:rsid w:val="775C1F10"/>
    <w:rsid w:val="775C3B4B"/>
    <w:rsid w:val="775C40CF"/>
    <w:rsid w:val="775D17E4"/>
    <w:rsid w:val="775D3592"/>
    <w:rsid w:val="775D7A36"/>
    <w:rsid w:val="775F555C"/>
    <w:rsid w:val="775F730A"/>
    <w:rsid w:val="77601E75"/>
    <w:rsid w:val="7760292E"/>
    <w:rsid w:val="77604C10"/>
    <w:rsid w:val="77604E67"/>
    <w:rsid w:val="77625604"/>
    <w:rsid w:val="77626DFA"/>
    <w:rsid w:val="77634306"/>
    <w:rsid w:val="77636CFD"/>
    <w:rsid w:val="77644920"/>
    <w:rsid w:val="776668EA"/>
    <w:rsid w:val="7768182A"/>
    <w:rsid w:val="77683A4D"/>
    <w:rsid w:val="77690131"/>
    <w:rsid w:val="77691E21"/>
    <w:rsid w:val="77695903"/>
    <w:rsid w:val="776963DA"/>
    <w:rsid w:val="776A0B8D"/>
    <w:rsid w:val="776B2153"/>
    <w:rsid w:val="776B365F"/>
    <w:rsid w:val="776B3F01"/>
    <w:rsid w:val="776B430B"/>
    <w:rsid w:val="776B7302"/>
    <w:rsid w:val="776C14F0"/>
    <w:rsid w:val="776D04E7"/>
    <w:rsid w:val="776D2EB6"/>
    <w:rsid w:val="776D4262"/>
    <w:rsid w:val="776E10D5"/>
    <w:rsid w:val="776E1E92"/>
    <w:rsid w:val="776E49BD"/>
    <w:rsid w:val="776F6FC2"/>
    <w:rsid w:val="77702A42"/>
    <w:rsid w:val="777032C5"/>
    <w:rsid w:val="7770353A"/>
    <w:rsid w:val="777059BB"/>
    <w:rsid w:val="77707769"/>
    <w:rsid w:val="77712C58"/>
    <w:rsid w:val="7771703D"/>
    <w:rsid w:val="777234E1"/>
    <w:rsid w:val="7772528F"/>
    <w:rsid w:val="77732DB5"/>
    <w:rsid w:val="7773324E"/>
    <w:rsid w:val="77735918"/>
    <w:rsid w:val="77735F0F"/>
    <w:rsid w:val="777360D9"/>
    <w:rsid w:val="77737D91"/>
    <w:rsid w:val="77742F96"/>
    <w:rsid w:val="77762421"/>
    <w:rsid w:val="77762E52"/>
    <w:rsid w:val="7777447D"/>
    <w:rsid w:val="77775173"/>
    <w:rsid w:val="77786603"/>
    <w:rsid w:val="7778661E"/>
    <w:rsid w:val="77787B6D"/>
    <w:rsid w:val="777A4144"/>
    <w:rsid w:val="777B7B55"/>
    <w:rsid w:val="777B7DFA"/>
    <w:rsid w:val="777C28E7"/>
    <w:rsid w:val="777C7EBC"/>
    <w:rsid w:val="777D1E86"/>
    <w:rsid w:val="777D2475"/>
    <w:rsid w:val="777D682D"/>
    <w:rsid w:val="777E0FB0"/>
    <w:rsid w:val="777E2AB0"/>
    <w:rsid w:val="777E3905"/>
    <w:rsid w:val="777E63ED"/>
    <w:rsid w:val="777F175A"/>
    <w:rsid w:val="777F64D6"/>
    <w:rsid w:val="777F79AC"/>
    <w:rsid w:val="778012CE"/>
    <w:rsid w:val="77802537"/>
    <w:rsid w:val="77811976"/>
    <w:rsid w:val="77814D5E"/>
    <w:rsid w:val="778154D2"/>
    <w:rsid w:val="77825766"/>
    <w:rsid w:val="778362E7"/>
    <w:rsid w:val="7783749C"/>
    <w:rsid w:val="77846B1B"/>
    <w:rsid w:val="77846D70"/>
    <w:rsid w:val="77847777"/>
    <w:rsid w:val="77847CCF"/>
    <w:rsid w:val="77852348"/>
    <w:rsid w:val="77854DAE"/>
    <w:rsid w:val="7785787E"/>
    <w:rsid w:val="77860D3A"/>
    <w:rsid w:val="77862AE9"/>
    <w:rsid w:val="77866F8C"/>
    <w:rsid w:val="77870DF7"/>
    <w:rsid w:val="77876861"/>
    <w:rsid w:val="7789082B"/>
    <w:rsid w:val="778B00FF"/>
    <w:rsid w:val="778B0731"/>
    <w:rsid w:val="778B1DFE"/>
    <w:rsid w:val="778B6351"/>
    <w:rsid w:val="778D20C9"/>
    <w:rsid w:val="778D6739"/>
    <w:rsid w:val="778D7399"/>
    <w:rsid w:val="778D7747"/>
    <w:rsid w:val="778E4093"/>
    <w:rsid w:val="778E6D06"/>
    <w:rsid w:val="77901BB9"/>
    <w:rsid w:val="77903967"/>
    <w:rsid w:val="77905D1A"/>
    <w:rsid w:val="7791148D"/>
    <w:rsid w:val="779134BC"/>
    <w:rsid w:val="779217E1"/>
    <w:rsid w:val="7792307C"/>
    <w:rsid w:val="7792466B"/>
    <w:rsid w:val="779276DF"/>
    <w:rsid w:val="77932740"/>
    <w:rsid w:val="77935205"/>
    <w:rsid w:val="77942A4D"/>
    <w:rsid w:val="7794726C"/>
    <w:rsid w:val="77952444"/>
    <w:rsid w:val="77972F48"/>
    <w:rsid w:val="7798281C"/>
    <w:rsid w:val="7798707D"/>
    <w:rsid w:val="779914C3"/>
    <w:rsid w:val="77996730"/>
    <w:rsid w:val="779968AA"/>
    <w:rsid w:val="779A199D"/>
    <w:rsid w:val="779B1797"/>
    <w:rsid w:val="779B4DCB"/>
    <w:rsid w:val="779C0774"/>
    <w:rsid w:val="779C184E"/>
    <w:rsid w:val="779C230C"/>
    <w:rsid w:val="779C40BA"/>
    <w:rsid w:val="779C67B0"/>
    <w:rsid w:val="779D6084"/>
    <w:rsid w:val="779E1EC9"/>
    <w:rsid w:val="779E4DF6"/>
    <w:rsid w:val="779E5056"/>
    <w:rsid w:val="779F1DFC"/>
    <w:rsid w:val="77A06F50"/>
    <w:rsid w:val="77A103E0"/>
    <w:rsid w:val="77A118F0"/>
    <w:rsid w:val="77A141A5"/>
    <w:rsid w:val="77A256AB"/>
    <w:rsid w:val="77A30552"/>
    <w:rsid w:val="77A318EC"/>
    <w:rsid w:val="77A32591"/>
    <w:rsid w:val="77A36855"/>
    <w:rsid w:val="77A4433C"/>
    <w:rsid w:val="77A45665"/>
    <w:rsid w:val="77A60210"/>
    <w:rsid w:val="77A6318B"/>
    <w:rsid w:val="77A6537E"/>
    <w:rsid w:val="77A775B2"/>
    <w:rsid w:val="77A85155"/>
    <w:rsid w:val="77A86F03"/>
    <w:rsid w:val="77A94A29"/>
    <w:rsid w:val="77A95664"/>
    <w:rsid w:val="77A96839"/>
    <w:rsid w:val="77A96E95"/>
    <w:rsid w:val="77AA164B"/>
    <w:rsid w:val="77AC443F"/>
    <w:rsid w:val="77AD6983"/>
    <w:rsid w:val="77AE0291"/>
    <w:rsid w:val="77AE12A3"/>
    <w:rsid w:val="77AF64E3"/>
    <w:rsid w:val="77AF7DA7"/>
    <w:rsid w:val="77B04009"/>
    <w:rsid w:val="77B05DB7"/>
    <w:rsid w:val="77B07B65"/>
    <w:rsid w:val="77B07D5A"/>
    <w:rsid w:val="77B1026B"/>
    <w:rsid w:val="77B11365"/>
    <w:rsid w:val="77B21B30"/>
    <w:rsid w:val="77B238DE"/>
    <w:rsid w:val="77B372A5"/>
    <w:rsid w:val="77B37656"/>
    <w:rsid w:val="77B42785"/>
    <w:rsid w:val="77B46856"/>
    <w:rsid w:val="77B54E04"/>
    <w:rsid w:val="77B565A5"/>
    <w:rsid w:val="77B56B1F"/>
    <w:rsid w:val="77B67646"/>
    <w:rsid w:val="77B71DF8"/>
    <w:rsid w:val="77B72606"/>
    <w:rsid w:val="77B746D8"/>
    <w:rsid w:val="77B75398"/>
    <w:rsid w:val="77B84C6C"/>
    <w:rsid w:val="77B87AD6"/>
    <w:rsid w:val="77B87C8B"/>
    <w:rsid w:val="77B93593"/>
    <w:rsid w:val="77B95B36"/>
    <w:rsid w:val="77B95E16"/>
    <w:rsid w:val="77B9641C"/>
    <w:rsid w:val="77BA08FB"/>
    <w:rsid w:val="77BA0F87"/>
    <w:rsid w:val="77BB67E7"/>
    <w:rsid w:val="77BC29AE"/>
    <w:rsid w:val="77BC4626"/>
    <w:rsid w:val="77BE0D98"/>
    <w:rsid w:val="77BF0A31"/>
    <w:rsid w:val="77BF1033"/>
    <w:rsid w:val="77BF2228"/>
    <w:rsid w:val="77BF5FFA"/>
    <w:rsid w:val="77C17FC5"/>
    <w:rsid w:val="77C24479"/>
    <w:rsid w:val="77C312B3"/>
    <w:rsid w:val="77C33BF1"/>
    <w:rsid w:val="77C356D5"/>
    <w:rsid w:val="77C35AEB"/>
    <w:rsid w:val="77C41863"/>
    <w:rsid w:val="77C4305F"/>
    <w:rsid w:val="77C43B1F"/>
    <w:rsid w:val="77C47AB5"/>
    <w:rsid w:val="77C52717"/>
    <w:rsid w:val="77C6382D"/>
    <w:rsid w:val="77C67389"/>
    <w:rsid w:val="77C701C7"/>
    <w:rsid w:val="77C74EAF"/>
    <w:rsid w:val="77C75775"/>
    <w:rsid w:val="77C7709F"/>
    <w:rsid w:val="77C83101"/>
    <w:rsid w:val="77C85598"/>
    <w:rsid w:val="77C90C27"/>
    <w:rsid w:val="77CA2C8E"/>
    <w:rsid w:val="77CA50CB"/>
    <w:rsid w:val="77CB72CE"/>
    <w:rsid w:val="77CC339C"/>
    <w:rsid w:val="77CC3A1C"/>
    <w:rsid w:val="77CC5F6D"/>
    <w:rsid w:val="77CD4BBB"/>
    <w:rsid w:val="77CD6969"/>
    <w:rsid w:val="77CE5D46"/>
    <w:rsid w:val="77CE623E"/>
    <w:rsid w:val="77CE6964"/>
    <w:rsid w:val="77CF673A"/>
    <w:rsid w:val="77D01FB6"/>
    <w:rsid w:val="77D0645A"/>
    <w:rsid w:val="77D11943"/>
    <w:rsid w:val="77D23F80"/>
    <w:rsid w:val="77D261A4"/>
    <w:rsid w:val="77D31AA6"/>
    <w:rsid w:val="77D36C81"/>
    <w:rsid w:val="77D45F4A"/>
    <w:rsid w:val="77D4708F"/>
    <w:rsid w:val="77D47CF8"/>
    <w:rsid w:val="77D53A70"/>
    <w:rsid w:val="77D53B2E"/>
    <w:rsid w:val="77D55B8F"/>
    <w:rsid w:val="77D575CC"/>
    <w:rsid w:val="77D60760"/>
    <w:rsid w:val="77D632DB"/>
    <w:rsid w:val="77D63978"/>
    <w:rsid w:val="77D73344"/>
    <w:rsid w:val="77D80B88"/>
    <w:rsid w:val="77DA1086"/>
    <w:rsid w:val="77DA1306"/>
    <w:rsid w:val="77DA2E34"/>
    <w:rsid w:val="77DA4BE2"/>
    <w:rsid w:val="77DB327A"/>
    <w:rsid w:val="77DC095A"/>
    <w:rsid w:val="77DC1BAE"/>
    <w:rsid w:val="77DC2B82"/>
    <w:rsid w:val="77DC6BAC"/>
    <w:rsid w:val="77DD4321"/>
    <w:rsid w:val="77DD57F3"/>
    <w:rsid w:val="77DD6EF2"/>
    <w:rsid w:val="77DE46D3"/>
    <w:rsid w:val="77DF1E38"/>
    <w:rsid w:val="77DF669D"/>
    <w:rsid w:val="77E00C01"/>
    <w:rsid w:val="77E141C3"/>
    <w:rsid w:val="77E15873"/>
    <w:rsid w:val="77E15F71"/>
    <w:rsid w:val="77E20AD3"/>
    <w:rsid w:val="77E31CE9"/>
    <w:rsid w:val="77E36B97"/>
    <w:rsid w:val="77E407E6"/>
    <w:rsid w:val="77E418BC"/>
    <w:rsid w:val="77E4630B"/>
    <w:rsid w:val="77E67A2B"/>
    <w:rsid w:val="77E837A3"/>
    <w:rsid w:val="77E83AE2"/>
    <w:rsid w:val="77E912C9"/>
    <w:rsid w:val="77E93077"/>
    <w:rsid w:val="77E95495"/>
    <w:rsid w:val="77EB5041"/>
    <w:rsid w:val="77ED0A5E"/>
    <w:rsid w:val="77ED0DBA"/>
    <w:rsid w:val="77ED69E7"/>
    <w:rsid w:val="77ED700C"/>
    <w:rsid w:val="77EE0E4F"/>
    <w:rsid w:val="77EF7335"/>
    <w:rsid w:val="77F00652"/>
    <w:rsid w:val="77F008AA"/>
    <w:rsid w:val="77F02658"/>
    <w:rsid w:val="77F11A4A"/>
    <w:rsid w:val="77F2017E"/>
    <w:rsid w:val="77F20C9D"/>
    <w:rsid w:val="77F24622"/>
    <w:rsid w:val="77F263D0"/>
    <w:rsid w:val="77F31337"/>
    <w:rsid w:val="77F43DA8"/>
    <w:rsid w:val="77F500A3"/>
    <w:rsid w:val="77F57C6E"/>
    <w:rsid w:val="77F67EDB"/>
    <w:rsid w:val="77F80F29"/>
    <w:rsid w:val="77F959B0"/>
    <w:rsid w:val="77FA0479"/>
    <w:rsid w:val="77FA7283"/>
    <w:rsid w:val="77FB478A"/>
    <w:rsid w:val="77FC0FFD"/>
    <w:rsid w:val="77FC2DAB"/>
    <w:rsid w:val="77FC3782"/>
    <w:rsid w:val="77FD363D"/>
    <w:rsid w:val="77FD7E9C"/>
    <w:rsid w:val="77FE2E8E"/>
    <w:rsid w:val="77FE2FC7"/>
    <w:rsid w:val="77FE796C"/>
    <w:rsid w:val="77FF5F83"/>
    <w:rsid w:val="7800438D"/>
    <w:rsid w:val="78011A5F"/>
    <w:rsid w:val="780126D9"/>
    <w:rsid w:val="7801310F"/>
    <w:rsid w:val="78014865"/>
    <w:rsid w:val="78016613"/>
    <w:rsid w:val="78017BCA"/>
    <w:rsid w:val="780305DD"/>
    <w:rsid w:val="7803238B"/>
    <w:rsid w:val="78041788"/>
    <w:rsid w:val="78046F87"/>
    <w:rsid w:val="78056103"/>
    <w:rsid w:val="780600CD"/>
    <w:rsid w:val="78063C29"/>
    <w:rsid w:val="780659D7"/>
    <w:rsid w:val="780815AD"/>
    <w:rsid w:val="7808174F"/>
    <w:rsid w:val="78095FF5"/>
    <w:rsid w:val="780A196C"/>
    <w:rsid w:val="780B1240"/>
    <w:rsid w:val="780B7492"/>
    <w:rsid w:val="780D6D66"/>
    <w:rsid w:val="780F09F4"/>
    <w:rsid w:val="780F0D30"/>
    <w:rsid w:val="780F6F82"/>
    <w:rsid w:val="78100E05"/>
    <w:rsid w:val="78101D81"/>
    <w:rsid w:val="78104AA8"/>
    <w:rsid w:val="78104EAB"/>
    <w:rsid w:val="78106856"/>
    <w:rsid w:val="78113211"/>
    <w:rsid w:val="781161C2"/>
    <w:rsid w:val="78120820"/>
    <w:rsid w:val="78126A72"/>
    <w:rsid w:val="78127272"/>
    <w:rsid w:val="781400F4"/>
    <w:rsid w:val="78144598"/>
    <w:rsid w:val="78146346"/>
    <w:rsid w:val="78160310"/>
    <w:rsid w:val="781819A2"/>
    <w:rsid w:val="78191BAF"/>
    <w:rsid w:val="78197E01"/>
    <w:rsid w:val="781A1483"/>
    <w:rsid w:val="781A76D5"/>
    <w:rsid w:val="781B5752"/>
    <w:rsid w:val="781C0044"/>
    <w:rsid w:val="781C169F"/>
    <w:rsid w:val="781C344D"/>
    <w:rsid w:val="781C51B7"/>
    <w:rsid w:val="781C51FB"/>
    <w:rsid w:val="781D0B6C"/>
    <w:rsid w:val="781D6EC7"/>
    <w:rsid w:val="781E3086"/>
    <w:rsid w:val="781E79F3"/>
    <w:rsid w:val="781F40D3"/>
    <w:rsid w:val="781F4CEB"/>
    <w:rsid w:val="781F6A99"/>
    <w:rsid w:val="781F6CA4"/>
    <w:rsid w:val="781F7B7F"/>
    <w:rsid w:val="7820118F"/>
    <w:rsid w:val="78211F6B"/>
    <w:rsid w:val="78216CB5"/>
    <w:rsid w:val="78224A61"/>
    <w:rsid w:val="78232A2D"/>
    <w:rsid w:val="782335BB"/>
    <w:rsid w:val="782347DB"/>
    <w:rsid w:val="78234AAC"/>
    <w:rsid w:val="78235625"/>
    <w:rsid w:val="78236589"/>
    <w:rsid w:val="78236AB5"/>
    <w:rsid w:val="7824194A"/>
    <w:rsid w:val="78245EFE"/>
    <w:rsid w:val="78252301"/>
    <w:rsid w:val="7825294B"/>
    <w:rsid w:val="78254C9E"/>
    <w:rsid w:val="782567A5"/>
    <w:rsid w:val="7826607A"/>
    <w:rsid w:val="78270007"/>
    <w:rsid w:val="78283BA0"/>
    <w:rsid w:val="782A7205"/>
    <w:rsid w:val="782B3690"/>
    <w:rsid w:val="782C28A7"/>
    <w:rsid w:val="782C638A"/>
    <w:rsid w:val="782C7E18"/>
    <w:rsid w:val="782D565A"/>
    <w:rsid w:val="782D7161"/>
    <w:rsid w:val="782F13D2"/>
    <w:rsid w:val="782F5058"/>
    <w:rsid w:val="78306EF8"/>
    <w:rsid w:val="783110B9"/>
    <w:rsid w:val="78315DA2"/>
    <w:rsid w:val="783207F7"/>
    <w:rsid w:val="78320EC2"/>
    <w:rsid w:val="78322C70"/>
    <w:rsid w:val="78324A1E"/>
    <w:rsid w:val="7833093B"/>
    <w:rsid w:val="78331C64"/>
    <w:rsid w:val="78340796"/>
    <w:rsid w:val="78342545"/>
    <w:rsid w:val="783469E8"/>
    <w:rsid w:val="783509AB"/>
    <w:rsid w:val="78352620"/>
    <w:rsid w:val="7836417C"/>
    <w:rsid w:val="78370287"/>
    <w:rsid w:val="78393DA0"/>
    <w:rsid w:val="78393FA6"/>
    <w:rsid w:val="78397B5B"/>
    <w:rsid w:val="783A38D3"/>
    <w:rsid w:val="783A5084"/>
    <w:rsid w:val="783A53EF"/>
    <w:rsid w:val="783A6665"/>
    <w:rsid w:val="783B10CE"/>
    <w:rsid w:val="783C1995"/>
    <w:rsid w:val="783C3AEF"/>
    <w:rsid w:val="783C764B"/>
    <w:rsid w:val="783D0B77"/>
    <w:rsid w:val="783E33C3"/>
    <w:rsid w:val="783E628A"/>
    <w:rsid w:val="783E7867"/>
    <w:rsid w:val="783F0EE9"/>
    <w:rsid w:val="783F546D"/>
    <w:rsid w:val="783F69DF"/>
    <w:rsid w:val="783F7DB0"/>
    <w:rsid w:val="78407669"/>
    <w:rsid w:val="784110FF"/>
    <w:rsid w:val="78414C61"/>
    <w:rsid w:val="78416354"/>
    <w:rsid w:val="784208F3"/>
    <w:rsid w:val="784214AF"/>
    <w:rsid w:val="7843609F"/>
    <w:rsid w:val="784365C6"/>
    <w:rsid w:val="78436C2C"/>
    <w:rsid w:val="78445660"/>
    <w:rsid w:val="784471B4"/>
    <w:rsid w:val="78450BF6"/>
    <w:rsid w:val="78453EF6"/>
    <w:rsid w:val="78455D3B"/>
    <w:rsid w:val="78463590"/>
    <w:rsid w:val="78465FE5"/>
    <w:rsid w:val="784732DF"/>
    <w:rsid w:val="78487861"/>
    <w:rsid w:val="78490C60"/>
    <w:rsid w:val="78491F11"/>
    <w:rsid w:val="784939F7"/>
    <w:rsid w:val="78496E1F"/>
    <w:rsid w:val="784A1D68"/>
    <w:rsid w:val="784A3A51"/>
    <w:rsid w:val="784A5B37"/>
    <w:rsid w:val="784B3FF3"/>
    <w:rsid w:val="784D7AAA"/>
    <w:rsid w:val="784D7C43"/>
    <w:rsid w:val="784E2CAA"/>
    <w:rsid w:val="784E3ABE"/>
    <w:rsid w:val="784F4498"/>
    <w:rsid w:val="785030F6"/>
    <w:rsid w:val="785106A3"/>
    <w:rsid w:val="78516135"/>
    <w:rsid w:val="78516F62"/>
    <w:rsid w:val="78520602"/>
    <w:rsid w:val="785458E3"/>
    <w:rsid w:val="7855070D"/>
    <w:rsid w:val="78564BB1"/>
    <w:rsid w:val="78574485"/>
    <w:rsid w:val="785774B3"/>
    <w:rsid w:val="785859A5"/>
    <w:rsid w:val="78590179"/>
    <w:rsid w:val="7859032F"/>
    <w:rsid w:val="78593D58"/>
    <w:rsid w:val="7859615E"/>
    <w:rsid w:val="785A4DC4"/>
    <w:rsid w:val="785B5D23"/>
    <w:rsid w:val="785C6289"/>
    <w:rsid w:val="785D1817"/>
    <w:rsid w:val="785E2CA7"/>
    <w:rsid w:val="786077DD"/>
    <w:rsid w:val="78621628"/>
    <w:rsid w:val="786313D0"/>
    <w:rsid w:val="78632E2A"/>
    <w:rsid w:val="786453D8"/>
    <w:rsid w:val="78646412"/>
    <w:rsid w:val="78650950"/>
    <w:rsid w:val="78655A4A"/>
    <w:rsid w:val="78656BA2"/>
    <w:rsid w:val="7866354D"/>
    <w:rsid w:val="786638B8"/>
    <w:rsid w:val="786646C8"/>
    <w:rsid w:val="78670B6C"/>
    <w:rsid w:val="786731E2"/>
    <w:rsid w:val="78676109"/>
    <w:rsid w:val="78677AD5"/>
    <w:rsid w:val="78685B0F"/>
    <w:rsid w:val="786860E4"/>
    <w:rsid w:val="786A124A"/>
    <w:rsid w:val="786A240A"/>
    <w:rsid w:val="786A41B8"/>
    <w:rsid w:val="786A6B09"/>
    <w:rsid w:val="786C0252"/>
    <w:rsid w:val="786C7F30"/>
    <w:rsid w:val="786D3CA8"/>
    <w:rsid w:val="786D673B"/>
    <w:rsid w:val="786E0CF9"/>
    <w:rsid w:val="786F1032"/>
    <w:rsid w:val="786F17CF"/>
    <w:rsid w:val="786F2FCD"/>
    <w:rsid w:val="786F609A"/>
    <w:rsid w:val="78704E06"/>
    <w:rsid w:val="78715547"/>
    <w:rsid w:val="78716B8E"/>
    <w:rsid w:val="78720B32"/>
    <w:rsid w:val="78730E6C"/>
    <w:rsid w:val="7873289B"/>
    <w:rsid w:val="78734760"/>
    <w:rsid w:val="787361FA"/>
    <w:rsid w:val="78746401"/>
    <w:rsid w:val="78760DAF"/>
    <w:rsid w:val="78764CC5"/>
    <w:rsid w:val="78770437"/>
    <w:rsid w:val="78783737"/>
    <w:rsid w:val="7878529E"/>
    <w:rsid w:val="7878641F"/>
    <w:rsid w:val="78787EA2"/>
    <w:rsid w:val="7879089F"/>
    <w:rsid w:val="787943FB"/>
    <w:rsid w:val="787B4617"/>
    <w:rsid w:val="787B63C5"/>
    <w:rsid w:val="787B6820"/>
    <w:rsid w:val="787C25FD"/>
    <w:rsid w:val="787C5288"/>
    <w:rsid w:val="787C72B1"/>
    <w:rsid w:val="787D038F"/>
    <w:rsid w:val="787D0FCF"/>
    <w:rsid w:val="787D70C9"/>
    <w:rsid w:val="787E0B50"/>
    <w:rsid w:val="787E5EB6"/>
    <w:rsid w:val="787F22D9"/>
    <w:rsid w:val="787F5095"/>
    <w:rsid w:val="788039DC"/>
    <w:rsid w:val="78804D9A"/>
    <w:rsid w:val="78810918"/>
    <w:rsid w:val="788259A6"/>
    <w:rsid w:val="788274D1"/>
    <w:rsid w:val="78827754"/>
    <w:rsid w:val="78830873"/>
    <w:rsid w:val="78833532"/>
    <w:rsid w:val="7883527A"/>
    <w:rsid w:val="7884748D"/>
    <w:rsid w:val="788475A5"/>
    <w:rsid w:val="78847910"/>
    <w:rsid w:val="78856B64"/>
    <w:rsid w:val="788628FA"/>
    <w:rsid w:val="78870772"/>
    <w:rsid w:val="78872FBC"/>
    <w:rsid w:val="78882890"/>
    <w:rsid w:val="78891D76"/>
    <w:rsid w:val="788947D3"/>
    <w:rsid w:val="788973A4"/>
    <w:rsid w:val="788A2AAC"/>
    <w:rsid w:val="788A485A"/>
    <w:rsid w:val="788B5123"/>
    <w:rsid w:val="788C05D2"/>
    <w:rsid w:val="788C68AE"/>
    <w:rsid w:val="788D0D17"/>
    <w:rsid w:val="788D434B"/>
    <w:rsid w:val="788D45E4"/>
    <w:rsid w:val="788D7EA7"/>
    <w:rsid w:val="788E241E"/>
    <w:rsid w:val="788F4E1B"/>
    <w:rsid w:val="789046A6"/>
    <w:rsid w:val="789061FA"/>
    <w:rsid w:val="789111FE"/>
    <w:rsid w:val="78911745"/>
    <w:rsid w:val="78912898"/>
    <w:rsid w:val="78913FC3"/>
    <w:rsid w:val="78917997"/>
    <w:rsid w:val="789214FA"/>
    <w:rsid w:val="7892260E"/>
    <w:rsid w:val="7892370F"/>
    <w:rsid w:val="789254BD"/>
    <w:rsid w:val="78926FC6"/>
    <w:rsid w:val="78933027"/>
    <w:rsid w:val="78935267"/>
    <w:rsid w:val="789366E3"/>
    <w:rsid w:val="7894044C"/>
    <w:rsid w:val="78941235"/>
    <w:rsid w:val="78955947"/>
    <w:rsid w:val="78957C5C"/>
    <w:rsid w:val="78961451"/>
    <w:rsid w:val="789631FF"/>
    <w:rsid w:val="78970D25"/>
    <w:rsid w:val="78972AD3"/>
    <w:rsid w:val="78985D43"/>
    <w:rsid w:val="78986F77"/>
    <w:rsid w:val="78991B46"/>
    <w:rsid w:val="78992CEF"/>
    <w:rsid w:val="78994A9D"/>
    <w:rsid w:val="789A0329"/>
    <w:rsid w:val="789A1826"/>
    <w:rsid w:val="789A4C11"/>
    <w:rsid w:val="789A5BFF"/>
    <w:rsid w:val="789B0816"/>
    <w:rsid w:val="789B6238"/>
    <w:rsid w:val="789B6A68"/>
    <w:rsid w:val="789C4C54"/>
    <w:rsid w:val="789C633C"/>
    <w:rsid w:val="789D458E"/>
    <w:rsid w:val="789D4D48"/>
    <w:rsid w:val="789D523F"/>
    <w:rsid w:val="789E3E62"/>
    <w:rsid w:val="789F69F9"/>
    <w:rsid w:val="789F70FF"/>
    <w:rsid w:val="78A01979"/>
    <w:rsid w:val="78A02A5A"/>
    <w:rsid w:val="78A0407E"/>
    <w:rsid w:val="78A05E2C"/>
    <w:rsid w:val="78A13EEA"/>
    <w:rsid w:val="78A141F4"/>
    <w:rsid w:val="78A21BA4"/>
    <w:rsid w:val="78A23952"/>
    <w:rsid w:val="78A27DF6"/>
    <w:rsid w:val="78A413DB"/>
    <w:rsid w:val="78A43EC6"/>
    <w:rsid w:val="78A46E88"/>
    <w:rsid w:val="78A470A6"/>
    <w:rsid w:val="78A500F0"/>
    <w:rsid w:val="78A51694"/>
    <w:rsid w:val="78A53442"/>
    <w:rsid w:val="78A540EB"/>
    <w:rsid w:val="78A551F0"/>
    <w:rsid w:val="78A5543C"/>
    <w:rsid w:val="78A55803"/>
    <w:rsid w:val="78A56271"/>
    <w:rsid w:val="78A56478"/>
    <w:rsid w:val="78A625AA"/>
    <w:rsid w:val="78A64D43"/>
    <w:rsid w:val="78A652B5"/>
    <w:rsid w:val="78A7540C"/>
    <w:rsid w:val="78A76920"/>
    <w:rsid w:val="78A771BA"/>
    <w:rsid w:val="78A77D5C"/>
    <w:rsid w:val="78A82F32"/>
    <w:rsid w:val="78A90480"/>
    <w:rsid w:val="78A9524D"/>
    <w:rsid w:val="78AA0A59"/>
    <w:rsid w:val="78AA3A80"/>
    <w:rsid w:val="78AA66DD"/>
    <w:rsid w:val="78AC2A23"/>
    <w:rsid w:val="78AC47D1"/>
    <w:rsid w:val="78AC657F"/>
    <w:rsid w:val="78AD0549"/>
    <w:rsid w:val="78AE7934"/>
    <w:rsid w:val="78AF606F"/>
    <w:rsid w:val="78AF7274"/>
    <w:rsid w:val="78AF797E"/>
    <w:rsid w:val="78B139DF"/>
    <w:rsid w:val="78B17466"/>
    <w:rsid w:val="78B2114C"/>
    <w:rsid w:val="78B2790D"/>
    <w:rsid w:val="78B33DB1"/>
    <w:rsid w:val="78B35AFC"/>
    <w:rsid w:val="78B418D7"/>
    <w:rsid w:val="78B4778F"/>
    <w:rsid w:val="78B47B29"/>
    <w:rsid w:val="78B54E34"/>
    <w:rsid w:val="78B61C4C"/>
    <w:rsid w:val="78B638A1"/>
    <w:rsid w:val="78B673FD"/>
    <w:rsid w:val="78B707B2"/>
    <w:rsid w:val="78B72D6C"/>
    <w:rsid w:val="78B74F24"/>
    <w:rsid w:val="78B80CE1"/>
    <w:rsid w:val="78B83176"/>
    <w:rsid w:val="78B84894"/>
    <w:rsid w:val="78B90C9C"/>
    <w:rsid w:val="78B92DA8"/>
    <w:rsid w:val="78B95140"/>
    <w:rsid w:val="78BB2C66"/>
    <w:rsid w:val="78BB4A14"/>
    <w:rsid w:val="78BB532C"/>
    <w:rsid w:val="78BB63A0"/>
    <w:rsid w:val="78BC1CF7"/>
    <w:rsid w:val="78BD1A3A"/>
    <w:rsid w:val="78BD2053"/>
    <w:rsid w:val="78BD751F"/>
    <w:rsid w:val="78BE1364"/>
    <w:rsid w:val="78BE3412"/>
    <w:rsid w:val="78BE55CC"/>
    <w:rsid w:val="78BF024C"/>
    <w:rsid w:val="78BF0401"/>
    <w:rsid w:val="78BF7473"/>
    <w:rsid w:val="78C00743"/>
    <w:rsid w:val="78C02044"/>
    <w:rsid w:val="78C064CE"/>
    <w:rsid w:val="78C11DA8"/>
    <w:rsid w:val="78C14E71"/>
    <w:rsid w:val="78C30BD1"/>
    <w:rsid w:val="78C31B1A"/>
    <w:rsid w:val="78C42189"/>
    <w:rsid w:val="78C4506D"/>
    <w:rsid w:val="78C47DA6"/>
    <w:rsid w:val="78C53AE4"/>
    <w:rsid w:val="78C56C69"/>
    <w:rsid w:val="78C57641"/>
    <w:rsid w:val="78C70178"/>
    <w:rsid w:val="78C733B9"/>
    <w:rsid w:val="78C833A6"/>
    <w:rsid w:val="78C849A6"/>
    <w:rsid w:val="78C935D5"/>
    <w:rsid w:val="78CA10FB"/>
    <w:rsid w:val="78CA2EA9"/>
    <w:rsid w:val="78CB05FB"/>
    <w:rsid w:val="78CB508B"/>
    <w:rsid w:val="78CC3BB5"/>
    <w:rsid w:val="78CC4E73"/>
    <w:rsid w:val="78CD346B"/>
    <w:rsid w:val="78CE2999"/>
    <w:rsid w:val="78CE2F07"/>
    <w:rsid w:val="78CF04BF"/>
    <w:rsid w:val="78CF226D"/>
    <w:rsid w:val="78CF4963"/>
    <w:rsid w:val="78D05971"/>
    <w:rsid w:val="78D12FC9"/>
    <w:rsid w:val="78D14237"/>
    <w:rsid w:val="78D2049C"/>
    <w:rsid w:val="78D2231F"/>
    <w:rsid w:val="78D22D18"/>
    <w:rsid w:val="78D24E51"/>
    <w:rsid w:val="78D279E5"/>
    <w:rsid w:val="78D3379E"/>
    <w:rsid w:val="78D358E9"/>
    <w:rsid w:val="78D3594E"/>
    <w:rsid w:val="78D37FAF"/>
    <w:rsid w:val="78D41267"/>
    <w:rsid w:val="78D45AD6"/>
    <w:rsid w:val="78D51BDC"/>
    <w:rsid w:val="78D51E4D"/>
    <w:rsid w:val="78D6184E"/>
    <w:rsid w:val="78D61F25"/>
    <w:rsid w:val="78D66F71"/>
    <w:rsid w:val="78D83818"/>
    <w:rsid w:val="78D92BEB"/>
    <w:rsid w:val="78D930EC"/>
    <w:rsid w:val="78DA187D"/>
    <w:rsid w:val="78DA407B"/>
    <w:rsid w:val="78DA5647"/>
    <w:rsid w:val="78DA637D"/>
    <w:rsid w:val="78DA683F"/>
    <w:rsid w:val="78DA706B"/>
    <w:rsid w:val="78DB50B6"/>
    <w:rsid w:val="78DB5727"/>
    <w:rsid w:val="78DB6E64"/>
    <w:rsid w:val="78DB754C"/>
    <w:rsid w:val="78DD498A"/>
    <w:rsid w:val="78DE204E"/>
    <w:rsid w:val="78E0091E"/>
    <w:rsid w:val="78E026CC"/>
    <w:rsid w:val="78E13C50"/>
    <w:rsid w:val="78E201F2"/>
    <w:rsid w:val="78E20DFA"/>
    <w:rsid w:val="78E23F4E"/>
    <w:rsid w:val="78E24696"/>
    <w:rsid w:val="78E332A2"/>
    <w:rsid w:val="78E33F6B"/>
    <w:rsid w:val="78E46ED4"/>
    <w:rsid w:val="78E5118E"/>
    <w:rsid w:val="78E51A91"/>
    <w:rsid w:val="78E55F35"/>
    <w:rsid w:val="78E6261E"/>
    <w:rsid w:val="78E71CAD"/>
    <w:rsid w:val="78E72B2C"/>
    <w:rsid w:val="78E75809"/>
    <w:rsid w:val="78E81581"/>
    <w:rsid w:val="78E8332F"/>
    <w:rsid w:val="78E87E6C"/>
    <w:rsid w:val="78E977D3"/>
    <w:rsid w:val="78EA354B"/>
    <w:rsid w:val="78EA7D4E"/>
    <w:rsid w:val="78EC1071"/>
    <w:rsid w:val="78EC2E1F"/>
    <w:rsid w:val="78EC3FFA"/>
    <w:rsid w:val="78EC72C3"/>
    <w:rsid w:val="78EC7A98"/>
    <w:rsid w:val="78EE303B"/>
    <w:rsid w:val="78EF0B61"/>
    <w:rsid w:val="78EF2935"/>
    <w:rsid w:val="78EF46BD"/>
    <w:rsid w:val="78EF6552"/>
    <w:rsid w:val="78F03284"/>
    <w:rsid w:val="78F10436"/>
    <w:rsid w:val="78F16688"/>
    <w:rsid w:val="78F21753"/>
    <w:rsid w:val="78F2388C"/>
    <w:rsid w:val="78F246B6"/>
    <w:rsid w:val="78F32400"/>
    <w:rsid w:val="78F36363"/>
    <w:rsid w:val="78F41CD4"/>
    <w:rsid w:val="78F47F26"/>
    <w:rsid w:val="78F50A48"/>
    <w:rsid w:val="78F6195B"/>
    <w:rsid w:val="78F61EF0"/>
    <w:rsid w:val="78F6215E"/>
    <w:rsid w:val="78F62B70"/>
    <w:rsid w:val="78F63C9E"/>
    <w:rsid w:val="78F65A4C"/>
    <w:rsid w:val="78F71F52"/>
    <w:rsid w:val="78F74CE4"/>
    <w:rsid w:val="78F817C4"/>
    <w:rsid w:val="78F849C2"/>
    <w:rsid w:val="78F85C68"/>
    <w:rsid w:val="78F9378E"/>
    <w:rsid w:val="78F9553C"/>
    <w:rsid w:val="78FA15C9"/>
    <w:rsid w:val="78FA19E0"/>
    <w:rsid w:val="78FA3665"/>
    <w:rsid w:val="78FB12B4"/>
    <w:rsid w:val="78FB3062"/>
    <w:rsid w:val="78FB568C"/>
    <w:rsid w:val="78FC3DAE"/>
    <w:rsid w:val="78FD0B56"/>
    <w:rsid w:val="78FD502C"/>
    <w:rsid w:val="78FD6DDA"/>
    <w:rsid w:val="78FD797A"/>
    <w:rsid w:val="78FE2B52"/>
    <w:rsid w:val="78FF0DA4"/>
    <w:rsid w:val="78FF6FF6"/>
    <w:rsid w:val="79004B1D"/>
    <w:rsid w:val="790068CB"/>
    <w:rsid w:val="79020895"/>
    <w:rsid w:val="79021EBC"/>
    <w:rsid w:val="79022643"/>
    <w:rsid w:val="7902536C"/>
    <w:rsid w:val="790267BE"/>
    <w:rsid w:val="79030169"/>
    <w:rsid w:val="790309BB"/>
    <w:rsid w:val="79032AC7"/>
    <w:rsid w:val="7904171E"/>
    <w:rsid w:val="7904460D"/>
    <w:rsid w:val="790472E8"/>
    <w:rsid w:val="79057077"/>
    <w:rsid w:val="790727C9"/>
    <w:rsid w:val="79073671"/>
    <w:rsid w:val="790740FD"/>
    <w:rsid w:val="790742C7"/>
    <w:rsid w:val="7907499D"/>
    <w:rsid w:val="79075EAB"/>
    <w:rsid w:val="79077C59"/>
    <w:rsid w:val="790836D0"/>
    <w:rsid w:val="7908482C"/>
    <w:rsid w:val="79091C23"/>
    <w:rsid w:val="79092E40"/>
    <w:rsid w:val="790939D1"/>
    <w:rsid w:val="790A0589"/>
    <w:rsid w:val="790A14F7"/>
    <w:rsid w:val="790B5716"/>
    <w:rsid w:val="790B6327"/>
    <w:rsid w:val="790C34C1"/>
    <w:rsid w:val="790C526F"/>
    <w:rsid w:val="790D5B50"/>
    <w:rsid w:val="790D6B28"/>
    <w:rsid w:val="790E039A"/>
    <w:rsid w:val="790E0FE8"/>
    <w:rsid w:val="790E2D96"/>
    <w:rsid w:val="790E548B"/>
    <w:rsid w:val="790F4D60"/>
    <w:rsid w:val="790F6B0E"/>
    <w:rsid w:val="79102FB2"/>
    <w:rsid w:val="791126B8"/>
    <w:rsid w:val="79112886"/>
    <w:rsid w:val="79116D1B"/>
    <w:rsid w:val="7912040A"/>
    <w:rsid w:val="791218EC"/>
    <w:rsid w:val="791233E7"/>
    <w:rsid w:val="791345C3"/>
    <w:rsid w:val="79134850"/>
    <w:rsid w:val="79134951"/>
    <w:rsid w:val="791365FE"/>
    <w:rsid w:val="79142376"/>
    <w:rsid w:val="79151218"/>
    <w:rsid w:val="791635E8"/>
    <w:rsid w:val="79166235"/>
    <w:rsid w:val="79175833"/>
    <w:rsid w:val="7917598C"/>
    <w:rsid w:val="791808F2"/>
    <w:rsid w:val="79181E66"/>
    <w:rsid w:val="79183C14"/>
    <w:rsid w:val="79184D3E"/>
    <w:rsid w:val="79187AAE"/>
    <w:rsid w:val="791941AC"/>
    <w:rsid w:val="79195E1D"/>
    <w:rsid w:val="79196E3A"/>
    <w:rsid w:val="791B1956"/>
    <w:rsid w:val="791B3704"/>
    <w:rsid w:val="791B54B2"/>
    <w:rsid w:val="791C505F"/>
    <w:rsid w:val="791C556F"/>
    <w:rsid w:val="791D52BE"/>
    <w:rsid w:val="791F131F"/>
    <w:rsid w:val="791F1AD6"/>
    <w:rsid w:val="791F31F5"/>
    <w:rsid w:val="7920024A"/>
    <w:rsid w:val="79202AC9"/>
    <w:rsid w:val="79205A40"/>
    <w:rsid w:val="79206224"/>
    <w:rsid w:val="79210E38"/>
    <w:rsid w:val="792213E1"/>
    <w:rsid w:val="79232244"/>
    <w:rsid w:val="792439F1"/>
    <w:rsid w:val="79255191"/>
    <w:rsid w:val="79264A3A"/>
    <w:rsid w:val="792702FB"/>
    <w:rsid w:val="792720A9"/>
    <w:rsid w:val="7927654D"/>
    <w:rsid w:val="7928672D"/>
    <w:rsid w:val="79294073"/>
    <w:rsid w:val="79294FA2"/>
    <w:rsid w:val="792955CC"/>
    <w:rsid w:val="7929744E"/>
    <w:rsid w:val="792A0EF9"/>
    <w:rsid w:val="792A1B99"/>
    <w:rsid w:val="792A3948"/>
    <w:rsid w:val="792A4E89"/>
    <w:rsid w:val="792B6199"/>
    <w:rsid w:val="792C2E5D"/>
    <w:rsid w:val="792C3B64"/>
    <w:rsid w:val="792C5064"/>
    <w:rsid w:val="792C5912"/>
    <w:rsid w:val="792C76C0"/>
    <w:rsid w:val="792E3438"/>
    <w:rsid w:val="792E360D"/>
    <w:rsid w:val="792E4A67"/>
    <w:rsid w:val="792E51E6"/>
    <w:rsid w:val="792F0E14"/>
    <w:rsid w:val="792F71B0"/>
    <w:rsid w:val="7930013D"/>
    <w:rsid w:val="793022A4"/>
    <w:rsid w:val="79307CA4"/>
    <w:rsid w:val="79314BC4"/>
    <w:rsid w:val="79314CD6"/>
    <w:rsid w:val="793177CE"/>
    <w:rsid w:val="79322FD6"/>
    <w:rsid w:val="79330A4E"/>
    <w:rsid w:val="79336CA0"/>
    <w:rsid w:val="7934054A"/>
    <w:rsid w:val="793425DB"/>
    <w:rsid w:val="79352A18"/>
    <w:rsid w:val="793547C6"/>
    <w:rsid w:val="79356116"/>
    <w:rsid w:val="79361601"/>
    <w:rsid w:val="793622EC"/>
    <w:rsid w:val="79366790"/>
    <w:rsid w:val="793675A6"/>
    <w:rsid w:val="79373BDC"/>
    <w:rsid w:val="793750D4"/>
    <w:rsid w:val="79382508"/>
    <w:rsid w:val="79383607"/>
    <w:rsid w:val="793931A9"/>
    <w:rsid w:val="79397A68"/>
    <w:rsid w:val="793A5CAA"/>
    <w:rsid w:val="793A5F27"/>
    <w:rsid w:val="793B5B55"/>
    <w:rsid w:val="793C5C42"/>
    <w:rsid w:val="793C6F17"/>
    <w:rsid w:val="793D18CD"/>
    <w:rsid w:val="793D1CA4"/>
    <w:rsid w:val="793D728F"/>
    <w:rsid w:val="793D7B1F"/>
    <w:rsid w:val="793E1544"/>
    <w:rsid w:val="793F0909"/>
    <w:rsid w:val="793F45EA"/>
    <w:rsid w:val="79400367"/>
    <w:rsid w:val="7940316B"/>
    <w:rsid w:val="7940545D"/>
    <w:rsid w:val="7940719E"/>
    <w:rsid w:val="794157FA"/>
    <w:rsid w:val="79415E38"/>
    <w:rsid w:val="79416086"/>
    <w:rsid w:val="79424DB8"/>
    <w:rsid w:val="79426EE3"/>
    <w:rsid w:val="7942728A"/>
    <w:rsid w:val="794463CE"/>
    <w:rsid w:val="7945168D"/>
    <w:rsid w:val="794653E1"/>
    <w:rsid w:val="794655E4"/>
    <w:rsid w:val="794669D3"/>
    <w:rsid w:val="794675FC"/>
    <w:rsid w:val="794763E3"/>
    <w:rsid w:val="79483506"/>
    <w:rsid w:val="79494343"/>
    <w:rsid w:val="794A232E"/>
    <w:rsid w:val="794A5D98"/>
    <w:rsid w:val="794B2CDF"/>
    <w:rsid w:val="794C1B10"/>
    <w:rsid w:val="794C6494"/>
    <w:rsid w:val="794D7082"/>
    <w:rsid w:val="794E2D81"/>
    <w:rsid w:val="794E582D"/>
    <w:rsid w:val="794E6B15"/>
    <w:rsid w:val="794F188E"/>
    <w:rsid w:val="794F33AE"/>
    <w:rsid w:val="794F59FD"/>
    <w:rsid w:val="79500C97"/>
    <w:rsid w:val="795026E0"/>
    <w:rsid w:val="79507852"/>
    <w:rsid w:val="79507C6C"/>
    <w:rsid w:val="795135CA"/>
    <w:rsid w:val="79515150"/>
    <w:rsid w:val="79515378"/>
    <w:rsid w:val="7953020F"/>
    <w:rsid w:val="795310F0"/>
    <w:rsid w:val="79532E9E"/>
    <w:rsid w:val="79536D73"/>
    <w:rsid w:val="795409C4"/>
    <w:rsid w:val="795450A1"/>
    <w:rsid w:val="79570BE0"/>
    <w:rsid w:val="7957544F"/>
    <w:rsid w:val="795804B5"/>
    <w:rsid w:val="7958093D"/>
    <w:rsid w:val="795814B0"/>
    <w:rsid w:val="7958158B"/>
    <w:rsid w:val="795A422D"/>
    <w:rsid w:val="795A5FDB"/>
    <w:rsid w:val="795C217D"/>
    <w:rsid w:val="795C7EC3"/>
    <w:rsid w:val="795D1F6F"/>
    <w:rsid w:val="795D31F5"/>
    <w:rsid w:val="795D38CC"/>
    <w:rsid w:val="795D3D1D"/>
    <w:rsid w:val="795D7D8E"/>
    <w:rsid w:val="795E2F80"/>
    <w:rsid w:val="795E5221"/>
    <w:rsid w:val="795F1B9C"/>
    <w:rsid w:val="795F5CE7"/>
    <w:rsid w:val="795F7A95"/>
    <w:rsid w:val="79607369"/>
    <w:rsid w:val="796110D2"/>
    <w:rsid w:val="7961380D"/>
    <w:rsid w:val="79621333"/>
    <w:rsid w:val="796230E1"/>
    <w:rsid w:val="79627585"/>
    <w:rsid w:val="79634105"/>
    <w:rsid w:val="796450AB"/>
    <w:rsid w:val="79654980"/>
    <w:rsid w:val="79663AB4"/>
    <w:rsid w:val="79671B4E"/>
    <w:rsid w:val="79672B71"/>
    <w:rsid w:val="79674B9C"/>
    <w:rsid w:val="7967694A"/>
    <w:rsid w:val="79690914"/>
    <w:rsid w:val="796B0C17"/>
    <w:rsid w:val="796B468C"/>
    <w:rsid w:val="796B7926"/>
    <w:rsid w:val="796C56AF"/>
    <w:rsid w:val="796C7F51"/>
    <w:rsid w:val="796E1A86"/>
    <w:rsid w:val="796E4E17"/>
    <w:rsid w:val="796E5F2A"/>
    <w:rsid w:val="796E7CD8"/>
    <w:rsid w:val="796F51EB"/>
    <w:rsid w:val="79701CA2"/>
    <w:rsid w:val="79703A50"/>
    <w:rsid w:val="797057FE"/>
    <w:rsid w:val="79710BC7"/>
    <w:rsid w:val="79711576"/>
    <w:rsid w:val="79722641"/>
    <w:rsid w:val="79733540"/>
    <w:rsid w:val="79733D43"/>
    <w:rsid w:val="797352EE"/>
    <w:rsid w:val="797408EA"/>
    <w:rsid w:val="79742119"/>
    <w:rsid w:val="797425DD"/>
    <w:rsid w:val="797535A9"/>
    <w:rsid w:val="79754594"/>
    <w:rsid w:val="797622F1"/>
    <w:rsid w:val="79780A9A"/>
    <w:rsid w:val="79782905"/>
    <w:rsid w:val="797846B3"/>
    <w:rsid w:val="79787000"/>
    <w:rsid w:val="797A42C2"/>
    <w:rsid w:val="797A7C8F"/>
    <w:rsid w:val="797B12E5"/>
    <w:rsid w:val="797B484A"/>
    <w:rsid w:val="797B7924"/>
    <w:rsid w:val="797B7BDD"/>
    <w:rsid w:val="797C0647"/>
    <w:rsid w:val="797C190D"/>
    <w:rsid w:val="797C5DCA"/>
    <w:rsid w:val="797D34EB"/>
    <w:rsid w:val="797D61CD"/>
    <w:rsid w:val="797D7F1B"/>
    <w:rsid w:val="797E31CB"/>
    <w:rsid w:val="797F0137"/>
    <w:rsid w:val="797F1EE5"/>
    <w:rsid w:val="797F3C93"/>
    <w:rsid w:val="797F4B67"/>
    <w:rsid w:val="797F5A41"/>
    <w:rsid w:val="79811B4C"/>
    <w:rsid w:val="7981328D"/>
    <w:rsid w:val="79815C5D"/>
    <w:rsid w:val="79817A0B"/>
    <w:rsid w:val="798219D5"/>
    <w:rsid w:val="79825532"/>
    <w:rsid w:val="79835F20"/>
    <w:rsid w:val="7984574E"/>
    <w:rsid w:val="79846AF4"/>
    <w:rsid w:val="798474FC"/>
    <w:rsid w:val="798476A8"/>
    <w:rsid w:val="7986326E"/>
    <w:rsid w:val="79863274"/>
    <w:rsid w:val="79865022"/>
    <w:rsid w:val="79876FEC"/>
    <w:rsid w:val="79884369"/>
    <w:rsid w:val="79891318"/>
    <w:rsid w:val="79891A1F"/>
    <w:rsid w:val="7989246C"/>
    <w:rsid w:val="798927D7"/>
    <w:rsid w:val="79892D64"/>
    <w:rsid w:val="79894B12"/>
    <w:rsid w:val="798968C0"/>
    <w:rsid w:val="798A0AC8"/>
    <w:rsid w:val="798A15CB"/>
    <w:rsid w:val="798A2EAF"/>
    <w:rsid w:val="798A40ED"/>
    <w:rsid w:val="798B2638"/>
    <w:rsid w:val="798B4E50"/>
    <w:rsid w:val="798C015E"/>
    <w:rsid w:val="798D4602"/>
    <w:rsid w:val="798D5610"/>
    <w:rsid w:val="798D69C8"/>
    <w:rsid w:val="798E2128"/>
    <w:rsid w:val="798E3ED6"/>
    <w:rsid w:val="798E4D88"/>
    <w:rsid w:val="798F3644"/>
    <w:rsid w:val="7990327A"/>
    <w:rsid w:val="79905EA0"/>
    <w:rsid w:val="7992157B"/>
    <w:rsid w:val="79922AF5"/>
    <w:rsid w:val="79924211"/>
    <w:rsid w:val="79935991"/>
    <w:rsid w:val="79951709"/>
    <w:rsid w:val="799534B7"/>
    <w:rsid w:val="79954710"/>
    <w:rsid w:val="79961451"/>
    <w:rsid w:val="79962574"/>
    <w:rsid w:val="79964F28"/>
    <w:rsid w:val="79967A89"/>
    <w:rsid w:val="799728D3"/>
    <w:rsid w:val="79982FA7"/>
    <w:rsid w:val="799837C6"/>
    <w:rsid w:val="79984D55"/>
    <w:rsid w:val="79985FAC"/>
    <w:rsid w:val="79986942"/>
    <w:rsid w:val="799A068D"/>
    <w:rsid w:val="799A0ACD"/>
    <w:rsid w:val="799A26AE"/>
    <w:rsid w:val="799A5F89"/>
    <w:rsid w:val="799A6D1F"/>
    <w:rsid w:val="799C4845"/>
    <w:rsid w:val="799C6753"/>
    <w:rsid w:val="799C6910"/>
    <w:rsid w:val="799D05BD"/>
    <w:rsid w:val="799D53E3"/>
    <w:rsid w:val="799F26B7"/>
    <w:rsid w:val="799F60E4"/>
    <w:rsid w:val="799F7E92"/>
    <w:rsid w:val="79A03FCF"/>
    <w:rsid w:val="79A07CA5"/>
    <w:rsid w:val="79A100AE"/>
    <w:rsid w:val="79A11E5C"/>
    <w:rsid w:val="79A13C0A"/>
    <w:rsid w:val="79A225C5"/>
    <w:rsid w:val="79A25BD4"/>
    <w:rsid w:val="79A27982"/>
    <w:rsid w:val="79A279F4"/>
    <w:rsid w:val="79A30098"/>
    <w:rsid w:val="79A30CBA"/>
    <w:rsid w:val="79A33E26"/>
    <w:rsid w:val="79A436FA"/>
    <w:rsid w:val="79A47B9E"/>
    <w:rsid w:val="79A63DF7"/>
    <w:rsid w:val="79A656C4"/>
    <w:rsid w:val="79A6682F"/>
    <w:rsid w:val="79A66C66"/>
    <w:rsid w:val="79A66D50"/>
    <w:rsid w:val="79A67472"/>
    <w:rsid w:val="79A73612"/>
    <w:rsid w:val="79A74F98"/>
    <w:rsid w:val="79A809F5"/>
    <w:rsid w:val="79A84E8B"/>
    <w:rsid w:val="79A90D10"/>
    <w:rsid w:val="79A91C0E"/>
    <w:rsid w:val="79A951B4"/>
    <w:rsid w:val="79AB0C64"/>
    <w:rsid w:val="79AB21E7"/>
    <w:rsid w:val="79AB2CDA"/>
    <w:rsid w:val="79AB2FFC"/>
    <w:rsid w:val="79AB4A88"/>
    <w:rsid w:val="79AC0800"/>
    <w:rsid w:val="79AC4F69"/>
    <w:rsid w:val="79AE0C83"/>
    <w:rsid w:val="79AE3279"/>
    <w:rsid w:val="79AE4579"/>
    <w:rsid w:val="79AE6327"/>
    <w:rsid w:val="79AF1FF8"/>
    <w:rsid w:val="79B01B6F"/>
    <w:rsid w:val="79B12F8E"/>
    <w:rsid w:val="79B20979"/>
    <w:rsid w:val="79B22E33"/>
    <w:rsid w:val="79B251EA"/>
    <w:rsid w:val="79B323EB"/>
    <w:rsid w:val="79B41D01"/>
    <w:rsid w:val="79B4611B"/>
    <w:rsid w:val="79B51190"/>
    <w:rsid w:val="79B511C2"/>
    <w:rsid w:val="79B52FDD"/>
    <w:rsid w:val="79B53251"/>
    <w:rsid w:val="79B74B34"/>
    <w:rsid w:val="79B80F53"/>
    <w:rsid w:val="79B871A5"/>
    <w:rsid w:val="79BA116F"/>
    <w:rsid w:val="79BB0279"/>
    <w:rsid w:val="79BB0EF6"/>
    <w:rsid w:val="79BC084E"/>
    <w:rsid w:val="79BC1425"/>
    <w:rsid w:val="79BD2A0E"/>
    <w:rsid w:val="79BD45FC"/>
    <w:rsid w:val="79BD656A"/>
    <w:rsid w:val="79C10948"/>
    <w:rsid w:val="79C1605A"/>
    <w:rsid w:val="79C24075"/>
    <w:rsid w:val="79C30024"/>
    <w:rsid w:val="79C42622"/>
    <w:rsid w:val="79C42F5D"/>
    <w:rsid w:val="79C444CF"/>
    <w:rsid w:val="79C51C90"/>
    <w:rsid w:val="79C612F7"/>
    <w:rsid w:val="79C618C2"/>
    <w:rsid w:val="79C62C94"/>
    <w:rsid w:val="79C63670"/>
    <w:rsid w:val="79C7653E"/>
    <w:rsid w:val="79C96E6F"/>
    <w:rsid w:val="79C97604"/>
    <w:rsid w:val="79CA6C00"/>
    <w:rsid w:val="79CB6591"/>
    <w:rsid w:val="79CC1EB3"/>
    <w:rsid w:val="79CC40F1"/>
    <w:rsid w:val="79CC58A0"/>
    <w:rsid w:val="79CD3171"/>
    <w:rsid w:val="79CD5581"/>
    <w:rsid w:val="79CD6CC2"/>
    <w:rsid w:val="79CE69C9"/>
    <w:rsid w:val="79CF2790"/>
    <w:rsid w:val="79D13F02"/>
    <w:rsid w:val="79D17872"/>
    <w:rsid w:val="79D20267"/>
    <w:rsid w:val="79D264B9"/>
    <w:rsid w:val="79D33443"/>
    <w:rsid w:val="79D33FDF"/>
    <w:rsid w:val="79D35D8D"/>
    <w:rsid w:val="79D364D6"/>
    <w:rsid w:val="79D42231"/>
    <w:rsid w:val="79D46647"/>
    <w:rsid w:val="79D51B05"/>
    <w:rsid w:val="79D52367"/>
    <w:rsid w:val="79D55454"/>
    <w:rsid w:val="79D57D57"/>
    <w:rsid w:val="79D70642"/>
    <w:rsid w:val="79D7587D"/>
    <w:rsid w:val="79D824BE"/>
    <w:rsid w:val="79D833A4"/>
    <w:rsid w:val="79D84471"/>
    <w:rsid w:val="79D95BF8"/>
    <w:rsid w:val="79D97847"/>
    <w:rsid w:val="79DA35C0"/>
    <w:rsid w:val="79DA711C"/>
    <w:rsid w:val="79DB3D4A"/>
    <w:rsid w:val="79DC699D"/>
    <w:rsid w:val="79DD09BA"/>
    <w:rsid w:val="79DD5076"/>
    <w:rsid w:val="79DE4E5E"/>
    <w:rsid w:val="79DF0BD6"/>
    <w:rsid w:val="79DF2984"/>
    <w:rsid w:val="79E022F0"/>
    <w:rsid w:val="79E17841"/>
    <w:rsid w:val="79E21C2D"/>
    <w:rsid w:val="79E32474"/>
    <w:rsid w:val="79E42378"/>
    <w:rsid w:val="79E45329"/>
    <w:rsid w:val="79E47F9A"/>
    <w:rsid w:val="79E61F64"/>
    <w:rsid w:val="79E63D12"/>
    <w:rsid w:val="79E65AC0"/>
    <w:rsid w:val="79E675CF"/>
    <w:rsid w:val="79E73CA9"/>
    <w:rsid w:val="79E955B1"/>
    <w:rsid w:val="79EA61EA"/>
    <w:rsid w:val="79EB757B"/>
    <w:rsid w:val="79EC34AB"/>
    <w:rsid w:val="79ED4354"/>
    <w:rsid w:val="79ED5ABB"/>
    <w:rsid w:val="79ED6E4F"/>
    <w:rsid w:val="79EE1028"/>
    <w:rsid w:val="79EE773C"/>
    <w:rsid w:val="79EF0272"/>
    <w:rsid w:val="79EF28AA"/>
    <w:rsid w:val="79EF33B2"/>
    <w:rsid w:val="79EF706B"/>
    <w:rsid w:val="79F006ED"/>
    <w:rsid w:val="79F0361A"/>
    <w:rsid w:val="79F07B2C"/>
    <w:rsid w:val="79F104C4"/>
    <w:rsid w:val="79F160BD"/>
    <w:rsid w:val="79F20909"/>
    <w:rsid w:val="79F226B7"/>
    <w:rsid w:val="79F24465"/>
    <w:rsid w:val="79F2497C"/>
    <w:rsid w:val="79F301DD"/>
    <w:rsid w:val="79F3642F"/>
    <w:rsid w:val="79F41731"/>
    <w:rsid w:val="79F41E6D"/>
    <w:rsid w:val="79F43628"/>
    <w:rsid w:val="79F527B4"/>
    <w:rsid w:val="79F53F55"/>
    <w:rsid w:val="79F65ECE"/>
    <w:rsid w:val="79F67096"/>
    <w:rsid w:val="79F6735E"/>
    <w:rsid w:val="79F71A7C"/>
    <w:rsid w:val="79F80631"/>
    <w:rsid w:val="79F83E01"/>
    <w:rsid w:val="79F907CF"/>
    <w:rsid w:val="79F91C98"/>
    <w:rsid w:val="79F91F7E"/>
    <w:rsid w:val="79F9737C"/>
    <w:rsid w:val="79FA02F0"/>
    <w:rsid w:val="79FA5A10"/>
    <w:rsid w:val="79FA6C12"/>
    <w:rsid w:val="79FA77AD"/>
    <w:rsid w:val="79FC1788"/>
    <w:rsid w:val="79FC52E4"/>
    <w:rsid w:val="79FC7092"/>
    <w:rsid w:val="79FD2D2B"/>
    <w:rsid w:val="79FD47FB"/>
    <w:rsid w:val="79FD4D1C"/>
    <w:rsid w:val="79FD5335"/>
    <w:rsid w:val="79FE30B4"/>
    <w:rsid w:val="79FE5AF0"/>
    <w:rsid w:val="79FE72AE"/>
    <w:rsid w:val="79FF36E3"/>
    <w:rsid w:val="79FF4DD4"/>
    <w:rsid w:val="7A000410"/>
    <w:rsid w:val="7A003514"/>
    <w:rsid w:val="7A010B01"/>
    <w:rsid w:val="7A0128FA"/>
    <w:rsid w:val="7A012A0E"/>
    <w:rsid w:val="7A016D9E"/>
    <w:rsid w:val="7A020420"/>
    <w:rsid w:val="7A036672"/>
    <w:rsid w:val="7A0423EA"/>
    <w:rsid w:val="7A044199"/>
    <w:rsid w:val="7A064282"/>
    <w:rsid w:val="7A0643B5"/>
    <w:rsid w:val="7A066163"/>
    <w:rsid w:val="7A067F11"/>
    <w:rsid w:val="7A073D09"/>
    <w:rsid w:val="7A08419A"/>
    <w:rsid w:val="7A096838"/>
    <w:rsid w:val="7A0A656F"/>
    <w:rsid w:val="7A0B19CB"/>
    <w:rsid w:val="7A0B2DDB"/>
    <w:rsid w:val="7A0C110E"/>
    <w:rsid w:val="7A0C1D60"/>
    <w:rsid w:val="7A0C2CC3"/>
    <w:rsid w:val="7A0C6C6D"/>
    <w:rsid w:val="7A0D6076"/>
    <w:rsid w:val="7A0D74F1"/>
    <w:rsid w:val="7A0F215C"/>
    <w:rsid w:val="7A0F3269"/>
    <w:rsid w:val="7A100D8F"/>
    <w:rsid w:val="7A101646"/>
    <w:rsid w:val="7A102B3D"/>
    <w:rsid w:val="7A107FD0"/>
    <w:rsid w:val="7A120583"/>
    <w:rsid w:val="7A122D59"/>
    <w:rsid w:val="7A135D6D"/>
    <w:rsid w:val="7A140880"/>
    <w:rsid w:val="7A151178"/>
    <w:rsid w:val="7A151D67"/>
    <w:rsid w:val="7A15284A"/>
    <w:rsid w:val="7A15324B"/>
    <w:rsid w:val="7A1536DD"/>
    <w:rsid w:val="7A160519"/>
    <w:rsid w:val="7A163754"/>
    <w:rsid w:val="7A170D45"/>
    <w:rsid w:val="7A19059A"/>
    <w:rsid w:val="7A1926F8"/>
    <w:rsid w:val="7A1A58EF"/>
    <w:rsid w:val="7A1B0F29"/>
    <w:rsid w:val="7A1B5579"/>
    <w:rsid w:val="7A1B7E60"/>
    <w:rsid w:val="7A1C14E2"/>
    <w:rsid w:val="7A1C5986"/>
    <w:rsid w:val="7A1D3C4A"/>
    <w:rsid w:val="7A1E0444"/>
    <w:rsid w:val="7A1E525A"/>
    <w:rsid w:val="7A1E55CA"/>
    <w:rsid w:val="7A1F0FD2"/>
    <w:rsid w:val="7A20290A"/>
    <w:rsid w:val="7A205476"/>
    <w:rsid w:val="7A2111EE"/>
    <w:rsid w:val="7A212F9C"/>
    <w:rsid w:val="7A213A5B"/>
    <w:rsid w:val="7A214D4A"/>
    <w:rsid w:val="7A217CCE"/>
    <w:rsid w:val="7A24483B"/>
    <w:rsid w:val="7A252A8D"/>
    <w:rsid w:val="7A26487D"/>
    <w:rsid w:val="7A27752A"/>
    <w:rsid w:val="7A280AC3"/>
    <w:rsid w:val="7A28257D"/>
    <w:rsid w:val="7A285871"/>
    <w:rsid w:val="7A2860D9"/>
    <w:rsid w:val="7A287E87"/>
    <w:rsid w:val="7A290AB6"/>
    <w:rsid w:val="7A291E51"/>
    <w:rsid w:val="7A293BFF"/>
    <w:rsid w:val="7A293C27"/>
    <w:rsid w:val="7A29671D"/>
    <w:rsid w:val="7A2A00A3"/>
    <w:rsid w:val="7A2A1655"/>
    <w:rsid w:val="7A2A5EED"/>
    <w:rsid w:val="7A2B00F6"/>
    <w:rsid w:val="7A2B2D92"/>
    <w:rsid w:val="7A2B4B0D"/>
    <w:rsid w:val="7A2B5BC9"/>
    <w:rsid w:val="7A2E1215"/>
    <w:rsid w:val="7A2E4C73"/>
    <w:rsid w:val="7A3112C9"/>
    <w:rsid w:val="7A315963"/>
    <w:rsid w:val="7A3249E0"/>
    <w:rsid w:val="7A326F58"/>
    <w:rsid w:val="7A32799C"/>
    <w:rsid w:val="7A340F22"/>
    <w:rsid w:val="7A34718E"/>
    <w:rsid w:val="7A347300"/>
    <w:rsid w:val="7A3525A4"/>
    <w:rsid w:val="7A364017"/>
    <w:rsid w:val="7A367AB8"/>
    <w:rsid w:val="7A37456E"/>
    <w:rsid w:val="7A37519A"/>
    <w:rsid w:val="7A376404"/>
    <w:rsid w:val="7A383BCB"/>
    <w:rsid w:val="7A3902E6"/>
    <w:rsid w:val="7A3905A1"/>
    <w:rsid w:val="7A392094"/>
    <w:rsid w:val="7A393AB3"/>
    <w:rsid w:val="7A396538"/>
    <w:rsid w:val="7A3A3172"/>
    <w:rsid w:val="7A3A5E0C"/>
    <w:rsid w:val="7A3B22B0"/>
    <w:rsid w:val="7A3B4602"/>
    <w:rsid w:val="7A3B60AF"/>
    <w:rsid w:val="7A3B71D3"/>
    <w:rsid w:val="7A3C0C45"/>
    <w:rsid w:val="7A3C1B84"/>
    <w:rsid w:val="7A3C3932"/>
    <w:rsid w:val="7A3C59BA"/>
    <w:rsid w:val="7A3C7DD6"/>
    <w:rsid w:val="7A3D6F22"/>
    <w:rsid w:val="7A3E58FC"/>
    <w:rsid w:val="7A4058A3"/>
    <w:rsid w:val="7A410F49"/>
    <w:rsid w:val="7A411A6C"/>
    <w:rsid w:val="7A41363F"/>
    <w:rsid w:val="7A4155AF"/>
    <w:rsid w:val="7A416D33"/>
    <w:rsid w:val="7A417A52"/>
    <w:rsid w:val="7A432F13"/>
    <w:rsid w:val="7A434CC1"/>
    <w:rsid w:val="7A440A39"/>
    <w:rsid w:val="7A443615"/>
    <w:rsid w:val="7A446DF5"/>
    <w:rsid w:val="7A450B26"/>
    <w:rsid w:val="7A450F4C"/>
    <w:rsid w:val="7A451A22"/>
    <w:rsid w:val="7A451AB7"/>
    <w:rsid w:val="7A452564"/>
    <w:rsid w:val="7A4550B5"/>
    <w:rsid w:val="7A456C8B"/>
    <w:rsid w:val="7A460C55"/>
    <w:rsid w:val="7A462A03"/>
    <w:rsid w:val="7A4632F9"/>
    <w:rsid w:val="7A4647B1"/>
    <w:rsid w:val="7A473FDE"/>
    <w:rsid w:val="7A4776B9"/>
    <w:rsid w:val="7A477C7F"/>
    <w:rsid w:val="7A480529"/>
    <w:rsid w:val="7A4807C5"/>
    <w:rsid w:val="7A4822D7"/>
    <w:rsid w:val="7A483BE0"/>
    <w:rsid w:val="7A490FEA"/>
    <w:rsid w:val="7A49604F"/>
    <w:rsid w:val="7A4A2C67"/>
    <w:rsid w:val="7A4A3296"/>
    <w:rsid w:val="7A4B0019"/>
    <w:rsid w:val="7A4B1DC7"/>
    <w:rsid w:val="7A4B21AB"/>
    <w:rsid w:val="7A4B40F7"/>
    <w:rsid w:val="7A4B626B"/>
    <w:rsid w:val="7A4B6FE0"/>
    <w:rsid w:val="7A4D0FC0"/>
    <w:rsid w:val="7A4D1FE3"/>
    <w:rsid w:val="7A4D3D91"/>
    <w:rsid w:val="7A4F18B8"/>
    <w:rsid w:val="7A4F4C9D"/>
    <w:rsid w:val="7A4F7B0A"/>
    <w:rsid w:val="7A505630"/>
    <w:rsid w:val="7A5073DE"/>
    <w:rsid w:val="7A517514"/>
    <w:rsid w:val="7A520404"/>
    <w:rsid w:val="7A5213A8"/>
    <w:rsid w:val="7A523E08"/>
    <w:rsid w:val="7A540C7C"/>
    <w:rsid w:val="7A541F06"/>
    <w:rsid w:val="7A543372"/>
    <w:rsid w:val="7A545120"/>
    <w:rsid w:val="7A5469A2"/>
    <w:rsid w:val="7A551F3B"/>
    <w:rsid w:val="7A5522A6"/>
    <w:rsid w:val="7A56204E"/>
    <w:rsid w:val="7A566959"/>
    <w:rsid w:val="7A570902"/>
    <w:rsid w:val="7A5736CA"/>
    <w:rsid w:val="7A5769BE"/>
    <w:rsid w:val="7A583B2A"/>
    <w:rsid w:val="7A58469B"/>
    <w:rsid w:val="7A590988"/>
    <w:rsid w:val="7A5A101B"/>
    <w:rsid w:val="7A5A4F59"/>
    <w:rsid w:val="7A5B24AB"/>
    <w:rsid w:val="7A5B566B"/>
    <w:rsid w:val="7A5B7E85"/>
    <w:rsid w:val="7A5C1F07"/>
    <w:rsid w:val="7A5D799C"/>
    <w:rsid w:val="7A5E5F9F"/>
    <w:rsid w:val="7A5E7DB1"/>
    <w:rsid w:val="7A5F30A5"/>
    <w:rsid w:val="7A5F58BB"/>
    <w:rsid w:val="7A603AC5"/>
    <w:rsid w:val="7A61631D"/>
    <w:rsid w:val="7A633442"/>
    <w:rsid w:val="7A633FEE"/>
    <w:rsid w:val="7A637111"/>
    <w:rsid w:val="7A6448CE"/>
    <w:rsid w:val="7A647B09"/>
    <w:rsid w:val="7A6510DB"/>
    <w:rsid w:val="7A652F2A"/>
    <w:rsid w:val="7A6530E0"/>
    <w:rsid w:val="7A65396B"/>
    <w:rsid w:val="7A65612E"/>
    <w:rsid w:val="7A660CFF"/>
    <w:rsid w:val="7A66129B"/>
    <w:rsid w:val="7A6660F8"/>
    <w:rsid w:val="7A666C01"/>
    <w:rsid w:val="7A6730A5"/>
    <w:rsid w:val="7A673C18"/>
    <w:rsid w:val="7A68361F"/>
    <w:rsid w:val="7A684727"/>
    <w:rsid w:val="7A6A0DAE"/>
    <w:rsid w:val="7A6A66F1"/>
    <w:rsid w:val="7A6B246A"/>
    <w:rsid w:val="7A6B2EDC"/>
    <w:rsid w:val="7A6B52AD"/>
    <w:rsid w:val="7A6C06BC"/>
    <w:rsid w:val="7A6C7663"/>
    <w:rsid w:val="7A6D1959"/>
    <w:rsid w:val="7A6D4434"/>
    <w:rsid w:val="7A6D48C0"/>
    <w:rsid w:val="7A6D61E2"/>
    <w:rsid w:val="7A6E7FF8"/>
    <w:rsid w:val="7A6F1DB1"/>
    <w:rsid w:val="7A6F1F5A"/>
    <w:rsid w:val="7A6F3B2A"/>
    <w:rsid w:val="7A6F3D08"/>
    <w:rsid w:val="7A6F5AB6"/>
    <w:rsid w:val="7A6F7B00"/>
    <w:rsid w:val="7A7049FC"/>
    <w:rsid w:val="7A70622D"/>
    <w:rsid w:val="7A707A80"/>
    <w:rsid w:val="7A712849"/>
    <w:rsid w:val="7A713A6A"/>
    <w:rsid w:val="7A717E58"/>
    <w:rsid w:val="7A721A4A"/>
    <w:rsid w:val="7A7237F8"/>
    <w:rsid w:val="7A724F87"/>
    <w:rsid w:val="7A7255A6"/>
    <w:rsid w:val="7A7272A2"/>
    <w:rsid w:val="7A730763"/>
    <w:rsid w:val="7A736149"/>
    <w:rsid w:val="7A74131E"/>
    <w:rsid w:val="7A745551"/>
    <w:rsid w:val="7A756E44"/>
    <w:rsid w:val="7A771C84"/>
    <w:rsid w:val="7A772BBC"/>
    <w:rsid w:val="7A773114"/>
    <w:rsid w:val="7A775CD7"/>
    <w:rsid w:val="7A782D09"/>
    <w:rsid w:val="7A796935"/>
    <w:rsid w:val="7A7A445B"/>
    <w:rsid w:val="7A7A5D72"/>
    <w:rsid w:val="7A7B084B"/>
    <w:rsid w:val="7A7B26AD"/>
    <w:rsid w:val="7A7B6B83"/>
    <w:rsid w:val="7A7D4063"/>
    <w:rsid w:val="7A7E035F"/>
    <w:rsid w:val="7A7E03EF"/>
    <w:rsid w:val="7A7E6AD3"/>
    <w:rsid w:val="7A7F5F5C"/>
    <w:rsid w:val="7A801F5E"/>
    <w:rsid w:val="7A802114"/>
    <w:rsid w:val="7A807CC3"/>
    <w:rsid w:val="7A810FFC"/>
    <w:rsid w:val="7A811367"/>
    <w:rsid w:val="7A811C8D"/>
    <w:rsid w:val="7A811D5E"/>
    <w:rsid w:val="7A811E80"/>
    <w:rsid w:val="7A813A3B"/>
    <w:rsid w:val="7A8157E9"/>
    <w:rsid w:val="7A816B13"/>
    <w:rsid w:val="7A82285A"/>
    <w:rsid w:val="7A8265E1"/>
    <w:rsid w:val="7A832DF8"/>
    <w:rsid w:val="7A833769"/>
    <w:rsid w:val="7A835199"/>
    <w:rsid w:val="7A8377B3"/>
    <w:rsid w:val="7A841DAD"/>
    <w:rsid w:val="7A850200"/>
    <w:rsid w:val="7A85352B"/>
    <w:rsid w:val="7A853B80"/>
    <w:rsid w:val="7A8552D9"/>
    <w:rsid w:val="7A860DEE"/>
    <w:rsid w:val="7A862E00"/>
    <w:rsid w:val="7A863362"/>
    <w:rsid w:val="7A88301C"/>
    <w:rsid w:val="7A886B78"/>
    <w:rsid w:val="7A886C4E"/>
    <w:rsid w:val="7A8A0B42"/>
    <w:rsid w:val="7A8A28F0"/>
    <w:rsid w:val="7A8A376A"/>
    <w:rsid w:val="7A8A6D94"/>
    <w:rsid w:val="7A8A7BD0"/>
    <w:rsid w:val="7A8B0AC2"/>
    <w:rsid w:val="7A8B158A"/>
    <w:rsid w:val="7A8B2C8C"/>
    <w:rsid w:val="7A8B79B1"/>
    <w:rsid w:val="7A8C35F1"/>
    <w:rsid w:val="7A8D23E0"/>
    <w:rsid w:val="7A8E0037"/>
    <w:rsid w:val="7A8E32AE"/>
    <w:rsid w:val="7A8F2DE1"/>
    <w:rsid w:val="7A8F6158"/>
    <w:rsid w:val="7A900E4D"/>
    <w:rsid w:val="7A911ED0"/>
    <w:rsid w:val="7A9149B1"/>
    <w:rsid w:val="7A926349"/>
    <w:rsid w:val="7A9323D2"/>
    <w:rsid w:val="7A94376E"/>
    <w:rsid w:val="7A94432C"/>
    <w:rsid w:val="7A94551C"/>
    <w:rsid w:val="7A951295"/>
    <w:rsid w:val="7A954EE6"/>
    <w:rsid w:val="7A97325F"/>
    <w:rsid w:val="7A977DA9"/>
    <w:rsid w:val="7A9814B1"/>
    <w:rsid w:val="7A992B33"/>
    <w:rsid w:val="7A996FD7"/>
    <w:rsid w:val="7A9B2D4F"/>
    <w:rsid w:val="7A9B68AB"/>
    <w:rsid w:val="7A9C0875"/>
    <w:rsid w:val="7A9D6AC7"/>
    <w:rsid w:val="7A9D6BAD"/>
    <w:rsid w:val="7A9E5C26"/>
    <w:rsid w:val="7A9F0310"/>
    <w:rsid w:val="7A9F0E90"/>
    <w:rsid w:val="7A9F3D81"/>
    <w:rsid w:val="7A9F774F"/>
    <w:rsid w:val="7AA01628"/>
    <w:rsid w:val="7AA02113"/>
    <w:rsid w:val="7AA03EC1"/>
    <w:rsid w:val="7AA06106"/>
    <w:rsid w:val="7AA06900"/>
    <w:rsid w:val="7AA15E8B"/>
    <w:rsid w:val="7AA360D0"/>
    <w:rsid w:val="7AA37E55"/>
    <w:rsid w:val="7AA417FC"/>
    <w:rsid w:val="7AA53BCD"/>
    <w:rsid w:val="7AA624B2"/>
    <w:rsid w:val="7AA716F4"/>
    <w:rsid w:val="7AA763CF"/>
    <w:rsid w:val="7AA81F42"/>
    <w:rsid w:val="7AA92200"/>
    <w:rsid w:val="7AA933D2"/>
    <w:rsid w:val="7AA977A4"/>
    <w:rsid w:val="7AAA248A"/>
    <w:rsid w:val="7AAA2F92"/>
    <w:rsid w:val="7AAA4D40"/>
    <w:rsid w:val="7AAB2866"/>
    <w:rsid w:val="7AAC0AB8"/>
    <w:rsid w:val="7AAD01C5"/>
    <w:rsid w:val="7AAD21FD"/>
    <w:rsid w:val="7AAD2A82"/>
    <w:rsid w:val="7AAE0972"/>
    <w:rsid w:val="7AAE569F"/>
    <w:rsid w:val="7AAF2782"/>
    <w:rsid w:val="7AAF5DB8"/>
    <w:rsid w:val="7AB12572"/>
    <w:rsid w:val="7AB14320"/>
    <w:rsid w:val="7AB14F4C"/>
    <w:rsid w:val="7AB160CE"/>
    <w:rsid w:val="7AB16449"/>
    <w:rsid w:val="7AB179FF"/>
    <w:rsid w:val="7AB20098"/>
    <w:rsid w:val="7AB21E46"/>
    <w:rsid w:val="7AB2317C"/>
    <w:rsid w:val="7AB30815"/>
    <w:rsid w:val="7AB31B63"/>
    <w:rsid w:val="7AB35BC5"/>
    <w:rsid w:val="7AB45BBF"/>
    <w:rsid w:val="7AB55953"/>
    <w:rsid w:val="7AB6731C"/>
    <w:rsid w:val="7AB71B55"/>
    <w:rsid w:val="7AB745D0"/>
    <w:rsid w:val="7AB74F82"/>
    <w:rsid w:val="7AB77117"/>
    <w:rsid w:val="7AB81A37"/>
    <w:rsid w:val="7AB826F4"/>
    <w:rsid w:val="7AB83901"/>
    <w:rsid w:val="7AB91427"/>
    <w:rsid w:val="7ABA3491"/>
    <w:rsid w:val="7ABB1E58"/>
    <w:rsid w:val="7ABB2EA8"/>
    <w:rsid w:val="7ABB519F"/>
    <w:rsid w:val="7ABB6F4D"/>
    <w:rsid w:val="7ABD1848"/>
    <w:rsid w:val="7ABD1EC3"/>
    <w:rsid w:val="7ABE2599"/>
    <w:rsid w:val="7ABE4C8F"/>
    <w:rsid w:val="7ABF2376"/>
    <w:rsid w:val="7AC001C9"/>
    <w:rsid w:val="7AC04563"/>
    <w:rsid w:val="7AC06311"/>
    <w:rsid w:val="7AC10A3B"/>
    <w:rsid w:val="7AC1208A"/>
    <w:rsid w:val="7AC21415"/>
    <w:rsid w:val="7AC2191E"/>
    <w:rsid w:val="7AC2216C"/>
    <w:rsid w:val="7AC268FF"/>
    <w:rsid w:val="7AC3298E"/>
    <w:rsid w:val="7AC40955"/>
    <w:rsid w:val="7AC47FDA"/>
    <w:rsid w:val="7AC52BAB"/>
    <w:rsid w:val="7AC60E22"/>
    <w:rsid w:val="7AC633C8"/>
    <w:rsid w:val="7AC6403B"/>
    <w:rsid w:val="7AC64AA5"/>
    <w:rsid w:val="7AC676A0"/>
    <w:rsid w:val="7AC7265A"/>
    <w:rsid w:val="7AC82BA0"/>
    <w:rsid w:val="7AC83418"/>
    <w:rsid w:val="7AC878BC"/>
    <w:rsid w:val="7AC907E6"/>
    <w:rsid w:val="7AC929BC"/>
    <w:rsid w:val="7AC948C0"/>
    <w:rsid w:val="7ACA53E2"/>
    <w:rsid w:val="7ACB6A1D"/>
    <w:rsid w:val="7ACC2139"/>
    <w:rsid w:val="7ACC2F08"/>
    <w:rsid w:val="7ACD0BC4"/>
    <w:rsid w:val="7ACE2219"/>
    <w:rsid w:val="7ACE27CD"/>
    <w:rsid w:val="7ACE4ED2"/>
    <w:rsid w:val="7ACE539E"/>
    <w:rsid w:val="7ACF0C4A"/>
    <w:rsid w:val="7ACF29F8"/>
    <w:rsid w:val="7ACF2B92"/>
    <w:rsid w:val="7ACF3C5D"/>
    <w:rsid w:val="7ACF47A6"/>
    <w:rsid w:val="7AD1051F"/>
    <w:rsid w:val="7AD13DC3"/>
    <w:rsid w:val="7AD16771"/>
    <w:rsid w:val="7AD232EF"/>
    <w:rsid w:val="7AD24297"/>
    <w:rsid w:val="7AD26999"/>
    <w:rsid w:val="7AD33A6E"/>
    <w:rsid w:val="7AD35353"/>
    <w:rsid w:val="7AD4000F"/>
    <w:rsid w:val="7AD4548E"/>
    <w:rsid w:val="7AD45CCE"/>
    <w:rsid w:val="7AD61AC8"/>
    <w:rsid w:val="7AD61FD9"/>
    <w:rsid w:val="7AD65B35"/>
    <w:rsid w:val="7AD71133"/>
    <w:rsid w:val="7AD718AD"/>
    <w:rsid w:val="7AD7365B"/>
    <w:rsid w:val="7AD7571C"/>
    <w:rsid w:val="7AD77D75"/>
    <w:rsid w:val="7AD926AB"/>
    <w:rsid w:val="7AD95625"/>
    <w:rsid w:val="7AD96066"/>
    <w:rsid w:val="7AD973D3"/>
    <w:rsid w:val="7AD9783B"/>
    <w:rsid w:val="7ADA0D70"/>
    <w:rsid w:val="7ADA201D"/>
    <w:rsid w:val="7ADA6CCC"/>
    <w:rsid w:val="7ADB139D"/>
    <w:rsid w:val="7ADB314B"/>
    <w:rsid w:val="7ADC25E0"/>
    <w:rsid w:val="7ADC73B4"/>
    <w:rsid w:val="7ADC79A2"/>
    <w:rsid w:val="7ADD3367"/>
    <w:rsid w:val="7ADD5115"/>
    <w:rsid w:val="7ADE0E8D"/>
    <w:rsid w:val="7ADE2C3C"/>
    <w:rsid w:val="7ADE2E07"/>
    <w:rsid w:val="7ADE5C29"/>
    <w:rsid w:val="7AE069B4"/>
    <w:rsid w:val="7AE2097E"/>
    <w:rsid w:val="7AE244DA"/>
    <w:rsid w:val="7AE30252"/>
    <w:rsid w:val="7AE446F6"/>
    <w:rsid w:val="7AE47D18"/>
    <w:rsid w:val="7AE55D78"/>
    <w:rsid w:val="7AE61E7C"/>
    <w:rsid w:val="7AE635FB"/>
    <w:rsid w:val="7AE715F0"/>
    <w:rsid w:val="7AE74C21"/>
    <w:rsid w:val="7AE75F94"/>
    <w:rsid w:val="7AE804D8"/>
    <w:rsid w:val="7AE811EE"/>
    <w:rsid w:val="7AE91D0C"/>
    <w:rsid w:val="7AE960DA"/>
    <w:rsid w:val="7AE970E2"/>
    <w:rsid w:val="7AE979D3"/>
    <w:rsid w:val="7AEA15E0"/>
    <w:rsid w:val="7AEA338E"/>
    <w:rsid w:val="7AEA5A84"/>
    <w:rsid w:val="7AEA7832"/>
    <w:rsid w:val="7AEB64F8"/>
    <w:rsid w:val="7AEC5D56"/>
    <w:rsid w:val="7AED10D1"/>
    <w:rsid w:val="7AED1F14"/>
    <w:rsid w:val="7AED2AC4"/>
    <w:rsid w:val="7AED3FC2"/>
    <w:rsid w:val="7AEE44F0"/>
    <w:rsid w:val="7AEE451F"/>
    <w:rsid w:val="7AEE4539"/>
    <w:rsid w:val="7AEF3E66"/>
    <w:rsid w:val="7AF03879"/>
    <w:rsid w:val="7AF102F7"/>
    <w:rsid w:val="7AF1296F"/>
    <w:rsid w:val="7AF1471D"/>
    <w:rsid w:val="7AF20495"/>
    <w:rsid w:val="7AF31FEC"/>
    <w:rsid w:val="7AF36937"/>
    <w:rsid w:val="7AF3742C"/>
    <w:rsid w:val="7AF4471C"/>
    <w:rsid w:val="7AF50549"/>
    <w:rsid w:val="7AF53C17"/>
    <w:rsid w:val="7AF542EE"/>
    <w:rsid w:val="7AF67F85"/>
    <w:rsid w:val="7AF72429"/>
    <w:rsid w:val="7AF72E69"/>
    <w:rsid w:val="7AF810EA"/>
    <w:rsid w:val="7AF81F4F"/>
    <w:rsid w:val="7AF95CC7"/>
    <w:rsid w:val="7AFA0097"/>
    <w:rsid w:val="7AFA422C"/>
    <w:rsid w:val="7AFB37ED"/>
    <w:rsid w:val="7AFB3BDC"/>
    <w:rsid w:val="7AFB559C"/>
    <w:rsid w:val="7AFD1314"/>
    <w:rsid w:val="7AFD7566"/>
    <w:rsid w:val="7AFE25FF"/>
    <w:rsid w:val="7AFE68F3"/>
    <w:rsid w:val="7AFF6745"/>
    <w:rsid w:val="7B000E04"/>
    <w:rsid w:val="7B002BB2"/>
    <w:rsid w:val="7B007056"/>
    <w:rsid w:val="7B0140A7"/>
    <w:rsid w:val="7B015AEB"/>
    <w:rsid w:val="7B0207E5"/>
    <w:rsid w:val="7B022DCE"/>
    <w:rsid w:val="7B024B7C"/>
    <w:rsid w:val="7B025BE9"/>
    <w:rsid w:val="7B03269C"/>
    <w:rsid w:val="7B034450"/>
    <w:rsid w:val="7B0408F4"/>
    <w:rsid w:val="7B0459B3"/>
    <w:rsid w:val="7B045ED3"/>
    <w:rsid w:val="7B0501C8"/>
    <w:rsid w:val="7B05466C"/>
    <w:rsid w:val="7B05641A"/>
    <w:rsid w:val="7B060822"/>
    <w:rsid w:val="7B063D79"/>
    <w:rsid w:val="7B067C58"/>
    <w:rsid w:val="7B0703E4"/>
    <w:rsid w:val="7B070629"/>
    <w:rsid w:val="7B072192"/>
    <w:rsid w:val="7B07295D"/>
    <w:rsid w:val="7B073F40"/>
    <w:rsid w:val="7B091A01"/>
    <w:rsid w:val="7B095F8D"/>
    <w:rsid w:val="7B0A1C83"/>
    <w:rsid w:val="7B0A57DF"/>
    <w:rsid w:val="7B0C26FE"/>
    <w:rsid w:val="7B0C480D"/>
    <w:rsid w:val="7B0C59FB"/>
    <w:rsid w:val="7B0C77A9"/>
    <w:rsid w:val="7B0D4925"/>
    <w:rsid w:val="7B0D52CF"/>
    <w:rsid w:val="7B0E41C1"/>
    <w:rsid w:val="7B0F1047"/>
    <w:rsid w:val="7B0F257F"/>
    <w:rsid w:val="7B0F3CC0"/>
    <w:rsid w:val="7B0F54EB"/>
    <w:rsid w:val="7B100D12"/>
    <w:rsid w:val="7B106F56"/>
    <w:rsid w:val="7B11280E"/>
    <w:rsid w:val="7B115F3A"/>
    <w:rsid w:val="7B116B6D"/>
    <w:rsid w:val="7B133AD1"/>
    <w:rsid w:val="7B1448AF"/>
    <w:rsid w:val="7B146477"/>
    <w:rsid w:val="7B1563EB"/>
    <w:rsid w:val="7B1563F1"/>
    <w:rsid w:val="7B157B32"/>
    <w:rsid w:val="7B160FC2"/>
    <w:rsid w:val="7B164183"/>
    <w:rsid w:val="7B166879"/>
    <w:rsid w:val="7B172F09"/>
    <w:rsid w:val="7B176C3D"/>
    <w:rsid w:val="7B18439F"/>
    <w:rsid w:val="7B191EC6"/>
    <w:rsid w:val="7B194D72"/>
    <w:rsid w:val="7B1A0118"/>
    <w:rsid w:val="7B1B5C3E"/>
    <w:rsid w:val="7B1C4E34"/>
    <w:rsid w:val="7B1C7D7D"/>
    <w:rsid w:val="7B1D0385"/>
    <w:rsid w:val="7B1D19B6"/>
    <w:rsid w:val="7B1D3764"/>
    <w:rsid w:val="7B1E38DA"/>
    <w:rsid w:val="7B1E73B0"/>
    <w:rsid w:val="7B1F2074"/>
    <w:rsid w:val="7B1F37B5"/>
    <w:rsid w:val="7B200AE5"/>
    <w:rsid w:val="7B221178"/>
    <w:rsid w:val="7B2261F3"/>
    <w:rsid w:val="7B2309F5"/>
    <w:rsid w:val="7B231AFA"/>
    <w:rsid w:val="7B234AF2"/>
    <w:rsid w:val="7B2368A0"/>
    <w:rsid w:val="7B24209E"/>
    <w:rsid w:val="7B25086A"/>
    <w:rsid w:val="7B252618"/>
    <w:rsid w:val="7B255EE6"/>
    <w:rsid w:val="7B256ABC"/>
    <w:rsid w:val="7B265C2D"/>
    <w:rsid w:val="7B2745E3"/>
    <w:rsid w:val="7B276391"/>
    <w:rsid w:val="7B2A3405"/>
    <w:rsid w:val="7B2A40D3"/>
    <w:rsid w:val="7B2A6B4F"/>
    <w:rsid w:val="7B2B29F9"/>
    <w:rsid w:val="7B2B4B05"/>
    <w:rsid w:val="7B2C39A7"/>
    <w:rsid w:val="7B2C4B54"/>
    <w:rsid w:val="7B2C7E4B"/>
    <w:rsid w:val="7B2E0DBF"/>
    <w:rsid w:val="7B2E553F"/>
    <w:rsid w:val="7B2E771F"/>
    <w:rsid w:val="7B2F16E9"/>
    <w:rsid w:val="7B2F5245"/>
    <w:rsid w:val="7B2F6BAD"/>
    <w:rsid w:val="7B302ED7"/>
    <w:rsid w:val="7B30793B"/>
    <w:rsid w:val="7B312D12"/>
    <w:rsid w:val="7B315461"/>
    <w:rsid w:val="7B3161FB"/>
    <w:rsid w:val="7B3219DB"/>
    <w:rsid w:val="7B3311D9"/>
    <w:rsid w:val="7B3330BB"/>
    <w:rsid w:val="7B334FEE"/>
    <w:rsid w:val="7B340ACA"/>
    <w:rsid w:val="7B3445D1"/>
    <w:rsid w:val="7B354F51"/>
    <w:rsid w:val="7B3559DB"/>
    <w:rsid w:val="7B356C50"/>
    <w:rsid w:val="7B362138"/>
    <w:rsid w:val="7B362A78"/>
    <w:rsid w:val="7B3666AC"/>
    <w:rsid w:val="7B366F41"/>
    <w:rsid w:val="7B371A3C"/>
    <w:rsid w:val="7B373757"/>
    <w:rsid w:val="7B374788"/>
    <w:rsid w:val="7B381954"/>
    <w:rsid w:val="7B381D64"/>
    <w:rsid w:val="7B38234C"/>
    <w:rsid w:val="7B391DEB"/>
    <w:rsid w:val="7B3957EC"/>
    <w:rsid w:val="7B3A2568"/>
    <w:rsid w:val="7B3B019F"/>
    <w:rsid w:val="7B3B1E3C"/>
    <w:rsid w:val="7B3C63F5"/>
    <w:rsid w:val="7B3D1CC7"/>
    <w:rsid w:val="7B3D2104"/>
    <w:rsid w:val="7B3D3E06"/>
    <w:rsid w:val="7B3D4870"/>
    <w:rsid w:val="7B3D57F5"/>
    <w:rsid w:val="7B3D648F"/>
    <w:rsid w:val="7B3D6D3E"/>
    <w:rsid w:val="7B3D6E12"/>
    <w:rsid w:val="7B3D7962"/>
    <w:rsid w:val="7B3D7A04"/>
    <w:rsid w:val="7B3D7ADD"/>
    <w:rsid w:val="7B3E6B7A"/>
    <w:rsid w:val="7B4038F6"/>
    <w:rsid w:val="7B4050BA"/>
    <w:rsid w:val="7B413F7E"/>
    <w:rsid w:val="7B41739F"/>
    <w:rsid w:val="7B424F78"/>
    <w:rsid w:val="7B42766E"/>
    <w:rsid w:val="7B430CF1"/>
    <w:rsid w:val="7B441C46"/>
    <w:rsid w:val="7B443A32"/>
    <w:rsid w:val="7B452CBB"/>
    <w:rsid w:val="7B454A69"/>
    <w:rsid w:val="7B460ECD"/>
    <w:rsid w:val="7B460F8B"/>
    <w:rsid w:val="7B4707E1"/>
    <w:rsid w:val="7B474C85"/>
    <w:rsid w:val="7B487EA1"/>
    <w:rsid w:val="7B492710"/>
    <w:rsid w:val="7B4A02D1"/>
    <w:rsid w:val="7B4A207F"/>
    <w:rsid w:val="7B4A56E6"/>
    <w:rsid w:val="7B4A7247"/>
    <w:rsid w:val="7B4B3F00"/>
    <w:rsid w:val="7B4C0ABE"/>
    <w:rsid w:val="7B4C22CB"/>
    <w:rsid w:val="7B4C27D2"/>
    <w:rsid w:val="7B4C4049"/>
    <w:rsid w:val="7B4C5DF7"/>
    <w:rsid w:val="7B4D0E37"/>
    <w:rsid w:val="7B4D0FEC"/>
    <w:rsid w:val="7B4D11A2"/>
    <w:rsid w:val="7B4E452C"/>
    <w:rsid w:val="7B4E7DC1"/>
    <w:rsid w:val="7B4F1915"/>
    <w:rsid w:val="7B4F6582"/>
    <w:rsid w:val="7B50209F"/>
    <w:rsid w:val="7B507A12"/>
    <w:rsid w:val="7B51165F"/>
    <w:rsid w:val="7B52144F"/>
    <w:rsid w:val="7B52550E"/>
    <w:rsid w:val="7B526199"/>
    <w:rsid w:val="7B536393"/>
    <w:rsid w:val="7B537186"/>
    <w:rsid w:val="7B54490B"/>
    <w:rsid w:val="7B550F0C"/>
    <w:rsid w:val="7B5641E6"/>
    <w:rsid w:val="7B565FF6"/>
    <w:rsid w:val="7B566C76"/>
    <w:rsid w:val="7B572F18"/>
    <w:rsid w:val="7B580D75"/>
    <w:rsid w:val="7B5838AC"/>
    <w:rsid w:val="7B58479C"/>
    <w:rsid w:val="7B58549E"/>
    <w:rsid w:val="7B590514"/>
    <w:rsid w:val="7B5A1010"/>
    <w:rsid w:val="7B5A3695"/>
    <w:rsid w:val="7B5A4E02"/>
    <w:rsid w:val="7B5B192F"/>
    <w:rsid w:val="7B5B24DE"/>
    <w:rsid w:val="7B5B4B25"/>
    <w:rsid w:val="7B5C2867"/>
    <w:rsid w:val="7B5C3128"/>
    <w:rsid w:val="7B5C32EC"/>
    <w:rsid w:val="7B5C7195"/>
    <w:rsid w:val="7B5D0AB0"/>
    <w:rsid w:val="7B5D6256"/>
    <w:rsid w:val="7B5F3D7C"/>
    <w:rsid w:val="7B60171A"/>
    <w:rsid w:val="7B611E27"/>
    <w:rsid w:val="7B611EA5"/>
    <w:rsid w:val="7B612FB9"/>
    <w:rsid w:val="7B62386D"/>
    <w:rsid w:val="7B6475E5"/>
    <w:rsid w:val="7B66210C"/>
    <w:rsid w:val="7B66335D"/>
    <w:rsid w:val="7B66351C"/>
    <w:rsid w:val="7B664809"/>
    <w:rsid w:val="7B675C99"/>
    <w:rsid w:val="7B6773DA"/>
    <w:rsid w:val="7B6826DB"/>
    <w:rsid w:val="7B686D42"/>
    <w:rsid w:val="7B695C97"/>
    <w:rsid w:val="7B6969A9"/>
    <w:rsid w:val="7B6A2721"/>
    <w:rsid w:val="7B6A44CF"/>
    <w:rsid w:val="7B6A53AF"/>
    <w:rsid w:val="7B6A58D0"/>
    <w:rsid w:val="7B6A615C"/>
    <w:rsid w:val="7B6A6B82"/>
    <w:rsid w:val="7B6B0973"/>
    <w:rsid w:val="7B6B5044"/>
    <w:rsid w:val="7B6B5AAA"/>
    <w:rsid w:val="7B6C0247"/>
    <w:rsid w:val="7B6C46EB"/>
    <w:rsid w:val="7B6C7280"/>
    <w:rsid w:val="7B6D3DF9"/>
    <w:rsid w:val="7B6D3EA2"/>
    <w:rsid w:val="7B6E0463"/>
    <w:rsid w:val="7B6E3F3E"/>
    <w:rsid w:val="7B6E3FBF"/>
    <w:rsid w:val="7B6E4BE6"/>
    <w:rsid w:val="7B6E5BFD"/>
    <w:rsid w:val="7B6E5D6D"/>
    <w:rsid w:val="7B6F6FFC"/>
    <w:rsid w:val="7B701B64"/>
    <w:rsid w:val="7B70506D"/>
    <w:rsid w:val="7B705F89"/>
    <w:rsid w:val="7B707D38"/>
    <w:rsid w:val="7B711D02"/>
    <w:rsid w:val="7B7327D8"/>
    <w:rsid w:val="7B737828"/>
    <w:rsid w:val="7B737DA2"/>
    <w:rsid w:val="7B752E6E"/>
    <w:rsid w:val="7B75534E"/>
    <w:rsid w:val="7B7610C6"/>
    <w:rsid w:val="7B762449"/>
    <w:rsid w:val="7B762E74"/>
    <w:rsid w:val="7B765E5A"/>
    <w:rsid w:val="7B767318"/>
    <w:rsid w:val="7B776082"/>
    <w:rsid w:val="7B780939"/>
    <w:rsid w:val="7B780CA4"/>
    <w:rsid w:val="7B783090"/>
    <w:rsid w:val="7B784E3E"/>
    <w:rsid w:val="7B7900AE"/>
    <w:rsid w:val="7B793294"/>
    <w:rsid w:val="7B79766B"/>
    <w:rsid w:val="7B7979D7"/>
    <w:rsid w:val="7B797D42"/>
    <w:rsid w:val="7B7A0BB6"/>
    <w:rsid w:val="7B7A2964"/>
    <w:rsid w:val="7B7A6F95"/>
    <w:rsid w:val="7B7B048A"/>
    <w:rsid w:val="7B7B66DC"/>
    <w:rsid w:val="7B7D06A6"/>
    <w:rsid w:val="7B7D7D67"/>
    <w:rsid w:val="7B7E17EB"/>
    <w:rsid w:val="7B7E2A90"/>
    <w:rsid w:val="7B7F3C83"/>
    <w:rsid w:val="7B7F3F20"/>
    <w:rsid w:val="7B7F7392"/>
    <w:rsid w:val="7B7F755C"/>
    <w:rsid w:val="7B7F7F7B"/>
    <w:rsid w:val="7B807F81"/>
    <w:rsid w:val="7B8165E6"/>
    <w:rsid w:val="7B821819"/>
    <w:rsid w:val="7B8226A4"/>
    <w:rsid w:val="7B826770"/>
    <w:rsid w:val="7B8312A6"/>
    <w:rsid w:val="7B83215E"/>
    <w:rsid w:val="7B833E38"/>
    <w:rsid w:val="7B834168"/>
    <w:rsid w:val="7B8374D3"/>
    <w:rsid w:val="7B841746"/>
    <w:rsid w:val="7B845591"/>
    <w:rsid w:val="7B863DF3"/>
    <w:rsid w:val="7B8657AD"/>
    <w:rsid w:val="7B870B95"/>
    <w:rsid w:val="7B871525"/>
    <w:rsid w:val="7B872369"/>
    <w:rsid w:val="7B8732D3"/>
    <w:rsid w:val="7B8742AA"/>
    <w:rsid w:val="7B876E2F"/>
    <w:rsid w:val="7B890DF9"/>
    <w:rsid w:val="7B892774"/>
    <w:rsid w:val="7B892BA7"/>
    <w:rsid w:val="7B893929"/>
    <w:rsid w:val="7B8B2DC3"/>
    <w:rsid w:val="7B8B3805"/>
    <w:rsid w:val="7B8C1362"/>
    <w:rsid w:val="7B8C2698"/>
    <w:rsid w:val="7B8C6B3B"/>
    <w:rsid w:val="7B8C6E50"/>
    <w:rsid w:val="7B8D10F5"/>
    <w:rsid w:val="7B8D206F"/>
    <w:rsid w:val="7B8E01BE"/>
    <w:rsid w:val="7B8E5CB3"/>
    <w:rsid w:val="7B8E6410"/>
    <w:rsid w:val="7B8F2C2D"/>
    <w:rsid w:val="7B902188"/>
    <w:rsid w:val="7B907A76"/>
    <w:rsid w:val="7B911450"/>
    <w:rsid w:val="7B915F00"/>
    <w:rsid w:val="7B917CAE"/>
    <w:rsid w:val="7B9225DC"/>
    <w:rsid w:val="7B931C78"/>
    <w:rsid w:val="7B94453A"/>
    <w:rsid w:val="7B944CB6"/>
    <w:rsid w:val="7B9466A0"/>
    <w:rsid w:val="7B95154C"/>
    <w:rsid w:val="7B95614B"/>
    <w:rsid w:val="7B9652C4"/>
    <w:rsid w:val="7B971768"/>
    <w:rsid w:val="7B976652"/>
    <w:rsid w:val="7B98103C"/>
    <w:rsid w:val="7B984DBF"/>
    <w:rsid w:val="7B9A3006"/>
    <w:rsid w:val="7B9A4DB4"/>
    <w:rsid w:val="7B9A6B62"/>
    <w:rsid w:val="7B9C41E5"/>
    <w:rsid w:val="7B9C52B8"/>
    <w:rsid w:val="7B9C6D7F"/>
    <w:rsid w:val="7B9D0BEA"/>
    <w:rsid w:val="7B9D48A5"/>
    <w:rsid w:val="7B9E1515"/>
    <w:rsid w:val="7B9F23CB"/>
    <w:rsid w:val="7B9F47D4"/>
    <w:rsid w:val="7BA05373"/>
    <w:rsid w:val="7BA06143"/>
    <w:rsid w:val="7BA1641E"/>
    <w:rsid w:val="7BA2010D"/>
    <w:rsid w:val="7BA21E8B"/>
    <w:rsid w:val="7BA30578"/>
    <w:rsid w:val="7BA31081"/>
    <w:rsid w:val="7BA35EEC"/>
    <w:rsid w:val="7BA3688E"/>
    <w:rsid w:val="7BA37D65"/>
    <w:rsid w:val="7BA43E85"/>
    <w:rsid w:val="7BA46E03"/>
    <w:rsid w:val="7BA63759"/>
    <w:rsid w:val="7BA66E9F"/>
    <w:rsid w:val="7BA7357D"/>
    <w:rsid w:val="7BA74EDE"/>
    <w:rsid w:val="7BA75723"/>
    <w:rsid w:val="7BA774D1"/>
    <w:rsid w:val="7BA81B39"/>
    <w:rsid w:val="7BA9009F"/>
    <w:rsid w:val="7BA9149B"/>
    <w:rsid w:val="7BA92023"/>
    <w:rsid w:val="7BA93249"/>
    <w:rsid w:val="7BA936B9"/>
    <w:rsid w:val="7BA94FF8"/>
    <w:rsid w:val="7BAA1B68"/>
    <w:rsid w:val="7BAA31EE"/>
    <w:rsid w:val="7BAB011F"/>
    <w:rsid w:val="7BAB15AA"/>
    <w:rsid w:val="7BAB5214"/>
    <w:rsid w:val="7BAB6FC2"/>
    <w:rsid w:val="7BAC4AE8"/>
    <w:rsid w:val="7BAC57D1"/>
    <w:rsid w:val="7BAD6B85"/>
    <w:rsid w:val="7BAE260E"/>
    <w:rsid w:val="7BAE77B9"/>
    <w:rsid w:val="7BAF222A"/>
    <w:rsid w:val="7BAF352D"/>
    <w:rsid w:val="7BB03A29"/>
    <w:rsid w:val="7BB10350"/>
    <w:rsid w:val="7BB12DCE"/>
    <w:rsid w:val="7BB22021"/>
    <w:rsid w:val="7BB22216"/>
    <w:rsid w:val="7BB315E0"/>
    <w:rsid w:val="7BB3231A"/>
    <w:rsid w:val="7BB32F79"/>
    <w:rsid w:val="7BB40833"/>
    <w:rsid w:val="7BB445FA"/>
    <w:rsid w:val="7BB51BEE"/>
    <w:rsid w:val="7BB5399C"/>
    <w:rsid w:val="7BB55D27"/>
    <w:rsid w:val="7BB71820"/>
    <w:rsid w:val="7BB72C21"/>
    <w:rsid w:val="7BB75966"/>
    <w:rsid w:val="7BB76DB9"/>
    <w:rsid w:val="7BB8076D"/>
    <w:rsid w:val="7BB832B0"/>
    <w:rsid w:val="7BB8348D"/>
    <w:rsid w:val="7BB857F2"/>
    <w:rsid w:val="7BB87930"/>
    <w:rsid w:val="7BB90666"/>
    <w:rsid w:val="7BBA0FB3"/>
    <w:rsid w:val="7BBA15A2"/>
    <w:rsid w:val="7BBA5457"/>
    <w:rsid w:val="7BBA7205"/>
    <w:rsid w:val="7BBB0F8B"/>
    <w:rsid w:val="7BBC11CF"/>
    <w:rsid w:val="7BBC5D3C"/>
    <w:rsid w:val="7BBD2674"/>
    <w:rsid w:val="7BBD4F47"/>
    <w:rsid w:val="7BBE7F23"/>
    <w:rsid w:val="7BBF2A6D"/>
    <w:rsid w:val="7BC02341"/>
    <w:rsid w:val="7BC10593"/>
    <w:rsid w:val="7BC125BF"/>
    <w:rsid w:val="7BC13C07"/>
    <w:rsid w:val="7BC13CD3"/>
    <w:rsid w:val="7BC167E5"/>
    <w:rsid w:val="7BC16861"/>
    <w:rsid w:val="7BC2430B"/>
    <w:rsid w:val="7BC260B9"/>
    <w:rsid w:val="7BC42654"/>
    <w:rsid w:val="7BC462D5"/>
    <w:rsid w:val="7BC63DFB"/>
    <w:rsid w:val="7BC65BA9"/>
    <w:rsid w:val="7BC71922"/>
    <w:rsid w:val="7BC77B74"/>
    <w:rsid w:val="7BC9569A"/>
    <w:rsid w:val="7BC97448"/>
    <w:rsid w:val="7BC97C07"/>
    <w:rsid w:val="7BCA733C"/>
    <w:rsid w:val="7BCB1412"/>
    <w:rsid w:val="7BCB1AAA"/>
    <w:rsid w:val="7BCB31C0"/>
    <w:rsid w:val="7BCB7664"/>
    <w:rsid w:val="7BCC39B7"/>
    <w:rsid w:val="7BCC6F38"/>
    <w:rsid w:val="7BCD2F2C"/>
    <w:rsid w:val="7BCD518A"/>
    <w:rsid w:val="7BCD7730"/>
    <w:rsid w:val="7BCE7A18"/>
    <w:rsid w:val="7BCF4FF9"/>
    <w:rsid w:val="7BCF58BD"/>
    <w:rsid w:val="7BCF78A0"/>
    <w:rsid w:val="7BD007D6"/>
    <w:rsid w:val="7BD01B16"/>
    <w:rsid w:val="7BD057ED"/>
    <w:rsid w:val="7BD059A3"/>
    <w:rsid w:val="7BD06079"/>
    <w:rsid w:val="7BD302C6"/>
    <w:rsid w:val="7BD32074"/>
    <w:rsid w:val="7BD323FA"/>
    <w:rsid w:val="7BD46F29"/>
    <w:rsid w:val="7BD5386A"/>
    <w:rsid w:val="7BD53ACF"/>
    <w:rsid w:val="7BD61B65"/>
    <w:rsid w:val="7BD63B9D"/>
    <w:rsid w:val="7BD70ACA"/>
    <w:rsid w:val="7BD81D81"/>
    <w:rsid w:val="7BD8369B"/>
    <w:rsid w:val="7BD83B2F"/>
    <w:rsid w:val="7BD858DD"/>
    <w:rsid w:val="7BD865C1"/>
    <w:rsid w:val="7BD87EB7"/>
    <w:rsid w:val="7BD95FCA"/>
    <w:rsid w:val="7BDA1655"/>
    <w:rsid w:val="7BDA3403"/>
    <w:rsid w:val="7BDC34AC"/>
    <w:rsid w:val="7BDC361F"/>
    <w:rsid w:val="7BDC53CD"/>
    <w:rsid w:val="7BDD330B"/>
    <w:rsid w:val="7BDE0856"/>
    <w:rsid w:val="7BDE366B"/>
    <w:rsid w:val="7BDE750D"/>
    <w:rsid w:val="7BDF09E9"/>
    <w:rsid w:val="7BDF2246"/>
    <w:rsid w:val="7BDF2649"/>
    <w:rsid w:val="7BDF310F"/>
    <w:rsid w:val="7BDF31CA"/>
    <w:rsid w:val="7BDF31D8"/>
    <w:rsid w:val="7BDF7AA9"/>
    <w:rsid w:val="7BE01E2D"/>
    <w:rsid w:val="7BE0414B"/>
    <w:rsid w:val="7BE12A6E"/>
    <w:rsid w:val="7BE1474D"/>
    <w:rsid w:val="7BE21B9F"/>
    <w:rsid w:val="7BE424D4"/>
    <w:rsid w:val="7BE42D84"/>
    <w:rsid w:val="7BE44282"/>
    <w:rsid w:val="7BE555C9"/>
    <w:rsid w:val="7BE557F5"/>
    <w:rsid w:val="7BE659B3"/>
    <w:rsid w:val="7BE73D72"/>
    <w:rsid w:val="7BE73E9A"/>
    <w:rsid w:val="7BE814DF"/>
    <w:rsid w:val="7BE81A4F"/>
    <w:rsid w:val="7BE91898"/>
    <w:rsid w:val="7BE947B4"/>
    <w:rsid w:val="7BE96308"/>
    <w:rsid w:val="7BEC1388"/>
    <w:rsid w:val="7BED1A67"/>
    <w:rsid w:val="7BED5740"/>
    <w:rsid w:val="7BEF073E"/>
    <w:rsid w:val="7BEF1A41"/>
    <w:rsid w:val="7BEF60F4"/>
    <w:rsid w:val="7BEF6166"/>
    <w:rsid w:val="7BF02DB2"/>
    <w:rsid w:val="7BF070CA"/>
    <w:rsid w:val="7BF07933"/>
    <w:rsid w:val="7BF10231"/>
    <w:rsid w:val="7BF14C64"/>
    <w:rsid w:val="7BF17AF1"/>
    <w:rsid w:val="7BF2506D"/>
    <w:rsid w:val="7BF2699E"/>
    <w:rsid w:val="7BF30969"/>
    <w:rsid w:val="7BF322AE"/>
    <w:rsid w:val="7BF32717"/>
    <w:rsid w:val="7BF34668"/>
    <w:rsid w:val="7BF35507"/>
    <w:rsid w:val="7BF35F3E"/>
    <w:rsid w:val="7BF4283D"/>
    <w:rsid w:val="7BF5648F"/>
    <w:rsid w:val="7BF64752"/>
    <w:rsid w:val="7BF70459"/>
    <w:rsid w:val="7BF73FB5"/>
    <w:rsid w:val="7BF754E3"/>
    <w:rsid w:val="7BF858CA"/>
    <w:rsid w:val="7BF87D2D"/>
    <w:rsid w:val="7BF91654"/>
    <w:rsid w:val="7BF9344A"/>
    <w:rsid w:val="7BFA0516"/>
    <w:rsid w:val="7BFA1CF7"/>
    <w:rsid w:val="7BFA3AA5"/>
    <w:rsid w:val="7BFA55A5"/>
    <w:rsid w:val="7BFA5853"/>
    <w:rsid w:val="7BFB7CB5"/>
    <w:rsid w:val="7BFC15CB"/>
    <w:rsid w:val="7BFC2A96"/>
    <w:rsid w:val="7BFC7E4C"/>
    <w:rsid w:val="7BFD3595"/>
    <w:rsid w:val="7BFD5343"/>
    <w:rsid w:val="7BFD5EBE"/>
    <w:rsid w:val="7BFF25E3"/>
    <w:rsid w:val="7BFF2E69"/>
    <w:rsid w:val="7C010CEF"/>
    <w:rsid w:val="7C0128CD"/>
    <w:rsid w:val="7C013085"/>
    <w:rsid w:val="7C0148BF"/>
    <w:rsid w:val="7C016BE2"/>
    <w:rsid w:val="7C02295A"/>
    <w:rsid w:val="7C0265C7"/>
    <w:rsid w:val="7C030BAC"/>
    <w:rsid w:val="7C0310FE"/>
    <w:rsid w:val="7C032089"/>
    <w:rsid w:val="7C041228"/>
    <w:rsid w:val="7C042B76"/>
    <w:rsid w:val="7C044924"/>
    <w:rsid w:val="7C0536B8"/>
    <w:rsid w:val="7C055DE8"/>
    <w:rsid w:val="7C0573B0"/>
    <w:rsid w:val="7C057575"/>
    <w:rsid w:val="7C06069C"/>
    <w:rsid w:val="7C06244A"/>
    <w:rsid w:val="7C067980"/>
    <w:rsid w:val="7C07056B"/>
    <w:rsid w:val="7C072E9D"/>
    <w:rsid w:val="7C081039"/>
    <w:rsid w:val="7C084414"/>
    <w:rsid w:val="7C0A1723"/>
    <w:rsid w:val="7C0A35A6"/>
    <w:rsid w:val="7C0B3F04"/>
    <w:rsid w:val="7C0B6D0E"/>
    <w:rsid w:val="7C0B7A60"/>
    <w:rsid w:val="7C0C21E9"/>
    <w:rsid w:val="7C0C3FBA"/>
    <w:rsid w:val="7C0C5586"/>
    <w:rsid w:val="7C0D52FF"/>
    <w:rsid w:val="7C0D6056"/>
    <w:rsid w:val="7C0E375F"/>
    <w:rsid w:val="7C0E57A2"/>
    <w:rsid w:val="7C0E596F"/>
    <w:rsid w:val="7C0F22E4"/>
    <w:rsid w:val="7C0F2B7D"/>
    <w:rsid w:val="7C0F5A6A"/>
    <w:rsid w:val="7C10151B"/>
    <w:rsid w:val="7C102CEF"/>
    <w:rsid w:val="7C1059E0"/>
    <w:rsid w:val="7C106B54"/>
    <w:rsid w:val="7C1077CB"/>
    <w:rsid w:val="7C1103AD"/>
    <w:rsid w:val="7C11382C"/>
    <w:rsid w:val="7C1322F9"/>
    <w:rsid w:val="7C134B67"/>
    <w:rsid w:val="7C142DB9"/>
    <w:rsid w:val="7C142F4A"/>
    <w:rsid w:val="7C147E26"/>
    <w:rsid w:val="7C151C25"/>
    <w:rsid w:val="7C15268D"/>
    <w:rsid w:val="7C15551F"/>
    <w:rsid w:val="7C155B53"/>
    <w:rsid w:val="7C163A3E"/>
    <w:rsid w:val="7C1745DC"/>
    <w:rsid w:val="7C174657"/>
    <w:rsid w:val="7C17769E"/>
    <w:rsid w:val="7C181810"/>
    <w:rsid w:val="7C18217D"/>
    <w:rsid w:val="7C183F2B"/>
    <w:rsid w:val="7C1903CF"/>
    <w:rsid w:val="7C195991"/>
    <w:rsid w:val="7C196038"/>
    <w:rsid w:val="7C1A0906"/>
    <w:rsid w:val="7C1A5EF5"/>
    <w:rsid w:val="7C1A652F"/>
    <w:rsid w:val="7C1A66F4"/>
    <w:rsid w:val="7C1C093F"/>
    <w:rsid w:val="7C1C1C6D"/>
    <w:rsid w:val="7C1C3C63"/>
    <w:rsid w:val="7C1D7794"/>
    <w:rsid w:val="7C1E1BC0"/>
    <w:rsid w:val="7C1E1D84"/>
    <w:rsid w:val="7C1E3C37"/>
    <w:rsid w:val="7C1E59E5"/>
    <w:rsid w:val="7C1F175E"/>
    <w:rsid w:val="7C1F350C"/>
    <w:rsid w:val="7C211032"/>
    <w:rsid w:val="7C212FF6"/>
    <w:rsid w:val="7C2154D6"/>
    <w:rsid w:val="7C216E39"/>
    <w:rsid w:val="7C217284"/>
    <w:rsid w:val="7C224DAA"/>
    <w:rsid w:val="7C23124E"/>
    <w:rsid w:val="7C235415"/>
    <w:rsid w:val="7C2428D0"/>
    <w:rsid w:val="7C246D74"/>
    <w:rsid w:val="7C25340B"/>
    <w:rsid w:val="7C263630"/>
    <w:rsid w:val="7C2645C2"/>
    <w:rsid w:val="7C265313"/>
    <w:rsid w:val="7C272B4F"/>
    <w:rsid w:val="7C2741FB"/>
    <w:rsid w:val="7C275A52"/>
    <w:rsid w:val="7C283298"/>
    <w:rsid w:val="7C286864"/>
    <w:rsid w:val="7C286BA5"/>
    <w:rsid w:val="7C296138"/>
    <w:rsid w:val="7C2A0D99"/>
    <w:rsid w:val="7C2A2D00"/>
    <w:rsid w:val="7C2B1EB0"/>
    <w:rsid w:val="7C2B3C5E"/>
    <w:rsid w:val="7C2C0343"/>
    <w:rsid w:val="7C2C1B5D"/>
    <w:rsid w:val="7C2C4FB3"/>
    <w:rsid w:val="7C2D36F6"/>
    <w:rsid w:val="7C2D3E7B"/>
    <w:rsid w:val="7C2D5C29"/>
    <w:rsid w:val="7C2D79D7"/>
    <w:rsid w:val="7C2E19A1"/>
    <w:rsid w:val="7C2E6A6B"/>
    <w:rsid w:val="7C2F5925"/>
    <w:rsid w:val="7C2F7BF3"/>
    <w:rsid w:val="7C30041C"/>
    <w:rsid w:val="7C3074C7"/>
    <w:rsid w:val="7C321491"/>
    <w:rsid w:val="7C323129"/>
    <w:rsid w:val="7C330D3F"/>
    <w:rsid w:val="7C330D65"/>
    <w:rsid w:val="7C333598"/>
    <w:rsid w:val="7C336FB7"/>
    <w:rsid w:val="7C345209"/>
    <w:rsid w:val="7C346BC6"/>
    <w:rsid w:val="7C350F81"/>
    <w:rsid w:val="7C35247C"/>
    <w:rsid w:val="7C352C27"/>
    <w:rsid w:val="7C3533C0"/>
    <w:rsid w:val="7C354ADD"/>
    <w:rsid w:val="7C361303"/>
    <w:rsid w:val="7C363671"/>
    <w:rsid w:val="7C36614C"/>
    <w:rsid w:val="7C372603"/>
    <w:rsid w:val="7C37539F"/>
    <w:rsid w:val="7C375547"/>
    <w:rsid w:val="7C375555"/>
    <w:rsid w:val="7C377744"/>
    <w:rsid w:val="7C381E77"/>
    <w:rsid w:val="7C384D1E"/>
    <w:rsid w:val="7C38637B"/>
    <w:rsid w:val="7C3A0345"/>
    <w:rsid w:val="7C3A20F4"/>
    <w:rsid w:val="7C3B3EC8"/>
    <w:rsid w:val="7C3B5692"/>
    <w:rsid w:val="7C3C40BE"/>
    <w:rsid w:val="7C3C5E6C"/>
    <w:rsid w:val="7C3C6C20"/>
    <w:rsid w:val="7C3D3992"/>
    <w:rsid w:val="7C3E7E36"/>
    <w:rsid w:val="7C3F595C"/>
    <w:rsid w:val="7C3F68AA"/>
    <w:rsid w:val="7C4028DA"/>
    <w:rsid w:val="7C416306"/>
    <w:rsid w:val="7C43369E"/>
    <w:rsid w:val="7C433AEA"/>
    <w:rsid w:val="7C4371FA"/>
    <w:rsid w:val="7C4405BE"/>
    <w:rsid w:val="7C4411C4"/>
    <w:rsid w:val="7C445208"/>
    <w:rsid w:val="7C464115"/>
    <w:rsid w:val="7C466CEA"/>
    <w:rsid w:val="7C47262A"/>
    <w:rsid w:val="7C4776F8"/>
    <w:rsid w:val="7C477EBE"/>
    <w:rsid w:val="7C480C03"/>
    <w:rsid w:val="7C480CB4"/>
    <w:rsid w:val="7C482A62"/>
    <w:rsid w:val="7C484810"/>
    <w:rsid w:val="7C4864CC"/>
    <w:rsid w:val="7C490137"/>
    <w:rsid w:val="7C4A388D"/>
    <w:rsid w:val="7C4A4A2C"/>
    <w:rsid w:val="7C4A67DB"/>
    <w:rsid w:val="7C4B60AF"/>
    <w:rsid w:val="7C4D1E27"/>
    <w:rsid w:val="7C4D3D65"/>
    <w:rsid w:val="7C4E764F"/>
    <w:rsid w:val="7C4F2043"/>
    <w:rsid w:val="7C4F341F"/>
    <w:rsid w:val="7C50152E"/>
    <w:rsid w:val="7C502B1E"/>
    <w:rsid w:val="7C5036C5"/>
    <w:rsid w:val="7C504C5E"/>
    <w:rsid w:val="7C507B69"/>
    <w:rsid w:val="7C517AB5"/>
    <w:rsid w:val="7C522E63"/>
    <w:rsid w:val="7C5238E1"/>
    <w:rsid w:val="7C52568F"/>
    <w:rsid w:val="7C52743D"/>
    <w:rsid w:val="7C5331B5"/>
    <w:rsid w:val="7C546753"/>
    <w:rsid w:val="7C5516C4"/>
    <w:rsid w:val="7C5533D1"/>
    <w:rsid w:val="7C555EFF"/>
    <w:rsid w:val="7C556F2D"/>
    <w:rsid w:val="7C557E4B"/>
    <w:rsid w:val="7C575E0C"/>
    <w:rsid w:val="7C58630B"/>
    <w:rsid w:val="7C5A2796"/>
    <w:rsid w:val="7C5A34B2"/>
    <w:rsid w:val="7C5A3AF3"/>
    <w:rsid w:val="7C5B09E8"/>
    <w:rsid w:val="7C5B1D71"/>
    <w:rsid w:val="7C5B37CC"/>
    <w:rsid w:val="7C5C02BC"/>
    <w:rsid w:val="7C5C3712"/>
    <w:rsid w:val="7C5C3E92"/>
    <w:rsid w:val="7C5C4760"/>
    <w:rsid w:val="7C5D4691"/>
    <w:rsid w:val="7C5E5DE2"/>
    <w:rsid w:val="7C5E6891"/>
    <w:rsid w:val="7C5F196A"/>
    <w:rsid w:val="7C5F1B5A"/>
    <w:rsid w:val="7C5F610E"/>
    <w:rsid w:val="7C5F6F1C"/>
    <w:rsid w:val="7C5F7DAC"/>
    <w:rsid w:val="7C5F7F16"/>
    <w:rsid w:val="7C602892"/>
    <w:rsid w:val="7C6043DA"/>
    <w:rsid w:val="7C604753"/>
    <w:rsid w:val="7C611D76"/>
    <w:rsid w:val="7C612774"/>
    <w:rsid w:val="7C612B4F"/>
    <w:rsid w:val="7C613B24"/>
    <w:rsid w:val="7C6149D1"/>
    <w:rsid w:val="7C6153C2"/>
    <w:rsid w:val="7C6158D2"/>
    <w:rsid w:val="7C6170A1"/>
    <w:rsid w:val="7C620503"/>
    <w:rsid w:val="7C63164A"/>
    <w:rsid w:val="7C6453C2"/>
    <w:rsid w:val="7C647170"/>
    <w:rsid w:val="7C647335"/>
    <w:rsid w:val="7C653096"/>
    <w:rsid w:val="7C653614"/>
    <w:rsid w:val="7C656502"/>
    <w:rsid w:val="7C662EE9"/>
    <w:rsid w:val="7C66738C"/>
    <w:rsid w:val="7C6675BA"/>
    <w:rsid w:val="7C670314"/>
    <w:rsid w:val="7C670FD0"/>
    <w:rsid w:val="7C683105"/>
    <w:rsid w:val="7C684EB3"/>
    <w:rsid w:val="7C68734E"/>
    <w:rsid w:val="7C69100F"/>
    <w:rsid w:val="7C6929D9"/>
    <w:rsid w:val="7C6A03D6"/>
    <w:rsid w:val="7C6A6DD3"/>
    <w:rsid w:val="7C6B49A3"/>
    <w:rsid w:val="7C6C5AC7"/>
    <w:rsid w:val="7C6D24C9"/>
    <w:rsid w:val="7C6D58CC"/>
    <w:rsid w:val="7C6D71C5"/>
    <w:rsid w:val="7C6F4493"/>
    <w:rsid w:val="7C6F6241"/>
    <w:rsid w:val="7C6F7FEF"/>
    <w:rsid w:val="7C701FB9"/>
    <w:rsid w:val="7C702B07"/>
    <w:rsid w:val="7C705B15"/>
    <w:rsid w:val="7C706DF3"/>
    <w:rsid w:val="7C707B9F"/>
    <w:rsid w:val="7C716B68"/>
    <w:rsid w:val="7C72188D"/>
    <w:rsid w:val="7C727ADF"/>
    <w:rsid w:val="7C734B01"/>
    <w:rsid w:val="7C740E72"/>
    <w:rsid w:val="7C741AA9"/>
    <w:rsid w:val="7C75137E"/>
    <w:rsid w:val="7C756828"/>
    <w:rsid w:val="7C76154A"/>
    <w:rsid w:val="7C765821"/>
    <w:rsid w:val="7C766979"/>
    <w:rsid w:val="7C7750F6"/>
    <w:rsid w:val="7C776397"/>
    <w:rsid w:val="7C776EA4"/>
    <w:rsid w:val="7C7823A7"/>
    <w:rsid w:val="7C792C1C"/>
    <w:rsid w:val="7C7A4BE6"/>
    <w:rsid w:val="7C7A6994"/>
    <w:rsid w:val="7C7B081C"/>
    <w:rsid w:val="7C7B1DBF"/>
    <w:rsid w:val="7C7B3090"/>
    <w:rsid w:val="7C7B5CFE"/>
    <w:rsid w:val="7C7B6068"/>
    <w:rsid w:val="7C7C3C7B"/>
    <w:rsid w:val="7C7D2DBE"/>
    <w:rsid w:val="7C7E237D"/>
    <w:rsid w:val="7C7E46D6"/>
    <w:rsid w:val="7C7E6484"/>
    <w:rsid w:val="7C7E7CDC"/>
    <w:rsid w:val="7C7F3312"/>
    <w:rsid w:val="7C80044E"/>
    <w:rsid w:val="7C800E04"/>
    <w:rsid w:val="7C803CD9"/>
    <w:rsid w:val="7C813C7A"/>
    <w:rsid w:val="7C8155D3"/>
    <w:rsid w:val="7C815F74"/>
    <w:rsid w:val="7C817D22"/>
    <w:rsid w:val="7C821F4D"/>
    <w:rsid w:val="7C823B9A"/>
    <w:rsid w:val="7C830F7C"/>
    <w:rsid w:val="7C831CEC"/>
    <w:rsid w:val="7C8345AB"/>
    <w:rsid w:val="7C8431FB"/>
    <w:rsid w:val="7C855A65"/>
    <w:rsid w:val="7C857813"/>
    <w:rsid w:val="7C865339"/>
    <w:rsid w:val="7C8712BE"/>
    <w:rsid w:val="7C8810B1"/>
    <w:rsid w:val="7C883967"/>
    <w:rsid w:val="7C8859C8"/>
    <w:rsid w:val="7C8864D6"/>
    <w:rsid w:val="7C890259"/>
    <w:rsid w:val="7C8A1F4A"/>
    <w:rsid w:val="7C8A4E29"/>
    <w:rsid w:val="7C8A627E"/>
    <w:rsid w:val="7C8A6E97"/>
    <w:rsid w:val="7C8B3A6F"/>
    <w:rsid w:val="7C8B6DF3"/>
    <w:rsid w:val="7C8B7BB3"/>
    <w:rsid w:val="7C8C49A4"/>
    <w:rsid w:val="7C8D0D98"/>
    <w:rsid w:val="7C8D1210"/>
    <w:rsid w:val="7C8D4919"/>
    <w:rsid w:val="7C8D4BFF"/>
    <w:rsid w:val="7C8D66C7"/>
    <w:rsid w:val="7C8F0C60"/>
    <w:rsid w:val="7C907F65"/>
    <w:rsid w:val="7C91390E"/>
    <w:rsid w:val="7C921F30"/>
    <w:rsid w:val="7C931ECD"/>
    <w:rsid w:val="7C947A56"/>
    <w:rsid w:val="7C953391"/>
    <w:rsid w:val="7C9542B8"/>
    <w:rsid w:val="7C961A20"/>
    <w:rsid w:val="7C962567"/>
    <w:rsid w:val="7C9673F2"/>
    <w:rsid w:val="7C9712F4"/>
    <w:rsid w:val="7C99312B"/>
    <w:rsid w:val="7C9944BA"/>
    <w:rsid w:val="7C99529F"/>
    <w:rsid w:val="7C9A6651"/>
    <w:rsid w:val="7C9B434C"/>
    <w:rsid w:val="7C9C4B5C"/>
    <w:rsid w:val="7C9D186D"/>
    <w:rsid w:val="7C9D6C01"/>
    <w:rsid w:val="7C9E08D4"/>
    <w:rsid w:val="7C9E7A01"/>
    <w:rsid w:val="7CA01BE5"/>
    <w:rsid w:val="7CA01C58"/>
    <w:rsid w:val="7CA0289E"/>
    <w:rsid w:val="7CA0464C"/>
    <w:rsid w:val="7CA134A9"/>
    <w:rsid w:val="7CA13F21"/>
    <w:rsid w:val="7CA37C99"/>
    <w:rsid w:val="7CA44918"/>
    <w:rsid w:val="7CA51C63"/>
    <w:rsid w:val="7CA52E86"/>
    <w:rsid w:val="7CA552F2"/>
    <w:rsid w:val="7CA57EB5"/>
    <w:rsid w:val="7CA60A5C"/>
    <w:rsid w:val="7CA659DB"/>
    <w:rsid w:val="7CA67789"/>
    <w:rsid w:val="7CA71439"/>
    <w:rsid w:val="7CA75F06"/>
    <w:rsid w:val="7CA76A30"/>
    <w:rsid w:val="7CA81753"/>
    <w:rsid w:val="7CA91E7F"/>
    <w:rsid w:val="7CAA1027"/>
    <w:rsid w:val="7CAA469C"/>
    <w:rsid w:val="7CAA5868"/>
    <w:rsid w:val="7CAA7279"/>
    <w:rsid w:val="7CAB16E6"/>
    <w:rsid w:val="7CAB2FF1"/>
    <w:rsid w:val="7CAB3905"/>
    <w:rsid w:val="7CAB4D9F"/>
    <w:rsid w:val="7CAB7E05"/>
    <w:rsid w:val="7CAD0237"/>
    <w:rsid w:val="7CAD0B17"/>
    <w:rsid w:val="7CAD2A9A"/>
    <w:rsid w:val="7CB00608"/>
    <w:rsid w:val="7CB0270A"/>
    <w:rsid w:val="7CB1073E"/>
    <w:rsid w:val="7CB1256E"/>
    <w:rsid w:val="7CB24380"/>
    <w:rsid w:val="7CB30FC2"/>
    <w:rsid w:val="7CB33040"/>
    <w:rsid w:val="7CB400F8"/>
    <w:rsid w:val="7CB40407"/>
    <w:rsid w:val="7CB414EB"/>
    <w:rsid w:val="7CB41EA6"/>
    <w:rsid w:val="7CB458B4"/>
    <w:rsid w:val="7CB51565"/>
    <w:rsid w:val="7CB579CC"/>
    <w:rsid w:val="7CB63E70"/>
    <w:rsid w:val="7CB7150A"/>
    <w:rsid w:val="7CB73744"/>
    <w:rsid w:val="7CB77BE8"/>
    <w:rsid w:val="7CB830BD"/>
    <w:rsid w:val="7CB83E2E"/>
    <w:rsid w:val="7CB85855"/>
    <w:rsid w:val="7CB9570E"/>
    <w:rsid w:val="7CBA2CE5"/>
    <w:rsid w:val="7CBA441A"/>
    <w:rsid w:val="7CBA4472"/>
    <w:rsid w:val="7CBB1486"/>
    <w:rsid w:val="7CBB3234"/>
    <w:rsid w:val="7CBB35B8"/>
    <w:rsid w:val="7CBB5010"/>
    <w:rsid w:val="7CBB75D8"/>
    <w:rsid w:val="7CBC6FAC"/>
    <w:rsid w:val="7CBD259D"/>
    <w:rsid w:val="7CBD2E41"/>
    <w:rsid w:val="7CBD71C5"/>
    <w:rsid w:val="7CBE2646"/>
    <w:rsid w:val="7CBE3A2D"/>
    <w:rsid w:val="7CBE4AD3"/>
    <w:rsid w:val="7CBF28B2"/>
    <w:rsid w:val="7CBF78C7"/>
    <w:rsid w:val="7CBF7B20"/>
    <w:rsid w:val="7CC0084B"/>
    <w:rsid w:val="7CC00DF5"/>
    <w:rsid w:val="7CC02C2B"/>
    <w:rsid w:val="7CC03FB0"/>
    <w:rsid w:val="7CC06294"/>
    <w:rsid w:val="7CC07A8E"/>
    <w:rsid w:val="7CC07C9D"/>
    <w:rsid w:val="7CC12815"/>
    <w:rsid w:val="7CC15654"/>
    <w:rsid w:val="7CC16371"/>
    <w:rsid w:val="7CC3033B"/>
    <w:rsid w:val="7CC32839"/>
    <w:rsid w:val="7CC36CEE"/>
    <w:rsid w:val="7CC52305"/>
    <w:rsid w:val="7CC52470"/>
    <w:rsid w:val="7CC61BD9"/>
    <w:rsid w:val="7CC6544B"/>
    <w:rsid w:val="7CC663F8"/>
    <w:rsid w:val="7CC67A84"/>
    <w:rsid w:val="7CC7512A"/>
    <w:rsid w:val="7CC7607D"/>
    <w:rsid w:val="7CC80ED9"/>
    <w:rsid w:val="7CC85951"/>
    <w:rsid w:val="7CC92281"/>
    <w:rsid w:val="7CC973C1"/>
    <w:rsid w:val="7CCA0CB7"/>
    <w:rsid w:val="7CCA16C9"/>
    <w:rsid w:val="7CCA791B"/>
    <w:rsid w:val="7CCB4BA1"/>
    <w:rsid w:val="7CCB6C1D"/>
    <w:rsid w:val="7CCB71F0"/>
    <w:rsid w:val="7CCB7C83"/>
    <w:rsid w:val="7CCC169D"/>
    <w:rsid w:val="7CCC1F43"/>
    <w:rsid w:val="7CCC3693"/>
    <w:rsid w:val="7CCC5441"/>
    <w:rsid w:val="7CCC722A"/>
    <w:rsid w:val="7CCD11BA"/>
    <w:rsid w:val="7CCD517C"/>
    <w:rsid w:val="7CCD740C"/>
    <w:rsid w:val="7CCE35F1"/>
    <w:rsid w:val="7CCE4C63"/>
    <w:rsid w:val="7CCE583F"/>
    <w:rsid w:val="7CCF0A8E"/>
    <w:rsid w:val="7CCF2C55"/>
    <w:rsid w:val="7CCF3A53"/>
    <w:rsid w:val="7CCF4F32"/>
    <w:rsid w:val="7CCF57B1"/>
    <w:rsid w:val="7CD04806"/>
    <w:rsid w:val="7CD135E4"/>
    <w:rsid w:val="7CD2057E"/>
    <w:rsid w:val="7CD24A22"/>
    <w:rsid w:val="7CD24A74"/>
    <w:rsid w:val="7CD262A7"/>
    <w:rsid w:val="7CD267D0"/>
    <w:rsid w:val="7CD35F04"/>
    <w:rsid w:val="7CD410F5"/>
    <w:rsid w:val="7CD460A4"/>
    <w:rsid w:val="7CD51E1C"/>
    <w:rsid w:val="7CD6006E"/>
    <w:rsid w:val="7CD67C72"/>
    <w:rsid w:val="7CD82038"/>
    <w:rsid w:val="7CD87164"/>
    <w:rsid w:val="7CD87C22"/>
    <w:rsid w:val="7CD9190C"/>
    <w:rsid w:val="7CD91AEA"/>
    <w:rsid w:val="7CDB4696"/>
    <w:rsid w:val="7CDB5685"/>
    <w:rsid w:val="7CDB7433"/>
    <w:rsid w:val="7CDC13FD"/>
    <w:rsid w:val="7CDC638F"/>
    <w:rsid w:val="7CDD764F"/>
    <w:rsid w:val="7CDE6741"/>
    <w:rsid w:val="7CDE6F23"/>
    <w:rsid w:val="7CDF44A7"/>
    <w:rsid w:val="7CDF6C14"/>
    <w:rsid w:val="7CE01384"/>
    <w:rsid w:val="7CE03262"/>
    <w:rsid w:val="7CE0713F"/>
    <w:rsid w:val="7CE07187"/>
    <w:rsid w:val="7CE13EA9"/>
    <w:rsid w:val="7CE16A13"/>
    <w:rsid w:val="7CE24569"/>
    <w:rsid w:val="7CE31E5C"/>
    <w:rsid w:val="7CE33567"/>
    <w:rsid w:val="7CE338D3"/>
    <w:rsid w:val="7CE502B1"/>
    <w:rsid w:val="7CE50319"/>
    <w:rsid w:val="7CE50938"/>
    <w:rsid w:val="7CE50CDB"/>
    <w:rsid w:val="7CE539D6"/>
    <w:rsid w:val="7CE55FA8"/>
    <w:rsid w:val="7CE56038"/>
    <w:rsid w:val="7CE560AB"/>
    <w:rsid w:val="7CE64887"/>
    <w:rsid w:val="7CE704CD"/>
    <w:rsid w:val="7CE85E00"/>
    <w:rsid w:val="7CE85FF3"/>
    <w:rsid w:val="7CE8721A"/>
    <w:rsid w:val="7CE87DA1"/>
    <w:rsid w:val="7CE96808"/>
    <w:rsid w:val="7CEA15BA"/>
    <w:rsid w:val="7CEA1D6C"/>
    <w:rsid w:val="7CEA3B1A"/>
    <w:rsid w:val="7CEB65CC"/>
    <w:rsid w:val="7CEC11BB"/>
    <w:rsid w:val="7CEC1640"/>
    <w:rsid w:val="7CED53B8"/>
    <w:rsid w:val="7CED7166"/>
    <w:rsid w:val="7CEE12EE"/>
    <w:rsid w:val="7CEE13CB"/>
    <w:rsid w:val="7CEF4968"/>
    <w:rsid w:val="7CF14EA8"/>
    <w:rsid w:val="7CF16C56"/>
    <w:rsid w:val="7CF214BD"/>
    <w:rsid w:val="7CF229CE"/>
    <w:rsid w:val="7CF24DE2"/>
    <w:rsid w:val="7CF31143"/>
    <w:rsid w:val="7CF46746"/>
    <w:rsid w:val="7CF56205"/>
    <w:rsid w:val="7CF6426C"/>
    <w:rsid w:val="7CF72118"/>
    <w:rsid w:val="7CF72841"/>
    <w:rsid w:val="7CF748FD"/>
    <w:rsid w:val="7CF74F75"/>
    <w:rsid w:val="7CF83792"/>
    <w:rsid w:val="7CF83BBE"/>
    <w:rsid w:val="7CF84488"/>
    <w:rsid w:val="7CF86A7C"/>
    <w:rsid w:val="7CF94917"/>
    <w:rsid w:val="7CFB1883"/>
    <w:rsid w:val="7CFB5D27"/>
    <w:rsid w:val="7CFC1342"/>
    <w:rsid w:val="7CFC20F7"/>
    <w:rsid w:val="7CFC39CF"/>
    <w:rsid w:val="7CFD0ECC"/>
    <w:rsid w:val="7CFD109F"/>
    <w:rsid w:val="7CFD2932"/>
    <w:rsid w:val="7CFD384D"/>
    <w:rsid w:val="7CFE1373"/>
    <w:rsid w:val="7CFE3333"/>
    <w:rsid w:val="7CFE75C5"/>
    <w:rsid w:val="7CFF521B"/>
    <w:rsid w:val="7CFF7097"/>
    <w:rsid w:val="7D0050EB"/>
    <w:rsid w:val="7D010F82"/>
    <w:rsid w:val="7D0169C8"/>
    <w:rsid w:val="7D017EA6"/>
    <w:rsid w:val="7D020E63"/>
    <w:rsid w:val="7D0239FF"/>
    <w:rsid w:val="7D033538"/>
    <w:rsid w:val="7D036989"/>
    <w:rsid w:val="7D053C97"/>
    <w:rsid w:val="7D072223"/>
    <w:rsid w:val="7D07457C"/>
    <w:rsid w:val="7D0746CC"/>
    <w:rsid w:val="7D07544D"/>
    <w:rsid w:val="7D07647A"/>
    <w:rsid w:val="7D080444"/>
    <w:rsid w:val="7D0821F2"/>
    <w:rsid w:val="7D082F0B"/>
    <w:rsid w:val="7D086284"/>
    <w:rsid w:val="7D0A2FA8"/>
    <w:rsid w:val="7D0A41BC"/>
    <w:rsid w:val="7D0A5F6A"/>
    <w:rsid w:val="7D0B06CB"/>
    <w:rsid w:val="7D0B29E4"/>
    <w:rsid w:val="7D0B583E"/>
    <w:rsid w:val="7D0C1750"/>
    <w:rsid w:val="7D0C1CE2"/>
    <w:rsid w:val="7D0C2A3D"/>
    <w:rsid w:val="7D0C3A90"/>
    <w:rsid w:val="7D0C6BEC"/>
    <w:rsid w:val="7D0D798A"/>
    <w:rsid w:val="7D0E09B5"/>
    <w:rsid w:val="7D0E27DE"/>
    <w:rsid w:val="7D0E5A5A"/>
    <w:rsid w:val="7D0F11F8"/>
    <w:rsid w:val="7D0F17D2"/>
    <w:rsid w:val="7D0F3580"/>
    <w:rsid w:val="7D11008D"/>
    <w:rsid w:val="7D110D58"/>
    <w:rsid w:val="7D1110A6"/>
    <w:rsid w:val="7D115A3F"/>
    <w:rsid w:val="7D1172F8"/>
    <w:rsid w:val="7D124E1E"/>
    <w:rsid w:val="7D1276DA"/>
    <w:rsid w:val="7D1307C6"/>
    <w:rsid w:val="7D1308B7"/>
    <w:rsid w:val="7D133070"/>
    <w:rsid w:val="7D141C56"/>
    <w:rsid w:val="7D144827"/>
    <w:rsid w:val="7D1456ED"/>
    <w:rsid w:val="7D153BCA"/>
    <w:rsid w:val="7D156AD2"/>
    <w:rsid w:val="7D162B61"/>
    <w:rsid w:val="7D167147"/>
    <w:rsid w:val="7D172435"/>
    <w:rsid w:val="7D1805BE"/>
    <w:rsid w:val="7D180687"/>
    <w:rsid w:val="7D19194F"/>
    <w:rsid w:val="7D1943FF"/>
    <w:rsid w:val="7D1B1F25"/>
    <w:rsid w:val="7D1B284D"/>
    <w:rsid w:val="7D1B3CD3"/>
    <w:rsid w:val="7D1C6E5B"/>
    <w:rsid w:val="7D1D3F82"/>
    <w:rsid w:val="7D1D5C9D"/>
    <w:rsid w:val="7D1E0174"/>
    <w:rsid w:val="7D1E04AA"/>
    <w:rsid w:val="7D1E58D9"/>
    <w:rsid w:val="7D20578D"/>
    <w:rsid w:val="7D20753B"/>
    <w:rsid w:val="7D207BED"/>
    <w:rsid w:val="7D21357C"/>
    <w:rsid w:val="7D22079A"/>
    <w:rsid w:val="7D225061"/>
    <w:rsid w:val="7D226E2B"/>
    <w:rsid w:val="7D230DDA"/>
    <w:rsid w:val="7D23702C"/>
    <w:rsid w:val="7D242BDB"/>
    <w:rsid w:val="7D250FF6"/>
    <w:rsid w:val="7D256900"/>
    <w:rsid w:val="7D276B1C"/>
    <w:rsid w:val="7D28123C"/>
    <w:rsid w:val="7D2A03BA"/>
    <w:rsid w:val="7D2A2168"/>
    <w:rsid w:val="7D2B2258"/>
    <w:rsid w:val="7D2C1307"/>
    <w:rsid w:val="7D2C5EE0"/>
    <w:rsid w:val="7D2C69EB"/>
    <w:rsid w:val="7D2C6F71"/>
    <w:rsid w:val="7D2C7C8E"/>
    <w:rsid w:val="7D2D01BE"/>
    <w:rsid w:val="7D2D0569"/>
    <w:rsid w:val="7D2D5DF4"/>
    <w:rsid w:val="7D2F2D01"/>
    <w:rsid w:val="7D2F59D0"/>
    <w:rsid w:val="7D312298"/>
    <w:rsid w:val="7D312756"/>
    <w:rsid w:val="7D315490"/>
    <w:rsid w:val="7D31799A"/>
    <w:rsid w:val="7D330A98"/>
    <w:rsid w:val="7D332968"/>
    <w:rsid w:val="7D3362C2"/>
    <w:rsid w:val="7D343E11"/>
    <w:rsid w:val="7D350F2E"/>
    <w:rsid w:val="7D3552A1"/>
    <w:rsid w:val="7D360B0D"/>
    <w:rsid w:val="7D367775"/>
    <w:rsid w:val="7D376633"/>
    <w:rsid w:val="7D380D29"/>
    <w:rsid w:val="7D380F5D"/>
    <w:rsid w:val="7D382AD7"/>
    <w:rsid w:val="7D384885"/>
    <w:rsid w:val="7D3905FD"/>
    <w:rsid w:val="7D391A22"/>
    <w:rsid w:val="7D393197"/>
    <w:rsid w:val="7D3A02F6"/>
    <w:rsid w:val="7D3B00B0"/>
    <w:rsid w:val="7D3B25C7"/>
    <w:rsid w:val="7D3B2829"/>
    <w:rsid w:val="7D3B378C"/>
    <w:rsid w:val="7D3B6123"/>
    <w:rsid w:val="7D3C492A"/>
    <w:rsid w:val="7D3C5A67"/>
    <w:rsid w:val="7D3C7304"/>
    <w:rsid w:val="7D3C74B9"/>
    <w:rsid w:val="7D3D1E9B"/>
    <w:rsid w:val="7D3D633F"/>
    <w:rsid w:val="7D3E3E65"/>
    <w:rsid w:val="7D3E5C13"/>
    <w:rsid w:val="7D3F20B7"/>
    <w:rsid w:val="7D405C42"/>
    <w:rsid w:val="7D4078EC"/>
    <w:rsid w:val="7D4165A6"/>
    <w:rsid w:val="7D436164"/>
    <w:rsid w:val="7D44610E"/>
    <w:rsid w:val="7D446672"/>
    <w:rsid w:val="7D4476CE"/>
    <w:rsid w:val="7D450D50"/>
    <w:rsid w:val="7D456FA2"/>
    <w:rsid w:val="7D467A6B"/>
    <w:rsid w:val="7D472D1A"/>
    <w:rsid w:val="7D474488"/>
    <w:rsid w:val="7D474AC8"/>
    <w:rsid w:val="7D4776B6"/>
    <w:rsid w:val="7D480840"/>
    <w:rsid w:val="7D480B46"/>
    <w:rsid w:val="7D482D43"/>
    <w:rsid w:val="7D484972"/>
    <w:rsid w:val="7D484C47"/>
    <w:rsid w:val="7D48547C"/>
    <w:rsid w:val="7D494CE4"/>
    <w:rsid w:val="7D495EEB"/>
    <w:rsid w:val="7D4960AF"/>
    <w:rsid w:val="7D496A92"/>
    <w:rsid w:val="7D4A3713"/>
    <w:rsid w:val="7D4A49D8"/>
    <w:rsid w:val="7D4A5B2A"/>
    <w:rsid w:val="7D4C20DE"/>
    <w:rsid w:val="7D4C456D"/>
    <w:rsid w:val="7D4C67BA"/>
    <w:rsid w:val="7D4D1DE7"/>
    <w:rsid w:val="7D4E22FA"/>
    <w:rsid w:val="7D4E40A8"/>
    <w:rsid w:val="7D4F6073"/>
    <w:rsid w:val="7D4F7E21"/>
    <w:rsid w:val="7D515947"/>
    <w:rsid w:val="7D522378"/>
    <w:rsid w:val="7D52346D"/>
    <w:rsid w:val="7D5471E5"/>
    <w:rsid w:val="7D5518FB"/>
    <w:rsid w:val="7D553689"/>
    <w:rsid w:val="7D5611AF"/>
    <w:rsid w:val="7D562F5D"/>
    <w:rsid w:val="7D5645DA"/>
    <w:rsid w:val="7D576182"/>
    <w:rsid w:val="7D580A83"/>
    <w:rsid w:val="7D584EB5"/>
    <w:rsid w:val="7D584F27"/>
    <w:rsid w:val="7D585454"/>
    <w:rsid w:val="7D592A4D"/>
    <w:rsid w:val="7D592F5B"/>
    <w:rsid w:val="7D59381E"/>
    <w:rsid w:val="7D593D9D"/>
    <w:rsid w:val="7D59469C"/>
    <w:rsid w:val="7D5947FB"/>
    <w:rsid w:val="7D5A4D5A"/>
    <w:rsid w:val="7D5A5B2C"/>
    <w:rsid w:val="7D5A6902"/>
    <w:rsid w:val="7D5B0573"/>
    <w:rsid w:val="7D5B4A17"/>
    <w:rsid w:val="7D5B67C5"/>
    <w:rsid w:val="7D5C301D"/>
    <w:rsid w:val="7D5D078F"/>
    <w:rsid w:val="7D5D253D"/>
    <w:rsid w:val="7D5D42EC"/>
    <w:rsid w:val="7D5E0064"/>
    <w:rsid w:val="7D5E1E12"/>
    <w:rsid w:val="7D5E40CD"/>
    <w:rsid w:val="7D5F2B71"/>
    <w:rsid w:val="7D5F62B6"/>
    <w:rsid w:val="7D600FB7"/>
    <w:rsid w:val="7D601E08"/>
    <w:rsid w:val="7D603DDC"/>
    <w:rsid w:val="7D607806"/>
    <w:rsid w:val="7D6116ED"/>
    <w:rsid w:val="7D612E2E"/>
    <w:rsid w:val="7D6155CF"/>
    <w:rsid w:val="7D620E06"/>
    <w:rsid w:val="7D621902"/>
    <w:rsid w:val="7D622B7D"/>
    <w:rsid w:val="7D625DA6"/>
    <w:rsid w:val="7D627B54"/>
    <w:rsid w:val="7D6306FA"/>
    <w:rsid w:val="7D633A52"/>
    <w:rsid w:val="7D6438CC"/>
    <w:rsid w:val="7D647736"/>
    <w:rsid w:val="7D6513F2"/>
    <w:rsid w:val="7D652C3F"/>
    <w:rsid w:val="7D6531A0"/>
    <w:rsid w:val="7D65682C"/>
    <w:rsid w:val="7D660BEB"/>
    <w:rsid w:val="7D667848"/>
    <w:rsid w:val="7D6733BC"/>
    <w:rsid w:val="7D676C50"/>
    <w:rsid w:val="7D676F18"/>
    <w:rsid w:val="7D690EE2"/>
    <w:rsid w:val="7D6A4C5A"/>
    <w:rsid w:val="7D6A6A08"/>
    <w:rsid w:val="7D6B2EAC"/>
    <w:rsid w:val="7D6B598D"/>
    <w:rsid w:val="7D6C09D3"/>
    <w:rsid w:val="7D6C0EAA"/>
    <w:rsid w:val="7D6C2781"/>
    <w:rsid w:val="7D6C452F"/>
    <w:rsid w:val="7D6C75DF"/>
    <w:rsid w:val="7D6D04F4"/>
    <w:rsid w:val="7D6D1A99"/>
    <w:rsid w:val="7D6D1D42"/>
    <w:rsid w:val="7D6D4248"/>
    <w:rsid w:val="7D6D7195"/>
    <w:rsid w:val="7D6E5903"/>
    <w:rsid w:val="7D6E64F9"/>
    <w:rsid w:val="7D6F2271"/>
    <w:rsid w:val="7D7004C3"/>
    <w:rsid w:val="7D717D97"/>
    <w:rsid w:val="7D723233"/>
    <w:rsid w:val="7D733B0F"/>
    <w:rsid w:val="7D741CEF"/>
    <w:rsid w:val="7D744336"/>
    <w:rsid w:val="7D745926"/>
    <w:rsid w:val="7D747887"/>
    <w:rsid w:val="7D751003"/>
    <w:rsid w:val="7D751E6C"/>
    <w:rsid w:val="7D7544A4"/>
    <w:rsid w:val="7D756CF4"/>
    <w:rsid w:val="7D7653AD"/>
    <w:rsid w:val="7D771DF7"/>
    <w:rsid w:val="7D772B1C"/>
    <w:rsid w:val="7D775054"/>
    <w:rsid w:val="7D777879"/>
    <w:rsid w:val="7D782ED3"/>
    <w:rsid w:val="7D787377"/>
    <w:rsid w:val="7D7924FC"/>
    <w:rsid w:val="7D794D9B"/>
    <w:rsid w:val="7D796C4C"/>
    <w:rsid w:val="7D7B0C16"/>
    <w:rsid w:val="7D7B150E"/>
    <w:rsid w:val="7D7B6E68"/>
    <w:rsid w:val="7D7C63E7"/>
    <w:rsid w:val="7D7C7687"/>
    <w:rsid w:val="7D7D04EA"/>
    <w:rsid w:val="7D7D498E"/>
    <w:rsid w:val="7D7E1B4C"/>
    <w:rsid w:val="7D7E2356"/>
    <w:rsid w:val="7D7F0706"/>
    <w:rsid w:val="7D7F4443"/>
    <w:rsid w:val="7D803B1F"/>
    <w:rsid w:val="7D80447E"/>
    <w:rsid w:val="7D807847"/>
    <w:rsid w:val="7D807FDA"/>
    <w:rsid w:val="7D817139"/>
    <w:rsid w:val="7D820117"/>
    <w:rsid w:val="7D8201F6"/>
    <w:rsid w:val="7D8271BD"/>
    <w:rsid w:val="7D8361C8"/>
    <w:rsid w:val="7D845D1C"/>
    <w:rsid w:val="7D852E8A"/>
    <w:rsid w:val="7D8555F0"/>
    <w:rsid w:val="7D86290A"/>
    <w:rsid w:val="7D871368"/>
    <w:rsid w:val="7D87580C"/>
    <w:rsid w:val="7D876997"/>
    <w:rsid w:val="7D8775BA"/>
    <w:rsid w:val="7D87797E"/>
    <w:rsid w:val="7D877FE6"/>
    <w:rsid w:val="7D893333"/>
    <w:rsid w:val="7D8950E1"/>
    <w:rsid w:val="7D8951DD"/>
    <w:rsid w:val="7D8A0E59"/>
    <w:rsid w:val="7D8A1D89"/>
    <w:rsid w:val="7D8B70AB"/>
    <w:rsid w:val="7D8C2E23"/>
    <w:rsid w:val="7D8C4BD1"/>
    <w:rsid w:val="7D8D0136"/>
    <w:rsid w:val="7D8D3C33"/>
    <w:rsid w:val="7D8E0949"/>
    <w:rsid w:val="7D8E0CD4"/>
    <w:rsid w:val="7D8E26F7"/>
    <w:rsid w:val="7D8E6B9B"/>
    <w:rsid w:val="7D8F021D"/>
    <w:rsid w:val="7D8F3DE9"/>
    <w:rsid w:val="7D8F476B"/>
    <w:rsid w:val="7D8F646F"/>
    <w:rsid w:val="7D903B07"/>
    <w:rsid w:val="7D9046C1"/>
    <w:rsid w:val="7D9107CC"/>
    <w:rsid w:val="7D913F95"/>
    <w:rsid w:val="7D917194"/>
    <w:rsid w:val="7D921C5C"/>
    <w:rsid w:val="7D9341B1"/>
    <w:rsid w:val="7D940E5B"/>
    <w:rsid w:val="7D943A85"/>
    <w:rsid w:val="7D94714D"/>
    <w:rsid w:val="7D947A81"/>
    <w:rsid w:val="7D951CD7"/>
    <w:rsid w:val="7D951EFA"/>
    <w:rsid w:val="7D9604E5"/>
    <w:rsid w:val="7D960C66"/>
    <w:rsid w:val="7D9615AC"/>
    <w:rsid w:val="7D964D91"/>
    <w:rsid w:val="7D965A4F"/>
    <w:rsid w:val="7D9667EC"/>
    <w:rsid w:val="7D9677FD"/>
    <w:rsid w:val="7D97529C"/>
    <w:rsid w:val="7D983576"/>
    <w:rsid w:val="7D98438D"/>
    <w:rsid w:val="7D985324"/>
    <w:rsid w:val="7D9903EE"/>
    <w:rsid w:val="7D99109C"/>
    <w:rsid w:val="7D9929D8"/>
    <w:rsid w:val="7D997332"/>
    <w:rsid w:val="7D9A2762"/>
    <w:rsid w:val="7D9B26AB"/>
    <w:rsid w:val="7D9B4E14"/>
    <w:rsid w:val="7D9B6A3B"/>
    <w:rsid w:val="7D9C12B8"/>
    <w:rsid w:val="7D9D2E57"/>
    <w:rsid w:val="7D9D6867"/>
    <w:rsid w:val="7D9D6DDE"/>
    <w:rsid w:val="7D9E17CF"/>
    <w:rsid w:val="7D9E6A30"/>
    <w:rsid w:val="7D9E75B1"/>
    <w:rsid w:val="7D9F080D"/>
    <w:rsid w:val="7D9F244A"/>
    <w:rsid w:val="7D9F4260"/>
    <w:rsid w:val="7D9F4C7E"/>
    <w:rsid w:val="7DA21782"/>
    <w:rsid w:val="7DA23BD8"/>
    <w:rsid w:val="7DA26897"/>
    <w:rsid w:val="7DA278F7"/>
    <w:rsid w:val="7DA4082D"/>
    <w:rsid w:val="7DA45501"/>
    <w:rsid w:val="7DA5746C"/>
    <w:rsid w:val="7DA63155"/>
    <w:rsid w:val="7DA644C5"/>
    <w:rsid w:val="7DA755C3"/>
    <w:rsid w:val="7DA77C5D"/>
    <w:rsid w:val="7DA77FBF"/>
    <w:rsid w:val="7DA84111"/>
    <w:rsid w:val="7DA912DF"/>
    <w:rsid w:val="7DA92223"/>
    <w:rsid w:val="7DA922F5"/>
    <w:rsid w:val="7DAA05F9"/>
    <w:rsid w:val="7DAA18A8"/>
    <w:rsid w:val="7DAA32A9"/>
    <w:rsid w:val="7DAA5057"/>
    <w:rsid w:val="7DAB14FB"/>
    <w:rsid w:val="7DAC0BD6"/>
    <w:rsid w:val="7DAC0DCF"/>
    <w:rsid w:val="7DAD6864"/>
    <w:rsid w:val="7DAE188A"/>
    <w:rsid w:val="7DAE3DC6"/>
    <w:rsid w:val="7DAE45CF"/>
    <w:rsid w:val="7DAF2614"/>
    <w:rsid w:val="7DAF27E7"/>
    <w:rsid w:val="7DAF2C66"/>
    <w:rsid w:val="7DAF7D95"/>
    <w:rsid w:val="7DB008BF"/>
    <w:rsid w:val="7DB02C3C"/>
    <w:rsid w:val="7DB06B11"/>
    <w:rsid w:val="7DB13425"/>
    <w:rsid w:val="7DB56486"/>
    <w:rsid w:val="7DB61C4E"/>
    <w:rsid w:val="7DB639FC"/>
    <w:rsid w:val="7DB67EA0"/>
    <w:rsid w:val="7DB859C6"/>
    <w:rsid w:val="7DB90387"/>
    <w:rsid w:val="7DB91F2F"/>
    <w:rsid w:val="7DBA2891"/>
    <w:rsid w:val="7DBA6297"/>
    <w:rsid w:val="7DBB6420"/>
    <w:rsid w:val="7DBB6EEC"/>
    <w:rsid w:val="7DBC7EA1"/>
    <w:rsid w:val="7DBD0A9E"/>
    <w:rsid w:val="7DBD2FDC"/>
    <w:rsid w:val="7DBD5E33"/>
    <w:rsid w:val="7DBD6359"/>
    <w:rsid w:val="7DBD67DA"/>
    <w:rsid w:val="7DBE6370"/>
    <w:rsid w:val="7DC00F6A"/>
    <w:rsid w:val="7DC11364"/>
    <w:rsid w:val="7DC2073A"/>
    <w:rsid w:val="7DC221CB"/>
    <w:rsid w:val="7DC26844"/>
    <w:rsid w:val="7DC26892"/>
    <w:rsid w:val="7DC275FA"/>
    <w:rsid w:val="7DC41F1A"/>
    <w:rsid w:val="7DC42B41"/>
    <w:rsid w:val="7DC46119"/>
    <w:rsid w:val="7DC46338"/>
    <w:rsid w:val="7DC51E91"/>
    <w:rsid w:val="7DC562E0"/>
    <w:rsid w:val="7DC600E3"/>
    <w:rsid w:val="7DC61D5E"/>
    <w:rsid w:val="7DC66335"/>
    <w:rsid w:val="7DC71FDC"/>
    <w:rsid w:val="7DC720AD"/>
    <w:rsid w:val="7DC731F7"/>
    <w:rsid w:val="7DC73E5B"/>
    <w:rsid w:val="7DC75C09"/>
    <w:rsid w:val="7DC97BD3"/>
    <w:rsid w:val="7DCA74A7"/>
    <w:rsid w:val="7DCB394B"/>
    <w:rsid w:val="7DCC23B4"/>
    <w:rsid w:val="7DCC327D"/>
    <w:rsid w:val="7DCD56F2"/>
    <w:rsid w:val="7DCD5E4E"/>
    <w:rsid w:val="7DCD708E"/>
    <w:rsid w:val="7DCD75AF"/>
    <w:rsid w:val="7DCE1294"/>
    <w:rsid w:val="7DCE449B"/>
    <w:rsid w:val="7DCE51E9"/>
    <w:rsid w:val="7DD025EB"/>
    <w:rsid w:val="7DD02D0F"/>
    <w:rsid w:val="7DD05345"/>
    <w:rsid w:val="7DD06EDD"/>
    <w:rsid w:val="7DD10836"/>
    <w:rsid w:val="7DD1161D"/>
    <w:rsid w:val="7DD13194"/>
    <w:rsid w:val="7DD1451E"/>
    <w:rsid w:val="7DD24CD9"/>
    <w:rsid w:val="7DD32800"/>
    <w:rsid w:val="7DD33150"/>
    <w:rsid w:val="7DD345AE"/>
    <w:rsid w:val="7DD50326"/>
    <w:rsid w:val="7DD55A70"/>
    <w:rsid w:val="7DD56578"/>
    <w:rsid w:val="7DD6409E"/>
    <w:rsid w:val="7DD6503A"/>
    <w:rsid w:val="7DD70390"/>
    <w:rsid w:val="7DD81BC4"/>
    <w:rsid w:val="7DD82F61"/>
    <w:rsid w:val="7DD85DB4"/>
    <w:rsid w:val="7DD87E16"/>
    <w:rsid w:val="7DD946C9"/>
    <w:rsid w:val="7DDA1DE0"/>
    <w:rsid w:val="7DDA33C5"/>
    <w:rsid w:val="7DDA3B8E"/>
    <w:rsid w:val="7DDB18E2"/>
    <w:rsid w:val="7DDB337B"/>
    <w:rsid w:val="7DDC7906"/>
    <w:rsid w:val="7DDD367E"/>
    <w:rsid w:val="7DDF11A4"/>
    <w:rsid w:val="7DDF16F3"/>
    <w:rsid w:val="7DDF2F52"/>
    <w:rsid w:val="7DDF73F6"/>
    <w:rsid w:val="7DE07FB2"/>
    <w:rsid w:val="7DE14F69"/>
    <w:rsid w:val="7DE16688"/>
    <w:rsid w:val="7DE17001"/>
    <w:rsid w:val="7DE205FA"/>
    <w:rsid w:val="7DE234C8"/>
    <w:rsid w:val="7DE246AB"/>
    <w:rsid w:val="7DE247F1"/>
    <w:rsid w:val="7DE254A3"/>
    <w:rsid w:val="7DE41504"/>
    <w:rsid w:val="7DE440D5"/>
    <w:rsid w:val="7DE467BB"/>
    <w:rsid w:val="7DE47DC2"/>
    <w:rsid w:val="7DE51602"/>
    <w:rsid w:val="7DE5189B"/>
    <w:rsid w:val="7DE53E24"/>
    <w:rsid w:val="7DE57C1A"/>
    <w:rsid w:val="7DE7680D"/>
    <w:rsid w:val="7DE844FD"/>
    <w:rsid w:val="7DE85A60"/>
    <w:rsid w:val="7DE92023"/>
    <w:rsid w:val="7DE95316"/>
    <w:rsid w:val="7DE95B7F"/>
    <w:rsid w:val="7DEA02BE"/>
    <w:rsid w:val="7DEA21F8"/>
    <w:rsid w:val="7DEA43B4"/>
    <w:rsid w:val="7DEB5D9B"/>
    <w:rsid w:val="7DEC1126"/>
    <w:rsid w:val="7DEC53A6"/>
    <w:rsid w:val="7DEC566F"/>
    <w:rsid w:val="7DED1B13"/>
    <w:rsid w:val="7DED5311"/>
    <w:rsid w:val="7DED5D95"/>
    <w:rsid w:val="7DED6109"/>
    <w:rsid w:val="7DED714C"/>
    <w:rsid w:val="7DEE13E8"/>
    <w:rsid w:val="7DEE5187"/>
    <w:rsid w:val="7DEE7639"/>
    <w:rsid w:val="7DF039A7"/>
    <w:rsid w:val="7DF06F0E"/>
    <w:rsid w:val="7DF10DA8"/>
    <w:rsid w:val="7DF10ED8"/>
    <w:rsid w:val="7DF12C86"/>
    <w:rsid w:val="7DF2712A"/>
    <w:rsid w:val="7DF32EA2"/>
    <w:rsid w:val="7DF34C50"/>
    <w:rsid w:val="7DF42489"/>
    <w:rsid w:val="7DF509C8"/>
    <w:rsid w:val="7DF52776"/>
    <w:rsid w:val="7DF53388"/>
    <w:rsid w:val="7DF53919"/>
    <w:rsid w:val="7DF54524"/>
    <w:rsid w:val="7DF664EA"/>
    <w:rsid w:val="7DF72578"/>
    <w:rsid w:val="7DF74740"/>
    <w:rsid w:val="7DF804B8"/>
    <w:rsid w:val="7DF82266"/>
    <w:rsid w:val="7DF822AC"/>
    <w:rsid w:val="7DF84014"/>
    <w:rsid w:val="7DF92299"/>
    <w:rsid w:val="7DF965B1"/>
    <w:rsid w:val="7DFA030B"/>
    <w:rsid w:val="7DFA5FDE"/>
    <w:rsid w:val="7DFA7D8C"/>
    <w:rsid w:val="7DFB04BA"/>
    <w:rsid w:val="7DFB58B2"/>
    <w:rsid w:val="7DFC1D56"/>
    <w:rsid w:val="7DFD162B"/>
    <w:rsid w:val="7DFD5ACF"/>
    <w:rsid w:val="7DFE3170"/>
    <w:rsid w:val="7DFE353A"/>
    <w:rsid w:val="7DFE4C7B"/>
    <w:rsid w:val="7DFF1847"/>
    <w:rsid w:val="7DFF1B73"/>
    <w:rsid w:val="7DFF3D0F"/>
    <w:rsid w:val="7DFF610B"/>
    <w:rsid w:val="7E000A2B"/>
    <w:rsid w:val="7E002EC9"/>
    <w:rsid w:val="7E004B90"/>
    <w:rsid w:val="7E0103D9"/>
    <w:rsid w:val="7E01111B"/>
    <w:rsid w:val="7E011EBB"/>
    <w:rsid w:val="7E0155BF"/>
    <w:rsid w:val="7E0230E5"/>
    <w:rsid w:val="7E025C62"/>
    <w:rsid w:val="7E046E5D"/>
    <w:rsid w:val="7E0516B4"/>
    <w:rsid w:val="7E06188F"/>
    <w:rsid w:val="7E062BD5"/>
    <w:rsid w:val="7E0724A9"/>
    <w:rsid w:val="7E075D2D"/>
    <w:rsid w:val="7E0806FB"/>
    <w:rsid w:val="7E09038F"/>
    <w:rsid w:val="7E096221"/>
    <w:rsid w:val="7E0B1F99"/>
    <w:rsid w:val="7E0B226F"/>
    <w:rsid w:val="7E0C7AC0"/>
    <w:rsid w:val="7E0D0E51"/>
    <w:rsid w:val="7E0D3F64"/>
    <w:rsid w:val="7E0D55F1"/>
    <w:rsid w:val="7E0D5EFC"/>
    <w:rsid w:val="7E0E1A8A"/>
    <w:rsid w:val="7E0E55E6"/>
    <w:rsid w:val="7E10135E"/>
    <w:rsid w:val="7E10413F"/>
    <w:rsid w:val="7E105802"/>
    <w:rsid w:val="7E105809"/>
    <w:rsid w:val="7E114908"/>
    <w:rsid w:val="7E1150D6"/>
    <w:rsid w:val="7E115B23"/>
    <w:rsid w:val="7E120870"/>
    <w:rsid w:val="7E12157A"/>
    <w:rsid w:val="7E121809"/>
    <w:rsid w:val="7E130E4E"/>
    <w:rsid w:val="7E131C9F"/>
    <w:rsid w:val="7E132BFC"/>
    <w:rsid w:val="7E1352F2"/>
    <w:rsid w:val="7E14458D"/>
    <w:rsid w:val="7E146EA1"/>
    <w:rsid w:val="7E152E18"/>
    <w:rsid w:val="7E153A97"/>
    <w:rsid w:val="7E153B4B"/>
    <w:rsid w:val="7E1548DC"/>
    <w:rsid w:val="7E162D9E"/>
    <w:rsid w:val="7E164407"/>
    <w:rsid w:val="7E17093E"/>
    <w:rsid w:val="7E182DFA"/>
    <w:rsid w:val="7E190142"/>
    <w:rsid w:val="7E190C25"/>
    <w:rsid w:val="7E1A2753"/>
    <w:rsid w:val="7E1A405B"/>
    <w:rsid w:val="7E1A4B78"/>
    <w:rsid w:val="7E1A7A97"/>
    <w:rsid w:val="7E1C5F55"/>
    <w:rsid w:val="7E1D3A7B"/>
    <w:rsid w:val="7E1D4A34"/>
    <w:rsid w:val="7E1D573E"/>
    <w:rsid w:val="7E1D641D"/>
    <w:rsid w:val="7E1E2589"/>
    <w:rsid w:val="7E1F3128"/>
    <w:rsid w:val="7E1F3C97"/>
    <w:rsid w:val="7E1F3FB4"/>
    <w:rsid w:val="7E1F6B85"/>
    <w:rsid w:val="7E1F77F3"/>
    <w:rsid w:val="7E206D18"/>
    <w:rsid w:val="7E2101F4"/>
    <w:rsid w:val="7E2114A5"/>
    <w:rsid w:val="7E2117BD"/>
    <w:rsid w:val="7E2118AD"/>
    <w:rsid w:val="7E21356B"/>
    <w:rsid w:val="7E215319"/>
    <w:rsid w:val="7E217591"/>
    <w:rsid w:val="7E224076"/>
    <w:rsid w:val="7E2272E3"/>
    <w:rsid w:val="7E233DC5"/>
    <w:rsid w:val="7E236849"/>
    <w:rsid w:val="7E2412AD"/>
    <w:rsid w:val="7E243016"/>
    <w:rsid w:val="7E24305B"/>
    <w:rsid w:val="7E244E09"/>
    <w:rsid w:val="7E257D31"/>
    <w:rsid w:val="7E260B81"/>
    <w:rsid w:val="7E261983"/>
    <w:rsid w:val="7E266DD3"/>
    <w:rsid w:val="7E2712AA"/>
    <w:rsid w:val="7E2748F9"/>
    <w:rsid w:val="7E2766A8"/>
    <w:rsid w:val="7E277EDD"/>
    <w:rsid w:val="7E282B4B"/>
    <w:rsid w:val="7E29591F"/>
    <w:rsid w:val="7E2968C4"/>
    <w:rsid w:val="7E2B1786"/>
    <w:rsid w:val="7E2B43EA"/>
    <w:rsid w:val="7E2B5128"/>
    <w:rsid w:val="7E2B5A59"/>
    <w:rsid w:val="7E2B682F"/>
    <w:rsid w:val="7E2C33B5"/>
    <w:rsid w:val="7E2C3D44"/>
    <w:rsid w:val="7E2D0162"/>
    <w:rsid w:val="7E2D1F10"/>
    <w:rsid w:val="7E2D63B4"/>
    <w:rsid w:val="7E2E5C88"/>
    <w:rsid w:val="7E2F14F0"/>
    <w:rsid w:val="7E2F1527"/>
    <w:rsid w:val="7E2F667A"/>
    <w:rsid w:val="7E301A00"/>
    <w:rsid w:val="7E303711"/>
    <w:rsid w:val="7E3037AE"/>
    <w:rsid w:val="7E3045FD"/>
    <w:rsid w:val="7E307C52"/>
    <w:rsid w:val="7E32042F"/>
    <w:rsid w:val="7E3239CA"/>
    <w:rsid w:val="7E3314F0"/>
    <w:rsid w:val="7E33504C"/>
    <w:rsid w:val="7E34648B"/>
    <w:rsid w:val="7E355D74"/>
    <w:rsid w:val="7E370FE0"/>
    <w:rsid w:val="7E372D8F"/>
    <w:rsid w:val="7E3808B5"/>
    <w:rsid w:val="7E384C23"/>
    <w:rsid w:val="7E3951DD"/>
    <w:rsid w:val="7E3964D6"/>
    <w:rsid w:val="7E397078"/>
    <w:rsid w:val="7E3A2EEA"/>
    <w:rsid w:val="7E3A63DB"/>
    <w:rsid w:val="7E3A6EB0"/>
    <w:rsid w:val="7E3B1ADF"/>
    <w:rsid w:val="7E3B61DC"/>
    <w:rsid w:val="7E3C1FEC"/>
    <w:rsid w:val="7E3C2153"/>
    <w:rsid w:val="7E3E1799"/>
    <w:rsid w:val="7E3E411D"/>
    <w:rsid w:val="7E3F39F1"/>
    <w:rsid w:val="7E3F60E7"/>
    <w:rsid w:val="7E4116E9"/>
    <w:rsid w:val="7E416BF7"/>
    <w:rsid w:val="7E4234E1"/>
    <w:rsid w:val="7E437985"/>
    <w:rsid w:val="7E4413AC"/>
    <w:rsid w:val="7E445425"/>
    <w:rsid w:val="7E447410"/>
    <w:rsid w:val="7E4564C2"/>
    <w:rsid w:val="7E48170E"/>
    <w:rsid w:val="7E484F9C"/>
    <w:rsid w:val="7E490D14"/>
    <w:rsid w:val="7E494870"/>
    <w:rsid w:val="7E4A3282"/>
    <w:rsid w:val="7E4A41A0"/>
    <w:rsid w:val="7E4A62ED"/>
    <w:rsid w:val="7E4A68BE"/>
    <w:rsid w:val="7E4B4A8C"/>
    <w:rsid w:val="7E4D00E5"/>
    <w:rsid w:val="7E4D1A79"/>
    <w:rsid w:val="7E4E1C03"/>
    <w:rsid w:val="7E4F632A"/>
    <w:rsid w:val="7E505BFE"/>
    <w:rsid w:val="7E51144D"/>
    <w:rsid w:val="7E516E43"/>
    <w:rsid w:val="7E521976"/>
    <w:rsid w:val="7E525E1A"/>
    <w:rsid w:val="7E530363"/>
    <w:rsid w:val="7E5344B3"/>
    <w:rsid w:val="7E5356EF"/>
    <w:rsid w:val="7E545EE2"/>
    <w:rsid w:val="7E550395"/>
    <w:rsid w:val="7E550A09"/>
    <w:rsid w:val="7E551467"/>
    <w:rsid w:val="7E557AB0"/>
    <w:rsid w:val="7E563DE3"/>
    <w:rsid w:val="7E573431"/>
    <w:rsid w:val="7E5751DF"/>
    <w:rsid w:val="7E576F8D"/>
    <w:rsid w:val="7E5B355F"/>
    <w:rsid w:val="7E5B4AD1"/>
    <w:rsid w:val="7E5B6C99"/>
    <w:rsid w:val="7E5C0A47"/>
    <w:rsid w:val="7E5C3F56"/>
    <w:rsid w:val="7E5D031B"/>
    <w:rsid w:val="7E5D05F7"/>
    <w:rsid w:val="7E5D0C5C"/>
    <w:rsid w:val="7E5E47BF"/>
    <w:rsid w:val="7E5E6E19"/>
    <w:rsid w:val="7E5E7FB7"/>
    <w:rsid w:val="7E5F2EF2"/>
    <w:rsid w:val="7E603096"/>
    <w:rsid w:val="7E605436"/>
    <w:rsid w:val="7E605637"/>
    <w:rsid w:val="7E6078B2"/>
    <w:rsid w:val="7E613D6E"/>
    <w:rsid w:val="7E616938"/>
    <w:rsid w:val="7E622B72"/>
    <w:rsid w:val="7E63110C"/>
    <w:rsid w:val="7E635932"/>
    <w:rsid w:val="7E6426E8"/>
    <w:rsid w:val="7E6478FC"/>
    <w:rsid w:val="7E652CE8"/>
    <w:rsid w:val="7E6566E6"/>
    <w:rsid w:val="7E67674A"/>
    <w:rsid w:val="7E68119A"/>
    <w:rsid w:val="7E682F48"/>
    <w:rsid w:val="7E683825"/>
    <w:rsid w:val="7E6873EC"/>
    <w:rsid w:val="7E6969CB"/>
    <w:rsid w:val="7E6A2B1A"/>
    <w:rsid w:val="7E6A655A"/>
    <w:rsid w:val="7E6B0C8A"/>
    <w:rsid w:val="7E6B22A3"/>
    <w:rsid w:val="7E6B2A38"/>
    <w:rsid w:val="7E6B6EDC"/>
    <w:rsid w:val="7E6B79EA"/>
    <w:rsid w:val="7E6C1B17"/>
    <w:rsid w:val="7E6C7D65"/>
    <w:rsid w:val="7E6D055E"/>
    <w:rsid w:val="7E6D0F20"/>
    <w:rsid w:val="7E6D67B0"/>
    <w:rsid w:val="7E6E2528"/>
    <w:rsid w:val="7E6E42D6"/>
    <w:rsid w:val="7E6F0F3C"/>
    <w:rsid w:val="7E6F1870"/>
    <w:rsid w:val="7E6F25C4"/>
    <w:rsid w:val="7E6F6990"/>
    <w:rsid w:val="7E700FA6"/>
    <w:rsid w:val="7E7044F2"/>
    <w:rsid w:val="7E7101AA"/>
    <w:rsid w:val="7E714F2A"/>
    <w:rsid w:val="7E71728C"/>
    <w:rsid w:val="7E717883"/>
    <w:rsid w:val="7E720337"/>
    <w:rsid w:val="7E722019"/>
    <w:rsid w:val="7E7221AD"/>
    <w:rsid w:val="7E723DC7"/>
    <w:rsid w:val="7E745D91"/>
    <w:rsid w:val="7E751B09"/>
    <w:rsid w:val="7E7636DE"/>
    <w:rsid w:val="7E7643B0"/>
    <w:rsid w:val="7E775881"/>
    <w:rsid w:val="7E7933A7"/>
    <w:rsid w:val="7E7A0ECD"/>
    <w:rsid w:val="7E7A2A00"/>
    <w:rsid w:val="7E7A2C7B"/>
    <w:rsid w:val="7E7A3F89"/>
    <w:rsid w:val="7E7A42F4"/>
    <w:rsid w:val="7E7A523A"/>
    <w:rsid w:val="7E7A604F"/>
    <w:rsid w:val="7E7C4C45"/>
    <w:rsid w:val="7E7D762A"/>
    <w:rsid w:val="7E7E09BD"/>
    <w:rsid w:val="7E7E276B"/>
    <w:rsid w:val="7E7E5E60"/>
    <w:rsid w:val="7E7E6C0F"/>
    <w:rsid w:val="7E7F2707"/>
    <w:rsid w:val="7E7F72F0"/>
    <w:rsid w:val="7E80290F"/>
    <w:rsid w:val="7E8032ED"/>
    <w:rsid w:val="7E8104AE"/>
    <w:rsid w:val="7E81225C"/>
    <w:rsid w:val="7E814363"/>
    <w:rsid w:val="7E815F22"/>
    <w:rsid w:val="7E825C71"/>
    <w:rsid w:val="7E8271AC"/>
    <w:rsid w:val="7E834D04"/>
    <w:rsid w:val="7E835FD4"/>
    <w:rsid w:val="7E837D82"/>
    <w:rsid w:val="7E843AFA"/>
    <w:rsid w:val="7E84519D"/>
    <w:rsid w:val="7E85193F"/>
    <w:rsid w:val="7E86067A"/>
    <w:rsid w:val="7E861620"/>
    <w:rsid w:val="7E865AC4"/>
    <w:rsid w:val="7E867872"/>
    <w:rsid w:val="7E870653"/>
    <w:rsid w:val="7E880F5B"/>
    <w:rsid w:val="7E881AE3"/>
    <w:rsid w:val="7E88421D"/>
    <w:rsid w:val="7E885398"/>
    <w:rsid w:val="7E891110"/>
    <w:rsid w:val="7E89691C"/>
    <w:rsid w:val="7E8B1BA5"/>
    <w:rsid w:val="7E8B30DA"/>
    <w:rsid w:val="7E8B4E88"/>
    <w:rsid w:val="7E8C4B96"/>
    <w:rsid w:val="7E8D0C00"/>
    <w:rsid w:val="7E8D44C5"/>
    <w:rsid w:val="7E8D67AC"/>
    <w:rsid w:val="7E8E58DF"/>
    <w:rsid w:val="7E8E6727"/>
    <w:rsid w:val="7E8F4979"/>
    <w:rsid w:val="7E8F55C4"/>
    <w:rsid w:val="7E8F7257"/>
    <w:rsid w:val="7E9006F1"/>
    <w:rsid w:val="7E92027A"/>
    <w:rsid w:val="7E924469"/>
    <w:rsid w:val="7E927FC5"/>
    <w:rsid w:val="7E930337"/>
    <w:rsid w:val="7E935F60"/>
    <w:rsid w:val="7E937DEA"/>
    <w:rsid w:val="7E9401E1"/>
    <w:rsid w:val="7E94162E"/>
    <w:rsid w:val="7E9533B2"/>
    <w:rsid w:val="7E953F59"/>
    <w:rsid w:val="7E955D07"/>
    <w:rsid w:val="7E957AB5"/>
    <w:rsid w:val="7E964262"/>
    <w:rsid w:val="7E9700B8"/>
    <w:rsid w:val="7E970D8E"/>
    <w:rsid w:val="7E971A7F"/>
    <w:rsid w:val="7E9755DB"/>
    <w:rsid w:val="7E97701A"/>
    <w:rsid w:val="7E990748"/>
    <w:rsid w:val="7E9A5639"/>
    <w:rsid w:val="7E9A5A22"/>
    <w:rsid w:val="7E9A6B5E"/>
    <w:rsid w:val="7E9B156F"/>
    <w:rsid w:val="7E9B3E37"/>
    <w:rsid w:val="7E9B42F0"/>
    <w:rsid w:val="7E9E4BBC"/>
    <w:rsid w:val="7E9E696A"/>
    <w:rsid w:val="7E9E7C19"/>
    <w:rsid w:val="7E9E7F46"/>
    <w:rsid w:val="7E9F26E2"/>
    <w:rsid w:val="7EA02FAD"/>
    <w:rsid w:val="7EA05231"/>
    <w:rsid w:val="7EA072FE"/>
    <w:rsid w:val="7EA128FE"/>
    <w:rsid w:val="7EA13DCB"/>
    <w:rsid w:val="7EA1645A"/>
    <w:rsid w:val="7EA30424"/>
    <w:rsid w:val="7EA30C55"/>
    <w:rsid w:val="7EA321D2"/>
    <w:rsid w:val="7EA40B18"/>
    <w:rsid w:val="7EA45EDB"/>
    <w:rsid w:val="7EA5419C"/>
    <w:rsid w:val="7EA62974"/>
    <w:rsid w:val="7EA63A70"/>
    <w:rsid w:val="7EA71F32"/>
    <w:rsid w:val="7EA82D87"/>
    <w:rsid w:val="7EA83C8C"/>
    <w:rsid w:val="7EA8733D"/>
    <w:rsid w:val="7EA877E8"/>
    <w:rsid w:val="7EAA3560"/>
    <w:rsid w:val="7EAA7A04"/>
    <w:rsid w:val="7EAB552B"/>
    <w:rsid w:val="7EAB72D9"/>
    <w:rsid w:val="7EAD3051"/>
    <w:rsid w:val="7EAF0B77"/>
    <w:rsid w:val="7EAF501B"/>
    <w:rsid w:val="7EAF6DC9"/>
    <w:rsid w:val="7EB02430"/>
    <w:rsid w:val="7EB02B41"/>
    <w:rsid w:val="7EB048EF"/>
    <w:rsid w:val="7EB10D93"/>
    <w:rsid w:val="7EB12794"/>
    <w:rsid w:val="7EB20667"/>
    <w:rsid w:val="7EB268B9"/>
    <w:rsid w:val="7EB40DB1"/>
    <w:rsid w:val="7EB41D74"/>
    <w:rsid w:val="7EB443DF"/>
    <w:rsid w:val="7EB4618D"/>
    <w:rsid w:val="7EB556DE"/>
    <w:rsid w:val="7EB73ECF"/>
    <w:rsid w:val="7EB742F7"/>
    <w:rsid w:val="7EB75ABC"/>
    <w:rsid w:val="7EB75C7D"/>
    <w:rsid w:val="7EB75FF1"/>
    <w:rsid w:val="7EB77A2B"/>
    <w:rsid w:val="7EB80BC2"/>
    <w:rsid w:val="7EB919F5"/>
    <w:rsid w:val="7EB937A4"/>
    <w:rsid w:val="7EB96AAA"/>
    <w:rsid w:val="7EBA751C"/>
    <w:rsid w:val="7EBC0875"/>
    <w:rsid w:val="7EBC09D3"/>
    <w:rsid w:val="7EBC14E6"/>
    <w:rsid w:val="7EBC6F52"/>
    <w:rsid w:val="7EBC7738"/>
    <w:rsid w:val="7EBE525E"/>
    <w:rsid w:val="7EC0451B"/>
    <w:rsid w:val="7EC07354"/>
    <w:rsid w:val="7EC07925"/>
    <w:rsid w:val="7EC107E4"/>
    <w:rsid w:val="7EC108AA"/>
    <w:rsid w:val="7EC11756"/>
    <w:rsid w:val="7EC11C74"/>
    <w:rsid w:val="7EC14D4E"/>
    <w:rsid w:val="7EC21AD8"/>
    <w:rsid w:val="7EC24845"/>
    <w:rsid w:val="7EC27D6B"/>
    <w:rsid w:val="7EC30AC6"/>
    <w:rsid w:val="7EC34622"/>
    <w:rsid w:val="7EC363D0"/>
    <w:rsid w:val="7EC43165"/>
    <w:rsid w:val="7EC46660"/>
    <w:rsid w:val="7EC468E4"/>
    <w:rsid w:val="7EC469CB"/>
    <w:rsid w:val="7EC46D37"/>
    <w:rsid w:val="7EC5039A"/>
    <w:rsid w:val="7EC565EC"/>
    <w:rsid w:val="7EC62364"/>
    <w:rsid w:val="7EC86F76"/>
    <w:rsid w:val="7EC9775F"/>
    <w:rsid w:val="7ECA3C03"/>
    <w:rsid w:val="7ECC2A41"/>
    <w:rsid w:val="7ECC2A81"/>
    <w:rsid w:val="7ECD0C7B"/>
    <w:rsid w:val="7ECD3DC3"/>
    <w:rsid w:val="7ECD54A1"/>
    <w:rsid w:val="7ECF746B"/>
    <w:rsid w:val="7ED013B6"/>
    <w:rsid w:val="7ED06D3F"/>
    <w:rsid w:val="7ED127E1"/>
    <w:rsid w:val="7ED14F91"/>
    <w:rsid w:val="7ED176A2"/>
    <w:rsid w:val="7ED20D09"/>
    <w:rsid w:val="7ED216C9"/>
    <w:rsid w:val="7ED24865"/>
    <w:rsid w:val="7ED3091C"/>
    <w:rsid w:val="7ED32594"/>
    <w:rsid w:val="7ED34089"/>
    <w:rsid w:val="7ED4368B"/>
    <w:rsid w:val="7ED439FC"/>
    <w:rsid w:val="7ED46C5A"/>
    <w:rsid w:val="7ED50BC3"/>
    <w:rsid w:val="7ED54355"/>
    <w:rsid w:val="7ED6157A"/>
    <w:rsid w:val="7ED625A7"/>
    <w:rsid w:val="7ED700CE"/>
    <w:rsid w:val="7ED76320"/>
    <w:rsid w:val="7ED76A6C"/>
    <w:rsid w:val="7ED80138"/>
    <w:rsid w:val="7ED81FDB"/>
    <w:rsid w:val="7ED90A98"/>
    <w:rsid w:val="7ED9163C"/>
    <w:rsid w:val="7ED93C5C"/>
    <w:rsid w:val="7ED95BF4"/>
    <w:rsid w:val="7EDA196C"/>
    <w:rsid w:val="7EDB36EA"/>
    <w:rsid w:val="7EDB3F5C"/>
    <w:rsid w:val="7EDB53EC"/>
    <w:rsid w:val="7EDB7BBE"/>
    <w:rsid w:val="7EDC0A12"/>
    <w:rsid w:val="7EDC1784"/>
    <w:rsid w:val="7EDC3936"/>
    <w:rsid w:val="7EDC56E4"/>
    <w:rsid w:val="7EDC7492"/>
    <w:rsid w:val="7EDE145C"/>
    <w:rsid w:val="7EDE6DCE"/>
    <w:rsid w:val="7EDE7AA8"/>
    <w:rsid w:val="7EE007A4"/>
    <w:rsid w:val="7EE011E6"/>
    <w:rsid w:val="7EE03426"/>
    <w:rsid w:val="7EE06F82"/>
    <w:rsid w:val="7EE07732"/>
    <w:rsid w:val="7EE07744"/>
    <w:rsid w:val="7EE2719E"/>
    <w:rsid w:val="7EE30164"/>
    <w:rsid w:val="7EE30820"/>
    <w:rsid w:val="7EE3444B"/>
    <w:rsid w:val="7EE36A72"/>
    <w:rsid w:val="7EE45082"/>
    <w:rsid w:val="7EE527EB"/>
    <w:rsid w:val="7EE53F7F"/>
    <w:rsid w:val="7EE63ABD"/>
    <w:rsid w:val="7EE66563"/>
    <w:rsid w:val="7EE776EB"/>
    <w:rsid w:val="7EE83E34"/>
    <w:rsid w:val="7EE95C34"/>
    <w:rsid w:val="7EE979F0"/>
    <w:rsid w:val="7EEA3A51"/>
    <w:rsid w:val="7EEA6053"/>
    <w:rsid w:val="7EEA7C7C"/>
    <w:rsid w:val="7EEB13A0"/>
    <w:rsid w:val="7EEB3401"/>
    <w:rsid w:val="7EEC216D"/>
    <w:rsid w:val="7EED07E1"/>
    <w:rsid w:val="7EEE09B4"/>
    <w:rsid w:val="7EEE0C91"/>
    <w:rsid w:val="7EEE51D4"/>
    <w:rsid w:val="7EEE62BE"/>
    <w:rsid w:val="7EEE75E6"/>
    <w:rsid w:val="7EEF1646"/>
    <w:rsid w:val="7EEF18BB"/>
    <w:rsid w:val="7EEF3669"/>
    <w:rsid w:val="7EEF5417"/>
    <w:rsid w:val="7EF0118F"/>
    <w:rsid w:val="7EF04B10"/>
    <w:rsid w:val="7EF05DF7"/>
    <w:rsid w:val="7EF07617"/>
    <w:rsid w:val="7EF12221"/>
    <w:rsid w:val="7EF12690"/>
    <w:rsid w:val="7EF173E1"/>
    <w:rsid w:val="7EF20255"/>
    <w:rsid w:val="7EF2674B"/>
    <w:rsid w:val="7EF26CB5"/>
    <w:rsid w:val="7EF302F6"/>
    <w:rsid w:val="7EF3630A"/>
    <w:rsid w:val="7EF50554"/>
    <w:rsid w:val="7EF549A2"/>
    <w:rsid w:val="7EF55F93"/>
    <w:rsid w:val="7EF600A3"/>
    <w:rsid w:val="7EF6491B"/>
    <w:rsid w:val="7EF649F8"/>
    <w:rsid w:val="7EF64C1C"/>
    <w:rsid w:val="7EF70770"/>
    <w:rsid w:val="7EF76E4E"/>
    <w:rsid w:val="7EF80438"/>
    <w:rsid w:val="7EF84914"/>
    <w:rsid w:val="7EF90044"/>
    <w:rsid w:val="7EF96296"/>
    <w:rsid w:val="7EF964F4"/>
    <w:rsid w:val="7EFB0260"/>
    <w:rsid w:val="7EFB3DBC"/>
    <w:rsid w:val="7EFC41F2"/>
    <w:rsid w:val="7EFC5D86"/>
    <w:rsid w:val="7EFD0CAB"/>
    <w:rsid w:val="7EFE1EC7"/>
    <w:rsid w:val="7EFE335A"/>
    <w:rsid w:val="7EFF1A65"/>
    <w:rsid w:val="7EFF7307"/>
    <w:rsid w:val="7EFF7C24"/>
    <w:rsid w:val="7F001CE7"/>
    <w:rsid w:val="7F0039AB"/>
    <w:rsid w:val="7F005876"/>
    <w:rsid w:val="7F007624"/>
    <w:rsid w:val="7F01339C"/>
    <w:rsid w:val="7F021CD8"/>
    <w:rsid w:val="7F031A27"/>
    <w:rsid w:val="7F032C71"/>
    <w:rsid w:val="7F036393"/>
    <w:rsid w:val="7F0416DC"/>
    <w:rsid w:val="7F042401"/>
    <w:rsid w:val="7F0506FB"/>
    <w:rsid w:val="7F054C3B"/>
    <w:rsid w:val="7F061AE9"/>
    <w:rsid w:val="7F062B43"/>
    <w:rsid w:val="7F063998"/>
    <w:rsid w:val="7F064202"/>
    <w:rsid w:val="7F070240"/>
    <w:rsid w:val="7F0703A8"/>
    <w:rsid w:val="7F072F79"/>
    <w:rsid w:val="7F080D43"/>
    <w:rsid w:val="7F084409"/>
    <w:rsid w:val="7F08472B"/>
    <w:rsid w:val="7F0872BB"/>
    <w:rsid w:val="7F096FDA"/>
    <w:rsid w:val="7F0A04A3"/>
    <w:rsid w:val="7F0A2251"/>
    <w:rsid w:val="7F0A3FFF"/>
    <w:rsid w:val="7F0A4D72"/>
    <w:rsid w:val="7F0C2A46"/>
    <w:rsid w:val="7F0C2BFC"/>
    <w:rsid w:val="7F0C30C7"/>
    <w:rsid w:val="7F0C421B"/>
    <w:rsid w:val="7F0C557C"/>
    <w:rsid w:val="7F0D1AE4"/>
    <w:rsid w:val="7F0D3D55"/>
    <w:rsid w:val="7F0E7B2D"/>
    <w:rsid w:val="7F0F3F28"/>
    <w:rsid w:val="7F0F5AB9"/>
    <w:rsid w:val="7F0F7867"/>
    <w:rsid w:val="7F1048EC"/>
    <w:rsid w:val="7F106400"/>
    <w:rsid w:val="7F1135E0"/>
    <w:rsid w:val="7F116F59"/>
    <w:rsid w:val="7F1255AA"/>
    <w:rsid w:val="7F127358"/>
    <w:rsid w:val="7F137453"/>
    <w:rsid w:val="7F141322"/>
    <w:rsid w:val="7F1430D0"/>
    <w:rsid w:val="7F1440ED"/>
    <w:rsid w:val="7F144E7E"/>
    <w:rsid w:val="7F15031C"/>
    <w:rsid w:val="7F160BF6"/>
    <w:rsid w:val="7F166E48"/>
    <w:rsid w:val="7F17164A"/>
    <w:rsid w:val="7F177599"/>
    <w:rsid w:val="7F18088B"/>
    <w:rsid w:val="7F182238"/>
    <w:rsid w:val="7F182BC0"/>
    <w:rsid w:val="7F185B02"/>
    <w:rsid w:val="7F187DBF"/>
    <w:rsid w:val="7F192494"/>
    <w:rsid w:val="7F1A66A7"/>
    <w:rsid w:val="7F1B26B0"/>
    <w:rsid w:val="7F1B445E"/>
    <w:rsid w:val="7F1B5223"/>
    <w:rsid w:val="7F1B620C"/>
    <w:rsid w:val="7F1B7EAB"/>
    <w:rsid w:val="7F1C2189"/>
    <w:rsid w:val="7F1C3D32"/>
    <w:rsid w:val="7F1C6484"/>
    <w:rsid w:val="7F1D01D6"/>
    <w:rsid w:val="7F1E3F4E"/>
    <w:rsid w:val="7F1E5CFC"/>
    <w:rsid w:val="7F1E7AAB"/>
    <w:rsid w:val="7F2026D1"/>
    <w:rsid w:val="7F203823"/>
    <w:rsid w:val="7F211349"/>
    <w:rsid w:val="7F217AD5"/>
    <w:rsid w:val="7F2257ED"/>
    <w:rsid w:val="7F22666E"/>
    <w:rsid w:val="7F231565"/>
    <w:rsid w:val="7F2317DE"/>
    <w:rsid w:val="7F2322E3"/>
    <w:rsid w:val="7F233313"/>
    <w:rsid w:val="7F236326"/>
    <w:rsid w:val="7F24774A"/>
    <w:rsid w:val="7F250E39"/>
    <w:rsid w:val="7F2552DD"/>
    <w:rsid w:val="7F264BB1"/>
    <w:rsid w:val="7F271055"/>
    <w:rsid w:val="7F2729CD"/>
    <w:rsid w:val="7F272E03"/>
    <w:rsid w:val="7F2805F8"/>
    <w:rsid w:val="7F286B7B"/>
    <w:rsid w:val="7F290A77"/>
    <w:rsid w:val="7F291DD4"/>
    <w:rsid w:val="7F2947BF"/>
    <w:rsid w:val="7F29553D"/>
    <w:rsid w:val="7F296738"/>
    <w:rsid w:val="7F2A1ECF"/>
    <w:rsid w:val="7F2A644F"/>
    <w:rsid w:val="7F2B1165"/>
    <w:rsid w:val="7F2B2374"/>
    <w:rsid w:val="7F2B543B"/>
    <w:rsid w:val="7F2C0419"/>
    <w:rsid w:val="7F2C21C7"/>
    <w:rsid w:val="7F2C3CA3"/>
    <w:rsid w:val="7F2D4191"/>
    <w:rsid w:val="7F2E23E3"/>
    <w:rsid w:val="7F2F0CF5"/>
    <w:rsid w:val="7F2F1CB8"/>
    <w:rsid w:val="7F2F36CA"/>
    <w:rsid w:val="7F2F3A66"/>
    <w:rsid w:val="7F2F7F0A"/>
    <w:rsid w:val="7F3122BD"/>
    <w:rsid w:val="7F313615"/>
    <w:rsid w:val="7F31526A"/>
    <w:rsid w:val="7F3161E6"/>
    <w:rsid w:val="7F3177DE"/>
    <w:rsid w:val="7F322478"/>
    <w:rsid w:val="7F323556"/>
    <w:rsid w:val="7F332576"/>
    <w:rsid w:val="7F3379FA"/>
    <w:rsid w:val="7F343772"/>
    <w:rsid w:val="7F345C02"/>
    <w:rsid w:val="7F35305A"/>
    <w:rsid w:val="7F35787B"/>
    <w:rsid w:val="7F361298"/>
    <w:rsid w:val="7F3648B6"/>
    <w:rsid w:val="7F370B6C"/>
    <w:rsid w:val="7F376C47"/>
    <w:rsid w:val="7F3815E6"/>
    <w:rsid w:val="7F3834E8"/>
    <w:rsid w:val="7F385010"/>
    <w:rsid w:val="7F387639"/>
    <w:rsid w:val="7F390D88"/>
    <w:rsid w:val="7F3910C6"/>
    <w:rsid w:val="7F3948E4"/>
    <w:rsid w:val="7F3A07E4"/>
    <w:rsid w:val="7F3A4690"/>
    <w:rsid w:val="7F3B2A23"/>
    <w:rsid w:val="7F3B4503"/>
    <w:rsid w:val="7F3B466C"/>
    <w:rsid w:val="7F3C6183"/>
    <w:rsid w:val="7F3D2627"/>
    <w:rsid w:val="7F3E7050"/>
    <w:rsid w:val="7F3F07EA"/>
    <w:rsid w:val="7F405DC4"/>
    <w:rsid w:val="7F4079CE"/>
    <w:rsid w:val="7F41310A"/>
    <w:rsid w:val="7F4219EB"/>
    <w:rsid w:val="7F4305FB"/>
    <w:rsid w:val="7F433C2F"/>
    <w:rsid w:val="7F436EBA"/>
    <w:rsid w:val="7F437511"/>
    <w:rsid w:val="7F4514DB"/>
    <w:rsid w:val="7F453289"/>
    <w:rsid w:val="7F45772D"/>
    <w:rsid w:val="7F4734A5"/>
    <w:rsid w:val="7F473C0E"/>
    <w:rsid w:val="7F48291A"/>
    <w:rsid w:val="7F482D79"/>
    <w:rsid w:val="7F482E61"/>
    <w:rsid w:val="7F490153"/>
    <w:rsid w:val="7F492E42"/>
    <w:rsid w:val="7F4A08A0"/>
    <w:rsid w:val="7F4A23A9"/>
    <w:rsid w:val="7F4A3A13"/>
    <w:rsid w:val="7F4A5732"/>
    <w:rsid w:val="7F4A6AF1"/>
    <w:rsid w:val="7F4B3A30"/>
    <w:rsid w:val="7F4C0ABC"/>
    <w:rsid w:val="7F4C4618"/>
    <w:rsid w:val="7F4C729B"/>
    <w:rsid w:val="7F4E58C4"/>
    <w:rsid w:val="7F4F5EB6"/>
    <w:rsid w:val="7F4F6B9E"/>
    <w:rsid w:val="7F5068C3"/>
    <w:rsid w:val="7F51014F"/>
    <w:rsid w:val="7F512BFF"/>
    <w:rsid w:val="7F5149B3"/>
    <w:rsid w:val="7F54171E"/>
    <w:rsid w:val="7F5434CC"/>
    <w:rsid w:val="7F547E3F"/>
    <w:rsid w:val="7F552E59"/>
    <w:rsid w:val="7F555359"/>
    <w:rsid w:val="7F555C5D"/>
    <w:rsid w:val="7F5565A1"/>
    <w:rsid w:val="7F56028B"/>
    <w:rsid w:val="7F5618AF"/>
    <w:rsid w:val="7F5636E8"/>
    <w:rsid w:val="7F565496"/>
    <w:rsid w:val="7F5659A9"/>
    <w:rsid w:val="7F565CCF"/>
    <w:rsid w:val="7F570C65"/>
    <w:rsid w:val="7F573045"/>
    <w:rsid w:val="7F58120E"/>
    <w:rsid w:val="7F587460"/>
    <w:rsid w:val="7F5931D8"/>
    <w:rsid w:val="7F595260"/>
    <w:rsid w:val="7F5A2D7D"/>
    <w:rsid w:val="7F5B2AAD"/>
    <w:rsid w:val="7F5C05D3"/>
    <w:rsid w:val="7F5C11A2"/>
    <w:rsid w:val="7F5C44BA"/>
    <w:rsid w:val="7F5D4A77"/>
    <w:rsid w:val="7F5D6825"/>
    <w:rsid w:val="7F5D7905"/>
    <w:rsid w:val="7F5E01E4"/>
    <w:rsid w:val="7F5E1830"/>
    <w:rsid w:val="7F5E259D"/>
    <w:rsid w:val="7F5E483A"/>
    <w:rsid w:val="7F5E5A29"/>
    <w:rsid w:val="7F5F07EF"/>
    <w:rsid w:val="7F6000C3"/>
    <w:rsid w:val="7F604567"/>
    <w:rsid w:val="7F606315"/>
    <w:rsid w:val="7F607170"/>
    <w:rsid w:val="7F607B23"/>
    <w:rsid w:val="7F610FB3"/>
    <w:rsid w:val="7F616FE7"/>
    <w:rsid w:val="7F617665"/>
    <w:rsid w:val="7F617B4A"/>
    <w:rsid w:val="7F622443"/>
    <w:rsid w:val="7F6234E3"/>
    <w:rsid w:val="7F623E3B"/>
    <w:rsid w:val="7F625BE9"/>
    <w:rsid w:val="7F637BB3"/>
    <w:rsid w:val="7F637F6E"/>
    <w:rsid w:val="7F640D6B"/>
    <w:rsid w:val="7F645E05"/>
    <w:rsid w:val="7F647DAE"/>
    <w:rsid w:val="7F657C66"/>
    <w:rsid w:val="7F660567"/>
    <w:rsid w:val="7F66325E"/>
    <w:rsid w:val="7F665EB1"/>
    <w:rsid w:val="7F670A38"/>
    <w:rsid w:val="7F671451"/>
    <w:rsid w:val="7F6776A3"/>
    <w:rsid w:val="7F686F78"/>
    <w:rsid w:val="7F6A0F42"/>
    <w:rsid w:val="7F6A2CF0"/>
    <w:rsid w:val="7F6A7194"/>
    <w:rsid w:val="7F6B04D1"/>
    <w:rsid w:val="7F6C2F0C"/>
    <w:rsid w:val="7F6C4CBA"/>
    <w:rsid w:val="7F6C6A68"/>
    <w:rsid w:val="7F6C75F1"/>
    <w:rsid w:val="7F6D27E0"/>
    <w:rsid w:val="7F6D458E"/>
    <w:rsid w:val="7F6E4CF8"/>
    <w:rsid w:val="7F6E5BF0"/>
    <w:rsid w:val="7F6F0E9E"/>
    <w:rsid w:val="7F6F2A9A"/>
    <w:rsid w:val="7F6F47AA"/>
    <w:rsid w:val="7F6F6188"/>
    <w:rsid w:val="7F705880"/>
    <w:rsid w:val="7F707F56"/>
    <w:rsid w:val="7F710522"/>
    <w:rsid w:val="7F7122D0"/>
    <w:rsid w:val="7F71407E"/>
    <w:rsid w:val="7F71451A"/>
    <w:rsid w:val="7F7173CE"/>
    <w:rsid w:val="7F722E84"/>
    <w:rsid w:val="7F731F22"/>
    <w:rsid w:val="7F732EE8"/>
    <w:rsid w:val="7F7333C7"/>
    <w:rsid w:val="7F740885"/>
    <w:rsid w:val="7F743B6E"/>
    <w:rsid w:val="7F744857"/>
    <w:rsid w:val="7F74612B"/>
    <w:rsid w:val="7F7478BF"/>
    <w:rsid w:val="7F761695"/>
    <w:rsid w:val="7F772CFB"/>
    <w:rsid w:val="7F7818B1"/>
    <w:rsid w:val="7F78365F"/>
    <w:rsid w:val="7F786258"/>
    <w:rsid w:val="7F791185"/>
    <w:rsid w:val="7F796155"/>
    <w:rsid w:val="7F7A0A8C"/>
    <w:rsid w:val="7F7A7751"/>
    <w:rsid w:val="7F7B2EF8"/>
    <w:rsid w:val="7F7D6EC7"/>
    <w:rsid w:val="7F7E49ED"/>
    <w:rsid w:val="7F7F2FD4"/>
    <w:rsid w:val="7F7F5C7C"/>
    <w:rsid w:val="7F805B82"/>
    <w:rsid w:val="7F806779"/>
    <w:rsid w:val="7F806F96"/>
    <w:rsid w:val="7F8135AC"/>
    <w:rsid w:val="7F824029"/>
    <w:rsid w:val="7F8244DD"/>
    <w:rsid w:val="7F840255"/>
    <w:rsid w:val="7F842003"/>
    <w:rsid w:val="7F85072D"/>
    <w:rsid w:val="7F857B2A"/>
    <w:rsid w:val="7F862EC3"/>
    <w:rsid w:val="7F871C0B"/>
    <w:rsid w:val="7F8821EA"/>
    <w:rsid w:val="7F89586C"/>
    <w:rsid w:val="7F8A130C"/>
    <w:rsid w:val="7F8A2D8F"/>
    <w:rsid w:val="7F8A364E"/>
    <w:rsid w:val="7F8A5140"/>
    <w:rsid w:val="7F8B118D"/>
    <w:rsid w:val="7F8C0EB8"/>
    <w:rsid w:val="7F8C1A27"/>
    <w:rsid w:val="7F8C4450"/>
    <w:rsid w:val="7F8D144D"/>
    <w:rsid w:val="7F8D20F5"/>
    <w:rsid w:val="7F8E0318"/>
    <w:rsid w:val="7F8E0BEB"/>
    <w:rsid w:val="7F8E145F"/>
    <w:rsid w:val="7F8E4C30"/>
    <w:rsid w:val="7F8E4E17"/>
    <w:rsid w:val="7F8E7FCF"/>
    <w:rsid w:val="7F8F09A8"/>
    <w:rsid w:val="7F8F2078"/>
    <w:rsid w:val="7F8F791E"/>
    <w:rsid w:val="7F8F7AD3"/>
    <w:rsid w:val="7F9011E6"/>
    <w:rsid w:val="7F910091"/>
    <w:rsid w:val="7F912972"/>
    <w:rsid w:val="7F912F0C"/>
    <w:rsid w:val="7F915E77"/>
    <w:rsid w:val="7F9238F9"/>
    <w:rsid w:val="7F927DE0"/>
    <w:rsid w:val="7F930498"/>
    <w:rsid w:val="7F9318B5"/>
    <w:rsid w:val="7F932247"/>
    <w:rsid w:val="7F942D35"/>
    <w:rsid w:val="7F945FBF"/>
    <w:rsid w:val="7F957EA2"/>
    <w:rsid w:val="7F963AE5"/>
    <w:rsid w:val="7F967F89"/>
    <w:rsid w:val="7F983AEE"/>
    <w:rsid w:val="7F983C52"/>
    <w:rsid w:val="7F985AAF"/>
    <w:rsid w:val="7F9935D5"/>
    <w:rsid w:val="7F9A432B"/>
    <w:rsid w:val="7F9B559F"/>
    <w:rsid w:val="7F9C388A"/>
    <w:rsid w:val="7F9C3A63"/>
    <w:rsid w:val="7F9D1317"/>
    <w:rsid w:val="7F9D249B"/>
    <w:rsid w:val="7F9D2EA8"/>
    <w:rsid w:val="7F9D4429"/>
    <w:rsid w:val="7F9D4E73"/>
    <w:rsid w:val="7F9D6634"/>
    <w:rsid w:val="7F9D6A66"/>
    <w:rsid w:val="7F9E2999"/>
    <w:rsid w:val="7F9F0B14"/>
    <w:rsid w:val="7F9F0E2D"/>
    <w:rsid w:val="7F9F6E3D"/>
    <w:rsid w:val="7FA028A8"/>
    <w:rsid w:val="7FA04963"/>
    <w:rsid w:val="7FA06711"/>
    <w:rsid w:val="7FA11016"/>
    <w:rsid w:val="7FA2692E"/>
    <w:rsid w:val="7FA33936"/>
    <w:rsid w:val="7FA36202"/>
    <w:rsid w:val="7FA56256"/>
    <w:rsid w:val="7FA73CE8"/>
    <w:rsid w:val="7FA77AA0"/>
    <w:rsid w:val="7FA84817"/>
    <w:rsid w:val="7FA86318"/>
    <w:rsid w:val="7FA96E4D"/>
    <w:rsid w:val="7FAA057E"/>
    <w:rsid w:val="7FAA1592"/>
    <w:rsid w:val="7FAA6566"/>
    <w:rsid w:val="7FAA68FA"/>
    <w:rsid w:val="7FAB5685"/>
    <w:rsid w:val="7FAB583A"/>
    <w:rsid w:val="7FAB59F0"/>
    <w:rsid w:val="7FAC0AD6"/>
    <w:rsid w:val="7FAC1243"/>
    <w:rsid w:val="7FAC3308"/>
    <w:rsid w:val="7FAC3558"/>
    <w:rsid w:val="7FAD6C42"/>
    <w:rsid w:val="7FAE0A49"/>
    <w:rsid w:val="7FAE0E2E"/>
    <w:rsid w:val="7FAE52D2"/>
    <w:rsid w:val="7FAF2DF8"/>
    <w:rsid w:val="7FAF4BA7"/>
    <w:rsid w:val="7FAF7563"/>
    <w:rsid w:val="7FB0104A"/>
    <w:rsid w:val="7FB0138C"/>
    <w:rsid w:val="7FB0294C"/>
    <w:rsid w:val="7FB126CD"/>
    <w:rsid w:val="7FB12BCE"/>
    <w:rsid w:val="7FB14D0F"/>
    <w:rsid w:val="7FB14DC3"/>
    <w:rsid w:val="7FB16B71"/>
    <w:rsid w:val="7FB178F8"/>
    <w:rsid w:val="7FB265FC"/>
    <w:rsid w:val="7FB3342B"/>
    <w:rsid w:val="7FB33EA7"/>
    <w:rsid w:val="7FB34697"/>
    <w:rsid w:val="7FB36445"/>
    <w:rsid w:val="7FB56661"/>
    <w:rsid w:val="7FB623D9"/>
    <w:rsid w:val="7FB637A6"/>
    <w:rsid w:val="7FB6530B"/>
    <w:rsid w:val="7FB65F35"/>
    <w:rsid w:val="7FB67505"/>
    <w:rsid w:val="7FB7323C"/>
    <w:rsid w:val="7FB777D7"/>
    <w:rsid w:val="7FB8142A"/>
    <w:rsid w:val="7FB87EFF"/>
    <w:rsid w:val="7FBB179D"/>
    <w:rsid w:val="7FBB354B"/>
    <w:rsid w:val="7FBC1579"/>
    <w:rsid w:val="7FBC5C1E"/>
    <w:rsid w:val="7FBD1B25"/>
    <w:rsid w:val="7FBD72C3"/>
    <w:rsid w:val="7FBE053E"/>
    <w:rsid w:val="7FBE47E1"/>
    <w:rsid w:val="7FBE596D"/>
    <w:rsid w:val="7FBF128D"/>
    <w:rsid w:val="7FC04052"/>
    <w:rsid w:val="7FC0459F"/>
    <w:rsid w:val="7FC05F86"/>
    <w:rsid w:val="7FC07CC0"/>
    <w:rsid w:val="7FC11CD6"/>
    <w:rsid w:val="7FC146D9"/>
    <w:rsid w:val="7FC32F20"/>
    <w:rsid w:val="7FC405A8"/>
    <w:rsid w:val="7FC40652"/>
    <w:rsid w:val="7FC70142"/>
    <w:rsid w:val="7FC75086"/>
    <w:rsid w:val="7FC76394"/>
    <w:rsid w:val="7FC80CF0"/>
    <w:rsid w:val="7FC83E64"/>
    <w:rsid w:val="7FC90393"/>
    <w:rsid w:val="7FC95069"/>
    <w:rsid w:val="7FCA236D"/>
    <w:rsid w:val="7FCA378E"/>
    <w:rsid w:val="7FCA75D5"/>
    <w:rsid w:val="7FCB3154"/>
    <w:rsid w:val="7FCB5182"/>
    <w:rsid w:val="7FCB7818"/>
    <w:rsid w:val="7FCC417D"/>
    <w:rsid w:val="7FCC4AB9"/>
    <w:rsid w:val="7FCC5758"/>
    <w:rsid w:val="7FCC6956"/>
    <w:rsid w:val="7FCC7A47"/>
    <w:rsid w:val="7FCD1189"/>
    <w:rsid w:val="7FCD7330"/>
    <w:rsid w:val="7FCE1223"/>
    <w:rsid w:val="7FCE14D1"/>
    <w:rsid w:val="7FCE5462"/>
    <w:rsid w:val="7FCF0DE6"/>
    <w:rsid w:val="7FCF3E24"/>
    <w:rsid w:val="7FD02953"/>
    <w:rsid w:val="7FD0349B"/>
    <w:rsid w:val="7FD05249"/>
    <w:rsid w:val="7FD0610C"/>
    <w:rsid w:val="7FD119F1"/>
    <w:rsid w:val="7FD12402"/>
    <w:rsid w:val="7FD12D6F"/>
    <w:rsid w:val="7FD16703"/>
    <w:rsid w:val="7FD27517"/>
    <w:rsid w:val="7FD30895"/>
    <w:rsid w:val="7FD3550E"/>
    <w:rsid w:val="7FD36AE7"/>
    <w:rsid w:val="7FD4552C"/>
    <w:rsid w:val="7FD51962"/>
    <w:rsid w:val="7FD5285F"/>
    <w:rsid w:val="7FD53BF4"/>
    <w:rsid w:val="7FD55335"/>
    <w:rsid w:val="7FD575E0"/>
    <w:rsid w:val="7FD65E58"/>
    <w:rsid w:val="7FD665D7"/>
    <w:rsid w:val="7FD72EC1"/>
    <w:rsid w:val="7FD82DA2"/>
    <w:rsid w:val="7FD840FD"/>
    <w:rsid w:val="7FD9032D"/>
    <w:rsid w:val="7FDA596B"/>
    <w:rsid w:val="7FDB3AE6"/>
    <w:rsid w:val="7FDB7A66"/>
    <w:rsid w:val="7FDC1E3F"/>
    <w:rsid w:val="7FDC2FE3"/>
    <w:rsid w:val="7FDD1CE6"/>
    <w:rsid w:val="7FDD36D6"/>
    <w:rsid w:val="7FDD50AF"/>
    <w:rsid w:val="7FDD5BB8"/>
    <w:rsid w:val="7FDD7756"/>
    <w:rsid w:val="7FDE15F6"/>
    <w:rsid w:val="7FDE61B3"/>
    <w:rsid w:val="7FDE7B28"/>
    <w:rsid w:val="7FDF289D"/>
    <w:rsid w:val="7FE231CE"/>
    <w:rsid w:val="7FE24F7C"/>
    <w:rsid w:val="7FE26441"/>
    <w:rsid w:val="7FE27939"/>
    <w:rsid w:val="7FE4078B"/>
    <w:rsid w:val="7FE42AA2"/>
    <w:rsid w:val="7FE44850"/>
    <w:rsid w:val="7FE47E50"/>
    <w:rsid w:val="7FE52A4F"/>
    <w:rsid w:val="7FE52A52"/>
    <w:rsid w:val="7FE54E2A"/>
    <w:rsid w:val="7FE64C05"/>
    <w:rsid w:val="7FE662BA"/>
    <w:rsid w:val="7FE707E4"/>
    <w:rsid w:val="7FE75CB9"/>
    <w:rsid w:val="7FE900B8"/>
    <w:rsid w:val="7FE91E78"/>
    <w:rsid w:val="7FE934FA"/>
    <w:rsid w:val="7FE9630A"/>
    <w:rsid w:val="7FEA0E52"/>
    <w:rsid w:val="7FEA3E31"/>
    <w:rsid w:val="7FEA5076"/>
    <w:rsid w:val="7FEA5BDF"/>
    <w:rsid w:val="7FEA74F6"/>
    <w:rsid w:val="7FEB2083"/>
    <w:rsid w:val="7FEB755B"/>
    <w:rsid w:val="7FEC1957"/>
    <w:rsid w:val="7FEC212C"/>
    <w:rsid w:val="7FEC5DFB"/>
    <w:rsid w:val="7FED74AC"/>
    <w:rsid w:val="7FEE004B"/>
    <w:rsid w:val="7FEE1B73"/>
    <w:rsid w:val="7FEE3921"/>
    <w:rsid w:val="7FEE5EDC"/>
    <w:rsid w:val="7FEF09B7"/>
    <w:rsid w:val="7FEF0AAD"/>
    <w:rsid w:val="7FEF6404"/>
    <w:rsid w:val="7FF058EB"/>
    <w:rsid w:val="7FF151BF"/>
    <w:rsid w:val="7FF15E18"/>
    <w:rsid w:val="7FF27100"/>
    <w:rsid w:val="7FF30275"/>
    <w:rsid w:val="7FF303D4"/>
    <w:rsid w:val="7FF32DB3"/>
    <w:rsid w:val="7FF34B5A"/>
    <w:rsid w:val="7FF37189"/>
    <w:rsid w:val="7FF40B09"/>
    <w:rsid w:val="7FF432CF"/>
    <w:rsid w:val="7FF52F01"/>
    <w:rsid w:val="7FF53ADA"/>
    <w:rsid w:val="7FF56336"/>
    <w:rsid w:val="7FF5783B"/>
    <w:rsid w:val="7FF633F9"/>
    <w:rsid w:val="7FF65DAF"/>
    <w:rsid w:val="7FF7723F"/>
    <w:rsid w:val="7FF81994"/>
    <w:rsid w:val="7FF8479F"/>
    <w:rsid w:val="7FF86D6C"/>
    <w:rsid w:val="7FF92FEF"/>
    <w:rsid w:val="7FFA35EE"/>
    <w:rsid w:val="7FFB7DEC"/>
    <w:rsid w:val="7FFC23FC"/>
    <w:rsid w:val="7FFD1DB6"/>
    <w:rsid w:val="7FFD5912"/>
    <w:rsid w:val="7FFE478F"/>
    <w:rsid w:val="7FFE59D1"/>
    <w:rsid w:val="7FFE5DB9"/>
    <w:rsid w:val="7FFF168A"/>
    <w:rsid w:val="7FFF26DE"/>
    <w:rsid w:val="7FFF4290"/>
    <w:rsid w:val="7FFF5B2E"/>
    <w:rsid w:val="B4FDDE5C"/>
    <w:rsid w:val="BEAFC7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9" w:semiHidden="0" w:name="heading 4" w:locked="1"/>
    <w:lsdException w:qFormat="1" w:unhideWhenUsed="0" w:uiPriority="9" w:semiHidden="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qFormat="1"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qFormat="1"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qFormat="1" w:uiPriority="99"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99"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99"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39"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autoRedefine/>
    <w:semiHidden/>
    <w:unhideWhenUsed/>
    <w:qFormat/>
    <w:locked/>
    <w:uiPriority w:val="0"/>
    <w:pPr>
      <w:spacing w:beforeAutospacing="1" w:afterAutospacing="1"/>
      <w:jc w:val="left"/>
      <w:outlineLvl w:val="1"/>
    </w:pPr>
    <w:rPr>
      <w:rFonts w:hint="eastAsia" w:ascii="宋体" w:hAnsi="宋体"/>
      <w:b/>
      <w:bCs/>
      <w:kern w:val="0"/>
      <w:sz w:val="36"/>
      <w:szCs w:val="36"/>
    </w:rPr>
  </w:style>
  <w:style w:type="paragraph" w:styleId="4">
    <w:name w:val="heading 3"/>
    <w:basedOn w:val="1"/>
    <w:next w:val="1"/>
    <w:autoRedefine/>
    <w:semiHidden/>
    <w:unhideWhenUsed/>
    <w:qFormat/>
    <w:locked/>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unhideWhenUsed/>
    <w:qFormat/>
    <w:locked/>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autoRedefine/>
    <w:qFormat/>
    <w:locked/>
    <w:uiPriority w:val="9"/>
    <w:pPr>
      <w:keepNext/>
      <w:keepLines/>
      <w:jc w:val="center"/>
      <w:outlineLvl w:val="4"/>
    </w:pPr>
    <w:rPr>
      <w:b/>
      <w:bCs/>
      <w:sz w:val="21"/>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next w:val="8"/>
    <w:autoRedefine/>
    <w:qFormat/>
    <w:locked/>
    <w:uiPriority w:val="0"/>
    <w:pPr>
      <w:ind w:firstLine="420" w:firstLineChars="200"/>
    </w:pPr>
    <w:rPr>
      <w:rFonts w:ascii="宋体" w:hAnsi="宋体"/>
    </w:rPr>
  </w:style>
  <w:style w:type="paragraph" w:customStyle="1" w:styleId="8">
    <w:name w:val="样式 正文文本 + 首行缩进:  2 字符"/>
    <w:autoRedefine/>
    <w:qFormat/>
    <w:uiPriority w:val="99"/>
    <w:pPr>
      <w:spacing w:after="200" w:line="480" w:lineRule="exact"/>
      <w:ind w:firstLine="480" w:firstLineChars="200"/>
    </w:pPr>
    <w:rPr>
      <w:rFonts w:ascii="Times New Roman" w:hAnsi="Times New Roman" w:eastAsia="微软雅黑" w:cs="Times New Roman"/>
      <w:sz w:val="24"/>
      <w:szCs w:val="22"/>
      <w:lang w:val="en-US" w:eastAsia="zh-CN" w:bidi="ar-SA"/>
    </w:rPr>
  </w:style>
  <w:style w:type="paragraph" w:styleId="9">
    <w:name w:val="caption"/>
    <w:basedOn w:val="1"/>
    <w:next w:val="1"/>
    <w:autoRedefine/>
    <w:qFormat/>
    <w:locked/>
    <w:uiPriority w:val="0"/>
    <w:rPr>
      <w:rFonts w:ascii="Cambria" w:hAnsi="Cambria" w:eastAsia="黑体"/>
      <w:sz w:val="20"/>
      <w:szCs w:val="20"/>
    </w:rPr>
  </w:style>
  <w:style w:type="paragraph" w:styleId="10">
    <w:name w:val="toa heading"/>
    <w:basedOn w:val="1"/>
    <w:next w:val="1"/>
    <w:autoRedefine/>
    <w:unhideWhenUsed/>
    <w:qFormat/>
    <w:locked/>
    <w:uiPriority w:val="99"/>
    <w:pPr>
      <w:spacing w:before="120"/>
    </w:pPr>
    <w:rPr>
      <w:rFonts w:ascii="Arial" w:hAnsi="Arial" w:cs="Arial"/>
    </w:rPr>
  </w:style>
  <w:style w:type="paragraph" w:styleId="11">
    <w:name w:val="annotation text"/>
    <w:basedOn w:val="1"/>
    <w:link w:val="50"/>
    <w:autoRedefine/>
    <w:semiHidden/>
    <w:qFormat/>
    <w:uiPriority w:val="0"/>
    <w:pPr>
      <w:jc w:val="left"/>
    </w:pPr>
    <w:rPr>
      <w:kern w:val="0"/>
      <w:szCs w:val="20"/>
    </w:rPr>
  </w:style>
  <w:style w:type="paragraph" w:styleId="12">
    <w:name w:val="Body Text"/>
    <w:basedOn w:val="1"/>
    <w:next w:val="13"/>
    <w:link w:val="51"/>
    <w:qFormat/>
    <w:uiPriority w:val="0"/>
    <w:pPr>
      <w:widowControl/>
      <w:snapToGrid w:val="0"/>
      <w:spacing w:before="60" w:after="160" w:line="259" w:lineRule="auto"/>
      <w:ind w:right="113"/>
    </w:pPr>
    <w:rPr>
      <w:kern w:val="0"/>
      <w:sz w:val="18"/>
      <w:szCs w:val="20"/>
    </w:rPr>
  </w:style>
  <w:style w:type="paragraph" w:styleId="13">
    <w:name w:val="Body Text 2"/>
    <w:basedOn w:val="1"/>
    <w:autoRedefine/>
    <w:qFormat/>
    <w:locked/>
    <w:uiPriority w:val="0"/>
    <w:pPr>
      <w:spacing w:after="120" w:line="480" w:lineRule="auto"/>
    </w:pPr>
  </w:style>
  <w:style w:type="paragraph" w:styleId="14">
    <w:name w:val="Body Text Indent"/>
    <w:basedOn w:val="1"/>
    <w:link w:val="52"/>
    <w:qFormat/>
    <w:uiPriority w:val="0"/>
    <w:pPr>
      <w:spacing w:after="120"/>
      <w:ind w:left="420" w:leftChars="200"/>
    </w:pPr>
    <w:rPr>
      <w:kern w:val="0"/>
      <w:szCs w:val="20"/>
    </w:rPr>
  </w:style>
  <w:style w:type="paragraph" w:styleId="15">
    <w:name w:val="Block Text"/>
    <w:basedOn w:val="1"/>
    <w:autoRedefine/>
    <w:qFormat/>
    <w:locked/>
    <w:uiPriority w:val="0"/>
    <w:pPr>
      <w:spacing w:line="320" w:lineRule="exact"/>
      <w:ind w:left="113" w:right="113"/>
      <w:jc w:val="center"/>
    </w:pPr>
    <w:rPr>
      <w:b/>
      <w:sz w:val="13"/>
      <w:szCs w:val="15"/>
    </w:rPr>
  </w:style>
  <w:style w:type="paragraph" w:styleId="16">
    <w:name w:val="toc 3"/>
    <w:basedOn w:val="1"/>
    <w:next w:val="1"/>
    <w:autoRedefine/>
    <w:qFormat/>
    <w:locked/>
    <w:uiPriority w:val="39"/>
    <w:pPr>
      <w:ind w:left="480"/>
      <w:jc w:val="left"/>
    </w:pPr>
    <w:rPr>
      <w:rFonts w:ascii="Calibri" w:hAnsi="Calibri"/>
      <w:i/>
      <w:iCs/>
      <w:sz w:val="20"/>
      <w:szCs w:val="20"/>
    </w:rPr>
  </w:style>
  <w:style w:type="paragraph" w:styleId="17">
    <w:name w:val="Plain Text"/>
    <w:basedOn w:val="1"/>
    <w:next w:val="1"/>
    <w:autoRedefine/>
    <w:qFormat/>
    <w:locked/>
    <w:uiPriority w:val="0"/>
    <w:rPr>
      <w:rFonts w:ascii="宋体" w:hAnsi="Courier New"/>
      <w:szCs w:val="20"/>
    </w:rPr>
  </w:style>
  <w:style w:type="paragraph" w:styleId="18">
    <w:name w:val="List Bullet 5"/>
    <w:basedOn w:val="1"/>
    <w:qFormat/>
    <w:locked/>
    <w:uiPriority w:val="0"/>
    <w:pPr>
      <w:numPr>
        <w:ilvl w:val="0"/>
        <w:numId w:val="1"/>
      </w:numPr>
    </w:pPr>
  </w:style>
  <w:style w:type="paragraph" w:styleId="19">
    <w:name w:val="Date"/>
    <w:basedOn w:val="1"/>
    <w:next w:val="1"/>
    <w:link w:val="53"/>
    <w:qFormat/>
    <w:uiPriority w:val="0"/>
    <w:pPr>
      <w:ind w:left="100" w:leftChars="2500"/>
    </w:pPr>
    <w:rPr>
      <w:kern w:val="0"/>
      <w:szCs w:val="20"/>
    </w:rPr>
  </w:style>
  <w:style w:type="paragraph" w:styleId="20">
    <w:name w:val="Body Text Indent 2"/>
    <w:basedOn w:val="1"/>
    <w:autoRedefine/>
    <w:qFormat/>
    <w:locked/>
    <w:uiPriority w:val="0"/>
    <w:pPr>
      <w:spacing w:after="120" w:line="480" w:lineRule="auto"/>
      <w:ind w:left="420" w:leftChars="200"/>
    </w:pPr>
  </w:style>
  <w:style w:type="paragraph" w:styleId="21">
    <w:name w:val="Balloon Text"/>
    <w:basedOn w:val="1"/>
    <w:link w:val="54"/>
    <w:autoRedefine/>
    <w:semiHidden/>
    <w:qFormat/>
    <w:uiPriority w:val="0"/>
    <w:rPr>
      <w:kern w:val="0"/>
      <w:sz w:val="18"/>
      <w:szCs w:val="20"/>
    </w:rPr>
  </w:style>
  <w:style w:type="paragraph" w:styleId="22">
    <w:name w:val="footer"/>
    <w:basedOn w:val="1"/>
    <w:link w:val="55"/>
    <w:autoRedefine/>
    <w:qFormat/>
    <w:uiPriority w:val="99"/>
    <w:pPr>
      <w:tabs>
        <w:tab w:val="center" w:pos="4153"/>
        <w:tab w:val="right" w:pos="8306"/>
      </w:tabs>
      <w:snapToGrid w:val="0"/>
      <w:jc w:val="left"/>
    </w:pPr>
    <w:rPr>
      <w:kern w:val="0"/>
      <w:sz w:val="18"/>
      <w:szCs w:val="20"/>
    </w:rPr>
  </w:style>
  <w:style w:type="paragraph" w:styleId="23">
    <w:name w:val="header"/>
    <w:basedOn w:val="1"/>
    <w:link w:val="56"/>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toc 1"/>
    <w:basedOn w:val="1"/>
    <w:next w:val="1"/>
    <w:autoRedefine/>
    <w:qFormat/>
    <w:locked/>
    <w:uiPriority w:val="0"/>
  </w:style>
  <w:style w:type="paragraph" w:styleId="25">
    <w:name w:val="table of figures"/>
    <w:basedOn w:val="1"/>
    <w:next w:val="1"/>
    <w:autoRedefine/>
    <w:unhideWhenUsed/>
    <w:qFormat/>
    <w:locked/>
    <w:uiPriority w:val="99"/>
    <w:pPr>
      <w:ind w:left="200" w:leftChars="200" w:hanging="200" w:hangingChars="200"/>
    </w:pPr>
  </w:style>
  <w:style w:type="paragraph" w:styleId="26">
    <w:name w:val="toc 2"/>
    <w:basedOn w:val="1"/>
    <w:next w:val="1"/>
    <w:autoRedefine/>
    <w:qFormat/>
    <w:locked/>
    <w:uiPriority w:val="0"/>
    <w:pPr>
      <w:ind w:left="420" w:leftChars="200"/>
    </w:pPr>
  </w:style>
  <w:style w:type="paragraph" w:styleId="27">
    <w:name w:val="Normal (Web)"/>
    <w:basedOn w:val="1"/>
    <w:link w:val="49"/>
    <w:autoRedefine/>
    <w:qFormat/>
    <w:uiPriority w:val="0"/>
    <w:pPr>
      <w:widowControl/>
      <w:spacing w:before="100" w:beforeAutospacing="1" w:after="100" w:afterAutospacing="1"/>
      <w:jc w:val="left"/>
    </w:pPr>
    <w:rPr>
      <w:rFonts w:ascii="宋体" w:hAnsi="宋体"/>
      <w:kern w:val="0"/>
      <w:szCs w:val="20"/>
    </w:rPr>
  </w:style>
  <w:style w:type="paragraph" w:styleId="28">
    <w:name w:val="Title"/>
    <w:basedOn w:val="1"/>
    <w:next w:val="1"/>
    <w:qFormat/>
    <w:locked/>
    <w:uiPriority w:val="99"/>
    <w:pPr>
      <w:jc w:val="center"/>
    </w:pPr>
    <w:rPr>
      <w:b/>
      <w:bCs/>
      <w:sz w:val="20"/>
      <w:szCs w:val="32"/>
    </w:rPr>
  </w:style>
  <w:style w:type="paragraph" w:styleId="29">
    <w:name w:val="annotation subject"/>
    <w:basedOn w:val="11"/>
    <w:next w:val="11"/>
    <w:link w:val="57"/>
    <w:autoRedefine/>
    <w:semiHidden/>
    <w:qFormat/>
    <w:uiPriority w:val="0"/>
    <w:rPr>
      <w:b/>
    </w:rPr>
  </w:style>
  <w:style w:type="paragraph" w:styleId="30">
    <w:name w:val="Body Text First Indent"/>
    <w:basedOn w:val="12"/>
    <w:next w:val="1"/>
    <w:autoRedefine/>
    <w:qFormat/>
    <w:locked/>
    <w:uiPriority w:val="0"/>
    <w:pPr>
      <w:spacing w:after="120"/>
      <w:ind w:firstLine="420" w:firstLineChars="100"/>
    </w:pPr>
    <w:rPr>
      <w:sz w:val="21"/>
      <w:szCs w:val="24"/>
    </w:rPr>
  </w:style>
  <w:style w:type="paragraph" w:styleId="31">
    <w:name w:val="Body Text First Indent 2"/>
    <w:basedOn w:val="14"/>
    <w:autoRedefine/>
    <w:qFormat/>
    <w:locked/>
    <w:uiPriority w:val="0"/>
    <w:pPr>
      <w:ind w:firstLine="420" w:firstLineChars="200"/>
    </w:pPr>
  </w:style>
  <w:style w:type="table" w:styleId="33">
    <w:name w:val="Table Grid"/>
    <w:basedOn w:val="3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locked/>
    <w:uiPriority w:val="0"/>
    <w:rPr>
      <w:b/>
    </w:rPr>
  </w:style>
  <w:style w:type="character" w:styleId="36">
    <w:name w:val="page number"/>
    <w:autoRedefine/>
    <w:qFormat/>
    <w:locked/>
    <w:uiPriority w:val="0"/>
  </w:style>
  <w:style w:type="character" w:styleId="37">
    <w:name w:val="FollowedHyperlink"/>
    <w:autoRedefine/>
    <w:qFormat/>
    <w:locked/>
    <w:uiPriority w:val="99"/>
    <w:rPr>
      <w:color w:val="185ECF"/>
      <w:u w:val="none"/>
    </w:rPr>
  </w:style>
  <w:style w:type="character" w:styleId="38">
    <w:name w:val="Emphasis"/>
    <w:basedOn w:val="34"/>
    <w:autoRedefine/>
    <w:qFormat/>
    <w:locked/>
    <w:uiPriority w:val="0"/>
    <w:rPr>
      <w:i/>
    </w:rPr>
  </w:style>
  <w:style w:type="character" w:styleId="39">
    <w:name w:val="Hyperlink"/>
    <w:autoRedefine/>
    <w:qFormat/>
    <w:locked/>
    <w:uiPriority w:val="99"/>
    <w:rPr>
      <w:color w:val="185ECF"/>
      <w:u w:val="none"/>
    </w:rPr>
  </w:style>
  <w:style w:type="character" w:styleId="40">
    <w:name w:val="annotation reference"/>
    <w:basedOn w:val="34"/>
    <w:autoRedefine/>
    <w:semiHidden/>
    <w:qFormat/>
    <w:uiPriority w:val="0"/>
    <w:rPr>
      <w:sz w:val="21"/>
    </w:rPr>
  </w:style>
  <w:style w:type="paragraph" w:customStyle="1" w:styleId="41">
    <w:name w:val="Default"/>
    <w:basedOn w:val="42"/>
    <w:autoRedefine/>
    <w:qFormat/>
    <w:uiPriority w:val="0"/>
    <w:pPr>
      <w:autoSpaceDE w:val="0"/>
      <w:autoSpaceDN w:val="0"/>
    </w:pPr>
    <w:rPr>
      <w:rFonts w:cs="宋体"/>
      <w:color w:val="000000"/>
      <w:szCs w:val="24"/>
    </w:rPr>
  </w:style>
  <w:style w:type="paragraph" w:customStyle="1" w:styleId="42">
    <w:name w:val="纯文本1"/>
    <w:basedOn w:val="1"/>
    <w:autoRedefine/>
    <w:qFormat/>
    <w:uiPriority w:val="0"/>
    <w:pPr>
      <w:adjustRightInd w:val="0"/>
    </w:pPr>
    <w:rPr>
      <w:rFonts w:ascii="宋体" w:hAnsi="Courier New"/>
      <w:szCs w:val="20"/>
    </w:rPr>
  </w:style>
  <w:style w:type="paragraph" w:customStyle="1" w:styleId="43">
    <w:name w:val="样式1"/>
    <w:basedOn w:val="1"/>
    <w:autoRedefine/>
    <w:qFormat/>
    <w:uiPriority w:val="0"/>
    <w:pPr>
      <w:spacing w:line="360" w:lineRule="auto"/>
      <w:ind w:firstLine="200" w:firstLineChars="200"/>
    </w:pPr>
    <w:rPr>
      <w:kern w:val="0"/>
      <w:sz w:val="20"/>
    </w:rPr>
  </w:style>
  <w:style w:type="paragraph" w:customStyle="1" w:styleId="44">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5">
    <w:name w:val="正文（余）"/>
    <w:basedOn w:val="1"/>
    <w:link w:val="133"/>
    <w:autoRedefine/>
    <w:qFormat/>
    <w:uiPriority w:val="0"/>
    <w:pPr>
      <w:autoSpaceDE w:val="0"/>
      <w:autoSpaceDN w:val="0"/>
      <w:adjustRightInd w:val="0"/>
      <w:snapToGrid w:val="0"/>
      <w:spacing w:line="360" w:lineRule="auto"/>
      <w:ind w:firstLine="480" w:firstLineChars="200"/>
      <w:jc w:val="left"/>
    </w:pPr>
  </w:style>
  <w:style w:type="paragraph" w:customStyle="1" w:styleId="46">
    <w:name w:val="表头"/>
    <w:basedOn w:val="1"/>
    <w:autoRedefine/>
    <w:qFormat/>
    <w:uiPriority w:val="0"/>
    <w:pPr>
      <w:adjustRightInd w:val="0"/>
      <w:snapToGrid w:val="0"/>
      <w:jc w:val="center"/>
    </w:pPr>
    <w:rPr>
      <w:b/>
      <w:bCs/>
      <w:sz w:val="21"/>
      <w:szCs w:val="21"/>
    </w:rPr>
  </w:style>
  <w:style w:type="paragraph" w:customStyle="1" w:styleId="47">
    <w:name w:val="简单回函地址"/>
    <w:basedOn w:val="1"/>
    <w:next w:val="48"/>
    <w:autoRedefine/>
    <w:qFormat/>
    <w:uiPriority w:val="0"/>
  </w:style>
  <w:style w:type="paragraph" w:customStyle="1" w:styleId="48">
    <w:name w:val="正文2"/>
    <w:basedOn w:val="1"/>
    <w:autoRedefine/>
    <w:qFormat/>
    <w:uiPriority w:val="0"/>
    <w:pPr>
      <w:spacing w:line="360" w:lineRule="auto"/>
      <w:ind w:firstLine="200" w:firstLineChars="200"/>
    </w:pPr>
  </w:style>
  <w:style w:type="character" w:customStyle="1" w:styleId="49">
    <w:name w:val="普通(网站) 字符"/>
    <w:link w:val="27"/>
    <w:autoRedefine/>
    <w:qFormat/>
    <w:locked/>
    <w:uiPriority w:val="0"/>
    <w:rPr>
      <w:rFonts w:ascii="宋体" w:hAnsi="宋体" w:eastAsia="宋体"/>
      <w:sz w:val="24"/>
    </w:rPr>
  </w:style>
  <w:style w:type="character" w:customStyle="1" w:styleId="50">
    <w:name w:val="批注文字 字符"/>
    <w:link w:val="11"/>
    <w:autoRedefine/>
    <w:qFormat/>
    <w:locked/>
    <w:uiPriority w:val="0"/>
    <w:rPr>
      <w:rFonts w:ascii="Times New Roman" w:hAnsi="Times New Roman" w:eastAsia="宋体"/>
      <w:sz w:val="24"/>
    </w:rPr>
  </w:style>
  <w:style w:type="character" w:customStyle="1" w:styleId="51">
    <w:name w:val="正文文本 字符"/>
    <w:link w:val="12"/>
    <w:autoRedefine/>
    <w:qFormat/>
    <w:locked/>
    <w:uiPriority w:val="0"/>
    <w:rPr>
      <w:sz w:val="18"/>
    </w:rPr>
  </w:style>
  <w:style w:type="character" w:customStyle="1" w:styleId="52">
    <w:name w:val="正文文本缩进 字符"/>
    <w:link w:val="14"/>
    <w:autoRedefine/>
    <w:semiHidden/>
    <w:qFormat/>
    <w:locked/>
    <w:uiPriority w:val="0"/>
    <w:rPr>
      <w:rFonts w:ascii="Times New Roman" w:hAnsi="Times New Roman" w:eastAsia="宋体"/>
      <w:sz w:val="24"/>
    </w:rPr>
  </w:style>
  <w:style w:type="character" w:customStyle="1" w:styleId="53">
    <w:name w:val="日期 字符1"/>
    <w:link w:val="19"/>
    <w:autoRedefine/>
    <w:qFormat/>
    <w:locked/>
    <w:uiPriority w:val="0"/>
    <w:rPr>
      <w:rFonts w:ascii="Times New Roman" w:hAnsi="Times New Roman" w:eastAsia="宋体"/>
      <w:sz w:val="24"/>
    </w:rPr>
  </w:style>
  <w:style w:type="character" w:customStyle="1" w:styleId="54">
    <w:name w:val="批注框文本 字符"/>
    <w:link w:val="21"/>
    <w:autoRedefine/>
    <w:semiHidden/>
    <w:qFormat/>
    <w:locked/>
    <w:uiPriority w:val="0"/>
    <w:rPr>
      <w:rFonts w:ascii="Times New Roman" w:hAnsi="Times New Roman" w:eastAsia="宋体"/>
      <w:sz w:val="18"/>
    </w:rPr>
  </w:style>
  <w:style w:type="character" w:customStyle="1" w:styleId="55">
    <w:name w:val="页脚 字符1"/>
    <w:link w:val="22"/>
    <w:autoRedefine/>
    <w:qFormat/>
    <w:locked/>
    <w:uiPriority w:val="99"/>
    <w:rPr>
      <w:sz w:val="18"/>
    </w:rPr>
  </w:style>
  <w:style w:type="character" w:customStyle="1" w:styleId="56">
    <w:name w:val="页眉 字符"/>
    <w:link w:val="23"/>
    <w:autoRedefine/>
    <w:qFormat/>
    <w:locked/>
    <w:uiPriority w:val="0"/>
    <w:rPr>
      <w:sz w:val="18"/>
    </w:rPr>
  </w:style>
  <w:style w:type="character" w:customStyle="1" w:styleId="57">
    <w:name w:val="批注主题 字符"/>
    <w:link w:val="29"/>
    <w:autoRedefine/>
    <w:semiHidden/>
    <w:qFormat/>
    <w:locked/>
    <w:uiPriority w:val="0"/>
    <w:rPr>
      <w:rFonts w:ascii="Times New Roman" w:hAnsi="Times New Roman" w:eastAsia="宋体"/>
      <w:b/>
      <w:kern w:val="2"/>
      <w:sz w:val="24"/>
    </w:rPr>
  </w:style>
  <w:style w:type="character" w:customStyle="1" w:styleId="58">
    <w:name w:val="日期 字符"/>
    <w:autoRedefine/>
    <w:semiHidden/>
    <w:qFormat/>
    <w:uiPriority w:val="0"/>
    <w:rPr>
      <w:rFonts w:ascii="Times New Roman" w:hAnsi="Times New Roman" w:eastAsia="宋体"/>
      <w:sz w:val="24"/>
    </w:rPr>
  </w:style>
  <w:style w:type="character" w:customStyle="1" w:styleId="59">
    <w:name w:val="批注文字 字符1"/>
    <w:autoRedefine/>
    <w:semiHidden/>
    <w:qFormat/>
    <w:uiPriority w:val="0"/>
    <w:rPr>
      <w:rFonts w:ascii="Times New Roman" w:hAnsi="Times New Roman" w:eastAsia="宋体"/>
      <w:sz w:val="24"/>
    </w:rPr>
  </w:style>
  <w:style w:type="character" w:customStyle="1" w:styleId="60">
    <w:name w:val="checkbox2"/>
    <w:autoRedefine/>
    <w:qFormat/>
    <w:uiPriority w:val="0"/>
  </w:style>
  <w:style w:type="character" w:customStyle="1" w:styleId="61">
    <w:name w:val="font31"/>
    <w:autoRedefine/>
    <w:qFormat/>
    <w:uiPriority w:val="0"/>
    <w:rPr>
      <w:rFonts w:hint="default" w:ascii="Times New Roman" w:hAnsi="Times New Roman" w:cs="Times New Roman"/>
      <w:color w:val="0000FF"/>
      <w:sz w:val="21"/>
      <w:szCs w:val="21"/>
      <w:u w:val="none"/>
      <w:vertAlign w:val="superscript"/>
    </w:rPr>
  </w:style>
  <w:style w:type="character" w:customStyle="1" w:styleId="62">
    <w:name w:val="正文文本 字符1"/>
    <w:autoRedefine/>
    <w:semiHidden/>
    <w:qFormat/>
    <w:uiPriority w:val="0"/>
    <w:rPr>
      <w:rFonts w:ascii="Times New Roman" w:hAnsi="Times New Roman" w:eastAsia="宋体"/>
      <w:sz w:val="24"/>
    </w:rPr>
  </w:style>
  <w:style w:type="character" w:customStyle="1" w:styleId="63">
    <w:name w:val="chakan"/>
    <w:autoRedefine/>
    <w:qFormat/>
    <w:uiPriority w:val="0"/>
    <w:rPr>
      <w:color w:val="0064EA"/>
    </w:rPr>
  </w:style>
  <w:style w:type="character" w:customStyle="1" w:styleId="64">
    <w:name w:val="表格 Char"/>
    <w:link w:val="65"/>
    <w:autoRedefine/>
    <w:qFormat/>
    <w:locked/>
    <w:uiPriority w:val="0"/>
    <w:rPr>
      <w:rFonts w:ascii="宋体"/>
      <w:sz w:val="21"/>
    </w:rPr>
  </w:style>
  <w:style w:type="paragraph" w:customStyle="1" w:styleId="65">
    <w:name w:val="表格"/>
    <w:basedOn w:val="66"/>
    <w:next w:val="1"/>
    <w:link w:val="64"/>
    <w:autoRedefine/>
    <w:qFormat/>
    <w:uiPriority w:val="0"/>
    <w:pPr>
      <w:adjustRightInd w:val="0"/>
      <w:snapToGrid w:val="0"/>
      <w:spacing w:beforeLines="10" w:afterLines="10" w:line="259" w:lineRule="auto"/>
      <w:jc w:val="center"/>
    </w:pPr>
    <w:rPr>
      <w:rFonts w:ascii="宋体"/>
      <w:kern w:val="0"/>
      <w:szCs w:val="20"/>
    </w:rPr>
  </w:style>
  <w:style w:type="paragraph" w:customStyle="1" w:styleId="66">
    <w:name w:val="列表1"/>
    <w:basedOn w:val="1"/>
    <w:autoRedefine/>
    <w:qFormat/>
    <w:uiPriority w:val="99"/>
    <w:pPr>
      <w:spacing w:line="300" w:lineRule="exact"/>
      <w:jc w:val="left"/>
    </w:pPr>
    <w:rPr>
      <w:kern w:val="0"/>
      <w:szCs w:val="21"/>
    </w:rPr>
  </w:style>
  <w:style w:type="character" w:customStyle="1" w:styleId="67">
    <w:name w:val="shenbao"/>
    <w:autoRedefine/>
    <w:qFormat/>
    <w:uiPriority w:val="0"/>
    <w:rPr>
      <w:color w:val="EF6334"/>
    </w:rPr>
  </w:style>
  <w:style w:type="character" w:customStyle="1" w:styleId="68">
    <w:name w:val="checkbox"/>
    <w:autoRedefine/>
    <w:qFormat/>
    <w:uiPriority w:val="0"/>
  </w:style>
  <w:style w:type="character" w:customStyle="1" w:styleId="69">
    <w:name w:val="页脚 字符"/>
    <w:autoRedefine/>
    <w:qFormat/>
    <w:uiPriority w:val="99"/>
  </w:style>
  <w:style w:type="character" w:customStyle="1" w:styleId="70">
    <w:name w:val="font11"/>
    <w:autoRedefine/>
    <w:qFormat/>
    <w:uiPriority w:val="0"/>
    <w:rPr>
      <w:rFonts w:hint="eastAsia" w:ascii="宋体" w:hAnsi="宋体" w:eastAsia="宋体" w:cs="宋体"/>
      <w:color w:val="000000"/>
      <w:sz w:val="24"/>
      <w:szCs w:val="24"/>
      <w:u w:val="none"/>
    </w:rPr>
  </w:style>
  <w:style w:type="character" w:customStyle="1" w:styleId="71">
    <w:name w:val="font21"/>
    <w:autoRedefine/>
    <w:qFormat/>
    <w:uiPriority w:val="0"/>
    <w:rPr>
      <w:rFonts w:hint="default" w:ascii="Times New Roman" w:hAnsi="Times New Roman" w:cs="Times New Roman"/>
      <w:color w:val="000000"/>
      <w:sz w:val="24"/>
      <w:szCs w:val="24"/>
      <w:u w:val="none"/>
    </w:rPr>
  </w:style>
  <w:style w:type="character" w:customStyle="1" w:styleId="72">
    <w:name w:val="font01"/>
    <w:autoRedefine/>
    <w:qFormat/>
    <w:uiPriority w:val="0"/>
    <w:rPr>
      <w:rFonts w:hint="default" w:ascii="Times New Roman" w:hAnsi="Times New Roman" w:cs="Times New Roman"/>
      <w:color w:val="000000"/>
      <w:sz w:val="24"/>
      <w:szCs w:val="24"/>
      <w:u w:val="none"/>
      <w:vertAlign w:val="superscript"/>
    </w:rPr>
  </w:style>
  <w:style w:type="paragraph" w:customStyle="1" w:styleId="73">
    <w:name w:val="+正文"/>
    <w:basedOn w:val="1"/>
    <w:autoRedefine/>
    <w:qFormat/>
    <w:uiPriority w:val="0"/>
    <w:pPr>
      <w:spacing w:line="360" w:lineRule="auto"/>
      <w:ind w:firstLine="200" w:firstLineChars="200"/>
    </w:pPr>
    <w:rPr>
      <w:szCs w:val="28"/>
    </w:rPr>
  </w:style>
  <w:style w:type="paragraph" w:customStyle="1" w:styleId="74">
    <w:name w:val="普通(网站)2"/>
    <w:basedOn w:val="1"/>
    <w:autoRedefine/>
    <w:qFormat/>
    <w:uiPriority w:val="0"/>
    <w:pPr>
      <w:widowControl/>
      <w:spacing w:before="100" w:beforeAutospacing="1" w:after="100" w:afterAutospacing="1"/>
      <w:jc w:val="left"/>
    </w:pPr>
    <w:rPr>
      <w:rFonts w:ascii="宋体" w:hAnsi="宋体"/>
      <w:szCs w:val="20"/>
    </w:rPr>
  </w:style>
  <w:style w:type="paragraph" w:customStyle="1" w:styleId="75">
    <w:name w:val="标题 21"/>
    <w:basedOn w:val="1"/>
    <w:next w:val="1"/>
    <w:autoRedefine/>
    <w:qFormat/>
    <w:uiPriority w:val="0"/>
    <w:pPr>
      <w:keepNext/>
      <w:keepLines/>
      <w:numPr>
        <w:ilvl w:val="1"/>
        <w:numId w:val="2"/>
      </w:numPr>
      <w:spacing w:line="360" w:lineRule="auto"/>
      <w:outlineLvl w:val="1"/>
    </w:pPr>
    <w:rPr>
      <w:rFonts w:eastAsia="黑体"/>
      <w:bCs/>
    </w:rPr>
  </w:style>
  <w:style w:type="paragraph" w:customStyle="1" w:styleId="76">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
    <w:name w:val="表格2"/>
    <w:basedOn w:val="1"/>
    <w:autoRedefine/>
    <w:semiHidden/>
    <w:qFormat/>
    <w:uiPriority w:val="0"/>
    <w:pPr>
      <w:adjustRightInd w:val="0"/>
      <w:snapToGrid w:val="0"/>
      <w:jc w:val="center"/>
    </w:pPr>
    <w:rPr>
      <w:rFonts w:eastAsia="Times New Roman"/>
      <w:bCs/>
      <w:sz w:val="21"/>
      <w:szCs w:val="21"/>
    </w:rPr>
  </w:style>
  <w:style w:type="paragraph" w:customStyle="1" w:styleId="78">
    <w:name w:val="妇幼正文"/>
    <w:basedOn w:val="1"/>
    <w:autoRedefine/>
    <w:qFormat/>
    <w:uiPriority w:val="0"/>
    <w:pPr>
      <w:adjustRightInd w:val="0"/>
      <w:spacing w:line="360" w:lineRule="auto"/>
      <w:ind w:firstLine="480" w:firstLineChars="200"/>
    </w:pPr>
    <w:rPr>
      <w:color w:val="000000"/>
    </w:rPr>
  </w:style>
  <w:style w:type="paragraph" w:customStyle="1" w:styleId="79">
    <w:name w:val="报告书"/>
    <w:basedOn w:val="1"/>
    <w:autoRedefine/>
    <w:qFormat/>
    <w:uiPriority w:val="0"/>
    <w:pPr>
      <w:autoSpaceDE w:val="0"/>
      <w:autoSpaceDN w:val="0"/>
      <w:adjustRightInd w:val="0"/>
      <w:spacing w:line="360" w:lineRule="auto"/>
      <w:ind w:firstLine="420" w:firstLineChars="200"/>
      <w:textAlignment w:val="bottom"/>
    </w:pPr>
    <w:rPr>
      <w:bCs/>
    </w:rPr>
  </w:style>
  <w:style w:type="paragraph" w:customStyle="1" w:styleId="80">
    <w:name w:val="UserStyle_0"/>
    <w:basedOn w:val="1"/>
    <w:autoRedefine/>
    <w:qFormat/>
    <w:uiPriority w:val="0"/>
    <w:pPr>
      <w:jc w:val="left"/>
      <w:textAlignment w:val="baseline"/>
    </w:pPr>
    <w:rPr>
      <w:rFonts w:ascii="Calibri" w:hAnsi="Calibri"/>
      <w:color w:val="000000"/>
    </w:rPr>
  </w:style>
  <w:style w:type="paragraph" w:customStyle="1" w:styleId="81">
    <w:name w:val="Table Paragraph"/>
    <w:basedOn w:val="1"/>
    <w:autoRedefine/>
    <w:qFormat/>
    <w:uiPriority w:val="1"/>
    <w:rPr>
      <w:rFonts w:ascii="宋体" w:hAnsi="宋体" w:cs="宋体"/>
      <w:lang w:val="zh-CN" w:bidi="zh-CN"/>
    </w:rPr>
  </w:style>
  <w:style w:type="paragraph" w:styleId="82">
    <w:name w:val="No Spacing"/>
    <w:autoRedefine/>
    <w:qFormat/>
    <w:uiPriority w:val="1"/>
    <w:pPr>
      <w:widowControl w:val="0"/>
      <w:spacing w:line="340" w:lineRule="exact"/>
      <w:jc w:val="center"/>
    </w:pPr>
    <w:rPr>
      <w:rFonts w:ascii="Times New Roman" w:hAnsi="Times New Roman" w:eastAsia="宋体" w:cs="Times New Roman"/>
      <w:kern w:val="2"/>
      <w:sz w:val="21"/>
      <w:szCs w:val="24"/>
      <w:lang w:val="en-US" w:eastAsia="zh-CN" w:bidi="ar-SA"/>
    </w:rPr>
  </w:style>
  <w:style w:type="paragraph" w:customStyle="1" w:styleId="83">
    <w:name w:val="表"/>
    <w:basedOn w:val="1"/>
    <w:autoRedefine/>
    <w:qFormat/>
    <w:uiPriority w:val="0"/>
    <w:pPr>
      <w:spacing w:beforeLines="50" w:afterLines="50" w:line="240" w:lineRule="exact"/>
      <w:jc w:val="center"/>
    </w:pPr>
    <w:rPr>
      <w:rFonts w:ascii="宋体" w:hAnsi="宋体"/>
    </w:rPr>
  </w:style>
  <w:style w:type="paragraph" w:customStyle="1" w:styleId="84">
    <w:name w:val="报告表正文"/>
    <w:basedOn w:val="1"/>
    <w:autoRedefine/>
    <w:qFormat/>
    <w:uiPriority w:val="0"/>
    <w:pPr>
      <w:adjustRightInd w:val="0"/>
      <w:spacing w:line="312" w:lineRule="auto"/>
      <w:ind w:left="113" w:right="113" w:firstLine="482"/>
      <w:jc w:val="left"/>
      <w:textAlignment w:val="baseline"/>
    </w:pPr>
    <w:rPr>
      <w:kern w:val="0"/>
      <w:szCs w:val="20"/>
    </w:rPr>
  </w:style>
  <w:style w:type="paragraph" w:customStyle="1" w:styleId="85">
    <w:name w:val="表格正文"/>
    <w:basedOn w:val="1"/>
    <w:autoRedefine/>
    <w:qFormat/>
    <w:uiPriority w:val="0"/>
    <w:pPr>
      <w:widowControl/>
      <w:spacing w:line="360" w:lineRule="auto"/>
      <w:jc w:val="center"/>
    </w:pPr>
    <w:rPr>
      <w:szCs w:val="22"/>
    </w:rPr>
  </w:style>
  <w:style w:type="paragraph" w:customStyle="1" w:styleId="86">
    <w:name w:val="Normal_0"/>
    <w:autoRedefine/>
    <w:qFormat/>
    <w:uiPriority w:val="0"/>
    <w:pPr>
      <w:widowControl w:val="0"/>
      <w:spacing w:line="360" w:lineRule="auto"/>
      <w:ind w:firstLine="200" w:firstLineChars="200"/>
      <w:jc w:val="both"/>
    </w:pPr>
    <w:rPr>
      <w:rFonts w:ascii="Times New Roman" w:hAnsi="Times New Roman" w:eastAsia="仿宋" w:cs="Times New Roman"/>
      <w:kern w:val="2"/>
      <w:sz w:val="28"/>
      <w:szCs w:val="21"/>
      <w:lang w:val="en-US" w:eastAsia="zh-CN" w:bidi="ar-SA"/>
    </w:rPr>
  </w:style>
  <w:style w:type="paragraph" w:customStyle="1" w:styleId="87">
    <w:name w:val="正文00"/>
    <w:autoRedefine/>
    <w:qFormat/>
    <w:uiPriority w:val="0"/>
    <w:pPr>
      <w:overflowPunct w:val="0"/>
      <w:topLinePunct/>
      <w:adjustRightInd w:val="0"/>
      <w:snapToGrid w:val="0"/>
      <w:spacing w:line="460" w:lineRule="exact"/>
      <w:ind w:firstLine="200" w:firstLineChars="200"/>
      <w:jc w:val="both"/>
    </w:pPr>
    <w:rPr>
      <w:rFonts w:ascii="Times New Roman" w:hAnsi="Times New Roman" w:eastAsia="宋体" w:cs="Times New Roman"/>
      <w:color w:val="0000FF"/>
      <w:kern w:val="2"/>
      <w:sz w:val="24"/>
      <w:szCs w:val="24"/>
      <w:lang w:val="en-US" w:eastAsia="zh-CN" w:bidi="ar-SA"/>
    </w:rPr>
  </w:style>
  <w:style w:type="paragraph" w:customStyle="1" w:styleId="88">
    <w:name w:val="环评正文"/>
    <w:basedOn w:val="1"/>
    <w:autoRedefine/>
    <w:qFormat/>
    <w:uiPriority w:val="0"/>
    <w:pPr>
      <w:adjustRightInd w:val="0"/>
      <w:snapToGrid w:val="0"/>
      <w:spacing w:line="420" w:lineRule="auto"/>
      <w:ind w:firstLine="720" w:firstLineChars="200"/>
      <w:jc w:val="left"/>
    </w:pPr>
    <w:rPr>
      <w:rFonts w:hint="eastAsia" w:ascii="宋体" w:hAnsi="宋体" w:cs="宋体"/>
      <w:szCs w:val="21"/>
    </w:rPr>
  </w:style>
  <w:style w:type="paragraph" w:customStyle="1" w:styleId="89">
    <w:name w:val="表格内容"/>
    <w:basedOn w:val="90"/>
    <w:autoRedefine/>
    <w:qFormat/>
    <w:uiPriority w:val="0"/>
    <w:pPr>
      <w:widowControl w:val="0"/>
      <w:jc w:val="center"/>
    </w:pPr>
    <w:rPr>
      <w:rFonts w:ascii="Times New Roman" w:hAnsi="Times New Roman" w:eastAsia="宋体" w:cs="Times New Roman"/>
      <w:kern w:val="2"/>
      <w:sz w:val="18"/>
      <w:szCs w:val="22"/>
      <w:lang w:val="en-US" w:eastAsia="zh-CN" w:bidi="ar-SA"/>
    </w:rPr>
  </w:style>
  <w:style w:type="paragraph" w:customStyle="1" w:styleId="90">
    <w:name w:val="表格标题"/>
    <w:basedOn w:val="9"/>
    <w:next w:val="89"/>
    <w:autoRedefine/>
    <w:qFormat/>
    <w:uiPriority w:val="0"/>
    <w:pPr>
      <w:autoSpaceDE w:val="0"/>
      <w:autoSpaceDN w:val="0"/>
      <w:adjustRightInd w:val="0"/>
      <w:spacing w:line="360" w:lineRule="auto"/>
      <w:jc w:val="center"/>
      <w:textAlignment w:val="baseline"/>
    </w:pPr>
    <w:rPr>
      <w:rFonts w:ascii="Times New Roman" w:hAnsi="Times New Roman" w:eastAsia="宋体"/>
      <w:b/>
      <w:bCs/>
      <w:color w:val="000000"/>
      <w:sz w:val="21"/>
      <w:szCs w:val="21"/>
    </w:rPr>
  </w:style>
  <w:style w:type="paragraph" w:customStyle="1" w:styleId="91">
    <w:name w:val="Normal_0_0"/>
    <w:autoRedefine/>
    <w:qFormat/>
    <w:uiPriority w:val="0"/>
    <w:pPr>
      <w:widowControl w:val="0"/>
      <w:spacing w:line="360" w:lineRule="auto"/>
      <w:ind w:firstLine="200" w:firstLineChars="200"/>
      <w:jc w:val="both"/>
    </w:pPr>
    <w:rPr>
      <w:rFonts w:ascii="Times New Roman" w:hAnsi="Times New Roman" w:eastAsia="仿宋" w:cs="Times New Roman"/>
      <w:kern w:val="2"/>
      <w:sz w:val="28"/>
      <w:szCs w:val="21"/>
      <w:lang w:val="en-US" w:eastAsia="zh-CN" w:bidi="ar-SA"/>
    </w:rPr>
  </w:style>
  <w:style w:type="table" w:customStyle="1" w:styleId="92">
    <w:name w:val="Table Grid_0"/>
    <w:basedOn w:val="32"/>
    <w:autoRedefine/>
    <w:qFormat/>
    <w:uiPriority w:val="0"/>
    <w:rPr>
      <w:rFonts w:eastAsia="仿宋"/>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3">
    <w:name w:val="WPSOffice手动目录 1"/>
    <w:autoRedefine/>
    <w:qFormat/>
    <w:uiPriority w:val="0"/>
    <w:rPr>
      <w:rFonts w:ascii="Times New Roman" w:hAnsi="Times New Roman" w:eastAsia="宋体" w:cs="Times New Roman"/>
      <w:lang w:val="en-US" w:eastAsia="zh-CN" w:bidi="ar-SA"/>
    </w:rPr>
  </w:style>
  <w:style w:type="paragraph" w:customStyle="1" w:styleId="94">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95">
    <w:name w:val="WPSOffice手动目录 3"/>
    <w:autoRedefine/>
    <w:qFormat/>
    <w:uiPriority w:val="0"/>
    <w:pPr>
      <w:ind w:left="400" w:leftChars="400"/>
    </w:pPr>
    <w:rPr>
      <w:rFonts w:ascii="Times New Roman" w:hAnsi="Times New Roman" w:eastAsia="宋体" w:cs="Times New Roman"/>
      <w:lang w:val="en-US" w:eastAsia="zh-CN" w:bidi="ar-SA"/>
    </w:rPr>
  </w:style>
  <w:style w:type="character" w:customStyle="1" w:styleId="96">
    <w:name w:val="font41"/>
    <w:autoRedefine/>
    <w:qFormat/>
    <w:uiPriority w:val="0"/>
    <w:rPr>
      <w:rFonts w:hint="eastAsia" w:ascii="宋体" w:hAnsi="宋体" w:eastAsia="宋体" w:cs="宋体"/>
      <w:color w:val="000000"/>
      <w:sz w:val="22"/>
      <w:szCs w:val="22"/>
      <w:u w:val="none"/>
    </w:rPr>
  </w:style>
  <w:style w:type="paragraph" w:customStyle="1" w:styleId="97">
    <w:name w:val="LRY正文"/>
    <w:basedOn w:val="31"/>
    <w:autoRedefine/>
    <w:qFormat/>
    <w:uiPriority w:val="0"/>
    <w:pPr>
      <w:adjustRightInd w:val="0"/>
      <w:snapToGrid w:val="0"/>
      <w:spacing w:after="0" w:line="360" w:lineRule="auto"/>
      <w:ind w:left="0" w:leftChars="0" w:firstLine="200"/>
    </w:pPr>
    <w:rPr>
      <w:bCs/>
      <w:szCs w:val="24"/>
    </w:rPr>
  </w:style>
  <w:style w:type="paragraph" w:customStyle="1" w:styleId="98">
    <w:name w:val="表内容"/>
    <w:basedOn w:val="1"/>
    <w:autoRedefine/>
    <w:qFormat/>
    <w:uiPriority w:val="0"/>
    <w:pPr>
      <w:jc w:val="center"/>
    </w:pPr>
    <w:rPr>
      <w:sz w:val="21"/>
    </w:rPr>
  </w:style>
  <w:style w:type="paragraph" w:customStyle="1" w:styleId="99">
    <w:name w:val="报告表格"/>
    <w:basedOn w:val="1"/>
    <w:next w:val="1"/>
    <w:autoRedefine/>
    <w:qFormat/>
    <w:uiPriority w:val="0"/>
    <w:pPr>
      <w:autoSpaceDE w:val="0"/>
      <w:autoSpaceDN w:val="0"/>
      <w:adjustRightInd w:val="0"/>
      <w:jc w:val="center"/>
      <w:textAlignment w:val="bottom"/>
    </w:pPr>
    <w:rPr>
      <w:b/>
      <w:kern w:val="0"/>
      <w:sz w:val="21"/>
      <w:szCs w:val="20"/>
    </w:rPr>
  </w:style>
  <w:style w:type="paragraph" w:customStyle="1" w:styleId="100">
    <w:name w:val="C正文"/>
    <w:basedOn w:val="1"/>
    <w:autoRedefine/>
    <w:qFormat/>
    <w:uiPriority w:val="0"/>
    <w:pPr>
      <w:spacing w:line="360" w:lineRule="auto"/>
      <w:ind w:firstLine="200" w:firstLineChars="200"/>
      <w:contextualSpacing/>
    </w:pPr>
  </w:style>
  <w:style w:type="paragraph" w:customStyle="1" w:styleId="101">
    <w:name w:val="报告正文"/>
    <w:basedOn w:val="1"/>
    <w:autoRedefine/>
    <w:qFormat/>
    <w:uiPriority w:val="0"/>
    <w:pPr>
      <w:spacing w:line="360" w:lineRule="auto"/>
      <w:ind w:firstLine="200" w:firstLineChars="200"/>
    </w:pPr>
    <w:rPr>
      <w:rFonts w:ascii="宋体"/>
      <w:szCs w:val="20"/>
    </w:rPr>
  </w:style>
  <w:style w:type="paragraph" w:customStyle="1" w:styleId="102">
    <w:name w:val="已有表格"/>
    <w:basedOn w:val="1"/>
    <w:autoRedefine/>
    <w:qFormat/>
    <w:uiPriority w:val="0"/>
    <w:pPr>
      <w:adjustRightInd w:val="0"/>
      <w:spacing w:before="40" w:after="40"/>
      <w:jc w:val="center"/>
      <w:textAlignment w:val="baseline"/>
    </w:pPr>
    <w:rPr>
      <w:rFonts w:cs="宋体"/>
      <w:b/>
      <w:kern w:val="0"/>
      <w:szCs w:val="20"/>
    </w:rPr>
  </w:style>
  <w:style w:type="table" w:customStyle="1" w:styleId="103">
    <w:name w:val="Table Normal"/>
    <w:autoRedefine/>
    <w:unhideWhenUsed/>
    <w:qFormat/>
    <w:uiPriority w:val="0"/>
    <w:tblPr>
      <w:tblCellMar>
        <w:top w:w="0" w:type="dxa"/>
        <w:left w:w="0" w:type="dxa"/>
        <w:bottom w:w="0" w:type="dxa"/>
        <w:right w:w="0" w:type="dxa"/>
      </w:tblCellMar>
    </w:tblPr>
  </w:style>
  <w:style w:type="character" w:customStyle="1" w:styleId="104">
    <w:name w:val="font61"/>
    <w:autoRedefine/>
    <w:qFormat/>
    <w:uiPriority w:val="0"/>
    <w:rPr>
      <w:rFonts w:hint="default" w:ascii="Times New Roman" w:hAnsi="Times New Roman" w:cs="Times New Roman"/>
      <w:b/>
      <w:bCs/>
      <w:color w:val="000000"/>
      <w:sz w:val="21"/>
      <w:szCs w:val="21"/>
      <w:u w:val="none"/>
      <w:vertAlign w:val="superscript"/>
    </w:rPr>
  </w:style>
  <w:style w:type="character" w:customStyle="1" w:styleId="105">
    <w:name w:val="font51"/>
    <w:autoRedefine/>
    <w:qFormat/>
    <w:uiPriority w:val="0"/>
    <w:rPr>
      <w:rFonts w:hint="eastAsia" w:ascii="宋体" w:hAnsi="宋体" w:eastAsia="宋体" w:cs="宋体"/>
      <w:color w:val="000000"/>
      <w:sz w:val="21"/>
      <w:szCs w:val="21"/>
      <w:u w:val="none"/>
    </w:rPr>
  </w:style>
  <w:style w:type="paragraph" w:customStyle="1" w:styleId="106">
    <w:name w:val="报告表题注"/>
    <w:basedOn w:val="9"/>
    <w:autoRedefine/>
    <w:qFormat/>
    <w:uiPriority w:val="0"/>
    <w:pPr>
      <w:snapToGrid w:val="0"/>
      <w:spacing w:line="276" w:lineRule="auto"/>
    </w:pPr>
    <w:rPr>
      <w:bCs/>
      <w:szCs w:val="24"/>
    </w:rPr>
  </w:style>
  <w:style w:type="paragraph" w:customStyle="1" w:styleId="107">
    <w:name w:val="格表"/>
    <w:basedOn w:val="1"/>
    <w:autoRedefine/>
    <w:qFormat/>
    <w:uiPriority w:val="0"/>
    <w:pPr>
      <w:jc w:val="center"/>
    </w:pPr>
    <w:rPr>
      <w:bCs/>
      <w:szCs w:val="21"/>
    </w:rPr>
  </w:style>
  <w:style w:type="paragraph" w:customStyle="1" w:styleId="108">
    <w:name w:val="【表内字】"/>
    <w:autoRedefine/>
    <w:qFormat/>
    <w:uiPriority w:val="0"/>
    <w:pPr>
      <w:adjustRightInd w:val="0"/>
      <w:snapToGrid w:val="0"/>
    </w:pPr>
    <w:rPr>
      <w:rFonts w:ascii="Times New Roman" w:hAnsi="Times New Roman" w:eastAsia="宋体" w:cs="Times New Roman"/>
      <w:sz w:val="21"/>
      <w:lang w:val="en-US" w:eastAsia="zh-CN" w:bidi="ar-SA"/>
    </w:rPr>
  </w:style>
  <w:style w:type="paragraph" w:customStyle="1" w:styleId="109">
    <w:name w:val="Table Text"/>
    <w:basedOn w:val="1"/>
    <w:autoRedefine/>
    <w:semiHidden/>
    <w:qFormat/>
    <w:uiPriority w:val="0"/>
    <w:rPr>
      <w:rFonts w:ascii="宋体" w:hAnsi="宋体" w:cs="宋体"/>
      <w:sz w:val="20"/>
      <w:szCs w:val="20"/>
      <w:lang w:eastAsia="en-US"/>
    </w:rPr>
  </w:style>
  <w:style w:type="paragraph" w:customStyle="1" w:styleId="110">
    <w:name w:val="报告"/>
    <w:basedOn w:val="1"/>
    <w:next w:val="1"/>
    <w:autoRedefine/>
    <w:qFormat/>
    <w:uiPriority w:val="0"/>
    <w:pPr>
      <w:adjustRightInd w:val="0"/>
      <w:spacing w:line="360" w:lineRule="auto"/>
      <w:ind w:firstLine="505"/>
    </w:pPr>
    <w:rPr>
      <w:rFonts w:ascii="TimesNewRoman" w:hAnsi="TimesNewRoman"/>
      <w:kern w:val="0"/>
      <w:szCs w:val="20"/>
    </w:rPr>
  </w:style>
  <w:style w:type="paragraph" w:customStyle="1" w:styleId="111">
    <w:name w:val="无间隔3"/>
    <w:autoRedefine/>
    <w:unhideWhenUsed/>
    <w:qFormat/>
    <w:uiPriority w:val="1"/>
    <w:pPr>
      <w:adjustRightInd w:val="0"/>
      <w:snapToGrid w:val="0"/>
      <w:jc w:val="center"/>
    </w:pPr>
    <w:rPr>
      <w:rFonts w:hint="eastAsia" w:ascii="Times New Roman" w:hAnsi="Times New Roman" w:eastAsia="Times New Roman" w:cs="Times New Roman"/>
      <w:sz w:val="21"/>
      <w:szCs w:val="22"/>
      <w:lang w:val="en-US" w:eastAsia="zh-CN" w:bidi="ar-SA"/>
    </w:rPr>
  </w:style>
  <w:style w:type="paragraph" w:customStyle="1" w:styleId="112">
    <w:name w:val="正文四号"/>
    <w:basedOn w:val="1"/>
    <w:autoRedefine/>
    <w:qFormat/>
    <w:uiPriority w:val="0"/>
    <w:pPr>
      <w:spacing w:line="360" w:lineRule="auto"/>
      <w:ind w:firstLine="200" w:firstLineChars="200"/>
    </w:pPr>
    <w:rPr>
      <w:rFonts w:cs="宋体"/>
      <w:sz w:val="28"/>
      <w:szCs w:val="20"/>
    </w:rPr>
  </w:style>
  <w:style w:type="paragraph" w:customStyle="1" w:styleId="113">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4">
    <w:name w:val="真·正文"/>
    <w:basedOn w:val="1"/>
    <w:next w:val="115"/>
    <w:autoRedefine/>
    <w:qFormat/>
    <w:uiPriority w:val="0"/>
    <w:pPr>
      <w:spacing w:line="360" w:lineRule="auto"/>
      <w:ind w:firstLine="200" w:firstLineChars="200"/>
    </w:pPr>
    <w:rPr>
      <w:szCs w:val="21"/>
    </w:rPr>
  </w:style>
  <w:style w:type="paragraph" w:customStyle="1" w:styleId="115">
    <w:name w:val="1表格"/>
    <w:basedOn w:val="116"/>
    <w:next w:val="12"/>
    <w:autoRedefine/>
    <w:qFormat/>
    <w:uiPriority w:val="0"/>
    <w:pPr>
      <w:spacing w:line="160" w:lineRule="atLeast"/>
      <w:jc w:val="center"/>
    </w:pPr>
  </w:style>
  <w:style w:type="paragraph" w:customStyle="1" w:styleId="116">
    <w:name w:val="1文章"/>
    <w:basedOn w:val="1"/>
    <w:autoRedefine/>
    <w:qFormat/>
    <w:uiPriority w:val="0"/>
    <w:pPr>
      <w:snapToGrid w:val="0"/>
      <w:ind w:firstLine="573"/>
    </w:pPr>
    <w:rPr>
      <w:rFonts w:eastAsia="仿宋_GB2312"/>
      <w:sz w:val="28"/>
      <w:szCs w:val="20"/>
    </w:rPr>
  </w:style>
  <w:style w:type="paragraph" w:customStyle="1" w:styleId="117">
    <w:name w:val="表名、图名"/>
    <w:basedOn w:val="1"/>
    <w:next w:val="1"/>
    <w:autoRedefine/>
    <w:qFormat/>
    <w:uiPriority w:val="0"/>
    <w:pPr>
      <w:spacing w:line="360" w:lineRule="auto"/>
      <w:jc w:val="center"/>
    </w:pPr>
    <w:rPr>
      <w:rFonts w:ascii="宋体" w:hAnsi="宋体" w:eastAsia="黑体"/>
      <w:szCs w:val="20"/>
    </w:rPr>
  </w:style>
  <w:style w:type="paragraph" w:customStyle="1" w:styleId="118">
    <w:name w:val="++++正文"/>
    <w:basedOn w:val="119"/>
    <w:autoRedefine/>
    <w:qFormat/>
    <w:uiPriority w:val="0"/>
    <w:rPr>
      <w:rFonts w:eastAsia="黑体"/>
      <w:b/>
    </w:rPr>
  </w:style>
  <w:style w:type="paragraph" w:customStyle="1" w:styleId="119">
    <w:name w:val="+++正文"/>
    <w:basedOn w:val="1"/>
    <w:autoRedefine/>
    <w:qFormat/>
    <w:uiPriority w:val="0"/>
    <w:pPr>
      <w:ind w:firstLine="200"/>
    </w:pPr>
    <w:rPr>
      <w:rFonts w:cs="宋体"/>
    </w:rPr>
  </w:style>
  <w:style w:type="paragraph" w:customStyle="1" w:styleId="120">
    <w:name w:val="C图表"/>
    <w:basedOn w:val="20"/>
    <w:next w:val="1"/>
    <w:autoRedefine/>
    <w:qFormat/>
    <w:uiPriority w:val="0"/>
    <w:pPr>
      <w:spacing w:line="360" w:lineRule="auto"/>
      <w:ind w:left="200"/>
      <w:contextualSpacing/>
      <w:jc w:val="center"/>
    </w:pPr>
    <w:rPr>
      <w:rFonts w:ascii="黑体" w:hAnsi="黑体" w:eastAsia="黑体"/>
    </w:rPr>
  </w:style>
  <w:style w:type="paragraph" w:customStyle="1" w:styleId="121">
    <w:name w:val="正文 H"/>
    <w:basedOn w:val="1"/>
    <w:autoRedefine/>
    <w:qFormat/>
    <w:uiPriority w:val="0"/>
    <w:pPr>
      <w:ind w:firstLine="200" w:firstLineChars="200"/>
    </w:pPr>
    <w:rPr>
      <w:rFonts w:ascii="宋体" w:hAnsi="Calibri"/>
      <w:snapToGrid w:val="0"/>
      <w:kern w:val="0"/>
      <w:szCs w:val="22"/>
    </w:rPr>
  </w:style>
  <w:style w:type="paragraph" w:customStyle="1" w:styleId="122">
    <w:name w:val="msonormal"/>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123">
    <w:name w:val="font0"/>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24">
    <w:name w:val="xl6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0F0F0"/>
      <w:spacing w:before="100" w:beforeAutospacing="1" w:after="100" w:afterAutospacing="1"/>
      <w:jc w:val="center"/>
      <w:textAlignment w:val="center"/>
    </w:pPr>
    <w:rPr>
      <w:rFonts w:ascii="宋体" w:hAnsi="宋体" w:cs="宋体"/>
      <w:kern w:val="0"/>
    </w:rPr>
  </w:style>
  <w:style w:type="paragraph" w:customStyle="1" w:styleId="125">
    <w:name w:val="xl6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0F0F0"/>
      <w:spacing w:before="100" w:beforeAutospacing="1" w:after="100" w:afterAutospacing="1"/>
      <w:jc w:val="center"/>
      <w:textAlignment w:val="center"/>
    </w:pPr>
    <w:rPr>
      <w:rFonts w:ascii="宋体" w:hAnsi="宋体" w:cs="宋体"/>
      <w:kern w:val="0"/>
    </w:rPr>
  </w:style>
  <w:style w:type="paragraph" w:customStyle="1" w:styleId="12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rPr>
  </w:style>
  <w:style w:type="paragraph" w:customStyle="1" w:styleId="127">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128">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0F0F0"/>
      <w:spacing w:before="100" w:beforeAutospacing="1" w:after="100" w:afterAutospacing="1"/>
      <w:jc w:val="left"/>
      <w:textAlignment w:val="center"/>
    </w:pPr>
    <w:rPr>
      <w:rFonts w:ascii="宋体" w:hAnsi="宋体" w:cs="宋体"/>
      <w:kern w:val="0"/>
    </w:rPr>
  </w:style>
  <w:style w:type="paragraph" w:customStyle="1" w:styleId="129">
    <w:name w:val="xl68"/>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rPr>
  </w:style>
  <w:style w:type="paragraph" w:customStyle="1" w:styleId="130">
    <w:name w:val="xl69"/>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rPr>
  </w:style>
  <w:style w:type="paragraph" w:customStyle="1" w:styleId="131">
    <w:name w:val="xl70"/>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rPr>
  </w:style>
  <w:style w:type="paragraph" w:customStyle="1" w:styleId="132">
    <w:name w:val="表内格式"/>
    <w:basedOn w:val="1"/>
    <w:autoRedefine/>
    <w:qFormat/>
    <w:uiPriority w:val="0"/>
    <w:pPr>
      <w:jc w:val="left"/>
    </w:pPr>
    <w:rPr>
      <w:sz w:val="21"/>
      <w:szCs w:val="21"/>
    </w:rPr>
  </w:style>
  <w:style w:type="character" w:customStyle="1" w:styleId="133">
    <w:name w:val="正文（余） Char"/>
    <w:link w:val="45"/>
    <w:autoRedefine/>
    <w:qFormat/>
    <w:uiPriority w:val="0"/>
    <w:rPr>
      <w:rFonts w:ascii="Times New Roman" w:hAnsi="Times New Roman"/>
      <w:color w:val="auto"/>
      <w:sz w:val="24"/>
      <w:szCs w:val="24"/>
    </w:rPr>
  </w:style>
  <w:style w:type="character" w:customStyle="1" w:styleId="134">
    <w:name w:val="font81"/>
    <w:basedOn w:val="34"/>
    <w:autoRedefine/>
    <w:qFormat/>
    <w:uiPriority w:val="0"/>
    <w:rPr>
      <w:rFonts w:hint="default" w:ascii="Times New Roman" w:hAnsi="Times New Roman" w:cs="Times New Roman"/>
      <w:b/>
      <w:bCs/>
      <w:color w:val="000000"/>
      <w:sz w:val="21"/>
      <w:szCs w:val="21"/>
      <w:u w:val="none"/>
      <w:vertAlign w:val="superscript"/>
    </w:rPr>
  </w:style>
  <w:style w:type="character" w:customStyle="1" w:styleId="135">
    <w:name w:val="font91"/>
    <w:basedOn w:val="34"/>
    <w:autoRedefine/>
    <w:qFormat/>
    <w:uiPriority w:val="0"/>
    <w:rPr>
      <w:rFonts w:hint="default" w:ascii="Times New Roman" w:hAnsi="Times New Roman" w:cs="Times New Roman"/>
      <w:b/>
      <w:bCs/>
      <w:color w:val="000000"/>
      <w:sz w:val="21"/>
      <w:szCs w:val="21"/>
      <w:u w:val="none"/>
      <w:vertAlign w:val="subscript"/>
    </w:rPr>
  </w:style>
  <w:style w:type="character" w:customStyle="1" w:styleId="136">
    <w:name w:val="font71"/>
    <w:basedOn w:val="34"/>
    <w:autoRedefine/>
    <w:qFormat/>
    <w:uiPriority w:val="0"/>
    <w:rPr>
      <w:rFonts w:hint="default" w:ascii="Times New Roman" w:hAnsi="Times New Roman" w:cs="Times New Roman"/>
      <w:b/>
      <w:bCs/>
      <w:color w:val="000000"/>
      <w:sz w:val="21"/>
      <w:szCs w:val="21"/>
      <w:u w:val="none"/>
      <w:vertAlign w:val="subscript"/>
    </w:rPr>
  </w:style>
  <w:style w:type="character" w:customStyle="1" w:styleId="137">
    <w:name w:val="font101"/>
    <w:basedOn w:val="34"/>
    <w:autoRedefine/>
    <w:qFormat/>
    <w:uiPriority w:val="0"/>
    <w:rPr>
      <w:rFonts w:hint="default" w:ascii="Times New Roman" w:hAnsi="Times New Roman" w:cs="Times New Roman"/>
      <w:b/>
      <w:bCs/>
      <w:color w:val="000000"/>
      <w:sz w:val="21"/>
      <w:szCs w:val="21"/>
      <w:u w:val="none"/>
      <w:vertAlign w:val="superscript"/>
    </w:rPr>
  </w:style>
  <w:style w:type="character" w:customStyle="1" w:styleId="138">
    <w:name w:val="font112"/>
    <w:basedOn w:val="34"/>
    <w:autoRedefine/>
    <w:qFormat/>
    <w:uiPriority w:val="0"/>
    <w:rPr>
      <w:rFonts w:hint="default" w:ascii="Times New Roman" w:hAnsi="Times New Roman" w:cs="Times New Roman"/>
      <w:b/>
      <w:bCs/>
      <w:color w:val="000000"/>
      <w:sz w:val="21"/>
      <w:szCs w:val="21"/>
      <w:u w:val="none"/>
      <w:vertAlign w:val="subscript"/>
    </w:rPr>
  </w:style>
  <w:style w:type="character" w:customStyle="1" w:styleId="139">
    <w:name w:val="font121"/>
    <w:basedOn w:val="34"/>
    <w:autoRedefine/>
    <w:qFormat/>
    <w:uiPriority w:val="0"/>
    <w:rPr>
      <w:rFonts w:hint="eastAsia" w:ascii="宋体" w:hAnsi="宋体" w:eastAsia="宋体" w:cs="宋体"/>
      <w:color w:val="000000"/>
      <w:sz w:val="21"/>
      <w:szCs w:val="21"/>
      <w:u w:val="none"/>
    </w:rPr>
  </w:style>
  <w:style w:type="paragraph" w:customStyle="1" w:styleId="140">
    <w:name w:val="表内容宋5"/>
    <w:autoRedefine/>
    <w:qFormat/>
    <w:uiPriority w:val="0"/>
    <w:pPr>
      <w:jc w:val="center"/>
    </w:pPr>
    <w:rPr>
      <w:rFonts w:ascii="宋体" w:hAnsi="宋体" w:eastAsia="宋体" w:cs="Times New Roman"/>
      <w:sz w:val="21"/>
      <w:szCs w:val="21"/>
      <w:lang w:val="en-US" w:eastAsia="zh-CN" w:bidi="ar-SA"/>
    </w:rPr>
  </w:style>
  <w:style w:type="paragraph" w:customStyle="1" w:styleId="141">
    <w:name w:val="表格文本"/>
    <w:autoRedefine/>
    <w:qFormat/>
    <w:uiPriority w:val="0"/>
    <w:pPr>
      <w:adjustRightInd w:val="0"/>
      <w:snapToGrid w:val="0"/>
      <w:spacing w:line="320" w:lineRule="exact"/>
      <w:jc w:val="center"/>
    </w:pPr>
    <w:rPr>
      <w:rFonts w:ascii="Times New Roman" w:hAnsi="Times New Roman" w:eastAsia="宋体" w:cs="宋体"/>
      <w:bCs/>
      <w:spacing w:val="-6"/>
      <w:sz w:val="21"/>
      <w:szCs w:val="21"/>
    </w:rPr>
  </w:style>
  <w:style w:type="paragraph" w:customStyle="1" w:styleId="142">
    <w:name w:val="图件标题"/>
    <w:basedOn w:val="1"/>
    <w:qFormat/>
    <w:uiPriority w:val="0"/>
    <w:pPr>
      <w:spacing w:before="156" w:beforeLines="50" w:line="240" w:lineRule="exact"/>
      <w:ind w:firstLine="0" w:firstLineChars="0"/>
      <w:jc w:val="center"/>
    </w:pPr>
    <w:rPr>
      <w:b/>
      <w:sz w:val="21"/>
    </w:rPr>
  </w:style>
  <w:style w:type="paragraph" w:customStyle="1" w:styleId="143">
    <w:name w:val="S-表名 图名"/>
    <w:basedOn w:val="1"/>
    <w:next w:val="144"/>
    <w:qFormat/>
    <w:uiPriority w:val="0"/>
    <w:pPr>
      <w:keepNext/>
      <w:adjustRightInd w:val="0"/>
      <w:snapToGrid w:val="0"/>
      <w:spacing w:line="360" w:lineRule="exact"/>
      <w:jc w:val="center"/>
    </w:pPr>
    <w:rPr>
      <w:rFonts w:eastAsia="黑体"/>
      <w:snapToGrid w:val="0"/>
      <w:kern w:val="21"/>
      <w:szCs w:val="20"/>
    </w:rPr>
  </w:style>
  <w:style w:type="paragraph" w:customStyle="1" w:styleId="144">
    <w:name w:val="S-表内文字"/>
    <w:basedOn w:val="1"/>
    <w:qFormat/>
    <w:uiPriority w:val="0"/>
    <w:pPr>
      <w:widowControl/>
      <w:adjustRightInd w:val="0"/>
      <w:snapToGrid w:val="0"/>
      <w:jc w:val="center"/>
    </w:pPr>
    <w:rPr>
      <w:color w:val="000000"/>
      <w:kern w:val="0"/>
      <w:szCs w:val="20"/>
    </w:rPr>
  </w:style>
  <w:style w:type="paragraph" w:customStyle="1" w:styleId="145">
    <w:name w:val="标标"/>
    <w:basedOn w:val="1"/>
    <w:next w:val="146"/>
    <w:qFormat/>
    <w:uiPriority w:val="0"/>
    <w:pPr>
      <w:autoSpaceDE w:val="0"/>
      <w:autoSpaceDN w:val="0"/>
      <w:adjustRightInd w:val="0"/>
      <w:snapToGrid w:val="0"/>
      <w:jc w:val="center"/>
    </w:pPr>
    <w:rPr>
      <w:rFonts w:hint="eastAsia" w:ascii="Times New Roman" w:hAnsi="Times New Roman" w:eastAsia="宋体" w:cs="宋体"/>
      <w:b/>
      <w:bCs/>
      <w:color w:val="000000" w:themeColor="text1"/>
      <w:kern w:val="0"/>
      <w14:textFill>
        <w14:solidFill>
          <w14:schemeClr w14:val="tx1"/>
        </w14:solidFill>
      </w14:textFill>
    </w:rPr>
  </w:style>
  <w:style w:type="paragraph" w:customStyle="1" w:styleId="146">
    <w:name w:val="【正文】"/>
    <w:basedOn w:val="12"/>
    <w:qFormat/>
    <w:uiPriority w:val="0"/>
    <w:pPr>
      <w:adjustRightInd w:val="0"/>
      <w:snapToGrid w:val="0"/>
      <w:spacing w:line="360" w:lineRule="auto"/>
      <w:ind w:firstLine="20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6" Type="http://schemas.openxmlformats.org/officeDocument/2006/relationships/fontTable" Target="fontTable.xml"/><Relationship Id="rId55" Type="http://schemas.microsoft.com/office/2006/relationships/keyMapCustomizations" Target="customizations.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35.png"/><Relationship Id="rId51" Type="http://schemas.openxmlformats.org/officeDocument/2006/relationships/image" Target="media/image34.jpeg"/><Relationship Id="rId50" Type="http://schemas.openxmlformats.org/officeDocument/2006/relationships/image" Target="media/image33.jpeg"/><Relationship Id="rId5" Type="http://schemas.openxmlformats.org/officeDocument/2006/relationships/footer" Target="footer3.xml"/><Relationship Id="rId49" Type="http://schemas.openxmlformats.org/officeDocument/2006/relationships/image" Target="media/image32.jpeg"/><Relationship Id="rId48" Type="http://schemas.openxmlformats.org/officeDocument/2006/relationships/image" Target="media/image31.jpeg"/><Relationship Id="rId47" Type="http://schemas.openxmlformats.org/officeDocument/2006/relationships/image" Target="media/image30.png"/><Relationship Id="rId46" Type="http://schemas.openxmlformats.org/officeDocument/2006/relationships/image" Target="media/image29.png"/><Relationship Id="rId45" Type="http://schemas.openxmlformats.org/officeDocument/2006/relationships/image" Target="media/image28.png"/><Relationship Id="rId44" Type="http://schemas.openxmlformats.org/officeDocument/2006/relationships/image" Target="media/image27.png"/><Relationship Id="rId43" Type="http://schemas.openxmlformats.org/officeDocument/2006/relationships/image" Target="media/image26.png"/><Relationship Id="rId42" Type="http://schemas.openxmlformats.org/officeDocument/2006/relationships/image" Target="media/image25.png"/><Relationship Id="rId41" Type="http://schemas.openxmlformats.org/officeDocument/2006/relationships/image" Target="media/image24.png"/><Relationship Id="rId40" Type="http://schemas.openxmlformats.org/officeDocument/2006/relationships/image" Target="media/image23.png"/><Relationship Id="rId4" Type="http://schemas.openxmlformats.org/officeDocument/2006/relationships/footer" Target="footer2.xml"/><Relationship Id="rId39" Type="http://schemas.openxmlformats.org/officeDocument/2006/relationships/image" Target="media/image22.png"/><Relationship Id="rId38" Type="http://schemas.openxmlformats.org/officeDocument/2006/relationships/image" Target="media/image21.emf"/><Relationship Id="rId37" Type="http://schemas.openxmlformats.org/officeDocument/2006/relationships/oleObject" Target="embeddings/oleObject8.bin"/><Relationship Id="rId36" Type="http://schemas.openxmlformats.org/officeDocument/2006/relationships/image" Target="media/image20.wmf"/><Relationship Id="rId35" Type="http://schemas.openxmlformats.org/officeDocument/2006/relationships/oleObject" Target="embeddings/oleObject7.bin"/><Relationship Id="rId34" Type="http://schemas.openxmlformats.org/officeDocument/2006/relationships/image" Target="media/image19.png"/><Relationship Id="rId33" Type="http://schemas.openxmlformats.org/officeDocument/2006/relationships/image" Target="media/image18.wmf"/><Relationship Id="rId32" Type="http://schemas.openxmlformats.org/officeDocument/2006/relationships/oleObject" Target="embeddings/oleObject6.bin"/><Relationship Id="rId31" Type="http://schemas.openxmlformats.org/officeDocument/2006/relationships/image" Target="media/image17.jpeg"/><Relationship Id="rId30" Type="http://schemas.openxmlformats.org/officeDocument/2006/relationships/image" Target="media/image16.jpeg"/><Relationship Id="rId3" Type="http://schemas.openxmlformats.org/officeDocument/2006/relationships/footer" Target="footer1.xml"/><Relationship Id="rId29" Type="http://schemas.openxmlformats.org/officeDocument/2006/relationships/image" Target="media/image15.png"/><Relationship Id="rId28" Type="http://schemas.openxmlformats.org/officeDocument/2006/relationships/image" Target="media/image14.emf"/><Relationship Id="rId27" Type="http://schemas.openxmlformats.org/officeDocument/2006/relationships/oleObject" Target="embeddings/oleObject5.bin"/><Relationship Id="rId26" Type="http://schemas.openxmlformats.org/officeDocument/2006/relationships/image" Target="media/image13.emf"/><Relationship Id="rId25" Type="http://schemas.openxmlformats.org/officeDocument/2006/relationships/oleObject" Target="embeddings/oleObject4.bin"/><Relationship Id="rId24" Type="http://schemas.openxmlformats.org/officeDocument/2006/relationships/image" Target="media/image12.emf"/><Relationship Id="rId23" Type="http://schemas.openxmlformats.org/officeDocument/2006/relationships/oleObject" Target="embeddings/oleObject3.bin"/><Relationship Id="rId22" Type="http://schemas.openxmlformats.org/officeDocument/2006/relationships/image" Target="media/image11.emf"/><Relationship Id="rId21" Type="http://schemas.openxmlformats.org/officeDocument/2006/relationships/oleObject" Target="embeddings/oleObject2.bin"/><Relationship Id="rId20" Type="http://schemas.openxmlformats.org/officeDocument/2006/relationships/image" Target="media/image10.e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141</Pages>
  <Words>11993</Words>
  <Characters>12595</Characters>
  <Lines>949</Lines>
  <Paragraphs>267</Paragraphs>
  <TotalTime>9</TotalTime>
  <ScaleCrop>false</ScaleCrop>
  <LinksUpToDate>false</LinksUpToDate>
  <CharactersWithSpaces>12695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2023-09-22T08:07:00Z</dcterms:created>
  <dc:creator>lhj</dc:creator>
  <cp:lastModifiedBy>summer</cp:lastModifiedBy>
  <cp:lastPrinted>2024-11-04T10:36:00Z</cp:lastPrinted>
  <dcterms:modified xsi:type="dcterms:W3CDTF">2025-03-03T07:27:26Z</dcterms:modified>
  <dc:title>附件2</dc:title>
  <cp:revision>1282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10DB22543FC946E491740FDB63A902F7_13</vt:lpwstr>
  </property>
  <property fmtid="{D5CDD505-2E9C-101B-9397-08002B2CF9AE}" pid="4" name="KSOTemplateDocerSaveRecord">
    <vt:lpwstr>eyJoZGlkIjoiMDVhMzNiYzViYTVhOGZlYWVmM2ViNWUyMzMyNDIxZGQiLCJ1c2VySWQiOiI4MTQ4ODgyODQifQ==</vt:lpwstr>
  </property>
</Properties>
</file>