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6"/>
        <w:spacing w:line="360" w:lineRule="auto"/>
        <w:rPr>
          <w:rFonts w:hint="eastAsia" w:ascii="宋体" w:hAnsi="宋体" w:cs="宋体"/>
          <w:b/>
          <w:color w:val="auto"/>
          <w:highlight w:val="none"/>
        </w:rPr>
      </w:pPr>
      <w:r>
        <w:rPr>
          <w:rFonts w:hint="eastAsia" w:ascii="宋体" w:hAnsi="宋体" w:cs="宋体"/>
          <w:b/>
          <w:color w:val="auto"/>
          <w:highlight w:val="none"/>
        </w:rPr>
        <w:t xml:space="preserve"> </w:t>
      </w:r>
    </w:p>
    <w:p>
      <w:pPr>
        <w:pStyle w:val="276"/>
        <w:spacing w:line="360" w:lineRule="auto"/>
        <w:rPr>
          <w:rFonts w:hint="eastAsia" w:ascii="宋体" w:hAnsi="宋体" w:cs="宋体"/>
          <w:b/>
          <w:color w:val="auto"/>
          <w:highlight w:val="none"/>
        </w:rPr>
      </w:pPr>
    </w:p>
    <w:p>
      <w:pPr>
        <w:pStyle w:val="276"/>
        <w:spacing w:line="360" w:lineRule="auto"/>
        <w:jc w:val="center"/>
        <w:rPr>
          <w:rFonts w:hint="eastAsia" w:ascii="宋体" w:hAnsi="宋体" w:cs="宋体"/>
          <w:b/>
          <w:color w:val="auto"/>
          <w:w w:val="90"/>
          <w:sz w:val="48"/>
          <w:szCs w:val="48"/>
          <w:highlight w:val="none"/>
        </w:rPr>
      </w:pPr>
      <w:r>
        <w:rPr>
          <w:rFonts w:hint="eastAsia" w:ascii="宋体" w:hAnsi="宋体" w:cs="宋体"/>
          <w:b/>
          <w:color w:val="auto"/>
          <w:w w:val="90"/>
          <w:sz w:val="48"/>
          <w:szCs w:val="48"/>
          <w:highlight w:val="none"/>
        </w:rPr>
        <w:t>四川省普通公路工程电子招标</w:t>
      </w:r>
    </w:p>
    <w:p>
      <w:pPr>
        <w:pStyle w:val="276"/>
        <w:spacing w:line="360" w:lineRule="auto"/>
        <w:jc w:val="center"/>
        <w:rPr>
          <w:rFonts w:hint="eastAsia" w:ascii="宋体" w:hAnsi="宋体" w:cs="宋体"/>
          <w:b/>
          <w:color w:val="auto"/>
          <w:sz w:val="96"/>
          <w:szCs w:val="96"/>
          <w:highlight w:val="none"/>
        </w:rPr>
      </w:pPr>
      <w:r>
        <w:rPr>
          <w:rFonts w:hint="eastAsia" w:ascii="宋体" w:hAnsi="宋体" w:cs="宋体"/>
          <w:b/>
          <w:color w:val="auto"/>
          <w:w w:val="90"/>
          <w:sz w:val="96"/>
          <w:szCs w:val="96"/>
          <w:highlight w:val="none"/>
        </w:rPr>
        <w:t>标准施工监理招标文件</w:t>
      </w:r>
      <w:bookmarkStart w:id="781" w:name="_GoBack"/>
      <w:bookmarkEnd w:id="781"/>
    </w:p>
    <w:p>
      <w:pPr>
        <w:pStyle w:val="276"/>
        <w:spacing w:line="360" w:lineRule="auto"/>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（甘孜州·2025年版）</w:t>
      </w:r>
    </w:p>
    <w:p>
      <w:pPr>
        <w:pStyle w:val="276"/>
        <w:jc w:val="center"/>
        <w:rPr>
          <w:rFonts w:hint="eastAsia" w:ascii="宋体" w:hAnsi="宋体" w:cs="宋体"/>
          <w:color w:val="auto"/>
          <w:sz w:val="28"/>
          <w:szCs w:val="28"/>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甘孜藏族自治州交通运输局</w:t>
      </w:r>
    </w:p>
    <w:p>
      <w:pPr>
        <w:spacing w:line="360" w:lineRule="auto"/>
        <w:ind w:firstLine="3614" w:firstLineChars="1000"/>
        <w:rPr>
          <w:rFonts w:hint="eastAsia" w:ascii="宋体" w:hAnsi="宋体" w:cs="宋体"/>
          <w:b/>
          <w:color w:val="auto"/>
          <w:sz w:val="36"/>
          <w:szCs w:val="36"/>
          <w:highlight w:val="none"/>
        </w:rPr>
      </w:pPr>
      <w:r>
        <w:rPr>
          <w:rFonts w:hint="eastAsia" w:ascii="宋体" w:hAnsi="宋体" w:cs="宋体"/>
          <w:b/>
          <w:color w:val="auto"/>
          <w:sz w:val="36"/>
          <w:szCs w:val="36"/>
          <w:highlight w:val="none"/>
        </w:rPr>
        <w:t>2025年</w:t>
      </w:r>
      <w:r>
        <w:rPr>
          <w:rFonts w:hint="eastAsia" w:ascii="宋体" w:hAnsi="宋体" w:cs="宋体"/>
          <w:b/>
          <w:color w:val="000000" w:themeColor="text1"/>
          <w:sz w:val="36"/>
          <w:szCs w:val="36"/>
          <w:highlight w:val="none"/>
          <w:lang w:eastAsia="zh-CN"/>
          <w14:textFill>
            <w14:solidFill>
              <w14:schemeClr w14:val="tx1"/>
            </w14:solidFill>
          </w14:textFill>
        </w:rPr>
        <w:t>7</w:t>
      </w:r>
      <w:r>
        <w:rPr>
          <w:rFonts w:hint="eastAsia" w:ascii="宋体" w:hAnsi="宋体" w:cs="宋体"/>
          <w:b/>
          <w:color w:val="auto"/>
          <w:sz w:val="36"/>
          <w:szCs w:val="36"/>
          <w:highlight w:val="none"/>
        </w:rPr>
        <w:t>月</w:t>
      </w:r>
    </w:p>
    <w:p>
      <w:pPr>
        <w:widowControl/>
        <w:jc w:val="left"/>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br w:type="page"/>
      </w:r>
    </w:p>
    <w:p>
      <w:pPr>
        <w:spacing w:line="360" w:lineRule="auto"/>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《四川省普通公路工程电子招标标准</w:t>
      </w:r>
    </w:p>
    <w:p>
      <w:pPr>
        <w:spacing w:line="360" w:lineRule="auto"/>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施工监理招标文件》</w:t>
      </w:r>
    </w:p>
    <w:p>
      <w:pPr>
        <w:spacing w:line="360" w:lineRule="auto"/>
        <w:jc w:val="center"/>
        <w:rPr>
          <w:rFonts w:hint="eastAsia" w:ascii="宋体" w:hAnsi="宋体" w:cs="宋体"/>
          <w:color w:val="auto"/>
          <w:spacing w:val="28"/>
          <w:kern w:val="3"/>
          <w:sz w:val="32"/>
          <w:szCs w:val="32"/>
          <w:highlight w:val="none"/>
        </w:rPr>
      </w:pPr>
      <w:r>
        <w:rPr>
          <w:rFonts w:hint="eastAsia" w:ascii="宋体" w:hAnsi="宋体" w:cs="宋体"/>
          <w:color w:val="auto"/>
          <w:sz w:val="32"/>
          <w:szCs w:val="32"/>
          <w:highlight w:val="none"/>
        </w:rPr>
        <w:t>（甘孜州</w:t>
      </w:r>
      <w:r>
        <w:rPr>
          <w:rFonts w:hint="eastAsia"/>
          <w:color w:val="auto"/>
          <w:sz w:val="44"/>
          <w:szCs w:val="44"/>
          <w:highlight w:val="none"/>
        </w:rPr>
        <w:t>·</w:t>
      </w:r>
      <w:r>
        <w:rPr>
          <w:rFonts w:hint="eastAsia" w:ascii="宋体" w:hAnsi="宋体" w:cs="宋体"/>
          <w:color w:val="auto"/>
          <w:sz w:val="32"/>
          <w:szCs w:val="32"/>
          <w:highlight w:val="none"/>
        </w:rPr>
        <w:t>2025年版）</w:t>
      </w:r>
    </w:p>
    <w:p>
      <w:pPr>
        <w:rPr>
          <w:rFonts w:hint="eastAsia" w:ascii="黑体" w:hAnsi="黑体" w:eastAsia="黑体" w:cs="黑体"/>
          <w:color w:val="auto"/>
          <w:spacing w:val="28"/>
          <w:kern w:val="3"/>
          <w:sz w:val="28"/>
          <w:szCs w:val="28"/>
          <w:highlight w:val="none"/>
        </w:rPr>
      </w:pPr>
    </w:p>
    <w:p>
      <w:pPr>
        <w:ind w:firstLine="1680" w:firstLineChars="600"/>
        <w:rPr>
          <w:color w:val="auto"/>
          <w:sz w:val="28"/>
          <w:szCs w:val="28"/>
          <w:highlight w:val="none"/>
        </w:rPr>
      </w:pPr>
    </w:p>
    <w:p>
      <w:pPr>
        <w:rPr>
          <w:color w:val="auto"/>
          <w:sz w:val="28"/>
          <w:szCs w:val="28"/>
          <w:highlight w:val="none"/>
        </w:rPr>
      </w:pPr>
    </w:p>
    <w:p>
      <w:pPr>
        <w:spacing w:after="120" w:afterLines="50"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审定委员会</w:t>
      </w:r>
    </w:p>
    <w:p>
      <w:pPr>
        <w:pStyle w:val="2"/>
        <w:spacing w:line="360" w:lineRule="auto"/>
        <w:rPr>
          <w:color w:val="auto"/>
          <w:highlight w:val="none"/>
        </w:rPr>
      </w:pPr>
    </w:p>
    <w:p>
      <w:pPr>
        <w:spacing w:line="360" w:lineRule="auto"/>
        <w:rPr>
          <w:color w:val="auto"/>
          <w:sz w:val="28"/>
          <w:szCs w:val="28"/>
          <w:highlight w:val="none"/>
        </w:rPr>
      </w:pPr>
      <w:r>
        <w:rPr>
          <w:rFonts w:hint="eastAsia" w:ascii="黑体" w:hAnsi="黑体" w:eastAsia="黑体"/>
          <w:color w:val="000000" w:themeColor="text1"/>
          <w:spacing w:val="51"/>
          <w:sz w:val="28"/>
          <w:szCs w:val="28"/>
          <w:highlight w:val="none"/>
          <w14:textFill>
            <w14:solidFill>
              <w14:schemeClr w14:val="tx1"/>
            </w14:solidFill>
          </w14:textFill>
        </w:rPr>
        <w:t>主任委</w:t>
      </w:r>
      <w:r>
        <w:rPr>
          <w:rFonts w:hint="eastAsia" w:ascii="黑体" w:hAnsi="黑体" w:eastAsia="黑体"/>
          <w:color w:val="000000" w:themeColor="text1"/>
          <w:sz w:val="28"/>
          <w:szCs w:val="28"/>
          <w:highlight w:val="none"/>
          <w14:textFill>
            <w14:solidFill>
              <w14:schemeClr w14:val="tx1"/>
            </w14:solidFill>
          </w14:textFill>
        </w:rPr>
        <w:t>员</w:t>
      </w:r>
      <w:r>
        <w:rPr>
          <w:rFonts w:hint="eastAsia" w:ascii="黑体" w:hAnsi="黑体" w:eastAsia="黑体"/>
          <w:color w:val="000000" w:themeColor="text1"/>
          <w:sz w:val="28"/>
          <w:szCs w:val="28"/>
          <w:highlight w:val="none"/>
          <w:lang w:eastAsia="zh-CN"/>
          <w14:textFill>
            <w14:solidFill>
              <w14:schemeClr w14:val="tx1"/>
            </w14:solidFill>
          </w14:textFill>
        </w:rPr>
        <w:t>：</w:t>
      </w:r>
      <w:r>
        <w:rPr>
          <w:rFonts w:hint="eastAsia" w:ascii="楷体" w:hAnsi="楷体" w:eastAsia="楷体" w:cs="楷体"/>
          <w:color w:val="auto"/>
          <w:sz w:val="28"/>
          <w:szCs w:val="28"/>
          <w:highlight w:val="none"/>
        </w:rPr>
        <w:t>李言明</w:t>
      </w:r>
    </w:p>
    <w:p>
      <w:pPr>
        <w:spacing w:line="360" w:lineRule="auto"/>
        <w:rPr>
          <w:color w:val="auto"/>
          <w:sz w:val="28"/>
          <w:szCs w:val="28"/>
          <w:highlight w:val="none"/>
        </w:rPr>
      </w:pPr>
      <w:r>
        <w:rPr>
          <w:rFonts w:hint="eastAsia" w:ascii="黑体" w:hAnsi="黑体" w:eastAsia="黑体" w:cs="黑体"/>
          <w:color w:val="auto"/>
          <w:sz w:val="28"/>
          <w:szCs w:val="28"/>
          <w:highlight w:val="none"/>
        </w:rPr>
        <w:t>副主任委员：</w:t>
      </w:r>
      <w:r>
        <w:rPr>
          <w:rFonts w:hint="eastAsia" w:ascii="楷体" w:hAnsi="楷体" w:eastAsia="楷体" w:cs="楷体"/>
          <w:color w:val="auto"/>
          <w:sz w:val="28"/>
          <w:szCs w:val="28"/>
          <w:highlight w:val="none"/>
          <w:lang w:eastAsia="zh-CN"/>
        </w:rPr>
        <w:t>汤大庆</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罗顺方</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黄永洪  </w:t>
      </w:r>
    </w:p>
    <w:p>
      <w:pPr>
        <w:keepNext w:val="0"/>
        <w:keepLines w:val="0"/>
        <w:widowControl/>
        <w:suppressLineNumbers w:val="0"/>
        <w:ind w:left="1960" w:hanging="1960" w:hangingChars="700"/>
        <w:jc w:val="left"/>
        <w:rPr>
          <w:rFonts w:hint="eastAsia" w:ascii="楷体" w:hAnsi="楷体" w:eastAsia="楷体" w:cs="楷体"/>
          <w:i w:val="0"/>
          <w:caps w:val="0"/>
          <w:color w:val="auto"/>
          <w:spacing w:val="0"/>
          <w:kern w:val="2"/>
          <w:sz w:val="28"/>
          <w:szCs w:val="28"/>
          <w:highlight w:val="none"/>
          <w:shd w:val="clear"/>
          <w:lang w:val="en-US" w:eastAsia="zh-CN" w:bidi="ar"/>
        </w:rPr>
      </w:pPr>
      <w:r>
        <w:rPr>
          <w:rFonts w:hint="eastAsia" w:ascii="黑体" w:hAnsi="黑体" w:eastAsia="黑体" w:cs="黑体"/>
          <w:color w:val="auto"/>
          <w:sz w:val="28"/>
          <w:szCs w:val="28"/>
          <w:highlight w:val="none"/>
        </w:rPr>
        <w:t>委      员：</w:t>
      </w:r>
      <w:r>
        <w:rPr>
          <w:rFonts w:hint="eastAsia" w:ascii="楷体" w:hAnsi="楷体" w:eastAsia="楷体" w:cs="楷体"/>
          <w:i w:val="0"/>
          <w:caps w:val="0"/>
          <w:color w:val="auto"/>
          <w:spacing w:val="0"/>
          <w:kern w:val="2"/>
          <w:sz w:val="28"/>
          <w:szCs w:val="28"/>
          <w:highlight w:val="none"/>
          <w:shd w:val="clear"/>
          <w:lang w:val="en-US" w:eastAsia="zh-CN" w:bidi="ar"/>
        </w:rPr>
        <w:t>顾瑞桂</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龙  涛   </w:t>
      </w:r>
      <w:r>
        <w:rPr>
          <w:rFonts w:hint="eastAsia" w:ascii="楷体" w:hAnsi="楷体" w:eastAsia="楷体" w:cs="楷体"/>
          <w:color w:val="auto"/>
          <w:sz w:val="28"/>
          <w:szCs w:val="28"/>
          <w:highlight w:val="none"/>
          <w:lang w:eastAsia="zh-CN"/>
        </w:rPr>
        <w:t>陈洪兰</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李</w:t>
      </w:r>
      <w:r>
        <w:rPr>
          <w:rFonts w:hint="eastAsia" w:ascii="楷体" w:hAnsi="楷体" w:eastAsia="楷体" w:cs="楷体"/>
          <w:color w:val="auto"/>
          <w:sz w:val="28"/>
          <w:szCs w:val="28"/>
          <w:highlight w:val="none"/>
          <w:lang w:val="en-US" w:eastAsia="zh-CN"/>
        </w:rPr>
        <w:t xml:space="preserve"> 友   </w:t>
      </w:r>
      <w:r>
        <w:rPr>
          <w:rFonts w:hint="eastAsia" w:ascii="楷体" w:hAnsi="楷体" w:eastAsia="楷体" w:cs="楷体"/>
          <w:i w:val="0"/>
          <w:caps w:val="0"/>
          <w:color w:val="auto"/>
          <w:spacing w:val="0"/>
          <w:kern w:val="2"/>
          <w:sz w:val="28"/>
          <w:szCs w:val="28"/>
          <w:highlight w:val="none"/>
          <w:shd w:val="clear"/>
          <w:lang w:val="en-US" w:eastAsia="zh-CN" w:bidi="ar"/>
        </w:rPr>
        <w:t xml:space="preserve">青 喜   旷应伟     </w:t>
      </w:r>
    </w:p>
    <w:p>
      <w:pPr>
        <w:keepNext w:val="0"/>
        <w:keepLines w:val="0"/>
        <w:widowControl/>
        <w:suppressLineNumbers w:val="0"/>
        <w:ind w:left="0" w:leftChars="0" w:firstLine="1680" w:firstLineChars="600"/>
        <w:jc w:val="left"/>
        <w:rPr>
          <w:color w:val="auto"/>
          <w:highlight w:val="none"/>
        </w:rPr>
      </w:pPr>
      <w:r>
        <w:rPr>
          <w:rFonts w:hint="eastAsia" w:ascii="楷体" w:hAnsi="楷体" w:eastAsia="楷体" w:cs="楷体"/>
          <w:color w:val="auto"/>
          <w:spacing w:val="0"/>
          <w:kern w:val="2"/>
          <w:sz w:val="28"/>
          <w:szCs w:val="28"/>
          <w:highlight w:val="none"/>
          <w:lang w:eastAsia="zh-CN"/>
        </w:rPr>
        <w:t>王</w:t>
      </w:r>
      <w:r>
        <w:rPr>
          <w:rFonts w:hint="eastAsia" w:ascii="楷体" w:hAnsi="楷体" w:eastAsia="楷体" w:cs="楷体"/>
          <w:color w:val="auto"/>
          <w:spacing w:val="0"/>
          <w:kern w:val="2"/>
          <w:sz w:val="28"/>
          <w:szCs w:val="28"/>
          <w:highlight w:val="none"/>
          <w:lang w:val="en-US" w:eastAsia="zh-CN"/>
        </w:rPr>
        <w:t xml:space="preserve">  </w:t>
      </w:r>
      <w:r>
        <w:rPr>
          <w:rFonts w:hint="eastAsia" w:ascii="楷体" w:hAnsi="楷体" w:eastAsia="楷体" w:cs="楷体"/>
          <w:color w:val="auto"/>
          <w:spacing w:val="0"/>
          <w:kern w:val="2"/>
          <w:sz w:val="28"/>
          <w:szCs w:val="28"/>
          <w:highlight w:val="none"/>
          <w:lang w:eastAsia="zh-CN"/>
        </w:rPr>
        <w:t>昭</w:t>
      </w:r>
      <w:r>
        <w:rPr>
          <w:rFonts w:hint="eastAsia" w:ascii="楷体" w:hAnsi="楷体" w:eastAsia="楷体" w:cs="楷体"/>
          <w:color w:val="auto"/>
          <w:sz w:val="28"/>
          <w:szCs w:val="28"/>
          <w:highlight w:val="none"/>
          <w:lang w:val="en-US" w:eastAsia="zh-CN" w:bidi="ar"/>
        </w:rPr>
        <w:t xml:space="preserve">  </w:t>
      </w:r>
    </w:p>
    <w:p>
      <w:pPr>
        <w:spacing w:after="120" w:afterLines="50"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编 写 人 员</w:t>
      </w:r>
    </w:p>
    <w:p>
      <w:pPr>
        <w:pStyle w:val="2"/>
        <w:spacing w:line="360" w:lineRule="auto"/>
        <w:rPr>
          <w:color w:val="auto"/>
          <w:highlight w:val="none"/>
        </w:rPr>
      </w:pPr>
    </w:p>
    <w:p>
      <w:pPr>
        <w:spacing w:line="360" w:lineRule="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主      编：</w:t>
      </w:r>
      <w:r>
        <w:rPr>
          <w:rFonts w:hint="eastAsia" w:ascii="楷体" w:hAnsi="楷体" w:eastAsia="楷体" w:cs="楷体"/>
          <w:color w:val="auto"/>
          <w:sz w:val="28"/>
          <w:szCs w:val="28"/>
          <w:highlight w:val="none"/>
          <w:lang w:bidi="ar"/>
        </w:rPr>
        <w:t>程  钧</w:t>
      </w:r>
      <w:r>
        <w:rPr>
          <w:rFonts w:hint="eastAsia" w:ascii="楷体" w:hAnsi="楷体" w:eastAsia="楷体" w:cs="楷体"/>
          <w:color w:val="auto"/>
          <w:sz w:val="28"/>
          <w:szCs w:val="28"/>
          <w:highlight w:val="none"/>
        </w:rPr>
        <w:t xml:space="preserve">   </w:t>
      </w:r>
      <w:r>
        <w:rPr>
          <w:rFonts w:hint="eastAsia" w:ascii="楷体" w:hAnsi="楷体" w:eastAsia="楷体" w:cs="楷体"/>
          <w:color w:val="auto"/>
          <w:sz w:val="28"/>
          <w:szCs w:val="28"/>
          <w:highlight w:val="none"/>
          <w:lang w:eastAsia="zh-CN"/>
        </w:rPr>
        <w:t>刘正德</w:t>
      </w:r>
      <w:r>
        <w:rPr>
          <w:rFonts w:hint="eastAsia" w:ascii="楷体" w:hAnsi="楷体" w:eastAsia="楷体" w:cs="楷体"/>
          <w:color w:val="auto"/>
          <w:sz w:val="28"/>
          <w:szCs w:val="28"/>
          <w:highlight w:val="none"/>
        </w:rPr>
        <w:t xml:space="preserve"> </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龙  涛 </w:t>
      </w:r>
    </w:p>
    <w:p>
      <w:pPr>
        <w:spacing w:line="360" w:lineRule="auto"/>
        <w:ind w:left="1910" w:hanging="1910" w:hangingChars="500"/>
        <w:rPr>
          <w:rFonts w:hint="eastAsia" w:ascii="楷体" w:hAnsi="楷体" w:eastAsia="楷体" w:cs="楷体"/>
          <w:color w:val="auto"/>
          <w:sz w:val="28"/>
          <w:szCs w:val="28"/>
          <w:highlight w:val="none"/>
          <w:lang w:val="en-US" w:eastAsia="zh-CN"/>
        </w:rPr>
      </w:pPr>
      <w:r>
        <w:rPr>
          <w:rFonts w:hint="eastAsia" w:ascii="黑体" w:hAnsi="黑体" w:eastAsia="黑体"/>
          <w:color w:val="000000" w:themeColor="text1"/>
          <w:spacing w:val="51"/>
          <w:sz w:val="28"/>
          <w:szCs w:val="28"/>
          <w:highlight w:val="none"/>
          <w14:textFill>
            <w14:solidFill>
              <w14:schemeClr w14:val="tx1"/>
            </w14:solidFill>
          </w14:textFill>
        </w:rPr>
        <w:t>编写人</w:t>
      </w:r>
      <w:r>
        <w:rPr>
          <w:rFonts w:hint="eastAsia" w:ascii="黑体" w:hAnsi="黑体" w:eastAsia="黑体"/>
          <w:color w:val="000000" w:themeColor="text1"/>
          <w:sz w:val="28"/>
          <w:szCs w:val="28"/>
          <w:highlight w:val="none"/>
          <w14:textFill>
            <w14:solidFill>
              <w14:schemeClr w14:val="tx1"/>
            </w14:solidFill>
          </w14:textFill>
        </w:rPr>
        <w:t>员：</w:t>
      </w:r>
      <w:r>
        <w:rPr>
          <w:rFonts w:hint="eastAsia" w:ascii="楷体" w:hAnsi="楷体" w:eastAsia="楷体" w:cs="楷体"/>
          <w:color w:val="auto"/>
          <w:sz w:val="28"/>
          <w:szCs w:val="28"/>
          <w:highlight w:val="none"/>
          <w:lang w:eastAsia="zh-CN"/>
        </w:rPr>
        <w:t>邹万琴</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先</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逸</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王大平</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谢</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平</w:t>
      </w:r>
      <w:r>
        <w:rPr>
          <w:rFonts w:hint="eastAsia" w:ascii="楷体" w:hAnsi="楷体" w:eastAsia="楷体" w:cs="楷体"/>
          <w:color w:val="auto"/>
          <w:sz w:val="28"/>
          <w:szCs w:val="28"/>
          <w:highlight w:val="none"/>
          <w:lang w:val="en-US" w:eastAsia="zh-CN"/>
        </w:rPr>
        <w:t xml:space="preserve"> </w:t>
      </w:r>
    </w:p>
    <w:p>
      <w:pPr>
        <w:pStyle w:val="2"/>
        <w:rPr>
          <w:color w:val="auto"/>
          <w:highlight w:val="none"/>
        </w:rPr>
      </w:pPr>
    </w:p>
    <w:p>
      <w:pPr>
        <w:spacing w:line="360" w:lineRule="auto"/>
        <w:jc w:val="left"/>
        <w:rPr>
          <w:rFonts w:hint="eastAsia" w:ascii="楷体" w:hAnsi="楷体" w:eastAsia="楷体" w:cs="楷体"/>
          <w:color w:val="auto"/>
          <w:sz w:val="28"/>
          <w:szCs w:val="28"/>
          <w:highlight w:val="none"/>
        </w:rPr>
      </w:pPr>
      <w:r>
        <w:rPr>
          <w:rFonts w:hint="eastAsia" w:ascii="黑体" w:hAnsi="黑体" w:eastAsia="黑体"/>
          <w:color w:val="000000" w:themeColor="text1"/>
          <w:spacing w:val="51"/>
          <w:sz w:val="28"/>
          <w:szCs w:val="28"/>
          <w:highlight w:val="none"/>
          <w14:textFill>
            <w14:solidFill>
              <w14:schemeClr w14:val="tx1"/>
            </w14:solidFill>
          </w14:textFill>
        </w:rPr>
        <w:t>编制单</w:t>
      </w:r>
      <w:r>
        <w:rPr>
          <w:rFonts w:hint="eastAsia" w:ascii="黑体" w:hAnsi="黑体" w:eastAsia="黑体"/>
          <w:color w:val="000000" w:themeColor="text1"/>
          <w:sz w:val="28"/>
          <w:szCs w:val="28"/>
          <w:highlight w:val="none"/>
          <w14:textFill>
            <w14:solidFill>
              <w14:schemeClr w14:val="tx1"/>
            </w14:solidFill>
          </w14:textFill>
        </w:rPr>
        <w:t>位：</w:t>
      </w:r>
      <w:r>
        <w:rPr>
          <w:rFonts w:hint="eastAsia" w:ascii="楷体" w:hAnsi="楷体" w:eastAsia="楷体" w:cs="楷体"/>
          <w:color w:val="auto"/>
          <w:sz w:val="28"/>
          <w:szCs w:val="28"/>
          <w:highlight w:val="none"/>
        </w:rPr>
        <w:t>甘孜藏族自治州交通运输局</w:t>
      </w:r>
    </w:p>
    <w:p>
      <w:pPr>
        <w:pStyle w:val="276"/>
        <w:rPr>
          <w:rFonts w:hint="eastAsia" w:ascii="宋体" w:hAnsi="宋体" w:cs="宋体"/>
          <w:color w:val="auto"/>
          <w:highlight w:val="none"/>
        </w:rPr>
      </w:pPr>
    </w:p>
    <w:p>
      <w:pPr>
        <w:pStyle w:val="276"/>
        <w:spacing w:line="360" w:lineRule="auto"/>
        <w:jc w:val="center"/>
        <w:rPr>
          <w:rFonts w:hint="eastAsia" w:ascii="宋体" w:hAnsi="宋体" w:cs="宋体"/>
          <w:b/>
          <w:color w:val="auto"/>
          <w:sz w:val="32"/>
          <w:szCs w:val="32"/>
          <w:highlight w:val="none"/>
        </w:rPr>
      </w:pPr>
    </w:p>
    <w:p>
      <w:pPr>
        <w:rPr>
          <w:rFonts w:hint="eastAsia" w:ascii="黑体" w:hAnsi="黑体" w:eastAsia="黑体"/>
          <w:color w:val="auto"/>
          <w:sz w:val="44"/>
          <w:szCs w:val="44"/>
          <w:highlight w:val="none"/>
        </w:rPr>
      </w:pPr>
    </w:p>
    <w:p>
      <w:pPr>
        <w:pStyle w:val="276"/>
        <w:spacing w:line="360" w:lineRule="auto"/>
        <w:jc w:val="center"/>
        <w:rPr>
          <w:rFonts w:hint="eastAsia" w:ascii="宋体" w:hAnsi="宋体" w:cs="宋体"/>
          <w:b/>
          <w:color w:val="auto"/>
          <w:sz w:val="32"/>
          <w:szCs w:val="32"/>
          <w:highlight w:val="none"/>
        </w:rPr>
      </w:pPr>
      <w:r>
        <w:rPr>
          <w:rFonts w:hint="eastAsia" w:ascii="黑体" w:hAnsi="黑体" w:eastAsia="黑体"/>
          <w:color w:val="auto"/>
          <w:sz w:val="44"/>
          <w:szCs w:val="44"/>
          <w:highlight w:val="none"/>
        </w:rPr>
        <w:t>使 用 说 明</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一、《四川普通公路工程电子招标标准施工监理招标文件》（甘孜州·202</w:t>
      </w:r>
      <w:r>
        <w:rPr>
          <w:rFonts w:hint="eastAsia" w:ascii="仿宋" w:hAnsi="仿宋" w:eastAsia="仿宋" w:cs="宋体"/>
          <w:color w:val="FF0000"/>
          <w:sz w:val="24"/>
          <w:highlight w:val="none"/>
        </w:rPr>
        <w:t>5</w:t>
      </w:r>
      <w:r>
        <w:rPr>
          <w:rFonts w:hint="eastAsia" w:ascii="仿宋" w:hAnsi="仿宋" w:eastAsia="仿宋" w:cs="宋体"/>
          <w:color w:val="auto"/>
          <w:sz w:val="24"/>
          <w:highlight w:val="none"/>
        </w:rPr>
        <w:t>年版）（以下简称《普通公路标准文件》）</w:t>
      </w:r>
      <w:r>
        <w:rPr>
          <w:rFonts w:hint="eastAsia" w:ascii="仿宋" w:hAnsi="仿宋" w:eastAsia="仿宋"/>
          <w:color w:val="auto"/>
          <w:sz w:val="24"/>
          <w:highlight w:val="none"/>
        </w:rPr>
        <w:t>适用于甘孜州行政区域内依法必须招标的普通国省干线公路、农村公路施工监理招标项目</w:t>
      </w:r>
      <w:r>
        <w:rPr>
          <w:rFonts w:hint="eastAsia" w:ascii="仿宋" w:hAnsi="仿宋" w:eastAsia="仿宋" w:cs="宋体"/>
          <w:color w:val="auto"/>
          <w:sz w:val="24"/>
          <w:highlight w:val="none"/>
        </w:rPr>
        <w:t>，</w:t>
      </w:r>
      <w:r>
        <w:rPr>
          <w:rFonts w:hint="eastAsia" w:ascii="仿宋" w:hAnsi="仿宋" w:eastAsia="仿宋"/>
          <w:color w:val="auto"/>
          <w:sz w:val="24"/>
          <w:highlight w:val="none"/>
        </w:rPr>
        <w:t>普通公路养护工程可参照使用</w:t>
      </w:r>
      <w:r>
        <w:rPr>
          <w:rFonts w:hint="eastAsia" w:ascii="仿宋" w:hAnsi="仿宋" w:eastAsia="仿宋" w:cs="宋体"/>
          <w:color w:val="auto"/>
          <w:sz w:val="24"/>
          <w:highlight w:val="none"/>
        </w:rPr>
        <w:t>。</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二、《普通公路标准文件》以《中华人民共和国标准监理招标文件》（</w:t>
      </w:r>
      <w:r>
        <w:rPr>
          <w:rFonts w:ascii="仿宋" w:hAnsi="仿宋" w:eastAsia="仿宋" w:cs="宋体"/>
          <w:color w:val="auto"/>
          <w:sz w:val="24"/>
          <w:highlight w:val="none"/>
        </w:rPr>
        <w:t>2017年版）</w:t>
      </w:r>
      <w:r>
        <w:rPr>
          <w:rFonts w:hint="eastAsia" w:ascii="仿宋" w:hAnsi="仿宋" w:eastAsia="仿宋" w:cs="宋体"/>
          <w:color w:val="auto"/>
          <w:sz w:val="24"/>
          <w:highlight w:val="none"/>
        </w:rPr>
        <w:t>、交通运输部《公路工程标准施工监理招标文件》（</w:t>
      </w:r>
      <w:r>
        <w:rPr>
          <w:rFonts w:ascii="仿宋" w:hAnsi="仿宋" w:eastAsia="仿宋" w:cs="宋体"/>
          <w:color w:val="auto"/>
          <w:sz w:val="24"/>
          <w:highlight w:val="none"/>
        </w:rPr>
        <w:t>2018年版）为基础，以《中华人民共和国招标投标法》《中华人民共和国招标投标法实施条例》</w:t>
      </w:r>
      <w:r>
        <w:rPr>
          <w:rFonts w:hint="eastAsia" w:ascii="仿宋" w:hAnsi="仿宋" w:eastAsia="仿宋" w:cs="宋体"/>
          <w:color w:val="auto"/>
          <w:sz w:val="24"/>
          <w:highlight w:val="none"/>
        </w:rPr>
        <w:t>、</w:t>
      </w:r>
      <w:r>
        <w:rPr>
          <w:rFonts w:hint="eastAsia" w:ascii="仿宋" w:hAnsi="仿宋" w:eastAsia="仿宋"/>
          <w:color w:val="auto"/>
          <w:sz w:val="24"/>
          <w:highlight w:val="none"/>
        </w:rPr>
        <w:t>《电子招标投标办法》（2013年2月4日 国家发展和改革委员会 工业和信息化部 监察部 住房和城乡建设部 交通运输部 铁道部 水利部 商务部令第20号）、</w:t>
      </w:r>
      <w:r>
        <w:rPr>
          <w:rFonts w:ascii="仿宋" w:hAnsi="仿宋" w:eastAsia="仿宋" w:cs="宋体"/>
          <w:color w:val="auto"/>
          <w:sz w:val="24"/>
          <w:highlight w:val="none"/>
        </w:rPr>
        <w:t xml:space="preserve">《公路工程建设项目招标投标管理办法》（交通运输部令2015 </w:t>
      </w:r>
      <w:r>
        <w:rPr>
          <w:rFonts w:hint="eastAsia" w:ascii="仿宋" w:hAnsi="仿宋" w:eastAsia="仿宋" w:cs="宋体"/>
          <w:color w:val="auto"/>
          <w:sz w:val="24"/>
          <w:highlight w:val="none"/>
        </w:rPr>
        <w:t>年第</w:t>
      </w:r>
      <w:r>
        <w:rPr>
          <w:rFonts w:ascii="仿宋" w:hAnsi="仿宋" w:eastAsia="仿宋" w:cs="宋体"/>
          <w:color w:val="auto"/>
          <w:sz w:val="24"/>
          <w:highlight w:val="none"/>
        </w:rPr>
        <w:t xml:space="preserve">24 </w:t>
      </w:r>
      <w:r>
        <w:rPr>
          <w:rFonts w:hint="eastAsia" w:ascii="仿宋" w:hAnsi="仿宋" w:eastAsia="仿宋" w:cs="宋体"/>
          <w:color w:val="auto"/>
          <w:sz w:val="24"/>
          <w:highlight w:val="none"/>
        </w:rPr>
        <w:t>号）、交通运输部《公路工程建设项目评标工作细则》（交公路规〔2022〕8号</w:t>
      </w:r>
      <w:r>
        <w:rPr>
          <w:rFonts w:ascii="仿宋" w:hAnsi="仿宋" w:eastAsia="仿宋" w:cs="宋体"/>
          <w:color w:val="auto"/>
          <w:sz w:val="24"/>
          <w:highlight w:val="none"/>
        </w:rPr>
        <w:t>）、</w:t>
      </w:r>
      <w:r>
        <w:rPr>
          <w:rFonts w:hint="eastAsia" w:ascii="仿宋" w:hAnsi="仿宋" w:eastAsia="仿宋"/>
          <w:color w:val="auto"/>
          <w:sz w:val="24"/>
          <w:highlight w:val="none"/>
          <w:shd w:val="clear" w:color="auto" w:fill="FFFFFF"/>
        </w:rPr>
        <w:t>《四川省农村公路条例》（四川省第十二届人民代表大会常务委员会公告第89号</w:t>
      </w:r>
      <w:r>
        <w:rPr>
          <w:rFonts w:hint="eastAsia" w:ascii="仿宋" w:hAnsi="仿宋" w:eastAsia="仿宋"/>
          <w:color w:val="auto"/>
          <w:sz w:val="24"/>
          <w:highlight w:val="none"/>
        </w:rPr>
        <w:t>）</w:t>
      </w:r>
      <w:r>
        <w:rPr>
          <w:rFonts w:hint="eastAsia" w:ascii="仿宋" w:hAnsi="仿宋" w:eastAsia="仿宋"/>
          <w:color w:val="auto"/>
          <w:sz w:val="24"/>
          <w:highlight w:val="none"/>
          <w:shd w:val="clear" w:color="auto" w:fill="FFFFFF"/>
        </w:rPr>
        <w:t>、</w:t>
      </w:r>
      <w:r>
        <w:rPr>
          <w:rFonts w:hint="eastAsia" w:ascii="仿宋" w:hAnsi="仿宋" w:eastAsia="仿宋"/>
          <w:color w:val="auto"/>
          <w:sz w:val="24"/>
          <w:highlight w:val="none"/>
        </w:rPr>
        <w:t>《农村公路建设管理办法》（交通运输部令2018年第4号）、</w:t>
      </w:r>
      <w:r>
        <w:rPr>
          <w:rFonts w:hint="eastAsia" w:ascii="仿宋" w:hAnsi="仿宋" w:eastAsia="仿宋"/>
          <w:color w:val="auto"/>
          <w:sz w:val="24"/>
          <w:highlight w:val="none"/>
          <w:shd w:val="clear" w:color="auto" w:fill="FFFFFF"/>
        </w:rPr>
        <w:t>《</w:t>
      </w:r>
      <w:r>
        <w:rPr>
          <w:rFonts w:hint="eastAsia" w:ascii="仿宋" w:hAnsi="仿宋" w:eastAsia="仿宋"/>
          <w:color w:val="auto"/>
          <w:sz w:val="24"/>
          <w:highlight w:val="none"/>
          <w:shd w:val="clear" w:color="auto" w:fill="FFFFFF"/>
        </w:rPr>
        <w:fldChar w:fldCharType="begin"/>
      </w:r>
      <w:r>
        <w:rPr>
          <w:rFonts w:hint="eastAsia" w:ascii="仿宋" w:hAnsi="仿宋" w:eastAsia="仿宋"/>
          <w:color w:val="auto"/>
          <w:sz w:val="24"/>
          <w:highlight w:val="none"/>
          <w:shd w:val="clear" w:color="auto" w:fill="FFFFFF"/>
        </w:rPr>
        <w:instrText xml:space="preserve"> HYPERLINK "https://baike.so.com/doc/5397698-5635041.html" \t "https://baike.so.com/doc/_blank" </w:instrText>
      </w:r>
      <w:r>
        <w:rPr>
          <w:rFonts w:hint="eastAsia" w:ascii="仿宋" w:hAnsi="仿宋" w:eastAsia="仿宋"/>
          <w:color w:val="auto"/>
          <w:sz w:val="24"/>
          <w:highlight w:val="none"/>
          <w:shd w:val="clear" w:color="auto" w:fill="FFFFFF"/>
        </w:rPr>
        <w:fldChar w:fldCharType="separate"/>
      </w:r>
      <w:r>
        <w:rPr>
          <w:rFonts w:hint="eastAsia" w:ascii="仿宋" w:hAnsi="仿宋" w:eastAsia="仿宋"/>
          <w:color w:val="auto"/>
          <w:sz w:val="24"/>
          <w:highlight w:val="none"/>
          <w:shd w:val="clear" w:color="auto" w:fill="FFFFFF"/>
        </w:rPr>
        <w:t>农村</w:t>
      </w:r>
      <w:r>
        <w:rPr>
          <w:rFonts w:hint="eastAsia" w:ascii="仿宋" w:hAnsi="仿宋" w:eastAsia="仿宋"/>
          <w:color w:val="auto"/>
          <w:sz w:val="24"/>
          <w:highlight w:val="none"/>
          <w:shd w:val="clear" w:color="auto" w:fill="FFFFFF"/>
        </w:rPr>
        <w:fldChar w:fldCharType="end"/>
      </w:r>
      <w:r>
        <w:rPr>
          <w:rFonts w:hint="eastAsia" w:ascii="仿宋" w:hAnsi="仿宋" w:eastAsia="仿宋"/>
          <w:color w:val="auto"/>
          <w:sz w:val="24"/>
          <w:highlight w:val="none"/>
          <w:shd w:val="clear" w:color="auto" w:fill="FFFFFF"/>
        </w:rPr>
        <w:t>公路建设质量管理办法》(交安监发〔2018〕152号)</w:t>
      </w:r>
      <w:r>
        <w:rPr>
          <w:rFonts w:hint="eastAsia" w:ascii="仿宋" w:hAnsi="仿宋" w:eastAsia="仿宋"/>
          <w:color w:val="auto"/>
          <w:sz w:val="24"/>
          <w:highlight w:val="none"/>
        </w:rPr>
        <w:t>、</w:t>
      </w:r>
      <w:r>
        <w:rPr>
          <w:rFonts w:ascii="仿宋" w:hAnsi="仿宋" w:eastAsia="仿宋" w:cs="宋体"/>
          <w:color w:val="auto"/>
          <w:sz w:val="24"/>
          <w:highlight w:val="none"/>
        </w:rPr>
        <w:t>四川省交通运输厅《四川省公路工程建设项目招标投标管理实施细则》（川交发〔2019〕32号）</w:t>
      </w:r>
      <w:r>
        <w:rPr>
          <w:rFonts w:hint="eastAsia" w:ascii="仿宋" w:hAnsi="仿宋" w:eastAsia="仿宋"/>
          <w:color w:val="auto"/>
          <w:sz w:val="24"/>
          <w:highlight w:val="none"/>
        </w:rPr>
        <w:t>及</w:t>
      </w:r>
      <w:r>
        <w:rPr>
          <w:rFonts w:hint="eastAsia" w:ascii="仿宋" w:hAnsi="仿宋" w:eastAsia="仿宋"/>
          <w:color w:val="auto"/>
          <w:sz w:val="24"/>
          <w:highlight w:val="none"/>
          <w:shd w:val="clear" w:color="auto" w:fill="FFFFFF"/>
        </w:rPr>
        <w:t>《四川省农村公路建设管理办法》</w:t>
      </w:r>
      <w:r>
        <w:rPr>
          <w:rFonts w:hint="eastAsia" w:ascii="仿宋" w:hAnsi="仿宋" w:eastAsia="仿宋"/>
          <w:color w:val="auto"/>
          <w:sz w:val="24"/>
          <w:highlight w:val="none"/>
        </w:rPr>
        <w:t>（川</w:t>
      </w:r>
      <w:r>
        <w:rPr>
          <w:rFonts w:hint="eastAsia" w:ascii="仿宋" w:hAnsi="仿宋" w:eastAsia="仿宋" w:cs="宋体"/>
          <w:color w:val="auto"/>
          <w:sz w:val="24"/>
          <w:highlight w:val="none"/>
        </w:rPr>
        <w:t>交规〔2022〕2号</w:t>
      </w:r>
      <w:r>
        <w:rPr>
          <w:rFonts w:hint="eastAsia" w:ascii="仿宋" w:hAnsi="仿宋" w:eastAsia="仿宋"/>
          <w:color w:val="auto"/>
          <w:sz w:val="24"/>
          <w:highlight w:val="none"/>
        </w:rPr>
        <w:t>）</w:t>
      </w:r>
      <w:r>
        <w:rPr>
          <w:rFonts w:ascii="仿宋" w:hAnsi="仿宋" w:eastAsia="仿宋" w:cs="宋体"/>
          <w:color w:val="auto"/>
          <w:sz w:val="24"/>
          <w:highlight w:val="none"/>
        </w:rPr>
        <w:t>等法律法规</w:t>
      </w:r>
      <w:r>
        <w:rPr>
          <w:rFonts w:hint="eastAsia" w:ascii="仿宋" w:hAnsi="仿宋" w:eastAsia="仿宋"/>
          <w:color w:val="auto"/>
          <w:sz w:val="24"/>
          <w:highlight w:val="none"/>
        </w:rPr>
        <w:t>规章及行政规范性文件为</w:t>
      </w:r>
      <w:r>
        <w:rPr>
          <w:rFonts w:ascii="仿宋" w:hAnsi="仿宋" w:eastAsia="仿宋" w:cs="宋体"/>
          <w:color w:val="auto"/>
          <w:sz w:val="24"/>
          <w:highlight w:val="none"/>
        </w:rPr>
        <w:t>依据，结合四川省</w:t>
      </w:r>
      <w:r>
        <w:rPr>
          <w:rFonts w:hint="eastAsia" w:ascii="仿宋" w:hAnsi="仿宋" w:eastAsia="仿宋" w:cs="宋体"/>
          <w:color w:val="auto"/>
          <w:sz w:val="24"/>
          <w:highlight w:val="none"/>
        </w:rPr>
        <w:t>普通公路</w:t>
      </w:r>
      <w:r>
        <w:rPr>
          <w:rFonts w:ascii="仿宋" w:hAnsi="仿宋" w:eastAsia="仿宋" w:cs="宋体"/>
          <w:color w:val="auto"/>
          <w:sz w:val="24"/>
          <w:highlight w:val="none"/>
        </w:rPr>
        <w:t>工程施工监理招标特点和电子招标管理需要编制而成。</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三、招标人根据《</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编制项目招标文件时，不得修改“投标人须知”正文和“评标办法”正文，但可在前附表中对“投标人须知”和“评标办法”进行补充、细化，补充和细化的内容不得与“投标人须知”和“评标办法”正文内容相抵触。</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四、招标人在根据《</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》编制项目招标文件中的“项目专用合同条款”时，可根据招标项目的具体特点和实际需要，对</w:t>
      </w:r>
      <w:bookmarkStart w:id="0" w:name="_Hlk94030976"/>
      <w:r>
        <w:rPr>
          <w:rFonts w:hint="eastAsia" w:ascii="仿宋" w:hAnsi="仿宋" w:eastAsia="仿宋" w:cs="宋体"/>
          <w:color w:val="auto"/>
          <w:sz w:val="24"/>
          <w:highlight w:val="none"/>
        </w:rPr>
        <w:t>原文引用</w:t>
      </w:r>
      <w:r>
        <w:rPr>
          <w:rFonts w:hint="eastAsia" w:ascii="仿宋" w:hAnsi="仿宋" w:eastAsia="仿宋"/>
          <w:color w:val="auto"/>
          <w:sz w:val="24"/>
          <w:highlight w:val="none"/>
        </w:rPr>
        <w:t>《中华人民共和国标准施工监理招标文件》（2007年版）</w:t>
      </w:r>
      <w:r>
        <w:rPr>
          <w:rFonts w:hint="eastAsia" w:ascii="仿宋" w:hAnsi="仿宋" w:eastAsia="仿宋" w:cs="宋体"/>
          <w:color w:val="auto"/>
          <w:sz w:val="24"/>
          <w:highlight w:val="none"/>
        </w:rPr>
        <w:t>“通用合同条款”及交通运输部</w:t>
      </w:r>
      <w:r>
        <w:rPr>
          <w:rFonts w:hint="eastAsia" w:ascii="仿宋" w:hAnsi="仿宋" w:eastAsia="仿宋"/>
          <w:color w:val="auto"/>
          <w:sz w:val="24"/>
          <w:highlight w:val="none"/>
        </w:rPr>
        <w:t>《公路工程标准施工监理招标文件》（2018年版）“公路工程专用合同条款”</w:t>
      </w:r>
      <w:bookmarkEnd w:id="0"/>
      <w:r>
        <w:rPr>
          <w:rFonts w:hint="eastAsia" w:ascii="仿宋" w:hAnsi="仿宋" w:eastAsia="仿宋" w:cs="宋体"/>
          <w:color w:val="auto"/>
          <w:sz w:val="24"/>
          <w:highlight w:val="none"/>
        </w:rPr>
        <w:t>进行补充、细化，除“通用合同条款”明确“专用合同条款”可作出不同约定</w:t>
      </w:r>
      <w:bookmarkStart w:id="1" w:name="_Hlk94030999"/>
      <w:r>
        <w:rPr>
          <w:rFonts w:hint="eastAsia" w:ascii="仿宋" w:hAnsi="仿宋" w:eastAsia="仿宋" w:cs="宋体"/>
          <w:color w:val="auto"/>
          <w:sz w:val="24"/>
          <w:highlight w:val="none"/>
        </w:rPr>
        <w:t>以及</w:t>
      </w:r>
      <w:r>
        <w:rPr>
          <w:rFonts w:hint="eastAsia" w:ascii="仿宋" w:hAnsi="仿宋" w:eastAsia="仿宋"/>
          <w:color w:val="auto"/>
          <w:sz w:val="24"/>
          <w:highlight w:val="none"/>
        </w:rPr>
        <w:t>“公路工程专用合同条款”明确“项目专用合同条款”可作出不同约定</w:t>
      </w:r>
      <w:bookmarkEnd w:id="1"/>
      <w:r>
        <w:rPr>
          <w:rFonts w:hint="eastAsia" w:ascii="仿宋" w:hAnsi="仿宋" w:eastAsia="仿宋" w:cs="宋体"/>
          <w:color w:val="auto"/>
          <w:sz w:val="24"/>
          <w:highlight w:val="none"/>
        </w:rPr>
        <w:t>外，补充和细化的内容不得与“通用合同条款”</w:t>
      </w:r>
      <w:bookmarkStart w:id="2" w:name="_Hlk94031012"/>
      <w:r>
        <w:rPr>
          <w:rFonts w:hint="eastAsia" w:ascii="仿宋" w:hAnsi="仿宋" w:eastAsia="仿宋"/>
          <w:color w:val="auto"/>
          <w:sz w:val="24"/>
          <w:highlight w:val="none"/>
        </w:rPr>
        <w:t>及“公路工程专用合同条款”</w:t>
      </w:r>
      <w:bookmarkEnd w:id="2"/>
      <w:r>
        <w:rPr>
          <w:rFonts w:hint="eastAsia" w:ascii="仿宋" w:hAnsi="仿宋" w:eastAsia="仿宋" w:cs="宋体"/>
          <w:color w:val="auto"/>
          <w:sz w:val="24"/>
          <w:highlight w:val="none"/>
        </w:rPr>
        <w:t>强制性规定相抵触。同时，补充、细化或约定的内容，不得违反法律、行政法规的强制性规定和平等、自愿、公平、诚实信用原则。</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五、《</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》条款符号说明：</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1.用相同序号标示的章、节、条、款、项、目，供招标人选择使用。</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2.以空格标示的部分，招标人应根据招标项目具体特点和实际需要进行填写，确实没有需要填写的，在空格中用“／”或“无”标示。</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3.文中“□”表示可选择项，招标人、投标人在可选择项中任选其一或者对选择有规定的从其规定，没有选择的视为不采纳该内容（若可以编辑的情形下，没有被选择的项后面相应的内容删除）。</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4.文中</w:t>
      </w:r>
      <w:r>
        <w:rPr>
          <w:rFonts w:hint="eastAsia" w:ascii="仿宋" w:hAnsi="仿宋" w:eastAsia="仿宋"/>
          <w:color w:val="auto"/>
          <w:sz w:val="24"/>
          <w:highlight w:val="none"/>
        </w:rPr>
        <w:t>的</w:t>
      </w:r>
      <w:r>
        <w:rPr>
          <w:rFonts w:hint="eastAsia" w:ascii="仿宋" w:hAnsi="仿宋" w:eastAsia="仿宋" w:cs="宋体"/>
          <w:color w:val="auto"/>
          <w:sz w:val="24"/>
          <w:highlight w:val="none"/>
        </w:rPr>
        <w:t>“□”</w:t>
      </w:r>
      <w:r>
        <w:rPr>
          <w:rFonts w:hint="eastAsia" w:ascii="仿宋" w:hAnsi="仿宋" w:eastAsia="仿宋"/>
          <w:color w:val="auto"/>
          <w:sz w:val="24"/>
          <w:highlight w:val="none"/>
        </w:rPr>
        <w:t>选择项可为单选或多选，在多选时由招标人根据实际需要设定选择项之间是“或”还是“同时”的关系。</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5.招标人在编制招标文件时，下划线内的内容可以编辑。</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6.标有下划线的引用条款内容，当国家、部、省等有相关新的规定出台时，招标人根据实际情况及项目具体特点进行调整。</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六、招标人按照《</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》第一章的格式发布招标公告后，将实际发布的招标公告编入向投标人提供的招标文件中，作为招标文件的组成部分。其中，招标公告应同时注明发布的所有媒介名称。</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七、《</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第三章“评标办法”按照《四川省公路工程建设项目招标投标管理实施细则》（川交规〔2024〕7号）规定，编写了综合评估法一种评标方法。第三章“评标办法”前附表应列明全部评审因素和评审标准，并在本章（前附表及正文）标明投标人不满足要求即导致否决投标的全部条款。招标人在满足第三章“评标办法”相关注释的前提下，各评审因素的评审标准和分值等由招标人根据项目特点和需要合理确定。</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八、第五章“委托人要求”由招标人根据《</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》、招标项目具体特点和实际需要编制，并与“投标人须知”、“通用合同条款”、“专用合同条款”相衔接。</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九、招标人进入全国公共资源交易平台（四川省·甘孜州）简称“电子交易系统”在线选择相应招标类别《普通公路标准文件》编制招标文件。</w:t>
      </w:r>
    </w:p>
    <w:p>
      <w:pPr>
        <w:pStyle w:val="276"/>
        <w:spacing w:line="360" w:lineRule="auto"/>
        <w:ind w:firstLine="480" w:firstLineChars="200"/>
        <w:rPr>
          <w:rFonts w:hint="eastAsia" w:ascii="宋体" w:hAnsi="宋体" w:cs="宋体"/>
          <w:color w:val="auto"/>
          <w:highlight w:val="none"/>
        </w:rPr>
      </w:pPr>
      <w:r>
        <w:rPr>
          <w:rFonts w:hint="eastAsia" w:ascii="仿宋" w:hAnsi="仿宋" w:eastAsia="仿宋" w:cs="宋体"/>
          <w:color w:val="auto"/>
          <w:sz w:val="24"/>
          <w:highlight w:val="none"/>
        </w:rPr>
        <w:t>十、各使用单位对《</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》在实施过程中，遇到的相关问题或修改意见和建议，请及时反馈甘孜州交通运输局。</w:t>
      </w:r>
      <w:r>
        <w:rPr>
          <w:rFonts w:hint="eastAsia" w:ascii="宋体" w:hAnsi="宋体" w:cs="宋体"/>
          <w:color w:val="auto"/>
          <w:highlight w:val="none"/>
        </w:rPr>
        <w:br w:type="page"/>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360" w:lineRule="auto"/>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u w:val="single"/>
        </w:rPr>
        <w:t xml:space="preserve">            </w:t>
      </w:r>
      <w:r>
        <w:rPr>
          <w:rFonts w:hint="eastAsia" w:ascii="黑体" w:hAnsi="黑体" w:eastAsia="黑体"/>
          <w:color w:val="auto"/>
          <w:sz w:val="36"/>
          <w:szCs w:val="36"/>
          <w:highlight w:val="none"/>
        </w:rPr>
        <w:t>（招标项目名称）施工监理____标段招标</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jc w:val="center"/>
        <w:rPr>
          <w:rFonts w:hint="eastAsia" w:ascii="黑体" w:hAnsi="黑体" w:eastAsia="黑体" w:cs="黑体"/>
          <w:color w:val="auto"/>
          <w:sz w:val="80"/>
          <w:szCs w:val="80"/>
          <w:highlight w:val="none"/>
        </w:rPr>
      </w:pPr>
      <w:r>
        <w:rPr>
          <w:rFonts w:hint="eastAsia" w:ascii="黑体" w:hAnsi="黑体" w:eastAsia="黑体" w:cs="黑体"/>
          <w:color w:val="auto"/>
          <w:sz w:val="80"/>
          <w:szCs w:val="80"/>
          <w:highlight w:val="none"/>
        </w:rPr>
        <w:t>招 标 文 件</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48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 xml:space="preserve">招标人：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（盖单位电子印章）</w:t>
      </w:r>
    </w:p>
    <w:p>
      <w:pPr>
        <w:pStyle w:val="276"/>
        <w:spacing w:line="48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 招标代理机构：</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（盖单位电子印章）</w:t>
      </w:r>
    </w:p>
    <w:p>
      <w:pPr>
        <w:pStyle w:val="276"/>
        <w:spacing w:line="480" w:lineRule="auto"/>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 xml:space="preserve">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年</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月</w:t>
      </w:r>
    </w:p>
    <w:p>
      <w:pPr>
        <w:pStyle w:val="276"/>
        <w:rPr>
          <w:rFonts w:hint="eastAsia" w:ascii="黑体" w:hAnsi="黑体" w:eastAsia="黑体" w:cs="宋体"/>
          <w:color w:val="auto"/>
          <w:highlight w:val="none"/>
        </w:rPr>
        <w:sectPr>
          <w:headerReference r:id="rId5" w:type="default"/>
          <w:footerReference r:id="rId7" w:type="default"/>
          <w:headerReference r:id="rId6" w:type="even"/>
          <w:footnotePr>
            <w:numFmt w:val="decimalEnclosedCircleChinese"/>
            <w:numRestart w:val="eachPage"/>
          </w:footnotePr>
          <w:type w:val="nextColumn"/>
          <w:pgSz w:w="11900" w:h="16840"/>
          <w:pgMar w:top="1417" w:right="1418" w:bottom="1417" w:left="1701" w:header="885" w:footer="839" w:gutter="0"/>
          <w:cols w:space="720" w:num="1"/>
          <w:docGrid w:linePitch="312" w:charSpace="0"/>
        </w:sectPr>
      </w:pPr>
    </w:p>
    <w:p>
      <w:pPr>
        <w:pStyle w:val="34"/>
        <w:tabs>
          <w:tab w:val="right" w:leader="dot" w:pos="9282"/>
        </w:tabs>
        <w:jc w:val="center"/>
        <w:rPr>
          <w:rFonts w:hint="eastAsia" w:ascii="黑体" w:hAnsi="黑体" w:eastAsia="黑体" w:cs="宋体"/>
          <w:b w:val="0"/>
          <w:color w:val="auto"/>
          <w:sz w:val="44"/>
          <w:szCs w:val="44"/>
          <w:highlight w:val="none"/>
        </w:rPr>
      </w:pPr>
      <w:r>
        <w:rPr>
          <w:rFonts w:hint="eastAsia" w:ascii="黑体" w:hAnsi="黑体" w:eastAsia="黑体" w:cs="宋体"/>
          <w:b w:val="0"/>
          <w:color w:val="auto"/>
          <w:sz w:val="44"/>
          <w:szCs w:val="44"/>
          <w:highlight w:val="none"/>
        </w:rPr>
        <w:t>目  录</w:t>
      </w:r>
    </w:p>
    <w:p>
      <w:pPr>
        <w:rPr>
          <w:rFonts w:hint="eastAsia" w:ascii="宋体" w:hAnsi="宋体" w:cs="宋体"/>
          <w:color w:val="auto"/>
          <w:highlight w:val="none"/>
        </w:rPr>
      </w:pPr>
    </w:p>
    <w:p>
      <w:pPr>
        <w:pStyle w:val="34"/>
        <w:tabs>
          <w:tab w:val="right" w:leader="dot" w:pos="8771"/>
        </w:tabs>
        <w:spacing w:line="480" w:lineRule="auto"/>
        <w:jc w:val="center"/>
        <w:rPr>
          <w:rFonts w:hint="eastAsia" w:ascii="黑体" w:hAnsi="黑体" w:eastAsia="黑体"/>
          <w:b w:val="0"/>
          <w:bCs w:val="0"/>
          <w:caps w:val="0"/>
          <w:color w:val="auto"/>
          <w:sz w:val="30"/>
          <w:szCs w:val="30"/>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TOC \h \z \u \t "标题 1,1,标题 2,2,标题 3,3" </w:instrText>
      </w:r>
      <w:r>
        <w:rPr>
          <w:rFonts w:hint="eastAsia" w:ascii="宋体" w:hAnsi="宋体" w:cs="宋体"/>
          <w:b/>
          <w:bCs/>
          <w:caps/>
          <w:color w:val="auto"/>
          <w:sz w:val="24"/>
          <w:szCs w:val="24"/>
          <w:highlight w:val="none"/>
        </w:rPr>
        <w:fldChar w:fldCharType="separate"/>
      </w:r>
      <w:r>
        <w:rPr>
          <w:color w:val="auto"/>
          <w:highlight w:val="none"/>
        </w:rPr>
        <w:fldChar w:fldCharType="begin"/>
      </w:r>
      <w:r>
        <w:rPr>
          <w:color w:val="auto"/>
          <w:highlight w:val="none"/>
        </w:rPr>
        <w:instrText xml:space="preserve"> HYPERLINK \l "_Toc28187706" </w:instrText>
      </w:r>
      <w:r>
        <w:rPr>
          <w:rStyle w:val="50"/>
          <w:rFonts w:ascii="黑体" w:hAnsi="黑体" w:eastAsia="黑体" w:cs="黑体"/>
          <w:b w:val="0"/>
          <w:color w:val="auto"/>
          <w:sz w:val="30"/>
          <w:szCs w:val="30"/>
          <w:highlight w:val="none"/>
          <w:u w:val="none"/>
        </w:rPr>
        <w:fldChar w:fldCharType="separate"/>
      </w:r>
      <w:r>
        <w:rPr>
          <w:rStyle w:val="56"/>
          <w:rFonts w:hint="eastAsia" w:ascii="黑体" w:hAnsi="黑体" w:eastAsia="黑体" w:cs="黑体"/>
          <w:b w:val="0"/>
          <w:color w:val="auto"/>
          <w:sz w:val="30"/>
          <w:szCs w:val="30"/>
          <w:highlight w:val="none"/>
          <w:u w:val="none"/>
        </w:rPr>
        <w:t>第 一 卷</w:t>
      </w:r>
      <w:r>
        <w:rPr>
          <w:rStyle w:val="56"/>
          <w:rFonts w:ascii="黑体" w:hAnsi="黑体" w:eastAsia="黑体" w:cs="黑体"/>
          <w:b w:val="0"/>
          <w:color w:val="auto"/>
          <w:sz w:val="30"/>
          <w:szCs w:val="30"/>
          <w:highlight w:val="none"/>
          <w:u w:val="none"/>
        </w:rPr>
        <w:fldChar w:fldCharType="end"/>
      </w:r>
    </w:p>
    <w:p>
      <w:pPr>
        <w:pStyle w:val="34"/>
        <w:tabs>
          <w:tab w:val="right" w:leader="dot" w:pos="8771"/>
        </w:tabs>
        <w:spacing w:line="480" w:lineRule="auto"/>
        <w:rPr>
          <w:rFonts w:hint="eastAsia" w:ascii="宋体" w:hAnsi="宋体"/>
          <w:b w:val="0"/>
          <w:bCs w:val="0"/>
          <w:caps w:val="0"/>
          <w:color w:val="auto"/>
          <w:sz w:val="24"/>
          <w:szCs w:val="24"/>
          <w:highlight w:val="none"/>
        </w:rPr>
      </w:pPr>
      <w:r>
        <w:rPr>
          <w:color w:val="auto"/>
          <w:highlight w:val="none"/>
        </w:rPr>
        <w:fldChar w:fldCharType="begin"/>
      </w:r>
      <w:r>
        <w:rPr>
          <w:color w:val="auto"/>
          <w:highlight w:val="none"/>
        </w:rPr>
        <w:instrText xml:space="preserve"> HYPERLINK \l "_Toc28187707" </w:instrText>
      </w:r>
      <w:r>
        <w:rPr>
          <w:rFonts w:ascii="Calibri" w:hAnsi="Calibri"/>
          <w:b/>
          <w:color w:val="auto"/>
          <w:sz w:val="20"/>
          <w:szCs w:val="20"/>
          <w:highlight w:val="none"/>
        </w:rPr>
        <w:fldChar w:fldCharType="separate"/>
      </w:r>
      <w:r>
        <w:rPr>
          <w:rStyle w:val="56"/>
          <w:rFonts w:hint="eastAsia" w:ascii="宋体" w:hAnsi="宋体" w:cs="黑体"/>
          <w:b w:val="0"/>
          <w:color w:val="auto"/>
          <w:sz w:val="24"/>
          <w:szCs w:val="24"/>
          <w:highlight w:val="none"/>
        </w:rPr>
        <w:t>第一章  招标公告</w:t>
      </w:r>
      <w:r>
        <w:rPr>
          <w:rFonts w:hint="eastAsia" w:ascii="宋体" w:hAnsi="宋体"/>
          <w:b w:val="0"/>
          <w:color w:val="auto"/>
          <w:sz w:val="24"/>
          <w:szCs w:val="24"/>
          <w:highlight w:val="none"/>
        </w:rPr>
        <w:tab/>
      </w:r>
      <w:r>
        <w:rPr>
          <w:rFonts w:ascii="宋体" w:hAnsi="宋体"/>
          <w:b w:val="0"/>
          <w:color w:val="auto"/>
          <w:sz w:val="24"/>
          <w:szCs w:val="24"/>
          <w:highlight w:val="none"/>
        </w:rPr>
        <w:fldChar w:fldCharType="end"/>
      </w:r>
    </w:p>
    <w:p>
      <w:pPr>
        <w:pStyle w:val="34"/>
        <w:tabs>
          <w:tab w:val="right" w:leader="dot" w:pos="8771"/>
        </w:tabs>
        <w:spacing w:line="480" w:lineRule="auto"/>
        <w:rPr>
          <w:rFonts w:hint="eastAsia" w:ascii="宋体" w:hAnsi="宋体"/>
          <w:b w:val="0"/>
          <w:bCs w:val="0"/>
          <w:caps w:val="0"/>
          <w:color w:val="auto"/>
          <w:sz w:val="24"/>
          <w:szCs w:val="24"/>
          <w:highlight w:val="none"/>
        </w:rPr>
      </w:pPr>
      <w:r>
        <w:rPr>
          <w:color w:val="auto"/>
          <w:highlight w:val="none"/>
        </w:rPr>
        <w:fldChar w:fldCharType="begin"/>
      </w:r>
      <w:r>
        <w:rPr>
          <w:color w:val="auto"/>
          <w:highlight w:val="none"/>
        </w:rPr>
        <w:instrText xml:space="preserve"> HYPERLINK \l "_Toc28187709" </w:instrText>
      </w:r>
      <w:r>
        <w:rPr>
          <w:rFonts w:ascii="Calibri" w:hAnsi="Calibri"/>
          <w:b/>
          <w:color w:val="auto"/>
          <w:sz w:val="20"/>
          <w:szCs w:val="20"/>
          <w:highlight w:val="none"/>
        </w:rPr>
        <w:fldChar w:fldCharType="separate"/>
      </w:r>
      <w:r>
        <w:rPr>
          <w:rStyle w:val="56"/>
          <w:rFonts w:hint="eastAsia" w:ascii="宋体" w:hAnsi="宋体" w:cs="黑体"/>
          <w:b w:val="0"/>
          <w:color w:val="auto"/>
          <w:sz w:val="24"/>
          <w:szCs w:val="24"/>
          <w:highlight w:val="none"/>
        </w:rPr>
        <w:t>第二章  投标人须知</w:t>
      </w:r>
      <w:r>
        <w:rPr>
          <w:rFonts w:hint="eastAsia" w:ascii="宋体" w:hAnsi="宋体"/>
          <w:b w:val="0"/>
          <w:color w:val="auto"/>
          <w:sz w:val="24"/>
          <w:szCs w:val="24"/>
          <w:highlight w:val="none"/>
        </w:rPr>
        <w:tab/>
      </w:r>
      <w:r>
        <w:rPr>
          <w:rFonts w:hint="eastAsia" w:ascii="宋体" w:hAnsi="宋体"/>
          <w:b w:val="0"/>
          <w:color w:val="auto"/>
          <w:sz w:val="24"/>
          <w:szCs w:val="24"/>
          <w:highlight w:val="none"/>
        </w:rPr>
        <w:t xml:space="preserve"> </w:t>
      </w:r>
      <w:r>
        <w:rPr>
          <w:rFonts w:ascii="宋体" w:hAnsi="宋体"/>
          <w:b w:val="0"/>
          <w:color w:val="auto"/>
          <w:sz w:val="24"/>
          <w:szCs w:val="24"/>
          <w:highlight w:val="none"/>
        </w:rPr>
        <w:fldChar w:fldCharType="end"/>
      </w:r>
    </w:p>
    <w:p>
      <w:pPr>
        <w:pStyle w:val="34"/>
        <w:tabs>
          <w:tab w:val="right" w:leader="dot" w:pos="8771"/>
        </w:tabs>
        <w:spacing w:line="480" w:lineRule="auto"/>
        <w:rPr>
          <w:rFonts w:hint="eastAsia" w:ascii="宋体" w:hAnsi="宋体"/>
          <w:b w:val="0"/>
          <w:bCs w:val="0"/>
          <w:caps w:val="0"/>
          <w:color w:val="auto"/>
          <w:sz w:val="24"/>
          <w:szCs w:val="24"/>
          <w:highlight w:val="none"/>
        </w:rPr>
      </w:pPr>
      <w:r>
        <w:rPr>
          <w:color w:val="auto"/>
          <w:highlight w:val="none"/>
        </w:rPr>
        <w:fldChar w:fldCharType="begin"/>
      </w:r>
      <w:r>
        <w:rPr>
          <w:color w:val="auto"/>
          <w:highlight w:val="none"/>
        </w:rPr>
        <w:instrText xml:space="preserve"> HYPERLINK \l "_Toc28187725" </w:instrText>
      </w:r>
      <w:r>
        <w:rPr>
          <w:rFonts w:ascii="Calibri" w:hAnsi="Calibri"/>
          <w:b/>
          <w:color w:val="auto"/>
          <w:sz w:val="20"/>
          <w:szCs w:val="20"/>
          <w:highlight w:val="none"/>
        </w:rPr>
        <w:fldChar w:fldCharType="separate"/>
      </w:r>
      <w:r>
        <w:rPr>
          <w:rStyle w:val="56"/>
          <w:rFonts w:hint="eastAsia" w:ascii="宋体" w:hAnsi="宋体" w:cs="黑体"/>
          <w:b w:val="0"/>
          <w:color w:val="auto"/>
          <w:sz w:val="24"/>
          <w:szCs w:val="24"/>
          <w:highlight w:val="none"/>
        </w:rPr>
        <w:t>第三章  评标办法</w:t>
      </w:r>
      <w:r>
        <w:rPr>
          <w:rFonts w:hint="eastAsia" w:ascii="宋体" w:hAnsi="宋体"/>
          <w:b w:val="0"/>
          <w:color w:val="auto"/>
          <w:sz w:val="24"/>
          <w:szCs w:val="24"/>
          <w:highlight w:val="none"/>
        </w:rPr>
        <w:tab/>
      </w:r>
      <w:r>
        <w:rPr>
          <w:rFonts w:ascii="宋体" w:hAnsi="宋体"/>
          <w:b w:val="0"/>
          <w:color w:val="auto"/>
          <w:sz w:val="24"/>
          <w:szCs w:val="24"/>
          <w:highlight w:val="none"/>
        </w:rPr>
        <w:fldChar w:fldCharType="end"/>
      </w:r>
    </w:p>
    <w:p>
      <w:pPr>
        <w:pStyle w:val="34"/>
        <w:tabs>
          <w:tab w:val="right" w:leader="dot" w:pos="8771"/>
        </w:tabs>
        <w:spacing w:line="480" w:lineRule="auto"/>
        <w:rPr>
          <w:rFonts w:hint="eastAsia" w:ascii="宋体" w:hAnsi="宋体"/>
          <w:b w:val="0"/>
          <w:bCs w:val="0"/>
          <w:caps w:val="0"/>
          <w:color w:val="auto"/>
          <w:sz w:val="24"/>
          <w:szCs w:val="24"/>
          <w:highlight w:val="none"/>
        </w:rPr>
      </w:pPr>
      <w:r>
        <w:rPr>
          <w:color w:val="auto"/>
          <w:highlight w:val="none"/>
        </w:rPr>
        <w:fldChar w:fldCharType="begin"/>
      </w:r>
      <w:r>
        <w:rPr>
          <w:color w:val="auto"/>
          <w:highlight w:val="none"/>
        </w:rPr>
        <w:instrText xml:space="preserve"> HYPERLINK \l "_Toc28187728" </w:instrText>
      </w:r>
      <w:r>
        <w:rPr>
          <w:rFonts w:ascii="Calibri" w:hAnsi="Calibri"/>
          <w:b/>
          <w:color w:val="auto"/>
          <w:sz w:val="20"/>
          <w:szCs w:val="20"/>
          <w:highlight w:val="none"/>
        </w:rPr>
        <w:fldChar w:fldCharType="separate"/>
      </w:r>
      <w:r>
        <w:rPr>
          <w:rStyle w:val="56"/>
          <w:rFonts w:hint="eastAsia" w:ascii="宋体" w:hAnsi="宋体" w:cs="黑体"/>
          <w:b w:val="0"/>
          <w:color w:val="auto"/>
          <w:sz w:val="24"/>
          <w:szCs w:val="24"/>
          <w:highlight w:val="none"/>
        </w:rPr>
        <w:t>第四章  合同条款及格式</w:t>
      </w:r>
      <w:r>
        <w:rPr>
          <w:rFonts w:hint="eastAsia" w:ascii="宋体" w:hAnsi="宋体"/>
          <w:b w:val="0"/>
          <w:color w:val="auto"/>
          <w:sz w:val="24"/>
          <w:szCs w:val="24"/>
          <w:highlight w:val="none"/>
        </w:rPr>
        <w:tab/>
      </w:r>
      <w:r>
        <w:rPr>
          <w:rFonts w:ascii="宋体" w:hAnsi="宋体"/>
          <w:b w:val="0"/>
          <w:color w:val="auto"/>
          <w:sz w:val="24"/>
          <w:szCs w:val="24"/>
          <w:highlight w:val="none"/>
        </w:rPr>
        <w:fldChar w:fldCharType="end"/>
      </w:r>
    </w:p>
    <w:p>
      <w:pPr>
        <w:pStyle w:val="34"/>
        <w:tabs>
          <w:tab w:val="right" w:leader="dot" w:pos="8771"/>
        </w:tabs>
        <w:spacing w:line="480" w:lineRule="auto"/>
        <w:jc w:val="center"/>
        <w:rPr>
          <w:rFonts w:hint="eastAsia" w:ascii="等线" w:hAnsi="等线" w:eastAsia="等线"/>
          <w:b w:val="0"/>
          <w:bCs w:val="0"/>
          <w:caps w:val="0"/>
          <w:color w:val="auto"/>
          <w:sz w:val="30"/>
          <w:szCs w:val="30"/>
          <w:highlight w:val="none"/>
        </w:rPr>
      </w:pPr>
      <w:r>
        <w:rPr>
          <w:color w:val="auto"/>
          <w:highlight w:val="none"/>
        </w:rPr>
        <w:fldChar w:fldCharType="begin"/>
      </w:r>
      <w:r>
        <w:rPr>
          <w:color w:val="auto"/>
          <w:highlight w:val="none"/>
        </w:rPr>
        <w:instrText xml:space="preserve"> HYPERLINK \l "_Toc28187732" </w:instrText>
      </w:r>
      <w:r>
        <w:rPr>
          <w:rStyle w:val="50"/>
          <w:rFonts w:ascii="黑体" w:hAnsi="黑体" w:eastAsia="黑体" w:cs="黑体"/>
          <w:b w:val="0"/>
          <w:color w:val="auto"/>
          <w:sz w:val="30"/>
          <w:szCs w:val="30"/>
          <w:highlight w:val="none"/>
          <w:u w:val="none"/>
        </w:rPr>
        <w:fldChar w:fldCharType="separate"/>
      </w:r>
      <w:r>
        <w:rPr>
          <w:rStyle w:val="56"/>
          <w:rFonts w:hint="eastAsia" w:ascii="黑体" w:hAnsi="黑体" w:eastAsia="黑体" w:cs="黑体"/>
          <w:b w:val="0"/>
          <w:color w:val="auto"/>
          <w:sz w:val="30"/>
          <w:szCs w:val="30"/>
          <w:highlight w:val="none"/>
          <w:u w:val="none"/>
        </w:rPr>
        <w:t>第 二 卷</w:t>
      </w:r>
      <w:r>
        <w:rPr>
          <w:rStyle w:val="56"/>
          <w:rFonts w:ascii="黑体" w:hAnsi="黑体" w:eastAsia="黑体" w:cs="黑体"/>
          <w:b w:val="0"/>
          <w:color w:val="auto"/>
          <w:sz w:val="30"/>
          <w:szCs w:val="30"/>
          <w:highlight w:val="none"/>
          <w:u w:val="none"/>
        </w:rPr>
        <w:fldChar w:fldCharType="end"/>
      </w:r>
    </w:p>
    <w:p>
      <w:pPr>
        <w:pStyle w:val="34"/>
        <w:tabs>
          <w:tab w:val="right" w:leader="dot" w:pos="8771"/>
        </w:tabs>
        <w:spacing w:line="480" w:lineRule="auto"/>
        <w:rPr>
          <w:rFonts w:hint="eastAsia" w:ascii="宋体" w:hAnsi="宋体"/>
          <w:b w:val="0"/>
          <w:bCs w:val="0"/>
          <w:caps w:val="0"/>
          <w:color w:val="auto"/>
          <w:sz w:val="24"/>
          <w:szCs w:val="24"/>
          <w:highlight w:val="none"/>
        </w:rPr>
      </w:pPr>
      <w:r>
        <w:rPr>
          <w:color w:val="auto"/>
          <w:highlight w:val="none"/>
        </w:rPr>
        <w:fldChar w:fldCharType="begin"/>
      </w:r>
      <w:r>
        <w:rPr>
          <w:color w:val="auto"/>
          <w:highlight w:val="none"/>
        </w:rPr>
        <w:instrText xml:space="preserve"> HYPERLINK \l "_Toc28187733" </w:instrText>
      </w:r>
      <w:r>
        <w:rPr>
          <w:rFonts w:ascii="Calibri" w:hAnsi="Calibri"/>
          <w:b/>
          <w:color w:val="auto"/>
          <w:sz w:val="20"/>
          <w:szCs w:val="20"/>
          <w:highlight w:val="none"/>
        </w:rPr>
        <w:fldChar w:fldCharType="separate"/>
      </w:r>
      <w:r>
        <w:rPr>
          <w:rStyle w:val="56"/>
          <w:rFonts w:hint="eastAsia" w:ascii="宋体" w:hAnsi="宋体" w:cs="黑体"/>
          <w:b w:val="0"/>
          <w:color w:val="auto"/>
          <w:sz w:val="24"/>
          <w:szCs w:val="24"/>
          <w:highlight w:val="none"/>
        </w:rPr>
        <w:t>第五章  委托人要求</w:t>
      </w:r>
      <w:r>
        <w:rPr>
          <w:rFonts w:hint="eastAsia" w:ascii="宋体" w:hAnsi="宋体"/>
          <w:b w:val="0"/>
          <w:color w:val="auto"/>
          <w:sz w:val="24"/>
          <w:szCs w:val="24"/>
          <w:highlight w:val="none"/>
        </w:rPr>
        <w:tab/>
      </w:r>
      <w:r>
        <w:rPr>
          <w:rFonts w:ascii="宋体" w:hAnsi="宋体"/>
          <w:b w:val="0"/>
          <w:color w:val="auto"/>
          <w:sz w:val="24"/>
          <w:szCs w:val="24"/>
          <w:highlight w:val="none"/>
        </w:rPr>
        <w:fldChar w:fldCharType="end"/>
      </w:r>
    </w:p>
    <w:p>
      <w:pPr>
        <w:pStyle w:val="34"/>
        <w:tabs>
          <w:tab w:val="right" w:leader="dot" w:pos="8771"/>
        </w:tabs>
        <w:spacing w:line="480" w:lineRule="auto"/>
        <w:rPr>
          <w:rFonts w:hint="eastAsia" w:ascii="宋体" w:hAnsi="宋体"/>
          <w:b w:val="0"/>
          <w:bCs w:val="0"/>
          <w:caps w:val="0"/>
          <w:color w:val="auto"/>
          <w:sz w:val="24"/>
          <w:szCs w:val="24"/>
          <w:highlight w:val="none"/>
        </w:rPr>
      </w:pPr>
      <w:r>
        <w:rPr>
          <w:color w:val="auto"/>
          <w:highlight w:val="none"/>
        </w:rPr>
        <w:fldChar w:fldCharType="begin"/>
      </w:r>
      <w:r>
        <w:rPr>
          <w:color w:val="auto"/>
          <w:highlight w:val="none"/>
        </w:rPr>
        <w:instrText xml:space="preserve"> HYPERLINK \l "_Toc28187734" </w:instrText>
      </w:r>
      <w:r>
        <w:rPr>
          <w:rFonts w:ascii="Calibri" w:hAnsi="Calibri"/>
          <w:b/>
          <w:color w:val="auto"/>
          <w:sz w:val="20"/>
          <w:szCs w:val="20"/>
          <w:highlight w:val="none"/>
        </w:rPr>
        <w:fldChar w:fldCharType="separate"/>
      </w:r>
      <w:r>
        <w:rPr>
          <w:rStyle w:val="56"/>
          <w:rFonts w:hint="eastAsia" w:ascii="宋体" w:hAnsi="宋体" w:cs="黑体"/>
          <w:b w:val="0"/>
          <w:color w:val="auto"/>
          <w:sz w:val="24"/>
          <w:szCs w:val="24"/>
          <w:highlight w:val="none"/>
        </w:rPr>
        <w:t>第六章  图纸和资料（另册）</w:t>
      </w:r>
      <w:r>
        <w:rPr>
          <w:rFonts w:hint="eastAsia" w:ascii="宋体" w:hAnsi="宋体"/>
          <w:b w:val="0"/>
          <w:color w:val="auto"/>
          <w:sz w:val="24"/>
          <w:szCs w:val="24"/>
          <w:highlight w:val="none"/>
        </w:rPr>
        <w:tab/>
      </w:r>
      <w:r>
        <w:rPr>
          <w:rFonts w:ascii="宋体" w:hAnsi="宋体"/>
          <w:b w:val="0"/>
          <w:color w:val="auto"/>
          <w:sz w:val="24"/>
          <w:szCs w:val="24"/>
          <w:highlight w:val="none"/>
        </w:rPr>
        <w:fldChar w:fldCharType="end"/>
      </w:r>
    </w:p>
    <w:p>
      <w:pPr>
        <w:pStyle w:val="34"/>
        <w:tabs>
          <w:tab w:val="right" w:leader="dot" w:pos="8771"/>
        </w:tabs>
        <w:spacing w:line="480" w:lineRule="auto"/>
        <w:jc w:val="center"/>
        <w:rPr>
          <w:rFonts w:hint="eastAsia" w:ascii="等线" w:hAnsi="等线" w:eastAsia="等线"/>
          <w:b w:val="0"/>
          <w:bCs w:val="0"/>
          <w:caps w:val="0"/>
          <w:color w:val="auto"/>
          <w:sz w:val="30"/>
          <w:szCs w:val="30"/>
          <w:highlight w:val="none"/>
        </w:rPr>
      </w:pPr>
      <w:r>
        <w:rPr>
          <w:color w:val="auto"/>
          <w:highlight w:val="none"/>
        </w:rPr>
        <w:fldChar w:fldCharType="begin"/>
      </w:r>
      <w:r>
        <w:rPr>
          <w:color w:val="auto"/>
          <w:highlight w:val="none"/>
        </w:rPr>
        <w:instrText xml:space="preserve"> HYPERLINK \l "_Toc28187735" </w:instrText>
      </w:r>
      <w:r>
        <w:rPr>
          <w:rStyle w:val="50"/>
          <w:rFonts w:ascii="黑体" w:hAnsi="黑体" w:eastAsia="黑体" w:cs="黑体"/>
          <w:b w:val="0"/>
          <w:color w:val="auto"/>
          <w:sz w:val="30"/>
          <w:szCs w:val="30"/>
          <w:highlight w:val="none"/>
          <w:u w:val="none"/>
        </w:rPr>
        <w:fldChar w:fldCharType="separate"/>
      </w:r>
      <w:r>
        <w:rPr>
          <w:rStyle w:val="56"/>
          <w:rFonts w:hint="eastAsia" w:ascii="黑体" w:hAnsi="黑体" w:eastAsia="黑体" w:cs="黑体"/>
          <w:b w:val="0"/>
          <w:color w:val="auto"/>
          <w:sz w:val="30"/>
          <w:szCs w:val="30"/>
          <w:highlight w:val="none"/>
          <w:u w:val="none"/>
        </w:rPr>
        <w:t>第 三 卷</w:t>
      </w:r>
      <w:r>
        <w:rPr>
          <w:rStyle w:val="56"/>
          <w:rFonts w:ascii="黑体" w:hAnsi="黑体" w:eastAsia="黑体" w:cs="黑体"/>
          <w:b w:val="0"/>
          <w:color w:val="auto"/>
          <w:sz w:val="30"/>
          <w:szCs w:val="30"/>
          <w:highlight w:val="none"/>
          <w:u w:val="none"/>
        </w:rPr>
        <w:fldChar w:fldCharType="end"/>
      </w:r>
    </w:p>
    <w:p>
      <w:pPr>
        <w:pStyle w:val="34"/>
        <w:tabs>
          <w:tab w:val="right" w:leader="dot" w:pos="8771"/>
        </w:tabs>
        <w:spacing w:line="480" w:lineRule="auto"/>
        <w:rPr>
          <w:rFonts w:hint="eastAsia" w:ascii="宋体" w:hAnsi="宋体"/>
          <w:b w:val="0"/>
          <w:bCs w:val="0"/>
          <w:caps w:val="0"/>
          <w:color w:val="auto"/>
          <w:sz w:val="24"/>
          <w:szCs w:val="24"/>
          <w:highlight w:val="none"/>
        </w:rPr>
      </w:pPr>
      <w:r>
        <w:rPr>
          <w:color w:val="auto"/>
          <w:highlight w:val="none"/>
        </w:rPr>
        <w:fldChar w:fldCharType="begin"/>
      </w:r>
      <w:r>
        <w:rPr>
          <w:color w:val="auto"/>
          <w:highlight w:val="none"/>
        </w:rPr>
        <w:instrText xml:space="preserve"> HYPERLINK \l "_Toc28187736" </w:instrText>
      </w:r>
      <w:r>
        <w:rPr>
          <w:rFonts w:ascii="Calibri" w:hAnsi="Calibri"/>
          <w:b/>
          <w:color w:val="auto"/>
          <w:sz w:val="20"/>
          <w:szCs w:val="20"/>
          <w:highlight w:val="none"/>
        </w:rPr>
        <w:fldChar w:fldCharType="separate"/>
      </w:r>
      <w:r>
        <w:rPr>
          <w:rStyle w:val="56"/>
          <w:rFonts w:hint="eastAsia" w:ascii="宋体" w:hAnsi="宋体" w:cs="黑体"/>
          <w:b w:val="0"/>
          <w:color w:val="auto"/>
          <w:sz w:val="24"/>
          <w:szCs w:val="24"/>
          <w:highlight w:val="none"/>
        </w:rPr>
        <w:t>第七章  投标文件格式</w:t>
      </w:r>
      <w:r>
        <w:rPr>
          <w:rFonts w:hint="eastAsia" w:ascii="宋体" w:hAnsi="宋体"/>
          <w:b w:val="0"/>
          <w:color w:val="auto"/>
          <w:sz w:val="24"/>
          <w:szCs w:val="24"/>
          <w:highlight w:val="none"/>
        </w:rPr>
        <w:tab/>
      </w:r>
      <w:r>
        <w:rPr>
          <w:rFonts w:ascii="宋体" w:hAnsi="宋体"/>
          <w:b w:val="0"/>
          <w:color w:val="auto"/>
          <w:sz w:val="24"/>
          <w:szCs w:val="24"/>
          <w:highlight w:val="none"/>
        </w:rPr>
        <w:fldChar w:fldCharType="end"/>
      </w:r>
    </w:p>
    <w:p>
      <w:pPr>
        <w:pStyle w:val="276"/>
        <w:adjustRightInd w:val="0"/>
        <w:snapToGrid w:val="0"/>
        <w:spacing w:line="480" w:lineRule="auto"/>
        <w:rPr>
          <w:rFonts w:hint="eastAsia" w:ascii="宋体" w:hAnsi="宋体" w:cs="宋体"/>
          <w:color w:val="auto"/>
          <w:highlight w:val="none"/>
        </w:rPr>
      </w:pPr>
      <w:r>
        <w:rPr>
          <w:rFonts w:hint="eastAsia" w:ascii="宋体" w:hAnsi="宋体" w:cs="宋体"/>
          <w:color w:val="auto"/>
          <w:sz w:val="24"/>
          <w:highlight w:val="none"/>
        </w:rPr>
        <w:fldChar w:fldCharType="end"/>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rPr>
          <w:rFonts w:hint="eastAsia" w:ascii="宋体" w:hAnsi="宋体" w:cs="宋体"/>
          <w:color w:val="auto"/>
          <w:highlight w:val="none"/>
        </w:rPr>
        <w:sectPr>
          <w:headerReference r:id="rId8" w:type="default"/>
          <w:footerReference r:id="rId9" w:type="default"/>
          <w:footnotePr>
            <w:numFmt w:val="decimalEnclosedCircleChinese"/>
            <w:numRestart w:val="eachPage"/>
          </w:footnotePr>
          <w:type w:val="nextColumn"/>
          <w:pgSz w:w="11900" w:h="16840"/>
          <w:pgMar w:top="1417" w:right="1418" w:bottom="1417" w:left="1701" w:header="885" w:footer="624" w:gutter="0"/>
          <w:pgNumType w:start="1"/>
          <w:cols w:space="720" w:num="1"/>
          <w:docGrid w:linePitch="312" w:charSpace="0"/>
        </w:sectPr>
      </w:pPr>
      <w:bookmarkStart w:id="3" w:name="_Toc519777799"/>
      <w:bookmarkStart w:id="4" w:name="_Toc509828603"/>
      <w:bookmarkStart w:id="5" w:name="_Toc519777903"/>
      <w:bookmarkStart w:id="6" w:name="_Toc519601433"/>
      <w:bookmarkStart w:id="7" w:name="_Toc519777791"/>
      <w:bookmarkStart w:id="8" w:name="_Toc519777851"/>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pStyle w:val="4"/>
        <w:spacing w:line="240" w:lineRule="auto"/>
        <w:rPr>
          <w:rFonts w:hint="eastAsia" w:ascii="宋体" w:hAnsi="宋体" w:eastAsia="宋体" w:cs="宋体"/>
          <w:color w:val="auto"/>
          <w:sz w:val="76"/>
          <w:szCs w:val="76"/>
          <w:highlight w:val="none"/>
        </w:rPr>
      </w:pPr>
      <w:bookmarkStart w:id="9" w:name="_Toc28187706"/>
      <w:r>
        <w:rPr>
          <w:rFonts w:hint="eastAsia" w:ascii="黑体" w:hAnsi="黑体" w:cs="黑体"/>
          <w:color w:val="auto"/>
          <w:sz w:val="76"/>
          <w:szCs w:val="76"/>
          <w:highlight w:val="none"/>
        </w:rPr>
        <w:t>第 一 卷</w:t>
      </w:r>
      <w:bookmarkEnd w:id="3"/>
      <w:bookmarkEnd w:id="4"/>
      <w:bookmarkEnd w:id="5"/>
      <w:bookmarkEnd w:id="6"/>
      <w:bookmarkEnd w:id="7"/>
      <w:bookmarkEnd w:id="8"/>
      <w:bookmarkEnd w:id="9"/>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360" w:lineRule="auto"/>
        <w:jc w:val="center"/>
        <w:outlineLvl w:val="0"/>
        <w:rPr>
          <w:rFonts w:hint="eastAsia" w:ascii="黑体" w:hAnsi="黑体" w:eastAsia="黑体" w:cs="宋体"/>
          <w:color w:val="auto"/>
          <w:sz w:val="36"/>
          <w:szCs w:val="36"/>
          <w:highlight w:val="none"/>
        </w:rPr>
      </w:pPr>
      <w:r>
        <w:rPr>
          <w:rFonts w:hint="eastAsia" w:ascii="宋体" w:hAnsi="宋体" w:cs="宋体"/>
          <w:color w:val="auto"/>
          <w:highlight w:val="none"/>
        </w:rPr>
        <w:br w:type="page"/>
      </w:r>
      <w:r>
        <w:rPr>
          <w:rStyle w:val="75"/>
          <w:rFonts w:hint="eastAsia"/>
          <w:b w:val="0"/>
          <w:bCs w:val="0"/>
          <w:color w:val="auto"/>
          <w:highlight w:val="none"/>
        </w:rPr>
        <w:t>第一章</w:t>
      </w:r>
      <w:r>
        <w:rPr>
          <w:rStyle w:val="75"/>
          <w:b w:val="0"/>
          <w:bCs w:val="0"/>
          <w:color w:val="auto"/>
          <w:highlight w:val="none"/>
        </w:rPr>
        <w:t xml:space="preserve">  </w:t>
      </w:r>
      <w:r>
        <w:rPr>
          <w:rStyle w:val="75"/>
          <w:rFonts w:hint="eastAsia"/>
          <w:b w:val="0"/>
          <w:bCs w:val="0"/>
          <w:color w:val="auto"/>
          <w:highlight w:val="none"/>
        </w:rPr>
        <w:t>招标公告</w:t>
      </w:r>
    </w:p>
    <w:p>
      <w:pPr>
        <w:tabs>
          <w:tab w:val="left" w:pos="5542"/>
        </w:tabs>
        <w:spacing w:line="360" w:lineRule="auto"/>
        <w:ind w:firstLine="150" w:firstLineChars="50"/>
        <w:jc w:val="center"/>
        <w:rPr>
          <w:rFonts w:hint="eastAsia" w:ascii="黑体" w:hAnsi="黑体" w:eastAsia="黑体"/>
          <w:b/>
          <w:color w:val="auto"/>
          <w:sz w:val="30"/>
          <w:szCs w:val="30"/>
          <w:highlight w:val="none"/>
        </w:rPr>
      </w:pPr>
      <w:r>
        <w:rPr>
          <w:rFonts w:hint="eastAsia" w:ascii="黑体" w:hAnsi="黑体" w:eastAsia="黑体"/>
          <w:color w:val="auto"/>
          <w:sz w:val="30"/>
          <w:szCs w:val="30"/>
          <w:highlight w:val="none"/>
        </w:rPr>
        <w:t xml:space="preserve">   ________（招标项目名称）施工监理____标段招标公告</w:t>
      </w:r>
    </w:p>
    <w:p>
      <w:pPr>
        <w:spacing w:line="360" w:lineRule="auto"/>
        <w:rPr>
          <w:rFonts w:hint="eastAsia" w:ascii="宋体" w:hAnsi="宋体" w:cs="宋体"/>
          <w:color w:val="auto"/>
          <w:highlight w:val="none"/>
        </w:rPr>
      </w:pPr>
      <w:bookmarkStart w:id="10" w:name="_Toc519778461"/>
    </w:p>
    <w:p>
      <w:pPr>
        <w:pStyle w:val="5"/>
        <w:numPr>
          <w:ilvl w:val="255"/>
          <w:numId w:val="0"/>
        </w:numPr>
        <w:rPr>
          <w:color w:val="auto"/>
          <w:highlight w:val="none"/>
        </w:rPr>
      </w:pPr>
      <w:bookmarkStart w:id="11" w:name="_Toc523921577"/>
      <w:r>
        <w:rPr>
          <w:color w:val="auto"/>
          <w:highlight w:val="none"/>
        </w:rPr>
        <w:t xml:space="preserve">1. </w:t>
      </w:r>
      <w:r>
        <w:rPr>
          <w:rFonts w:hint="eastAsia"/>
          <w:color w:val="auto"/>
          <w:highlight w:val="none"/>
        </w:rPr>
        <w:t>招标条件</w:t>
      </w:r>
      <w:bookmarkEnd w:id="10"/>
      <w:bookmarkEnd w:id="11"/>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本次招标项目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（项目名称）已由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（项目审批、核准或备案机关名称）以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（批文名称及编号）批准建设，初步设计已由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（批准机关名称）以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（批文名称及编号）批准，项目业主为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，建设资金来自</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（资金来源），出资比例为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，招标人为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。项目已具备招标条件，</w:t>
      </w:r>
      <w:r>
        <w:rPr>
          <w:rFonts w:hint="eastAsia" w:ascii="宋体" w:hAnsi="宋体"/>
          <w:color w:val="auto"/>
          <w:sz w:val="24"/>
          <w:highlight w:val="none"/>
        </w:rPr>
        <w:t>现对该项目的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标段施工监理</w:t>
      </w:r>
      <w:r>
        <w:rPr>
          <w:rFonts w:hint="eastAsia" w:ascii="宋体" w:hAnsi="宋体"/>
          <w:color w:val="auto"/>
          <w:sz w:val="24"/>
          <w:highlight w:val="none"/>
        </w:rPr>
        <w:t>进行公开招标。</w:t>
      </w:r>
    </w:p>
    <w:p>
      <w:pPr>
        <w:pStyle w:val="5"/>
        <w:numPr>
          <w:ilvl w:val="255"/>
          <w:numId w:val="0"/>
        </w:numPr>
        <w:rPr>
          <w:color w:val="auto"/>
          <w:highlight w:val="none"/>
        </w:rPr>
      </w:pPr>
      <w:bookmarkStart w:id="12" w:name="_Toc519778462"/>
      <w:bookmarkStart w:id="13" w:name="_Toc523921578"/>
      <w:r>
        <w:rPr>
          <w:color w:val="auto"/>
          <w:highlight w:val="none"/>
        </w:rPr>
        <w:t xml:space="preserve">2. </w:t>
      </w:r>
      <w:r>
        <w:rPr>
          <w:rFonts w:hint="eastAsia"/>
          <w:color w:val="auto"/>
          <w:highlight w:val="none"/>
        </w:rPr>
        <w:t>项目概况与招标范围</w:t>
      </w:r>
      <w:bookmarkEnd w:id="12"/>
      <w:bookmarkEnd w:id="1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 项目概况：</w:t>
      </w:r>
      <w:r>
        <w:rPr>
          <w:rFonts w:hint="eastAsia" w:ascii="宋体" w:hAnsi="宋体" w:cs="宋体"/>
          <w:color w:val="auto"/>
          <w:sz w:val="24"/>
          <w:highlight w:val="none"/>
          <w:u w:val="single"/>
        </w:rPr>
        <w:t xml:space="preserve">     （说明本次招标项目的建设地点、规模等）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 技术标准：</w:t>
      </w:r>
      <w:r>
        <w:rPr>
          <w:rFonts w:hint="eastAsia" w:ascii="宋体" w:hAnsi="宋体" w:cs="宋体"/>
          <w:color w:val="auto"/>
          <w:sz w:val="24"/>
          <w:highlight w:val="none"/>
          <w:u w:val="single"/>
        </w:rPr>
        <w:t xml:space="preserve">     （说明本次招标项目的设计技术标准等）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w:t>
      </w:r>
      <w:r>
        <w:rPr>
          <w:rFonts w:hint="eastAsia" w:ascii="宋体" w:hAnsi="宋体" w:cs="宋体"/>
          <w:b/>
          <w:color w:val="auto"/>
          <w:sz w:val="24"/>
          <w:highlight w:val="none"/>
        </w:rPr>
        <w:t xml:space="preserve"> </w:t>
      </w:r>
      <w:r>
        <w:rPr>
          <w:rFonts w:hint="eastAsia" w:ascii="宋体" w:hAnsi="宋体" w:cs="宋体"/>
          <w:color w:val="auto"/>
          <w:sz w:val="24"/>
          <w:highlight w:val="none"/>
        </w:rPr>
        <w:t>招标范围及监理服务期限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2.3.1招标范围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起讫桩号：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范围内 □路基、□路面、□桥梁、□隧道、□交通安全设施、□机电、□绿化及环境保护设施、□房建、□机电、□其他：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的施工监理（□含监理试验室）。</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_________________________________________</w:t>
      </w:r>
    </w:p>
    <w:p>
      <w:pPr>
        <w:pStyle w:val="2"/>
        <w:ind w:firstLine="4" w:firstLineChars="2"/>
        <w:rPr>
          <w:rFonts w:hint="eastAsia" w:ascii="宋体" w:hAnsi="宋体" w:cs="宋体"/>
          <w:color w:val="auto"/>
          <w:sz w:val="24"/>
          <w:highlight w:val="none"/>
        </w:rPr>
      </w:pPr>
      <w:r>
        <w:rPr>
          <w:rFonts w:hint="eastAsia" w:ascii="宋体" w:hAnsi="宋体" w:cs="宋体"/>
          <w:color w:val="auto"/>
          <w:sz w:val="24"/>
          <w:highlight w:val="none"/>
        </w:rPr>
        <w:t>注：招标范围可为选择项中的一项或多项，未选择的项，视为不含该项内容。</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2.3.2标段划分</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本次招标划分为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个标段，标段号为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。具体标段划分、对应施工标段、起讫桩号、主要工程内容及规模等见</w:t>
      </w:r>
      <w:r>
        <w:rPr>
          <w:rFonts w:hint="eastAsia" w:ascii="宋体" w:hAnsi="宋体" w:cs="宋体"/>
          <w:color w:val="auto"/>
          <w:sz w:val="24"/>
          <w:highlight w:val="none"/>
          <w:u w:val="single"/>
        </w:rPr>
        <w:t>本公告附表一</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2.3.3机构设置</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设置总监理工程师办公室</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个，总监理工程师办公室下设驻地监理工程师办公室</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2.3.4监理服务期限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施工准备期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日历天，施工期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w:t>
      </w:r>
      <w:r>
        <w:rPr>
          <w:rFonts w:hint="eastAsia" w:ascii="宋体" w:hAnsi="宋体" w:cs="宋体"/>
          <w:color w:val="auto"/>
          <w:sz w:val="24"/>
          <w:highlight w:val="none"/>
        </w:rPr>
        <w:sym w:font="Wingdings 2" w:char="00A3"/>
      </w:r>
      <w:r>
        <w:rPr>
          <w:rFonts w:hint="eastAsia" w:ascii="宋体" w:hAnsi="宋体" w:cs="宋体"/>
          <w:color w:val="auto"/>
          <w:sz w:val="24"/>
          <w:highlight w:val="none"/>
        </w:rPr>
        <w:t>试运行期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日历天，缺陷责任期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________________________________</w:t>
      </w:r>
    </w:p>
    <w:p>
      <w:pPr>
        <w:pStyle w:val="2"/>
        <w:ind w:left="0" w:leftChars="0" w:firstLine="424" w:firstLineChars="202"/>
        <w:rPr>
          <w:color w:val="auto"/>
          <w:highlight w:val="none"/>
        </w:rPr>
      </w:pPr>
      <w:r>
        <w:rPr>
          <w:color w:val="auto"/>
          <w:highlight w:val="none"/>
        </w:rPr>
        <w:t xml:space="preserve"> </w:t>
      </w:r>
      <w:r>
        <w:rPr>
          <w:rFonts w:hint="eastAsia"/>
          <w:color w:val="auto"/>
          <w:highlight w:val="none"/>
        </w:rPr>
        <w:t>注：</w:t>
      </w:r>
      <w:r>
        <w:rPr>
          <w:rFonts w:hint="eastAsia" w:ascii="宋体" w:hAnsi="宋体" w:cs="宋体"/>
          <w:color w:val="auto"/>
          <w:highlight w:val="none"/>
        </w:rPr>
        <w:t>招标范围包含“机电工程”的，应明示“试运行期”期限。</w:t>
      </w:r>
    </w:p>
    <w:p>
      <w:pPr>
        <w:pStyle w:val="5"/>
        <w:numPr>
          <w:ilvl w:val="255"/>
          <w:numId w:val="0"/>
        </w:numPr>
        <w:rPr>
          <w:color w:val="auto"/>
          <w:highlight w:val="none"/>
        </w:rPr>
      </w:pPr>
      <w:bookmarkStart w:id="14" w:name="_Toc519778463"/>
      <w:bookmarkStart w:id="15" w:name="_Toc523921579"/>
      <w:r>
        <w:rPr>
          <w:color w:val="auto"/>
          <w:highlight w:val="none"/>
        </w:rPr>
        <w:t xml:space="preserve">3. </w:t>
      </w:r>
      <w:r>
        <w:rPr>
          <w:rFonts w:hint="eastAsia"/>
          <w:color w:val="auto"/>
          <w:highlight w:val="none"/>
        </w:rPr>
        <w:t>投标人资格要求</w:t>
      </w:r>
      <w:bookmarkEnd w:id="14"/>
      <w:bookmarkEnd w:id="1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 投标人资格条件：</w:t>
      </w:r>
      <w:r>
        <w:rPr>
          <w:rFonts w:hint="eastAsia" w:ascii="宋体" w:hAnsi="宋体" w:cs="宋体"/>
          <w:color w:val="auto"/>
          <w:sz w:val="24"/>
          <w:highlight w:val="none"/>
          <w:u w:val="single"/>
        </w:rPr>
        <w:t>见第二章“投标人须知”前附表附录资格审查条件</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w:t>
      </w:r>
      <w:r>
        <w:rPr>
          <w:rFonts w:hint="eastAsia" w:ascii="宋体" w:hAnsi="宋体" w:cs="宋体"/>
          <w:b/>
          <w:color w:val="auto"/>
          <w:sz w:val="24"/>
          <w:highlight w:val="none"/>
        </w:rPr>
        <w:t xml:space="preserve"> </w:t>
      </w:r>
      <w:r>
        <w:rPr>
          <w:rFonts w:hint="eastAsia" w:ascii="宋体" w:hAnsi="宋体" w:cs="宋体"/>
          <w:color w:val="auto"/>
          <w:sz w:val="24"/>
          <w:highlight w:val="none"/>
        </w:rPr>
        <w:t>本次招标：</w:t>
      </w:r>
      <w:r>
        <w:rPr>
          <w:rFonts w:hint="eastAsia" w:ascii="宋体" w:hAnsi="宋体" w:cs="宋体"/>
          <w:b/>
          <w:bCs/>
          <w:color w:val="auto"/>
          <w:sz w:val="24"/>
          <w:highlight w:val="none"/>
        </w:rPr>
        <w:sym w:font="Wingdings 2" w:char="00A3"/>
      </w:r>
      <w:r>
        <w:rPr>
          <w:rFonts w:hint="eastAsia" w:ascii="宋体" w:hAnsi="宋体" w:cs="宋体"/>
          <w:color w:val="auto"/>
          <w:sz w:val="24"/>
          <w:highlight w:val="none"/>
        </w:rPr>
        <w:t>不接受联合体投标。</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接受联合体投标，联合体所有成员数量不得超过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家，联合体应具有的资格条件要求：</w:t>
      </w:r>
      <w:r>
        <w:rPr>
          <w:rFonts w:hint="eastAsia" w:ascii="宋体" w:hAnsi="宋体" w:cs="宋体"/>
          <w:color w:val="auto"/>
          <w:sz w:val="24"/>
          <w:highlight w:val="none"/>
          <w:u w:val="single"/>
        </w:rPr>
        <w:t xml:space="preserve">见第二章“投标人须知”前附表附录资格审查条件 </w:t>
      </w:r>
      <w:r>
        <w:rPr>
          <w:rFonts w:hint="eastAsia" w:ascii="宋体" w:hAnsi="宋体" w:cs="宋体"/>
          <w:color w:val="auto"/>
          <w:sz w:val="24"/>
          <w:highlight w:val="none"/>
        </w:rPr>
        <w:t>。</w:t>
      </w:r>
    </w:p>
    <w:p>
      <w:pPr>
        <w:pStyle w:val="2"/>
        <w:ind w:left="0" w:leftChars="0" w:firstLine="564" w:firstLineChars="235"/>
        <w:rPr>
          <w:rFonts w:hint="eastAsia" w:ascii="宋体" w:hAnsi="宋体" w:cs="宋体"/>
          <w:color w:val="auto"/>
          <w:sz w:val="24"/>
          <w:szCs w:val="24"/>
          <w:highlight w:val="none"/>
        </w:rPr>
      </w:pPr>
      <w:r>
        <w:rPr>
          <w:rFonts w:hint="eastAsia" w:ascii="宋体" w:hAnsi="宋体" w:cs="宋体"/>
          <w:color w:val="auto"/>
          <w:sz w:val="24"/>
          <w:szCs w:val="24"/>
          <w:highlight w:val="none"/>
        </w:rPr>
        <w:t>注：允许联合体投标的，应明确对联合体各方的资质、业绩、信誉、人员等要求。</w:t>
      </w:r>
    </w:p>
    <w:p>
      <w:pPr>
        <w:spacing w:line="360" w:lineRule="auto"/>
        <w:ind w:firstLine="480" w:firstLineChars="200"/>
        <w:rPr>
          <w:rFonts w:ascii="Times New Roman" w:hAnsi="Times New Roman"/>
          <w:color w:val="auto"/>
          <w:sz w:val="24"/>
          <w:highlight w:val="none"/>
        </w:rPr>
      </w:pPr>
      <w:r>
        <w:rPr>
          <w:rFonts w:hint="eastAsia" w:ascii="宋体" w:hAnsi="宋体" w:cs="宋体"/>
          <w:color w:val="auto"/>
          <w:sz w:val="24"/>
          <w:highlight w:val="none"/>
        </w:rPr>
        <w:t>3.3 每个投标人最多可对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个标段投标，允许中</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个标段。</w:t>
      </w:r>
      <w:bookmarkStart w:id="16" w:name="_Hlk94031211"/>
      <w:r>
        <w:rPr>
          <w:rFonts w:hint="eastAsia" w:ascii="Times New Roman" w:hAnsi="Times New Roman"/>
          <w:color w:val="auto"/>
          <w:sz w:val="24"/>
          <w:highlight w:val="none"/>
        </w:rPr>
        <w:t>投标人投标标段数量超过允许投标人投标标段数量时，相关投标均无效。</w:t>
      </w:r>
      <w:bookmarkEnd w:id="1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 招标人可根据《四川省重点公路建设从业单位信用管理办法》/《四川省农村公路建设从业单位信用管理办法》规定对投标人拟投标段数量及中标标段数量进行调整。</w:t>
      </w:r>
    </w:p>
    <w:p>
      <w:pPr>
        <w:widowControl/>
        <w:spacing w:line="360" w:lineRule="auto"/>
        <w:ind w:firstLine="481" w:firstLineChars="200"/>
        <w:rPr>
          <w:rFonts w:hint="eastAsia" w:ascii="宋体" w:hAnsi="宋体"/>
          <w:color w:val="auto"/>
          <w:sz w:val="24"/>
          <w:highlight w:val="none"/>
        </w:rPr>
      </w:pPr>
      <w:r>
        <w:rPr>
          <w:rFonts w:hint="eastAsia" w:ascii="宋体" w:hAnsi="宋体"/>
          <w:b/>
          <w:color w:val="auto"/>
          <w:sz w:val="24"/>
          <w:highlight w:val="none"/>
        </w:rPr>
        <w:t>□</w:t>
      </w:r>
      <w:r>
        <w:rPr>
          <w:rFonts w:hint="eastAsia" w:ascii="宋体" w:hAnsi="宋体"/>
          <w:color w:val="auto"/>
          <w:sz w:val="24"/>
          <w:highlight w:val="none"/>
        </w:rPr>
        <w:t xml:space="preserve"> </w:t>
      </w:r>
      <w:r>
        <w:rPr>
          <w:rFonts w:hint="eastAsia" w:ascii="宋体" w:hAnsi="宋体" w:cs="宋体"/>
          <w:color w:val="auto"/>
          <w:sz w:val="24"/>
          <w:highlight w:val="none"/>
        </w:rPr>
        <w:t>允许中2个及以上标段的，每个标段拟投入主要人员不得相同</w:t>
      </w:r>
      <w:r>
        <w:rPr>
          <w:rFonts w:hint="eastAsia" w:ascii="宋体" w:hAnsi="宋体"/>
          <w:color w:val="auto"/>
          <w:sz w:val="24"/>
          <w:highlight w:val="none"/>
        </w:rPr>
        <w:t>。</w:t>
      </w:r>
    </w:p>
    <w:p>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注：适用于招标人允许投标人可多标段投标，且可以中2个及以上标段的情形。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 与招标人存在利害关系可能影响招标公正性的单位，不得参加投标。法定代表人为同一人或者存在控股、管理关系的不同单位，不得参加同一标段投标。否则，相关投标均无效。</w:t>
      </w:r>
    </w:p>
    <w:p>
      <w:pPr>
        <w:pStyle w:val="5"/>
        <w:rPr>
          <w:color w:val="auto"/>
          <w:highlight w:val="none"/>
        </w:rPr>
      </w:pPr>
      <w:bookmarkStart w:id="17" w:name="_Toc523921580"/>
      <w:bookmarkStart w:id="18" w:name="_Toc519778464"/>
      <w:r>
        <w:rPr>
          <w:color w:val="auto"/>
          <w:highlight w:val="none"/>
        </w:rPr>
        <w:t xml:space="preserve">4. </w:t>
      </w:r>
      <w:r>
        <w:rPr>
          <w:rFonts w:hint="eastAsia"/>
          <w:color w:val="auto"/>
          <w:highlight w:val="none"/>
        </w:rPr>
        <w:t>招标文件的获取</w:t>
      </w:r>
      <w:bookmarkEnd w:id="17"/>
      <w:bookmarkEnd w:id="18"/>
      <w:r>
        <w:rPr>
          <w:color w:val="auto"/>
          <w:highlight w:val="none"/>
        </w:rPr>
        <w:t xml:space="preserve"> </w:t>
      </w:r>
    </w:p>
    <w:p>
      <w:pPr>
        <w:tabs>
          <w:tab w:val="left" w:pos="5542"/>
        </w:tabs>
        <w:wordWrap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凡有意参加投标者，请于______年____月___日___时___分，登录全国公共资源交易平台（四川省·甘孜州）（以下简称：甘孜州电子交易系统）(http://jypt.scgzzg.cn)，或登录全国公共资源交易平台（四川省）（网址：http://ggzyjy.sc.gov.cn），</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登录对项目招标投标活动具有行政监督职责的交通运输行政主管部门门户网站，</w:t>
      </w:r>
      <w:r>
        <w:rPr>
          <w:rFonts w:hint="eastAsia" w:ascii="宋体" w:hAnsi="宋体"/>
          <w:color w:val="auto"/>
          <w:sz w:val="24"/>
          <w:highlight w:val="none"/>
        </w:rPr>
        <w:t>凭</w:t>
      </w:r>
      <w:r>
        <w:rPr>
          <w:rFonts w:hint="eastAsia" w:ascii="宋体" w:hAnsi="宋体" w:cs="宋体"/>
          <w:color w:val="auto"/>
          <w:kern w:val="0"/>
          <w:sz w:val="24"/>
          <w:highlight w:val="none"/>
        </w:rPr>
        <w:t>数字证书</w:t>
      </w:r>
      <w:r>
        <w:rPr>
          <w:rFonts w:hint="eastAsia" w:ascii="宋体" w:hAnsi="宋体"/>
          <w:color w:val="auto"/>
          <w:sz w:val="24"/>
          <w:highlight w:val="none"/>
        </w:rPr>
        <w:t>免费获取招标文件、□图纸、□参考资料</w:t>
      </w:r>
      <w:r>
        <w:rPr>
          <w:rFonts w:hint="eastAsia" w:ascii="宋体" w:hAnsi="宋体" w:cs="宋体"/>
          <w:color w:val="auto"/>
          <w:kern w:val="0"/>
          <w:sz w:val="24"/>
          <w:highlight w:val="none"/>
        </w:rPr>
        <w:t>。</w:t>
      </w:r>
    </w:p>
    <w:p>
      <w:pPr>
        <w:spacing w:line="360" w:lineRule="auto"/>
        <w:ind w:firstLine="481" w:firstLineChars="200"/>
        <w:jc w:val="left"/>
        <w:rPr>
          <w:rFonts w:hint="eastAsia" w:ascii="宋体" w:hAnsi="宋体"/>
          <w:color w:val="auto"/>
          <w:sz w:val="24"/>
          <w:highlight w:val="none"/>
        </w:rPr>
      </w:pPr>
      <w:r>
        <w:rPr>
          <w:rFonts w:hint="eastAsia" w:ascii="宋体" w:hAnsi="宋体"/>
          <w:b/>
          <w:bCs/>
          <w:color w:val="auto"/>
          <w:sz w:val="24"/>
          <w:highlight w:val="none"/>
        </w:rPr>
        <w:t>□</w:t>
      </w:r>
      <w:r>
        <w:rPr>
          <w:rFonts w:hint="eastAsia" w:ascii="宋体" w:hAnsi="宋体"/>
          <w:color w:val="auto"/>
          <w:sz w:val="24"/>
          <w:highlight w:val="none"/>
        </w:rPr>
        <w:t xml:space="preserve"> 图纸、参考资料获取：</w:t>
      </w:r>
      <w:r>
        <w:rPr>
          <w:rFonts w:hint="eastAsia" w:ascii="宋体" w:hAnsi="宋体"/>
          <w:color w:val="auto"/>
          <w:sz w:val="24"/>
          <w:highlight w:val="none"/>
          <w:u w:val="single"/>
        </w:rPr>
        <w:t xml:space="preserve">     （招标人指定获取方式）             </w:t>
      </w:r>
      <w:r>
        <w:rPr>
          <w:rFonts w:hint="eastAsia" w:ascii="宋体" w:hAnsi="宋体"/>
          <w:color w:val="auto"/>
          <w:sz w:val="24"/>
          <w:highlight w:val="none"/>
        </w:rPr>
        <w:t>。</w:t>
      </w:r>
    </w:p>
    <w:p>
      <w:pPr>
        <w:keepLines/>
        <w:spacing w:line="360" w:lineRule="auto"/>
        <w:ind w:firstLine="480" w:firstLineChars="200"/>
        <w:jc w:val="left"/>
        <w:rPr>
          <w:color w:val="auto"/>
          <w:highlight w:val="none"/>
        </w:rPr>
      </w:pPr>
      <w:r>
        <w:rPr>
          <w:rFonts w:hint="eastAsia" w:ascii="宋体" w:hAnsi="宋体"/>
          <w:color w:val="auto"/>
          <w:sz w:val="24"/>
          <w:highlight w:val="none"/>
        </w:rPr>
        <w:t>注：按照《中华人民共和国保守国家秘密法》规定，不能提供线上图纸、参考资料的，由招标人指定获取方式。</w:t>
      </w:r>
    </w:p>
    <w:p>
      <w:pPr>
        <w:spacing w:line="360" w:lineRule="auto"/>
        <w:ind w:firstLine="480" w:firstLineChars="200"/>
        <w:jc w:val="left"/>
        <w:rPr>
          <w:rFonts w:hint="eastAsia" w:ascii="宋体" w:hAnsi="宋体" w:cs="宋体"/>
          <w:color w:val="auto"/>
          <w:sz w:val="24"/>
          <w:highlight w:val="none"/>
        </w:rPr>
      </w:pPr>
      <w:bookmarkStart w:id="19" w:name="_Hlk94086860"/>
      <w:r>
        <w:rPr>
          <w:rFonts w:hint="eastAsia" w:ascii="宋体" w:hAnsi="宋体"/>
          <w:color w:val="auto"/>
          <w:sz w:val="24"/>
          <w:highlight w:val="none"/>
        </w:rPr>
        <w:t>投标人未按上述要求下载招标人提供的图纸（如有）、参考资料（如有）的，自行承担由此造成的影响。</w:t>
      </w:r>
      <w:bookmarkEnd w:id="19"/>
    </w:p>
    <w:p>
      <w:pPr>
        <w:pStyle w:val="5"/>
        <w:numPr>
          <w:ilvl w:val="255"/>
          <w:numId w:val="0"/>
        </w:numPr>
        <w:rPr>
          <w:color w:val="auto"/>
          <w:highlight w:val="none"/>
        </w:rPr>
      </w:pPr>
      <w:bookmarkStart w:id="20" w:name="_Toc523921581"/>
      <w:r>
        <w:rPr>
          <w:color w:val="auto"/>
          <w:highlight w:val="none"/>
        </w:rPr>
        <w:t xml:space="preserve">5. </w:t>
      </w:r>
      <w:r>
        <w:rPr>
          <w:rFonts w:hint="eastAsia"/>
          <w:color w:val="auto"/>
          <w:highlight w:val="none"/>
        </w:rPr>
        <w:t>投标文件的递交及相关事宜</w:t>
      </w:r>
      <w:bookmarkEnd w:id="20"/>
      <w:bookmarkStart w:id="21" w:name="_Toc519768267"/>
      <w:bookmarkEnd w:id="21"/>
      <w:bookmarkStart w:id="22" w:name="_Toc519768268"/>
      <w:bookmarkEnd w:id="2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5.1 招标人将 </w:t>
      </w:r>
      <w:r>
        <w:rPr>
          <w:rFonts w:hint="eastAsia" w:ascii="宋体" w:hAnsi="宋体" w:cs="宋体"/>
          <w:b/>
          <w:bCs/>
          <w:color w:val="auto"/>
          <w:sz w:val="24"/>
          <w:highlight w:val="none"/>
        </w:rPr>
        <w:t>□</w:t>
      </w:r>
      <w:r>
        <w:rPr>
          <w:rFonts w:hint="eastAsia" w:ascii="宋体" w:hAnsi="宋体" w:cs="宋体"/>
          <w:color w:val="auto"/>
          <w:sz w:val="24"/>
          <w:highlight w:val="none"/>
        </w:rPr>
        <w:t xml:space="preserve"> 不组织进行工程现场踏勘和召开投标预备会。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b/>
          <w:bCs/>
          <w:color w:val="auto"/>
          <w:sz w:val="24"/>
          <w:highlight w:val="none"/>
        </w:rPr>
        <w:t>□</w:t>
      </w:r>
      <w:r>
        <w:rPr>
          <w:rFonts w:hint="eastAsia" w:ascii="宋体" w:hAnsi="宋体" w:cs="宋体"/>
          <w:color w:val="auto"/>
          <w:sz w:val="24"/>
          <w:highlight w:val="none"/>
        </w:rPr>
        <w:t xml:space="preserve"> 组织进行工程现场踏勘并召开投标预备会。</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踏勘现场集中时间：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时，集中地点：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投标预备会召开时间：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时，召开地点：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5.2 </w:t>
      </w:r>
      <w:r>
        <w:rPr>
          <w:rFonts w:hint="eastAsia" w:ascii="宋体" w:hAnsi="宋体" w:cs="宋体"/>
          <w:color w:val="auto"/>
          <w:sz w:val="24"/>
          <w:highlight w:val="none"/>
        </w:rPr>
        <w:t>投标文件的递交</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（1）投标文件递交的截止时间为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分（投标截止时间，下同）。</w:t>
      </w:r>
    </w:p>
    <w:p>
      <w:pPr>
        <w:spacing w:line="360" w:lineRule="auto"/>
        <w:ind w:firstLine="480" w:firstLineChars="200"/>
        <w:jc w:val="left"/>
        <w:rPr>
          <w:rFonts w:hint="eastAsia" w:ascii="宋体" w:hAnsi="宋体"/>
          <w:color w:val="auto"/>
          <w:sz w:val="24"/>
          <w:highlight w:val="none"/>
        </w:rPr>
      </w:pPr>
      <w:r>
        <w:rPr>
          <w:rFonts w:hint="eastAsia" w:ascii="宋体" w:hAnsi="宋体" w:cs="宋体"/>
          <w:color w:val="auto"/>
          <w:sz w:val="24"/>
          <w:highlight w:val="none"/>
        </w:rPr>
        <w:t>（2）投标人应在投标截止时间前，通过互联网使用单位CA数字证书登录</w:t>
      </w:r>
      <w:r>
        <w:rPr>
          <w:rFonts w:hint="eastAsia" w:ascii="宋体" w:hAnsi="宋体"/>
          <w:color w:val="auto"/>
          <w:sz w:val="24"/>
          <w:highlight w:val="none"/>
        </w:rPr>
        <w:t>《甘孜州电子交易系统》</w:t>
      </w:r>
      <w:r>
        <w:rPr>
          <w:rFonts w:hint="eastAsia" w:ascii="宋体" w:hAnsi="宋体" w:cs="宋体"/>
          <w:color w:val="auto"/>
          <w:sz w:val="24"/>
          <w:highlight w:val="none"/>
        </w:rPr>
        <w:t>，将加密的第一个信封（商务及技术文件）电子投标文件和加密的第二个信封（报价文件）电子投标文件上传，上传成功后系统自动生成电子签收凭证，电子签收凭证时间即为递交时间。</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注：依法必须进行招标的公路工程，自招标文件公布下载之日起至投标人递交投标文件截止之日止，不得少于20日。</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 投标文件的送达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文件逾期未完成上传、未按规定加密上传或未按相应投标标段对应上传的，“电子交易系统”将拒收相应投标文件。若证明是投标人原因导致开标时对其加密的投标文件未成功解密的，视为投标人撤销投标文件</w:t>
      </w:r>
      <w:bookmarkStart w:id="23" w:name="_Hlk99382130"/>
      <w:r>
        <w:rPr>
          <w:rFonts w:hint="eastAsia" w:ascii="宋体" w:hAnsi="宋体" w:cs="宋体"/>
          <w:color w:val="auto"/>
          <w:sz w:val="24"/>
          <w:highlight w:val="none"/>
        </w:rPr>
        <w:t>。</w:t>
      </w:r>
      <w:bookmarkEnd w:id="2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5.4 开标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（1）开标时间：同投标截止时间。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（2）开标地点：投标人应在投标截止时间前，登录</w:t>
      </w:r>
      <w:r>
        <w:rPr>
          <w:rFonts w:hint="eastAsia" w:ascii="宋体" w:hAnsi="宋体"/>
          <w:color w:val="auto"/>
          <w:sz w:val="24"/>
          <w:highlight w:val="none"/>
        </w:rPr>
        <w:t>《甘孜州电子交易系统》工程建设项目电子投标系统</w:t>
      </w:r>
      <w:r>
        <w:rPr>
          <w:rFonts w:hint="eastAsia" w:ascii="宋体" w:hAnsi="宋体" w:cs="宋体"/>
          <w:color w:val="auto"/>
          <w:sz w:val="24"/>
          <w:highlight w:val="none"/>
        </w:rPr>
        <w:t>，在“不见面开标大厅”参与开标过程。</w:t>
      </w:r>
    </w:p>
    <w:p>
      <w:pPr>
        <w:pStyle w:val="5"/>
        <w:rPr>
          <w:color w:val="auto"/>
          <w:highlight w:val="none"/>
        </w:rPr>
      </w:pPr>
      <w:bookmarkStart w:id="24" w:name="_Toc523921582"/>
      <w:r>
        <w:rPr>
          <w:color w:val="auto"/>
          <w:highlight w:val="none"/>
        </w:rPr>
        <w:t xml:space="preserve">6. </w:t>
      </w:r>
      <w:r>
        <w:rPr>
          <w:rFonts w:hint="eastAsia"/>
          <w:color w:val="auto"/>
          <w:highlight w:val="none"/>
        </w:rPr>
        <w:t>评标办法</w:t>
      </w:r>
      <w:bookmarkEnd w:id="2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本次招标采用资格后审，双信封形式。评标方法采用综合评估法。</w:t>
      </w:r>
    </w:p>
    <w:p>
      <w:pPr>
        <w:pStyle w:val="5"/>
        <w:numPr>
          <w:ilvl w:val="255"/>
          <w:numId w:val="0"/>
        </w:numPr>
        <w:rPr>
          <w:color w:val="auto"/>
          <w:highlight w:val="none"/>
        </w:rPr>
      </w:pPr>
      <w:bookmarkStart w:id="25" w:name="_Toc523921583"/>
      <w:r>
        <w:rPr>
          <w:color w:val="auto"/>
          <w:highlight w:val="none"/>
        </w:rPr>
        <w:t xml:space="preserve">7. </w:t>
      </w:r>
      <w:r>
        <w:rPr>
          <w:rFonts w:hint="eastAsia"/>
          <w:color w:val="auto"/>
          <w:highlight w:val="none"/>
        </w:rPr>
        <w:t>发布公告的媒介</w:t>
      </w:r>
      <w:bookmarkEnd w:id="25"/>
    </w:p>
    <w:p>
      <w:pPr>
        <w:tabs>
          <w:tab w:val="left" w:pos="422"/>
        </w:tabs>
        <w:wordWrap w:val="0"/>
        <w:spacing w:line="360" w:lineRule="auto"/>
        <w:ind w:firstLine="480" w:firstLineChars="200"/>
        <w:rPr>
          <w:rFonts w:hint="eastAsia" w:ascii="宋体" w:hAnsi="宋体" w:cs="宋体"/>
          <w:color w:val="auto"/>
          <w:sz w:val="30"/>
          <w:szCs w:val="30"/>
          <w:highlight w:val="none"/>
        </w:rPr>
      </w:pPr>
      <w:r>
        <w:rPr>
          <w:rFonts w:hint="eastAsia" w:ascii="宋体" w:hAnsi="宋体" w:cs="宋体"/>
          <w:color w:val="auto"/>
          <w:sz w:val="24"/>
          <w:highlight w:val="none"/>
        </w:rPr>
        <w:t>本次招标公告同时在全国公共资源交易平台（四川省）（</w:t>
      </w:r>
      <w:r>
        <w:rPr>
          <w:rStyle w:val="56"/>
          <w:rFonts w:hint="eastAsia" w:ascii="宋体" w:hAnsi="宋体" w:cs="宋体"/>
          <w:color w:val="auto"/>
          <w:sz w:val="24"/>
          <w:highlight w:val="none"/>
          <w:u w:val="none"/>
        </w:rPr>
        <w:t>https://ggzyjy.sc.gov.cn/）</w:t>
      </w:r>
      <w:r>
        <w:rPr>
          <w:rFonts w:hint="eastAsia" w:ascii="宋体" w:hAnsi="宋体" w:cs="宋体"/>
          <w:color w:val="auto"/>
          <w:sz w:val="24"/>
          <w:highlight w:val="none"/>
        </w:rPr>
        <w:t>以及</w:t>
      </w:r>
      <w:r>
        <w:rPr>
          <w:rFonts w:hint="eastAsia" w:ascii="宋体" w:hAnsi="宋体" w:cs="宋体"/>
          <w:color w:val="auto"/>
          <w:kern w:val="0"/>
          <w:sz w:val="24"/>
          <w:highlight w:val="none"/>
        </w:rPr>
        <w:t>全国公共资源交易平台（四川省·甘孜州）（http://jypt.scgzzg.cn/）</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在对项目招标投标活动具有行政监督职责的交通运输行政主管部门门户网站</w:t>
      </w:r>
      <w:r>
        <w:rPr>
          <w:rFonts w:hint="eastAsia" w:ascii="宋体" w:hAnsi="宋体" w:cs="宋体"/>
          <w:color w:val="auto"/>
          <w:sz w:val="24"/>
          <w:highlight w:val="none"/>
        </w:rPr>
        <w:t>上发布。</w:t>
      </w:r>
      <w:bookmarkStart w:id="26" w:name="_Toc523921584"/>
    </w:p>
    <w:p>
      <w:pPr>
        <w:pStyle w:val="5"/>
        <w:numPr>
          <w:ilvl w:val="255"/>
          <w:numId w:val="0"/>
        </w:numPr>
        <w:rPr>
          <w:color w:val="auto"/>
          <w:highlight w:val="none"/>
        </w:rPr>
      </w:pPr>
      <w:r>
        <w:rPr>
          <w:color w:val="auto"/>
          <w:highlight w:val="none"/>
        </w:rPr>
        <w:t xml:space="preserve">8. </w:t>
      </w:r>
      <w:r>
        <w:rPr>
          <w:rFonts w:hint="eastAsia"/>
          <w:color w:val="auto"/>
          <w:highlight w:val="none"/>
        </w:rPr>
        <w:t>招标工作公开接受社会监督</w:t>
      </w:r>
      <w:bookmarkEnd w:id="26"/>
    </w:p>
    <w:p>
      <w:pPr>
        <w:spacing w:line="360" w:lineRule="auto"/>
        <w:ind w:firstLine="480" w:firstLineChars="200"/>
        <w:rPr>
          <w:rFonts w:hint="eastAsia" w:ascii="宋体" w:hAnsi="宋体" w:cs="宋体"/>
          <w:color w:val="auto"/>
          <w:sz w:val="24"/>
          <w:highlight w:val="none"/>
        </w:rPr>
      </w:pPr>
      <w:bookmarkStart w:id="27" w:name="_Toc513556611"/>
      <w:bookmarkStart w:id="28" w:name="_Toc513555535"/>
      <w:bookmarkStart w:id="29" w:name="_Toc513555779"/>
      <w:bookmarkStart w:id="30" w:name="_Toc519601435"/>
      <w:r>
        <w:rPr>
          <w:rFonts w:hint="eastAsia" w:ascii="宋体" w:hAnsi="宋体" w:cs="宋体"/>
          <w:color w:val="auto"/>
          <w:sz w:val="24"/>
          <w:highlight w:val="none"/>
        </w:rPr>
        <w:t>8.1</w:t>
      </w:r>
      <w:r>
        <w:rPr>
          <w:rFonts w:hint="eastAsia" w:ascii="宋体" w:hAnsi="宋体" w:cs="宋体"/>
          <w:b/>
          <w:color w:val="auto"/>
          <w:sz w:val="24"/>
          <w:highlight w:val="none"/>
        </w:rPr>
        <w:t xml:space="preserve"> </w:t>
      </w:r>
      <w:r>
        <w:rPr>
          <w:rFonts w:hint="eastAsia" w:ascii="宋体" w:hAnsi="宋体" w:cs="宋体"/>
          <w:color w:val="auto"/>
          <w:sz w:val="24"/>
          <w:highlight w:val="none"/>
        </w:rPr>
        <w:t>公示制度</w:t>
      </w:r>
      <w:bookmarkEnd w:id="27"/>
      <w:bookmarkEnd w:id="28"/>
      <w:bookmarkEnd w:id="29"/>
      <w:bookmarkEnd w:id="30"/>
    </w:p>
    <w:p>
      <w:pPr>
        <w:spacing w:line="360" w:lineRule="auto"/>
        <w:ind w:firstLine="480" w:firstLineChars="200"/>
        <w:rPr>
          <w:rFonts w:hint="eastAsia" w:ascii="宋体" w:hAnsi="宋体" w:cs="宋体"/>
          <w:color w:val="auto"/>
          <w:sz w:val="24"/>
          <w:highlight w:val="none"/>
        </w:rPr>
      </w:pPr>
      <w:bookmarkStart w:id="31" w:name="_Toc513555536"/>
      <w:bookmarkStart w:id="32" w:name="_Toc513555780"/>
      <w:bookmarkStart w:id="33" w:name="_Toc519601436"/>
      <w:bookmarkStart w:id="34" w:name="_Toc513556612"/>
      <w:r>
        <w:rPr>
          <w:rFonts w:hint="eastAsia" w:ascii="宋体" w:hAnsi="宋体" w:cs="宋体"/>
          <w:color w:val="auto"/>
          <w:sz w:val="24"/>
          <w:highlight w:val="none"/>
        </w:rPr>
        <w:t>评标结果公示：招标人在收到评标报告之日起3日内，将评标结果在全国公共资源交易平台（四川省）（</w:t>
      </w:r>
      <w:r>
        <w:rPr>
          <w:rFonts w:hint="eastAsia"/>
          <w:color w:val="auto"/>
          <w:highlight w:val="none"/>
        </w:rPr>
        <w:fldChar w:fldCharType="begin"/>
      </w:r>
      <w:r>
        <w:rPr>
          <w:color w:val="auto"/>
          <w:highlight w:val="none"/>
        </w:rPr>
        <w:instrText xml:space="preserve"> HYPERLINK "http://ggzyjy.sc.gov.cn/</w:instrText>
      </w:r>
      <w:r>
        <w:rPr>
          <w:rFonts w:hint="eastAsia"/>
          <w:color w:val="auto"/>
          <w:highlight w:val="none"/>
        </w:rPr>
        <w:instrText xml:space="preserve">）</w:instrText>
      </w:r>
      <w:r>
        <w:rPr>
          <w:color w:val="auto"/>
          <w:highlight w:val="none"/>
        </w:rPr>
        <w:instrText xml:space="preserve">" </w:instrText>
      </w:r>
      <w:r>
        <w:rPr>
          <w:rStyle w:val="50"/>
          <w:rFonts w:hint="eastAsia" w:ascii="宋体" w:hAnsi="宋体" w:cs="宋体"/>
          <w:color w:val="auto"/>
          <w:sz w:val="24"/>
          <w:highlight w:val="none"/>
          <w:u w:val="none"/>
        </w:rPr>
        <w:fldChar w:fldCharType="separate"/>
      </w:r>
      <w:r>
        <w:rPr>
          <w:rStyle w:val="56"/>
          <w:rFonts w:hint="eastAsia" w:ascii="宋体" w:hAnsi="宋体" w:cs="宋体"/>
          <w:color w:val="auto"/>
          <w:sz w:val="24"/>
          <w:highlight w:val="none"/>
          <w:u w:val="none"/>
        </w:rPr>
        <w:t>https://ggzyjy.sc.gov.cn/）</w:t>
      </w:r>
      <w:r>
        <w:rPr>
          <w:rStyle w:val="56"/>
          <w:rFonts w:hint="eastAsia" w:ascii="宋体" w:hAnsi="宋体" w:cs="宋体"/>
          <w:color w:val="auto"/>
          <w:sz w:val="24"/>
          <w:highlight w:val="none"/>
          <w:u w:val="none"/>
        </w:rPr>
        <w:fldChar w:fldCharType="end"/>
      </w:r>
      <w:r>
        <w:rPr>
          <w:rFonts w:hint="eastAsia" w:ascii="宋体" w:hAnsi="宋体" w:cs="宋体"/>
          <w:color w:val="auto"/>
          <w:kern w:val="0"/>
          <w:sz w:val="24"/>
          <w:highlight w:val="none"/>
        </w:rPr>
        <w:t>以及全国公共资源交易平台（四川省·甘孜州）（http://jypt.scgzzg.cn/）</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在对项目招标投标活动具有行政监督职责的交通运输行政主管部门门户网站</w:t>
      </w:r>
      <w:r>
        <w:rPr>
          <w:rFonts w:hint="eastAsia" w:ascii="宋体" w:hAnsi="宋体" w:cs="宋体"/>
          <w:color w:val="auto"/>
          <w:sz w:val="24"/>
          <w:highlight w:val="none"/>
        </w:rPr>
        <w:t>上公示3个工作日以接受社会公开监督。投标人或者其他利害关系人对评标结果有异议的，应当在评标结果公示期间提出。</w:t>
      </w:r>
    </w:p>
    <w:bookmarkEnd w:id="31"/>
    <w:bookmarkEnd w:id="32"/>
    <w:bookmarkEnd w:id="33"/>
    <w:bookmarkEnd w:id="34"/>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同时招标人将把 </w:t>
      </w:r>
      <w:r>
        <w:rPr>
          <w:rFonts w:hint="eastAsia" w:ascii="宋体" w:hAnsi="宋体" w:cs="宋体"/>
          <w:b/>
          <w:bCs/>
          <w:color w:val="auto"/>
          <w:sz w:val="24"/>
          <w:highlight w:val="none"/>
        </w:rPr>
        <w:t>□</w:t>
      </w:r>
      <w:r>
        <w:rPr>
          <w:rFonts w:hint="eastAsia" w:ascii="宋体" w:hAnsi="宋体" w:cs="宋体"/>
          <w:color w:val="auto"/>
          <w:sz w:val="24"/>
          <w:highlight w:val="none"/>
          <w:u w:val="single"/>
        </w:rPr>
        <w:t>中标候选人</w:t>
      </w:r>
      <w:r>
        <w:rPr>
          <w:rFonts w:hint="eastAsia" w:ascii="宋体" w:hAnsi="宋体" w:cs="宋体"/>
          <w:color w:val="auto"/>
          <w:sz w:val="24"/>
          <w:highlight w:val="none"/>
        </w:rPr>
        <w:t>、</w:t>
      </w:r>
      <w:r>
        <w:rPr>
          <w:rFonts w:hint="eastAsia" w:ascii="宋体" w:hAnsi="宋体" w:cs="宋体"/>
          <w:b/>
          <w:bCs/>
          <w:color w:val="auto"/>
          <w:sz w:val="24"/>
          <w:highlight w:val="none"/>
        </w:rPr>
        <w:sym w:font="Wingdings 2" w:char="00A3"/>
      </w:r>
      <w:r>
        <w:rPr>
          <w:rFonts w:hint="eastAsia" w:ascii="宋体" w:hAnsi="宋体" w:cs="宋体"/>
          <w:color w:val="auto"/>
          <w:sz w:val="24"/>
          <w:highlight w:val="none"/>
          <w:u w:val="single"/>
        </w:rPr>
        <w:t>所有投标人</w:t>
      </w:r>
      <w:r>
        <w:rPr>
          <w:rFonts w:hint="eastAsia" w:ascii="宋体" w:hAnsi="宋体" w:cs="宋体"/>
          <w:color w:val="auto"/>
          <w:sz w:val="24"/>
          <w:highlight w:val="none"/>
        </w:rPr>
        <w:t xml:space="preserve"> 投标文件中所提供的 </w:t>
      </w:r>
      <w:r>
        <w:rPr>
          <w:rFonts w:hint="eastAsia" w:ascii="宋体" w:hAnsi="宋体" w:cs="宋体"/>
          <w:b/>
          <w:bCs/>
          <w:color w:val="auto"/>
          <w:sz w:val="24"/>
          <w:highlight w:val="none"/>
        </w:rPr>
        <w:t>□</w:t>
      </w:r>
      <w:r>
        <w:rPr>
          <w:rFonts w:hint="eastAsia" w:ascii="宋体" w:hAnsi="宋体" w:cs="宋体"/>
          <w:color w:val="auto"/>
          <w:sz w:val="24"/>
          <w:highlight w:val="none"/>
          <w:u w:val="single"/>
        </w:rPr>
        <w:t>近年完成的类似项目情况</w:t>
      </w:r>
      <w:r>
        <w:rPr>
          <w:rFonts w:hint="eastAsia" w:ascii="宋体" w:hAnsi="宋体" w:cs="宋体"/>
          <w:color w:val="auto"/>
          <w:sz w:val="24"/>
          <w:highlight w:val="none"/>
        </w:rPr>
        <w:t>、</w:t>
      </w:r>
      <w:r>
        <w:rPr>
          <w:rFonts w:hint="eastAsia" w:ascii="宋体" w:hAnsi="宋体" w:cs="宋体"/>
          <w:b/>
          <w:bCs/>
          <w:color w:val="auto"/>
          <w:sz w:val="24"/>
          <w:highlight w:val="none"/>
        </w:rPr>
        <w:t>□</w:t>
      </w:r>
      <w:r>
        <w:rPr>
          <w:rFonts w:hint="eastAsia" w:ascii="宋体" w:hAnsi="宋体" w:cs="宋体"/>
          <w:color w:val="auto"/>
          <w:sz w:val="24"/>
          <w:highlight w:val="none"/>
          <w:u w:val="single"/>
        </w:rPr>
        <w:t>拟委任的主要人员</w:t>
      </w:r>
      <w:bookmarkStart w:id="35" w:name="_Hlk94031583"/>
      <w:r>
        <w:rPr>
          <w:rFonts w:hint="eastAsia" w:ascii="宋体" w:hAnsi="宋体" w:cs="宋体"/>
          <w:color w:val="auto"/>
          <w:sz w:val="24"/>
          <w:highlight w:val="none"/>
          <w:u w:val="single"/>
        </w:rPr>
        <w:t>资历</w:t>
      </w:r>
      <w:bookmarkEnd w:id="35"/>
      <w:r>
        <w:rPr>
          <w:rFonts w:hint="eastAsia" w:ascii="宋体" w:hAnsi="宋体" w:cs="宋体"/>
          <w:color w:val="auto"/>
          <w:sz w:val="24"/>
          <w:highlight w:val="none"/>
        </w:rPr>
        <w:t>等内容作为公示资料在全国公共资源交易平台（四川省）（https://ggzyjy.sc.gov.cn/）</w:t>
      </w:r>
      <w:r>
        <w:rPr>
          <w:rFonts w:hint="eastAsia" w:ascii="宋体" w:hAnsi="宋体" w:cs="宋体"/>
          <w:color w:val="auto"/>
          <w:kern w:val="0"/>
          <w:sz w:val="24"/>
          <w:highlight w:val="none"/>
        </w:rPr>
        <w:t>以及全国公共资源交易平台（四川省·甘孜州）（http://jypt.scgzzg.cn/）</w:t>
      </w:r>
      <w:r>
        <w:rPr>
          <w:rFonts w:hint="eastAsia" w:ascii="宋体" w:hAnsi="宋体" w:cs="宋体"/>
          <w:color w:val="000000" w:themeColor="text1"/>
          <w:kern w:val="0"/>
          <w:sz w:val="24"/>
          <w:highlight w:val="none"/>
          <w:lang w:eastAsia="zh-CN"/>
          <w14:textFill>
            <w14:solidFill>
              <w14:schemeClr w14:val="tx1"/>
            </w14:solidFill>
          </w14:textFill>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在对项目招标投标活动具有行政监督职责的交通运输行政主管部门门户网站</w:t>
      </w:r>
      <w:r>
        <w:rPr>
          <w:rFonts w:hint="eastAsia" w:ascii="宋体" w:hAnsi="宋体" w:cs="宋体"/>
          <w:color w:val="auto"/>
          <w:sz w:val="24"/>
          <w:highlight w:val="none"/>
        </w:rPr>
        <w:t>进行公示。公示截止日同评标结果公示截止日，公示期间接受社会公开监督。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注：招标人将近年完成的类似项目情况、拟委任的主要人员资历列入资格审查条件的，须在法定的平台进行公示。</w:t>
      </w:r>
    </w:p>
    <w:p>
      <w:pPr>
        <w:spacing w:line="360" w:lineRule="auto"/>
        <w:ind w:firstLine="480" w:firstLineChars="200"/>
        <w:rPr>
          <w:rFonts w:hint="eastAsia" w:ascii="宋体" w:hAnsi="宋体" w:cs="宋体"/>
          <w:color w:val="auto"/>
          <w:sz w:val="24"/>
          <w:highlight w:val="none"/>
        </w:rPr>
      </w:pPr>
      <w:bookmarkStart w:id="36" w:name="_Hlk98781015"/>
      <w:r>
        <w:rPr>
          <w:rFonts w:hint="eastAsia" w:ascii="宋体" w:hAnsi="宋体" w:cs="宋体"/>
          <w:color w:val="auto"/>
          <w:sz w:val="24"/>
          <w:highlight w:val="none"/>
        </w:rPr>
        <w:t>8.2</w:t>
      </w:r>
      <w:r>
        <w:rPr>
          <w:rFonts w:hint="eastAsia" w:ascii="宋体" w:hAnsi="宋体" w:cs="宋体"/>
          <w:b/>
          <w:color w:val="auto"/>
          <w:sz w:val="24"/>
          <w:highlight w:val="none"/>
        </w:rPr>
        <w:t xml:space="preserve"> </w:t>
      </w:r>
      <w:bookmarkStart w:id="37" w:name="_Hlk94031514"/>
      <w:r>
        <w:rPr>
          <w:rFonts w:hint="eastAsia" w:ascii="宋体" w:hAnsi="宋体" w:cs="宋体"/>
          <w:bCs/>
          <w:color w:val="auto"/>
          <w:sz w:val="24"/>
          <w:highlight w:val="none"/>
        </w:rPr>
        <w:t>异议、</w:t>
      </w:r>
      <w:bookmarkEnd w:id="37"/>
      <w:r>
        <w:rPr>
          <w:rFonts w:hint="eastAsia" w:ascii="宋体" w:hAnsi="宋体" w:cs="宋体"/>
          <w:color w:val="auto"/>
          <w:sz w:val="24"/>
          <w:highlight w:val="none"/>
        </w:rPr>
        <w:t>投诉处理</w:t>
      </w:r>
    </w:p>
    <w:p>
      <w:pPr>
        <w:widowControl/>
        <w:spacing w:line="360" w:lineRule="auto"/>
        <w:ind w:firstLine="480" w:firstLineChars="200"/>
        <w:rPr>
          <w:rFonts w:hint="eastAsia" w:ascii="宋体" w:hAnsi="宋体"/>
          <w:color w:val="auto"/>
          <w:sz w:val="24"/>
          <w:highlight w:val="none"/>
        </w:rPr>
      </w:pPr>
      <w:bookmarkStart w:id="38" w:name="_Hlk94031524"/>
      <w:r>
        <w:rPr>
          <w:rFonts w:hint="eastAsia" w:ascii="宋体" w:hAnsi="宋体"/>
          <w:color w:val="auto"/>
          <w:sz w:val="24"/>
          <w:highlight w:val="none"/>
        </w:rPr>
        <w:t>8.2.1异议处理</w:t>
      </w:r>
    </w:p>
    <w:p>
      <w:pPr>
        <w:widowControl/>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（1）投标人对招标文件的异议可通过</w:t>
      </w:r>
      <w:r>
        <w:rPr>
          <w:rFonts w:hint="eastAsia" w:ascii="宋体" w:hAnsi="宋体" w:cs="宋体"/>
          <w:color w:val="auto"/>
          <w:sz w:val="24"/>
          <w:highlight w:val="none"/>
        </w:rPr>
        <w:t>《甘孜州电子交易系统》</w:t>
      </w:r>
      <w:r>
        <w:rPr>
          <w:rFonts w:hint="eastAsia" w:ascii="宋体" w:hAnsi="宋体"/>
          <w:color w:val="auto"/>
          <w:sz w:val="24"/>
          <w:highlight w:val="none"/>
        </w:rPr>
        <w:t>在“异议”菜单中进行</w:t>
      </w:r>
      <w:r>
        <w:rPr>
          <w:rFonts w:hint="eastAsia" w:ascii="宋体" w:hAnsi="宋体" w:cs="宋体"/>
          <w:snapToGrid w:val="0"/>
          <w:color w:val="auto"/>
          <w:kern w:val="0"/>
          <w:sz w:val="24"/>
          <w:highlight w:val="none"/>
        </w:rPr>
        <w:t>，也可采用符合第二章“投标人须知”前附表第8.5.2项要求的书面方式进行</w:t>
      </w:r>
      <w:r>
        <w:rPr>
          <w:rFonts w:hint="eastAsia" w:ascii="宋体" w:hAnsi="宋体"/>
          <w:color w:val="auto"/>
          <w:sz w:val="24"/>
          <w:highlight w:val="none"/>
        </w:rPr>
        <w:t>。</w:t>
      </w:r>
    </w:p>
    <w:p>
      <w:pPr>
        <w:widowControl/>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（2）投标人对开标如有异议，应在系统进入异议倒计时时间内，点击“开标异议提问”提出。</w:t>
      </w:r>
      <w:r>
        <w:rPr>
          <w:rFonts w:hint="eastAsia" w:ascii="宋体" w:hAnsi="宋体" w:cs="宋体"/>
          <w:color w:val="auto"/>
          <w:sz w:val="24"/>
          <w:highlight w:val="none"/>
        </w:rPr>
        <w:t>招标人应在“异议回复”栏当场作出答复。</w:t>
      </w:r>
    </w:p>
    <w:p>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（3）投标人对评标结果如有异议，应在中标候选人公示期间提出，投标人提出异议可通过《甘孜州电子交易系统》在“异议”菜单中进行</w:t>
      </w:r>
      <w:r>
        <w:rPr>
          <w:rFonts w:hint="eastAsia" w:ascii="宋体" w:hAnsi="宋体" w:cs="宋体"/>
          <w:snapToGrid w:val="0"/>
          <w:color w:val="auto"/>
          <w:kern w:val="0"/>
          <w:sz w:val="24"/>
          <w:highlight w:val="none"/>
        </w:rPr>
        <w:t>，也可采用符合第二章“投标人须知”前附表第8.5.2项要求的书面方式进行</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8.2.2投诉处理</w:t>
      </w:r>
      <w:bookmarkEnd w:id="36"/>
      <w:bookmarkEnd w:id="3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行政监督部门按照</w:t>
      </w:r>
      <w:r>
        <w:rPr>
          <w:rFonts w:hint="eastAsia" w:ascii="宋体" w:hAnsi="宋体" w:cs="宋体"/>
          <w:color w:val="auto"/>
          <w:sz w:val="24"/>
          <w:highlight w:val="none"/>
          <w:u w:val="single"/>
        </w:rPr>
        <w:t>《工程建设项目招标投标活动投诉处理办法》（2013年3月11日国家发展改革委等九部委令第23号修改）、《四川省公路工程建设项目招标投标管理实施细则》（川交规〔2024〕7号）</w:t>
      </w:r>
      <w:r>
        <w:rPr>
          <w:rFonts w:hint="eastAsia" w:ascii="宋体" w:hAnsi="宋体" w:cs="宋体"/>
          <w:color w:val="auto"/>
          <w:sz w:val="24"/>
          <w:highlight w:val="none"/>
        </w:rPr>
        <w:t>的规定接受投诉。投诉材料要求、投诉受理条件及查处按照上述规定执行。超出投诉时效的，则不予受理。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 行政监督部门</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行政监督部门：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u w:val="singl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行政监督部门：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u w:val="singl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720" w:firstLineChars="300"/>
        <w:rPr>
          <w:rFonts w:hint="eastAsia" w:ascii="宋体" w:hAnsi="宋体" w:cs="宋体"/>
          <w:color w:val="auto"/>
          <w:sz w:val="24"/>
          <w:highlight w:val="none"/>
        </w:rPr>
      </w:pPr>
      <w:r>
        <w:rPr>
          <w:rFonts w:hint="eastAsia" w:ascii="宋体" w:hAnsi="宋体" w:cs="宋体"/>
          <w:color w:val="auto"/>
          <w:sz w:val="24"/>
          <w:highlight w:val="none"/>
        </w:rPr>
        <w:t>……</w:t>
      </w:r>
    </w:p>
    <w:p>
      <w:pPr>
        <w:pStyle w:val="5"/>
        <w:numPr>
          <w:ilvl w:val="255"/>
          <w:numId w:val="0"/>
        </w:numPr>
        <w:rPr>
          <w:color w:val="auto"/>
          <w:highlight w:val="none"/>
        </w:rPr>
      </w:pPr>
      <w:bookmarkStart w:id="39" w:name="_Toc523921585"/>
      <w:r>
        <w:rPr>
          <w:color w:val="auto"/>
          <w:highlight w:val="none"/>
        </w:rPr>
        <w:t xml:space="preserve">9. </w:t>
      </w:r>
      <w:r>
        <w:rPr>
          <w:rFonts w:hint="eastAsia"/>
          <w:color w:val="auto"/>
          <w:highlight w:val="none"/>
        </w:rPr>
        <w:t>联系方式</w:t>
      </w:r>
      <w:bookmarkEnd w:id="39"/>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招 标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联 系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1" w:firstLineChars="200"/>
        <w:rPr>
          <w:rFonts w:hint="eastAsia" w:ascii="宋体" w:hAnsi="宋体" w:cs="宋体"/>
          <w:b/>
          <w:bCs/>
          <w:color w:val="auto"/>
          <w:sz w:val="24"/>
          <w:highlight w:val="none"/>
        </w:rPr>
      </w:pP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sym w:font="Wingdings 2" w:char="00A3"/>
      </w:r>
      <w:r>
        <w:rPr>
          <w:rFonts w:hint="eastAsia" w:ascii="宋体" w:hAnsi="宋体" w:cs="宋体"/>
          <w:color w:val="auto"/>
          <w:sz w:val="24"/>
          <w:highlight w:val="none"/>
        </w:rPr>
        <w:t>招标代理机构：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sym w:font="Wingdings 2" w:char="00A3"/>
      </w: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联 系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p>
    <w:p>
      <w:pPr>
        <w:ind w:firstLine="480" w:firstLineChars="200"/>
        <w:rPr>
          <w:rFonts w:hint="eastAsia" w:ascii="宋体" w:hAnsi="宋体" w:cs="宋体"/>
          <w:color w:val="auto"/>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pStyle w:val="276"/>
        <w:rPr>
          <w:rFonts w:hint="eastAsia" w:ascii="宋体" w:hAnsi="宋体" w:cs="宋体"/>
          <w:color w:val="auto"/>
          <w:highlight w:val="none"/>
        </w:rPr>
      </w:pPr>
    </w:p>
    <w:p>
      <w:pPr>
        <w:pStyle w:val="276"/>
        <w:rPr>
          <w:rFonts w:hint="eastAsia" w:ascii="宋体" w:hAnsi="宋体" w:cs="宋体"/>
          <w:color w:val="auto"/>
          <w:highlight w:val="none"/>
        </w:rPr>
        <w:sectPr>
          <w:footerReference r:id="rId10" w:type="default"/>
          <w:footnotePr>
            <w:numFmt w:val="decimalEnclosedCircleChinese"/>
            <w:numRestart w:val="eachPage"/>
          </w:footnotePr>
          <w:pgSz w:w="11900" w:h="16840"/>
          <w:pgMar w:top="1417" w:right="1418" w:bottom="1417" w:left="1701" w:header="885" w:footer="624" w:gutter="0"/>
          <w:pgNumType w:start="1"/>
          <w:cols w:space="720" w:num="1"/>
          <w:docGrid w:linePitch="312" w:charSpace="0"/>
        </w:sectPr>
      </w:pPr>
    </w:p>
    <w:p>
      <w:pPr>
        <w:rPr>
          <w:rFonts w:hint="eastAsia" w:ascii="宋体" w:hAnsi="宋体" w:cs="宋体"/>
          <w:color w:val="auto"/>
          <w:sz w:val="24"/>
          <w:highlight w:val="none"/>
        </w:rPr>
      </w:pPr>
      <w:bookmarkStart w:id="40" w:name="_Toc28187708"/>
      <w:r>
        <w:rPr>
          <w:rFonts w:hint="eastAsia" w:ascii="黑体" w:hAnsi="黑体" w:eastAsia="黑体" w:cs="宋体"/>
          <w:color w:val="auto"/>
          <w:sz w:val="24"/>
          <w:highlight w:val="none"/>
        </w:rPr>
        <w:t>附表一</w:t>
      </w:r>
    </w:p>
    <w:p>
      <w:pPr>
        <w:spacing w:line="360" w:lineRule="auto"/>
        <w:ind w:firstLine="2100" w:firstLineChars="700"/>
        <w:rPr>
          <w:rFonts w:ascii="Arial" w:hAnsi="Arial" w:eastAsia="方正兰亭超细黑简体"/>
          <w:b/>
          <w:color w:val="auto"/>
          <w:szCs w:val="32"/>
          <w:highlight w:val="none"/>
        </w:rPr>
      </w:pPr>
      <w:r>
        <w:rPr>
          <w:rFonts w:hint="eastAsia" w:ascii="黑体" w:hAnsi="黑体" w:eastAsia="黑体"/>
          <w:color w:val="auto"/>
          <w:sz w:val="30"/>
          <w:szCs w:val="30"/>
          <w:highlight w:val="none"/>
        </w:rPr>
        <w:t>________（招标项目名称）施工监理____标段</w:t>
      </w:r>
      <w:r>
        <w:rPr>
          <w:rFonts w:hint="eastAsia" w:ascii="黑体" w:hAnsi="黑体" w:eastAsia="黑体" w:cs="黑体"/>
          <w:color w:val="auto"/>
          <w:sz w:val="28"/>
          <w:szCs w:val="32"/>
          <w:highlight w:val="none"/>
        </w:rPr>
        <w:t>招标</w:t>
      </w:r>
    </w:p>
    <w:p>
      <w:pPr>
        <w:spacing w:line="360" w:lineRule="auto"/>
        <w:jc w:val="center"/>
        <w:rPr>
          <w:rFonts w:hint="eastAsia" w:ascii="黑体" w:hAnsi="黑体" w:eastAsia="黑体" w:cs="黑体"/>
          <w:color w:val="auto"/>
          <w:kern w:val="0"/>
          <w:sz w:val="28"/>
          <w:szCs w:val="32"/>
          <w:highlight w:val="none"/>
        </w:rPr>
      </w:pPr>
      <w:r>
        <w:rPr>
          <w:rFonts w:hint="eastAsia" w:ascii="黑体" w:hAnsi="黑体" w:eastAsia="黑体" w:cs="黑体"/>
          <w:color w:val="auto"/>
          <w:kern w:val="0"/>
          <w:sz w:val="28"/>
          <w:szCs w:val="32"/>
          <w:highlight w:val="none"/>
        </w:rPr>
        <w:t>标段划分、主要工程内容及规模、施工标段工期表</w:t>
      </w:r>
      <w:bookmarkEnd w:id="40"/>
    </w:p>
    <w:p>
      <w:pPr>
        <w:pStyle w:val="276"/>
        <w:rPr>
          <w:rFonts w:hint="eastAsia" w:ascii="黑体" w:hAnsi="黑体" w:eastAsia="黑体" w:cs="黑体"/>
          <w:color w:val="auto"/>
          <w:kern w:val="0"/>
          <w:sz w:val="28"/>
          <w:szCs w:val="32"/>
          <w:highlight w:val="none"/>
        </w:rPr>
      </w:pPr>
    </w:p>
    <w:tbl>
      <w:tblPr>
        <w:tblStyle w:val="48"/>
        <w:tblW w:w="871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241"/>
        <w:gridCol w:w="1004"/>
        <w:gridCol w:w="1642"/>
        <w:gridCol w:w="2851"/>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26" w:type="dxa"/>
            <w:shd w:val="clear" w:color="auto" w:fill="auto"/>
            <w:vAlign w:val="center"/>
          </w:tcPr>
          <w:p>
            <w:pPr>
              <w:widowControl/>
              <w:adjustRightInd w:val="0"/>
              <w:snapToGrid w:val="0"/>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监理</w:t>
            </w:r>
          </w:p>
          <w:p>
            <w:pPr>
              <w:widowControl/>
              <w:adjustRightInd w:val="0"/>
              <w:snapToGrid w:val="0"/>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标段</w:t>
            </w:r>
          </w:p>
        </w:tc>
        <w:tc>
          <w:tcPr>
            <w:tcW w:w="1241" w:type="dxa"/>
            <w:shd w:val="clear" w:color="auto" w:fill="auto"/>
            <w:vAlign w:val="center"/>
          </w:tcPr>
          <w:p>
            <w:pPr>
              <w:widowControl/>
              <w:adjustRightInd w:val="0"/>
              <w:snapToGrid w:val="0"/>
              <w:jc w:val="center"/>
              <w:rPr>
                <w:rFonts w:hint="eastAsia" w:cs="宋体" w:asciiTheme="minorEastAsia" w:hAnsiTheme="minorEastAsia" w:eastAsiaTheme="minorEastAsia"/>
                <w:bCs/>
                <w:color w:val="auto"/>
                <w:szCs w:val="21"/>
                <w:highlight w:val="none"/>
              </w:rPr>
            </w:pPr>
            <w:r>
              <w:rPr>
                <w:rFonts w:hint="eastAsia" w:ascii="宋体" w:hAnsi="宋体" w:cs="宋体"/>
                <w:bCs/>
                <w:color w:val="auto"/>
                <w:szCs w:val="21"/>
                <w:highlight w:val="none"/>
              </w:rPr>
              <w:t>□</w:t>
            </w:r>
            <w:r>
              <w:rPr>
                <w:rFonts w:hint="eastAsia" w:cs="宋体" w:asciiTheme="minorEastAsia" w:hAnsiTheme="minorEastAsia" w:eastAsiaTheme="minorEastAsia"/>
                <w:bCs/>
                <w:color w:val="auto"/>
                <w:szCs w:val="21"/>
                <w:highlight w:val="none"/>
              </w:rPr>
              <w:t>对应监理试验室标段</w:t>
            </w:r>
          </w:p>
        </w:tc>
        <w:tc>
          <w:tcPr>
            <w:tcW w:w="1004" w:type="dxa"/>
            <w:shd w:val="clear" w:color="auto" w:fill="auto"/>
            <w:vAlign w:val="center"/>
          </w:tcPr>
          <w:p>
            <w:pPr>
              <w:widowControl/>
              <w:adjustRightInd w:val="0"/>
              <w:snapToGrid w:val="0"/>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对应施工标段</w:t>
            </w:r>
          </w:p>
        </w:tc>
        <w:tc>
          <w:tcPr>
            <w:tcW w:w="1642" w:type="dxa"/>
            <w:shd w:val="clear" w:color="000000" w:fill="FFFFFF"/>
            <w:vAlign w:val="center"/>
          </w:tcPr>
          <w:p>
            <w:pPr>
              <w:widowControl/>
              <w:adjustRightInd w:val="0"/>
              <w:snapToGrid w:val="0"/>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起讫桩号</w:t>
            </w:r>
          </w:p>
        </w:tc>
        <w:tc>
          <w:tcPr>
            <w:tcW w:w="2851" w:type="dxa"/>
            <w:shd w:val="clear" w:color="000000" w:fill="FFFFFF"/>
            <w:vAlign w:val="center"/>
          </w:tcPr>
          <w:p>
            <w:pPr>
              <w:widowControl/>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主要工程内容及规模</w:t>
            </w:r>
          </w:p>
        </w:tc>
        <w:tc>
          <w:tcPr>
            <w:tcW w:w="1153" w:type="dxa"/>
            <w:shd w:val="clear" w:color="000000" w:fill="FFFFFF"/>
            <w:vAlign w:val="center"/>
          </w:tcPr>
          <w:p>
            <w:pPr>
              <w:widowControl/>
              <w:adjustRightInd w:val="0"/>
              <w:snapToGrid w:val="0"/>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施工标段</w:t>
            </w:r>
          </w:p>
          <w:p>
            <w:pPr>
              <w:widowControl/>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26" w:type="dxa"/>
            <w:vMerge w:val="restart"/>
            <w:vAlign w:val="center"/>
          </w:tcPr>
          <w:p>
            <w:pPr>
              <w:widowControl/>
              <w:spacing w:line="200" w:lineRule="exact"/>
              <w:rPr>
                <w:rFonts w:hint="eastAsia" w:cs="宋体" w:asciiTheme="minorEastAsia" w:hAnsiTheme="minorEastAsia" w:eastAsiaTheme="minorEastAsia"/>
                <w:b/>
                <w:color w:val="auto"/>
                <w:szCs w:val="21"/>
                <w:highlight w:val="none"/>
              </w:rPr>
            </w:pPr>
          </w:p>
        </w:tc>
        <w:tc>
          <w:tcPr>
            <w:tcW w:w="1241" w:type="dxa"/>
            <w:vMerge w:val="restart"/>
            <w:vAlign w:val="center"/>
          </w:tcPr>
          <w:p>
            <w:pPr>
              <w:widowControl/>
              <w:spacing w:line="200" w:lineRule="exact"/>
              <w:jc w:val="center"/>
              <w:rPr>
                <w:rFonts w:hint="eastAsia" w:cs="宋体" w:asciiTheme="minorEastAsia" w:hAnsiTheme="minorEastAsia" w:eastAsiaTheme="minorEastAsia"/>
                <w:b/>
                <w:color w:val="auto"/>
                <w:szCs w:val="21"/>
                <w:highlight w:val="none"/>
              </w:rPr>
            </w:pPr>
          </w:p>
        </w:tc>
        <w:tc>
          <w:tcPr>
            <w:tcW w:w="1004" w:type="dxa"/>
            <w:vAlign w:val="center"/>
          </w:tcPr>
          <w:p>
            <w:pPr>
              <w:widowControl/>
              <w:spacing w:line="200" w:lineRule="exact"/>
              <w:jc w:val="center"/>
              <w:rPr>
                <w:rFonts w:hint="eastAsia" w:cs="宋体" w:asciiTheme="minorEastAsia" w:hAnsiTheme="minorEastAsia" w:eastAsiaTheme="minorEastAsia"/>
                <w:b/>
                <w:color w:val="auto"/>
                <w:szCs w:val="21"/>
                <w:highlight w:val="none"/>
              </w:rPr>
            </w:pPr>
          </w:p>
        </w:tc>
        <w:tc>
          <w:tcPr>
            <w:tcW w:w="1642" w:type="dxa"/>
            <w:vAlign w:val="center"/>
          </w:tcPr>
          <w:p>
            <w:pPr>
              <w:widowControl/>
              <w:spacing w:line="200" w:lineRule="exact"/>
              <w:jc w:val="center"/>
              <w:rPr>
                <w:rFonts w:hint="eastAsia" w:cs="宋体" w:asciiTheme="minorEastAsia" w:hAnsiTheme="minorEastAsia" w:eastAsiaTheme="minorEastAsia"/>
                <w:color w:val="auto"/>
                <w:szCs w:val="21"/>
                <w:highlight w:val="none"/>
              </w:rPr>
            </w:pPr>
          </w:p>
        </w:tc>
        <w:tc>
          <w:tcPr>
            <w:tcW w:w="2851" w:type="dxa"/>
            <w:vMerge w:val="restart"/>
            <w:vAlign w:val="center"/>
          </w:tcPr>
          <w:p>
            <w:pPr>
              <w:widowControl/>
              <w:spacing w:line="200" w:lineRule="exact"/>
              <w:jc w:val="center"/>
              <w:rPr>
                <w:rFonts w:hint="eastAsia" w:cs="宋体" w:asciiTheme="minorEastAsia" w:hAnsiTheme="minorEastAsia" w:eastAsiaTheme="minorEastAsia"/>
                <w:color w:val="auto"/>
                <w:szCs w:val="21"/>
                <w:highlight w:val="none"/>
              </w:rPr>
            </w:pPr>
          </w:p>
        </w:tc>
        <w:tc>
          <w:tcPr>
            <w:tcW w:w="1153" w:type="dxa"/>
          </w:tcPr>
          <w:p>
            <w:pPr>
              <w:widowControl/>
              <w:spacing w:line="200" w:lineRule="exact"/>
              <w:jc w:val="center"/>
              <w:rPr>
                <w:rFonts w:hint="eastAsia" w:cs="宋体"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26" w:type="dxa"/>
            <w:vMerge w:val="continue"/>
          </w:tcPr>
          <w:p>
            <w:pPr>
              <w:widowControl/>
              <w:spacing w:line="200" w:lineRule="exact"/>
              <w:jc w:val="center"/>
              <w:rPr>
                <w:rFonts w:hint="eastAsia" w:cs="宋体" w:asciiTheme="minorEastAsia" w:hAnsiTheme="minorEastAsia" w:eastAsiaTheme="minorEastAsia"/>
                <w:b/>
                <w:color w:val="auto"/>
                <w:szCs w:val="21"/>
                <w:highlight w:val="none"/>
              </w:rPr>
            </w:pPr>
          </w:p>
        </w:tc>
        <w:tc>
          <w:tcPr>
            <w:tcW w:w="1241" w:type="dxa"/>
            <w:vMerge w:val="continue"/>
            <w:vAlign w:val="center"/>
          </w:tcPr>
          <w:p>
            <w:pPr>
              <w:widowControl/>
              <w:spacing w:line="200" w:lineRule="exact"/>
              <w:jc w:val="center"/>
              <w:rPr>
                <w:rFonts w:hint="eastAsia" w:cs="宋体" w:asciiTheme="minorEastAsia" w:hAnsiTheme="minorEastAsia" w:eastAsiaTheme="minorEastAsia"/>
                <w:b/>
                <w:color w:val="auto"/>
                <w:szCs w:val="21"/>
                <w:highlight w:val="none"/>
              </w:rPr>
            </w:pPr>
          </w:p>
        </w:tc>
        <w:tc>
          <w:tcPr>
            <w:tcW w:w="1004" w:type="dxa"/>
            <w:vAlign w:val="center"/>
          </w:tcPr>
          <w:p>
            <w:pPr>
              <w:widowControl/>
              <w:spacing w:line="200" w:lineRule="exact"/>
              <w:jc w:val="center"/>
              <w:rPr>
                <w:rFonts w:hint="eastAsia" w:cs="宋体" w:asciiTheme="minorEastAsia" w:hAnsiTheme="minorEastAsia" w:eastAsiaTheme="minorEastAsia"/>
                <w:b/>
                <w:color w:val="auto"/>
                <w:szCs w:val="21"/>
                <w:highlight w:val="none"/>
              </w:rPr>
            </w:pPr>
          </w:p>
        </w:tc>
        <w:tc>
          <w:tcPr>
            <w:tcW w:w="1642" w:type="dxa"/>
            <w:vAlign w:val="center"/>
          </w:tcPr>
          <w:p>
            <w:pPr>
              <w:widowControl/>
              <w:spacing w:line="200" w:lineRule="exact"/>
              <w:jc w:val="center"/>
              <w:rPr>
                <w:rFonts w:hint="eastAsia" w:cs="宋体" w:asciiTheme="minorEastAsia" w:hAnsiTheme="minorEastAsia" w:eastAsiaTheme="minorEastAsia"/>
                <w:color w:val="auto"/>
                <w:szCs w:val="21"/>
                <w:highlight w:val="none"/>
              </w:rPr>
            </w:pPr>
          </w:p>
        </w:tc>
        <w:tc>
          <w:tcPr>
            <w:tcW w:w="2851" w:type="dxa"/>
            <w:vMerge w:val="continue"/>
            <w:vAlign w:val="center"/>
          </w:tcPr>
          <w:p>
            <w:pPr>
              <w:widowControl/>
              <w:spacing w:line="200" w:lineRule="exact"/>
              <w:jc w:val="center"/>
              <w:rPr>
                <w:rFonts w:hint="eastAsia" w:cs="宋体" w:asciiTheme="minorEastAsia" w:hAnsiTheme="minorEastAsia" w:eastAsiaTheme="minorEastAsia"/>
                <w:color w:val="auto"/>
                <w:szCs w:val="21"/>
                <w:highlight w:val="none"/>
              </w:rPr>
            </w:pPr>
          </w:p>
        </w:tc>
        <w:tc>
          <w:tcPr>
            <w:tcW w:w="1153" w:type="dxa"/>
          </w:tcPr>
          <w:p>
            <w:pPr>
              <w:widowControl/>
              <w:spacing w:line="200" w:lineRule="exact"/>
              <w:jc w:val="center"/>
              <w:rPr>
                <w:rFonts w:hint="eastAsia" w:cs="宋体"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26" w:type="dxa"/>
            <w:vMerge w:val="continue"/>
          </w:tcPr>
          <w:p>
            <w:pPr>
              <w:widowControl/>
              <w:spacing w:line="200" w:lineRule="exact"/>
              <w:jc w:val="center"/>
              <w:rPr>
                <w:rFonts w:hint="eastAsia" w:cs="宋体" w:asciiTheme="minorEastAsia" w:hAnsiTheme="minorEastAsia" w:eastAsiaTheme="minorEastAsia"/>
                <w:b/>
                <w:color w:val="auto"/>
                <w:szCs w:val="21"/>
                <w:highlight w:val="none"/>
              </w:rPr>
            </w:pPr>
          </w:p>
        </w:tc>
        <w:tc>
          <w:tcPr>
            <w:tcW w:w="1241" w:type="dxa"/>
            <w:vMerge w:val="continue"/>
            <w:vAlign w:val="center"/>
          </w:tcPr>
          <w:p>
            <w:pPr>
              <w:widowControl/>
              <w:spacing w:line="200" w:lineRule="exact"/>
              <w:jc w:val="center"/>
              <w:rPr>
                <w:rFonts w:hint="eastAsia" w:cs="宋体" w:asciiTheme="minorEastAsia" w:hAnsiTheme="minorEastAsia" w:eastAsiaTheme="minorEastAsia"/>
                <w:b/>
                <w:color w:val="auto"/>
                <w:szCs w:val="21"/>
                <w:highlight w:val="none"/>
              </w:rPr>
            </w:pPr>
          </w:p>
        </w:tc>
        <w:tc>
          <w:tcPr>
            <w:tcW w:w="1004" w:type="dxa"/>
            <w:vAlign w:val="center"/>
          </w:tcPr>
          <w:p>
            <w:pPr>
              <w:widowControl/>
              <w:spacing w:line="200" w:lineRule="exact"/>
              <w:jc w:val="center"/>
              <w:rPr>
                <w:rFonts w:hint="eastAsia" w:cs="宋体" w:asciiTheme="minorEastAsia" w:hAnsiTheme="minorEastAsia" w:eastAsiaTheme="minorEastAsia"/>
                <w:b/>
                <w:color w:val="auto"/>
                <w:szCs w:val="21"/>
                <w:highlight w:val="none"/>
              </w:rPr>
            </w:pPr>
          </w:p>
        </w:tc>
        <w:tc>
          <w:tcPr>
            <w:tcW w:w="1642" w:type="dxa"/>
            <w:vAlign w:val="center"/>
          </w:tcPr>
          <w:p>
            <w:pPr>
              <w:widowControl/>
              <w:spacing w:line="200" w:lineRule="exact"/>
              <w:jc w:val="center"/>
              <w:rPr>
                <w:rFonts w:hint="eastAsia" w:cs="宋体" w:asciiTheme="minorEastAsia" w:hAnsiTheme="minorEastAsia" w:eastAsiaTheme="minorEastAsia"/>
                <w:color w:val="auto"/>
                <w:szCs w:val="21"/>
                <w:highlight w:val="none"/>
              </w:rPr>
            </w:pPr>
          </w:p>
        </w:tc>
        <w:tc>
          <w:tcPr>
            <w:tcW w:w="2851" w:type="dxa"/>
            <w:vMerge w:val="continue"/>
            <w:vAlign w:val="center"/>
          </w:tcPr>
          <w:p>
            <w:pPr>
              <w:widowControl/>
              <w:spacing w:line="200" w:lineRule="exact"/>
              <w:jc w:val="center"/>
              <w:rPr>
                <w:rFonts w:hint="eastAsia" w:cs="宋体" w:asciiTheme="minorEastAsia" w:hAnsiTheme="minorEastAsia" w:eastAsiaTheme="minorEastAsia"/>
                <w:color w:val="auto"/>
                <w:szCs w:val="21"/>
                <w:highlight w:val="none"/>
              </w:rPr>
            </w:pPr>
          </w:p>
        </w:tc>
        <w:tc>
          <w:tcPr>
            <w:tcW w:w="1153" w:type="dxa"/>
          </w:tcPr>
          <w:p>
            <w:pPr>
              <w:widowControl/>
              <w:spacing w:line="200" w:lineRule="exact"/>
              <w:jc w:val="center"/>
              <w:rPr>
                <w:rFonts w:hint="eastAsia" w:cs="宋体"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26" w:type="dxa"/>
            <w:vMerge w:val="continue"/>
          </w:tcPr>
          <w:p>
            <w:pPr>
              <w:widowControl/>
              <w:spacing w:line="200" w:lineRule="exact"/>
              <w:jc w:val="center"/>
              <w:rPr>
                <w:rFonts w:hint="eastAsia" w:cs="宋体" w:asciiTheme="minorEastAsia" w:hAnsiTheme="minorEastAsia" w:eastAsiaTheme="minorEastAsia"/>
                <w:b/>
                <w:color w:val="auto"/>
                <w:szCs w:val="21"/>
                <w:highlight w:val="none"/>
              </w:rPr>
            </w:pPr>
          </w:p>
        </w:tc>
        <w:tc>
          <w:tcPr>
            <w:tcW w:w="1241" w:type="dxa"/>
            <w:vMerge w:val="continue"/>
            <w:vAlign w:val="center"/>
          </w:tcPr>
          <w:p>
            <w:pPr>
              <w:widowControl/>
              <w:spacing w:line="200" w:lineRule="exact"/>
              <w:jc w:val="center"/>
              <w:rPr>
                <w:rFonts w:hint="eastAsia" w:cs="宋体" w:asciiTheme="minorEastAsia" w:hAnsiTheme="minorEastAsia" w:eastAsiaTheme="minorEastAsia"/>
                <w:b/>
                <w:color w:val="auto"/>
                <w:szCs w:val="21"/>
                <w:highlight w:val="none"/>
              </w:rPr>
            </w:pPr>
          </w:p>
        </w:tc>
        <w:tc>
          <w:tcPr>
            <w:tcW w:w="1004" w:type="dxa"/>
            <w:vAlign w:val="center"/>
          </w:tcPr>
          <w:p>
            <w:pPr>
              <w:widowControl/>
              <w:spacing w:line="200" w:lineRule="exact"/>
              <w:jc w:val="center"/>
              <w:rPr>
                <w:rFonts w:hint="eastAsia" w:cs="宋体" w:asciiTheme="minorEastAsia" w:hAnsiTheme="minorEastAsia" w:eastAsiaTheme="minorEastAsia"/>
                <w:b/>
                <w:color w:val="auto"/>
                <w:szCs w:val="21"/>
                <w:highlight w:val="none"/>
              </w:rPr>
            </w:pPr>
          </w:p>
        </w:tc>
        <w:tc>
          <w:tcPr>
            <w:tcW w:w="1642" w:type="dxa"/>
            <w:vAlign w:val="center"/>
          </w:tcPr>
          <w:p>
            <w:pPr>
              <w:widowControl/>
              <w:spacing w:line="200" w:lineRule="exact"/>
              <w:jc w:val="center"/>
              <w:rPr>
                <w:rFonts w:hint="eastAsia" w:cs="宋体" w:asciiTheme="minorEastAsia" w:hAnsiTheme="minorEastAsia" w:eastAsiaTheme="minorEastAsia"/>
                <w:color w:val="auto"/>
                <w:szCs w:val="21"/>
                <w:highlight w:val="none"/>
              </w:rPr>
            </w:pPr>
          </w:p>
        </w:tc>
        <w:tc>
          <w:tcPr>
            <w:tcW w:w="2851" w:type="dxa"/>
            <w:vMerge w:val="continue"/>
            <w:vAlign w:val="center"/>
          </w:tcPr>
          <w:p>
            <w:pPr>
              <w:widowControl/>
              <w:spacing w:line="200" w:lineRule="exact"/>
              <w:jc w:val="center"/>
              <w:rPr>
                <w:rFonts w:hint="eastAsia" w:cs="宋体" w:asciiTheme="minorEastAsia" w:hAnsiTheme="minorEastAsia" w:eastAsiaTheme="minorEastAsia"/>
                <w:color w:val="auto"/>
                <w:szCs w:val="21"/>
                <w:highlight w:val="none"/>
              </w:rPr>
            </w:pPr>
          </w:p>
        </w:tc>
        <w:tc>
          <w:tcPr>
            <w:tcW w:w="1153" w:type="dxa"/>
          </w:tcPr>
          <w:p>
            <w:pPr>
              <w:widowControl/>
              <w:spacing w:line="200" w:lineRule="exact"/>
              <w:jc w:val="center"/>
              <w:rPr>
                <w:rFonts w:hint="eastAsia" w:cs="宋体"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26" w:type="dxa"/>
            <w:vMerge w:val="continue"/>
          </w:tcPr>
          <w:p>
            <w:pPr>
              <w:widowControl/>
              <w:spacing w:line="200" w:lineRule="exact"/>
              <w:jc w:val="center"/>
              <w:rPr>
                <w:rFonts w:hint="eastAsia" w:cs="宋体" w:asciiTheme="minorEastAsia" w:hAnsiTheme="minorEastAsia" w:eastAsiaTheme="minorEastAsia"/>
                <w:b/>
                <w:color w:val="auto"/>
                <w:szCs w:val="21"/>
                <w:highlight w:val="none"/>
              </w:rPr>
            </w:pPr>
          </w:p>
        </w:tc>
        <w:tc>
          <w:tcPr>
            <w:tcW w:w="1241" w:type="dxa"/>
            <w:vMerge w:val="continue"/>
            <w:vAlign w:val="center"/>
          </w:tcPr>
          <w:p>
            <w:pPr>
              <w:widowControl/>
              <w:spacing w:line="200" w:lineRule="exact"/>
              <w:jc w:val="center"/>
              <w:rPr>
                <w:rFonts w:hint="eastAsia" w:cs="宋体" w:asciiTheme="minorEastAsia" w:hAnsiTheme="minorEastAsia" w:eastAsiaTheme="minorEastAsia"/>
                <w:b/>
                <w:color w:val="auto"/>
                <w:szCs w:val="21"/>
                <w:highlight w:val="none"/>
              </w:rPr>
            </w:pPr>
          </w:p>
        </w:tc>
        <w:tc>
          <w:tcPr>
            <w:tcW w:w="1004" w:type="dxa"/>
            <w:vAlign w:val="center"/>
          </w:tcPr>
          <w:p>
            <w:pPr>
              <w:widowControl/>
              <w:spacing w:line="200" w:lineRule="exact"/>
              <w:jc w:val="center"/>
              <w:rPr>
                <w:rFonts w:hint="eastAsia" w:cs="宋体" w:asciiTheme="minorEastAsia" w:hAnsiTheme="minorEastAsia" w:eastAsiaTheme="minorEastAsia"/>
                <w:b/>
                <w:color w:val="auto"/>
                <w:szCs w:val="21"/>
                <w:highlight w:val="none"/>
              </w:rPr>
            </w:pPr>
          </w:p>
        </w:tc>
        <w:tc>
          <w:tcPr>
            <w:tcW w:w="1642" w:type="dxa"/>
            <w:vAlign w:val="center"/>
          </w:tcPr>
          <w:p>
            <w:pPr>
              <w:widowControl/>
              <w:spacing w:line="200" w:lineRule="exact"/>
              <w:jc w:val="center"/>
              <w:rPr>
                <w:rFonts w:hint="eastAsia" w:cs="宋体" w:asciiTheme="minorEastAsia" w:hAnsiTheme="minorEastAsia" w:eastAsiaTheme="minorEastAsia"/>
                <w:color w:val="auto"/>
                <w:szCs w:val="21"/>
                <w:highlight w:val="none"/>
              </w:rPr>
            </w:pPr>
          </w:p>
        </w:tc>
        <w:tc>
          <w:tcPr>
            <w:tcW w:w="2851" w:type="dxa"/>
            <w:vMerge w:val="continue"/>
            <w:vAlign w:val="center"/>
          </w:tcPr>
          <w:p>
            <w:pPr>
              <w:widowControl/>
              <w:spacing w:line="200" w:lineRule="exact"/>
              <w:jc w:val="center"/>
              <w:rPr>
                <w:rFonts w:hint="eastAsia" w:cs="宋体" w:asciiTheme="minorEastAsia" w:hAnsiTheme="minorEastAsia" w:eastAsiaTheme="minorEastAsia"/>
                <w:color w:val="auto"/>
                <w:szCs w:val="21"/>
                <w:highlight w:val="none"/>
              </w:rPr>
            </w:pPr>
          </w:p>
        </w:tc>
        <w:tc>
          <w:tcPr>
            <w:tcW w:w="1153" w:type="dxa"/>
          </w:tcPr>
          <w:p>
            <w:pPr>
              <w:widowControl/>
              <w:spacing w:line="200" w:lineRule="exact"/>
              <w:jc w:val="center"/>
              <w:rPr>
                <w:rFonts w:hint="eastAsia" w:cs="宋体"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6" w:type="dxa"/>
            <w:vAlign w:val="center"/>
          </w:tcPr>
          <w:p>
            <w:pPr>
              <w:widowControl/>
              <w:spacing w:line="200" w:lineRule="exact"/>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w:t>
            </w:r>
          </w:p>
        </w:tc>
        <w:tc>
          <w:tcPr>
            <w:tcW w:w="1241" w:type="dxa"/>
            <w:vAlign w:val="center"/>
          </w:tcPr>
          <w:p>
            <w:pPr>
              <w:widowControl/>
              <w:spacing w:line="200" w:lineRule="exact"/>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w:t>
            </w:r>
          </w:p>
        </w:tc>
        <w:tc>
          <w:tcPr>
            <w:tcW w:w="1004" w:type="dxa"/>
            <w:vAlign w:val="center"/>
          </w:tcPr>
          <w:p>
            <w:pPr>
              <w:widowControl/>
              <w:spacing w:line="200" w:lineRule="exact"/>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w:t>
            </w:r>
          </w:p>
        </w:tc>
        <w:tc>
          <w:tcPr>
            <w:tcW w:w="1642" w:type="dxa"/>
            <w:vAlign w:val="center"/>
          </w:tcPr>
          <w:p>
            <w:pPr>
              <w:widowControl/>
              <w:spacing w:line="200" w:lineRule="exact"/>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w:t>
            </w:r>
          </w:p>
        </w:tc>
        <w:tc>
          <w:tcPr>
            <w:tcW w:w="2851" w:type="dxa"/>
            <w:vAlign w:val="center"/>
          </w:tcPr>
          <w:p>
            <w:pPr>
              <w:widowControl/>
              <w:spacing w:line="200" w:lineRule="exact"/>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w:t>
            </w:r>
          </w:p>
        </w:tc>
        <w:tc>
          <w:tcPr>
            <w:tcW w:w="1153" w:type="dxa"/>
            <w:vAlign w:val="center"/>
          </w:tcPr>
          <w:p>
            <w:pPr>
              <w:widowControl/>
              <w:spacing w:line="200" w:lineRule="exact"/>
              <w:jc w:val="center"/>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w:t>
            </w:r>
          </w:p>
        </w:tc>
      </w:tr>
    </w:tbl>
    <w:p>
      <w:pPr>
        <w:pStyle w:val="276"/>
        <w:rPr>
          <w:rFonts w:hint="eastAsia" w:ascii="宋体" w:hAnsi="宋体" w:cs="宋体"/>
          <w:color w:val="auto"/>
          <w:highlight w:val="none"/>
        </w:rPr>
      </w:pP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注：1.各标段的起讫桩号根据批复施工图可能会发生调整，具体桩号以批复的施工图为准。</w:t>
      </w:r>
    </w:p>
    <w:p>
      <w:pPr>
        <w:pStyle w:val="276"/>
        <w:adjustRightInd w:val="0"/>
        <w:snapToGrid w:val="0"/>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pStyle w:val="276"/>
        <w:adjustRightInd w:val="0"/>
        <w:snapToGrid w:val="0"/>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3.招标人根据项目实际情况可以调整本表格式。</w:t>
      </w:r>
    </w:p>
    <w:p>
      <w:pPr>
        <w:pStyle w:val="276"/>
        <w:rPr>
          <w:rFonts w:hint="eastAsia" w:ascii="宋体" w:hAnsi="宋体" w:cs="宋体"/>
          <w:color w:val="auto"/>
          <w:highlight w:val="none"/>
        </w:rPr>
      </w:pPr>
    </w:p>
    <w:p>
      <w:pPr>
        <w:pStyle w:val="276"/>
        <w:rPr>
          <w:rFonts w:hint="eastAsia" w:ascii="宋体" w:hAnsi="宋体" w:cs="宋体"/>
          <w:color w:val="auto"/>
          <w:highlight w:val="none"/>
        </w:rPr>
        <w:sectPr>
          <w:footnotePr>
            <w:numFmt w:val="decimalEnclosedCircleChinese"/>
            <w:numRestart w:val="eachPage"/>
          </w:footnotePr>
          <w:pgSz w:w="11850" w:h="16783"/>
          <w:pgMar w:top="1417" w:right="1418" w:bottom="1417" w:left="1701" w:header="885" w:footer="624" w:gutter="0"/>
          <w:cols w:space="720" w:num="1"/>
          <w:docGrid w:linePitch="312" w:charSpace="0"/>
        </w:sectPr>
      </w:pPr>
    </w:p>
    <w:p>
      <w:pPr>
        <w:pStyle w:val="276"/>
        <w:rPr>
          <w:rFonts w:hint="eastAsia" w:ascii="宋体" w:hAnsi="宋体" w:cs="宋体"/>
          <w:color w:val="auto"/>
          <w:highlight w:val="none"/>
        </w:rPr>
      </w:pPr>
      <w:bookmarkStart w:id="41" w:name="_Toc519601437"/>
    </w:p>
    <w:p>
      <w:pPr>
        <w:pStyle w:val="20"/>
        <w:rPr>
          <w:color w:val="auto"/>
          <w:szCs w:val="44"/>
          <w:highlight w:val="none"/>
        </w:rPr>
      </w:pPr>
      <w:bookmarkStart w:id="42" w:name="_Toc519778465"/>
      <w:bookmarkStart w:id="43" w:name="_Toc28187709"/>
      <w:bookmarkStart w:id="44" w:name="_Toc519777905"/>
      <w:bookmarkStart w:id="45" w:name="_Toc519777801"/>
      <w:bookmarkStart w:id="46" w:name="_Toc519777853"/>
      <w:bookmarkStart w:id="47" w:name="_Toc519777793"/>
    </w:p>
    <w:p>
      <w:pPr>
        <w:pStyle w:val="20"/>
        <w:rPr>
          <w:color w:val="auto"/>
          <w:szCs w:val="44"/>
          <w:highlight w:val="none"/>
        </w:rPr>
      </w:pPr>
    </w:p>
    <w:p>
      <w:pPr>
        <w:pStyle w:val="20"/>
        <w:rPr>
          <w:color w:val="auto"/>
          <w:szCs w:val="44"/>
          <w:highlight w:val="none"/>
        </w:rPr>
      </w:pPr>
    </w:p>
    <w:p>
      <w:pPr>
        <w:pStyle w:val="20"/>
        <w:rPr>
          <w:color w:val="auto"/>
          <w:szCs w:val="44"/>
          <w:highlight w:val="none"/>
        </w:rPr>
      </w:pPr>
    </w:p>
    <w:p>
      <w:pPr>
        <w:pStyle w:val="20"/>
        <w:rPr>
          <w:color w:val="auto"/>
          <w:szCs w:val="44"/>
          <w:highlight w:val="none"/>
        </w:rPr>
      </w:pPr>
    </w:p>
    <w:p>
      <w:pPr>
        <w:pStyle w:val="20"/>
        <w:rPr>
          <w:color w:val="auto"/>
          <w:szCs w:val="44"/>
          <w:highlight w:val="none"/>
        </w:rPr>
      </w:pPr>
    </w:p>
    <w:p>
      <w:pPr>
        <w:pStyle w:val="20"/>
        <w:rPr>
          <w:color w:val="auto"/>
          <w:szCs w:val="44"/>
          <w:highlight w:val="none"/>
        </w:rPr>
      </w:pPr>
    </w:p>
    <w:p>
      <w:pPr>
        <w:pStyle w:val="20"/>
        <w:rPr>
          <w:color w:val="auto"/>
          <w:szCs w:val="44"/>
          <w:highlight w:val="none"/>
        </w:rPr>
      </w:pPr>
      <w:r>
        <w:rPr>
          <w:rFonts w:hint="eastAsia"/>
          <w:color w:val="auto"/>
          <w:szCs w:val="44"/>
          <w:highlight w:val="none"/>
        </w:rPr>
        <w:t>第二章</w:t>
      </w:r>
      <w:r>
        <w:rPr>
          <w:color w:val="auto"/>
          <w:szCs w:val="44"/>
          <w:highlight w:val="none"/>
        </w:rPr>
        <w:t xml:space="preserve">  </w:t>
      </w:r>
      <w:r>
        <w:rPr>
          <w:rFonts w:hint="eastAsia"/>
          <w:color w:val="auto"/>
          <w:szCs w:val="44"/>
          <w:highlight w:val="none"/>
        </w:rPr>
        <w:t>投标人须知</w:t>
      </w:r>
      <w:bookmarkEnd w:id="41"/>
      <w:bookmarkEnd w:id="42"/>
      <w:bookmarkEnd w:id="43"/>
      <w:bookmarkEnd w:id="44"/>
      <w:bookmarkEnd w:id="45"/>
      <w:bookmarkEnd w:id="46"/>
      <w:bookmarkEnd w:id="47"/>
      <w:r>
        <w:rPr>
          <w:color w:val="auto"/>
          <w:szCs w:val="44"/>
          <w:highlight w:val="none"/>
        </w:rPr>
        <w:t xml:space="preserve"> </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bookmarkStart w:id="48" w:name="_Toc519768275"/>
      <w:bookmarkEnd w:id="48"/>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rPr>
          <w:rFonts w:hint="eastAsia" w:ascii="黑体" w:hAnsi="黑体" w:cs="宋体"/>
          <w:b w:val="0"/>
          <w:bCs w:val="0"/>
          <w:color w:val="auto"/>
          <w:szCs w:val="36"/>
          <w:highlight w:val="none"/>
        </w:rPr>
      </w:pPr>
      <w:bookmarkStart w:id="49" w:name="_Toc519768276"/>
      <w:bookmarkEnd w:id="49"/>
      <w:bookmarkStart w:id="50" w:name="_Toc519778466"/>
      <w:bookmarkStart w:id="51" w:name="_Toc523921587"/>
      <w:r>
        <w:rPr>
          <w:rFonts w:hint="eastAsia" w:ascii="宋体" w:hAnsi="宋体" w:eastAsia="宋体" w:cs="宋体"/>
          <w:color w:val="auto"/>
          <w:sz w:val="30"/>
          <w:szCs w:val="30"/>
          <w:highlight w:val="none"/>
        </w:rPr>
        <w:br w:type="page"/>
      </w:r>
      <w:bookmarkStart w:id="52" w:name="_Toc28187710"/>
      <w:r>
        <w:rPr>
          <w:rStyle w:val="75"/>
          <w:rFonts w:hint="eastAsia" w:ascii="Times New Roman" w:hAnsi="Times New Roman"/>
          <w:b w:val="0"/>
          <w:bCs w:val="0"/>
          <w:color w:val="auto"/>
          <w:highlight w:val="none"/>
        </w:rPr>
        <w:t>第二章</w:t>
      </w:r>
      <w:r>
        <w:rPr>
          <w:rStyle w:val="75"/>
          <w:rFonts w:ascii="Times New Roman" w:hAnsi="Times New Roman"/>
          <w:b w:val="0"/>
          <w:bCs w:val="0"/>
          <w:color w:val="auto"/>
          <w:highlight w:val="none"/>
        </w:rPr>
        <w:t xml:space="preserve">  </w:t>
      </w:r>
      <w:r>
        <w:rPr>
          <w:rStyle w:val="75"/>
          <w:rFonts w:hint="eastAsia" w:ascii="Times New Roman" w:hAnsi="Times New Roman"/>
          <w:b w:val="0"/>
          <w:bCs w:val="0"/>
          <w:color w:val="auto"/>
          <w:highlight w:val="none"/>
        </w:rPr>
        <w:t>投标人须知</w:t>
      </w:r>
    </w:p>
    <w:p>
      <w:pPr>
        <w:pStyle w:val="5"/>
        <w:rPr>
          <w:rFonts w:hint="eastAsia" w:ascii="宋体" w:hAnsi="宋体" w:eastAsia="宋体" w:cs="宋体"/>
          <w:color w:val="auto"/>
          <w:sz w:val="30"/>
          <w:szCs w:val="30"/>
          <w:highlight w:val="none"/>
        </w:rPr>
      </w:pPr>
      <w:r>
        <w:rPr>
          <w:rStyle w:val="146"/>
          <w:rFonts w:hint="eastAsia" w:ascii="黑体" w:hAnsi="黑体" w:cs="黑体"/>
          <w:b/>
          <w:bCs/>
          <w:color w:val="auto"/>
          <w:sz w:val="30"/>
          <w:szCs w:val="30"/>
          <w:highlight w:val="none"/>
        </w:rPr>
        <w:t>投标人须知前附表</w:t>
      </w:r>
      <w:bookmarkEnd w:id="50"/>
      <w:bookmarkEnd w:id="51"/>
      <w:bookmarkEnd w:id="5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“投标人须知前附表”是用于进一步明确正文中的未尽事宜，由招标人根据本项目具体特点和实际需要编写和填写，与正文无抵触且与招标文件其他章节相衔接。</w:t>
      </w:r>
      <w:r>
        <w:rPr>
          <w:rFonts w:hint="eastAsia" w:ascii="宋体" w:hAnsi="宋体"/>
          <w:color w:val="auto"/>
          <w:sz w:val="24"/>
          <w:highlight w:val="none"/>
        </w:rPr>
        <w:t>“投标人须知前附表”</w:t>
      </w:r>
      <w:r>
        <w:rPr>
          <w:rFonts w:hint="eastAsia" w:ascii="宋体" w:hAnsi="宋体" w:cs="宋体"/>
          <w:color w:val="auto"/>
          <w:sz w:val="24"/>
          <w:highlight w:val="none"/>
        </w:rPr>
        <w:t>内容与本须知正文不一致的，以</w:t>
      </w:r>
      <w:r>
        <w:rPr>
          <w:rFonts w:hint="eastAsia" w:ascii="宋体" w:hAnsi="宋体"/>
          <w:color w:val="auto"/>
          <w:sz w:val="24"/>
          <w:highlight w:val="none"/>
        </w:rPr>
        <w:t>“投标人须知前附表”</w:t>
      </w:r>
      <w:r>
        <w:rPr>
          <w:rFonts w:hint="eastAsia" w:ascii="宋体" w:hAnsi="宋体" w:cs="宋体"/>
          <w:color w:val="auto"/>
          <w:sz w:val="24"/>
          <w:highlight w:val="none"/>
        </w:rPr>
        <w:t>内容为准。“投标人须知前附表”中的附录表格同属“投标人须知前附表”内容，具有同等效力。</w:t>
      </w:r>
    </w:p>
    <w:tbl>
      <w:tblPr>
        <w:tblStyle w:val="48"/>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2155"/>
        <w:gridCol w:w="5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color w:val="auto"/>
                <w:szCs w:val="21"/>
                <w:highlight w:val="none"/>
              </w:rPr>
              <w:t>条款号</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color w:val="auto"/>
                <w:szCs w:val="21"/>
                <w:highlight w:val="none"/>
              </w:rPr>
              <w:t>条款名称</w:t>
            </w:r>
          </w:p>
        </w:tc>
        <w:tc>
          <w:tcPr>
            <w:tcW w:w="5818"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color w:val="auto"/>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招标人</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名称、地址、联系人、电话：见招标公告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招标代理机构</w:t>
            </w:r>
          </w:p>
        </w:tc>
        <w:tc>
          <w:tcPr>
            <w:tcW w:w="5818"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名称、地址、联系人、电话：见招标公告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招标项目名称</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（招标项目名称）</w:t>
            </w:r>
            <w:r>
              <w:rPr>
                <w:rFonts w:hint="eastAsia" w:asciiTheme="minorEastAsia" w:hAnsiTheme="minorEastAsia" w:eastAsiaTheme="minorEastAsia"/>
                <w:color w:val="auto"/>
                <w:szCs w:val="21"/>
                <w:highlight w:val="none"/>
              </w:rPr>
              <w:t>施工监理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1.1.5</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建设地点</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1.1.6</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建设规模</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1.1.7</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招标项目施工预计开工日期和建设周期</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1.1.8</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建筑安装工程费/工程概（预）算投资额</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资金来源及比例</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资金落实情况</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招标范围</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监理服务期限</w:t>
            </w:r>
          </w:p>
        </w:tc>
        <w:tc>
          <w:tcPr>
            <w:tcW w:w="5818"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质量要求</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标段工程交工验收的质量评定：合格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标段工程竣工验收的质量评定：□优良  □合格</w:t>
            </w: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房建工程交（竣）工验收的质量评定（</w:t>
            </w:r>
            <w:r>
              <w:rPr>
                <w:rFonts w:hint="eastAsia" w:ascii="宋体" w:hAnsi="宋体" w:cs="宋体"/>
                <w:color w:val="auto"/>
                <w:highlight w:val="none"/>
              </w:rPr>
              <w:t>仅适用于招标工程范围包括房建工程的情形</w:t>
            </w:r>
            <w:r>
              <w:rPr>
                <w:rFonts w:hint="eastAsia" w:ascii="宋体" w:hAnsi="宋体" w:cs="宋体"/>
                <w:color w:val="auto"/>
                <w:szCs w:val="21"/>
                <w:highlight w:val="none"/>
              </w:rPr>
              <w:t>）：合格</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pStyle w:val="276"/>
              <w:adjustRightInd w:val="0"/>
              <w:snapToGrid w:val="0"/>
              <w:spacing w:line="400" w:lineRule="exact"/>
              <w:rPr>
                <w:rFonts w:hint="eastAsia" w:ascii="宋体" w:hAnsi="宋体" w:cs="宋体"/>
                <w:color w:val="auto"/>
                <w:highlight w:val="none"/>
              </w:rPr>
            </w:pPr>
            <w:r>
              <w:rPr>
                <w:rFonts w:hint="eastAsia" w:ascii="宋体" w:hAnsi="宋体" w:cs="宋体"/>
                <w:color w:val="auto"/>
                <w:szCs w:val="21"/>
                <w:highlight w:val="none"/>
              </w:rPr>
              <w:t>注：1.</w:t>
            </w:r>
            <w:r>
              <w:rPr>
                <w:rFonts w:hint="eastAsia" w:ascii="宋体" w:hAnsi="宋体" w:cs="宋体"/>
                <w:color w:val="auto"/>
                <w:highlight w:val="none"/>
              </w:rPr>
              <w:t>招标人应根据招标项目具体特点和实际需要，对工程施工监理服务质量提出目标要求。</w:t>
            </w:r>
          </w:p>
          <w:p>
            <w:pPr>
              <w:pStyle w:val="276"/>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2.招标人有其他特殊招标范围的情形时对质量提出的要求，但招标人应依法依规设置，不得提过高的要求。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安全目标</w:t>
            </w:r>
          </w:p>
        </w:tc>
        <w:tc>
          <w:tcPr>
            <w:tcW w:w="5818"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注：</w:t>
            </w:r>
            <w:r>
              <w:rPr>
                <w:rFonts w:hint="eastAsia" w:ascii="宋体" w:hAnsi="宋体" w:cs="宋体"/>
                <w:color w:val="auto"/>
                <w:highlight w:val="none"/>
              </w:rPr>
              <w:t>招标人应根据招标项目具体特点和实际需要，对工程施工监理过程中的人员安全提出目标要求。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投标人资质条件、能力和信誉</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资质最低要求：见附录1</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业绩最低要求：见附录2</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信誉最低要求：见附录3</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主要人员最低要求: 见附录4</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其他要求：</w:t>
            </w:r>
            <w:r>
              <w:rPr>
                <w:rFonts w:hint="eastAsia" w:ascii="宋体" w:hAnsi="宋体" w:cs="宋体"/>
                <w:b/>
                <w:color w:val="auto"/>
                <w:szCs w:val="21"/>
                <w:highlight w:val="none"/>
              </w:rPr>
              <w:t xml:space="preserve">□ </w:t>
            </w:r>
            <w:r>
              <w:rPr>
                <w:rFonts w:hint="eastAsia" w:ascii="宋体" w:hAnsi="宋体" w:cs="宋体"/>
                <w:color w:val="auto"/>
                <w:szCs w:val="21"/>
                <w:highlight w:val="none"/>
              </w:rPr>
              <w:t xml:space="preserve">见附录5 </w:t>
            </w:r>
          </w:p>
          <w:p>
            <w:pPr>
              <w:pStyle w:val="276"/>
              <w:adjustRightInd w:val="0"/>
              <w:snapToGrid w:val="0"/>
              <w:spacing w:line="400" w:lineRule="exact"/>
              <w:ind w:firstLine="1159" w:firstLineChars="55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无</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注：1.上述要求应附相关证明材料，证明材料以第七章“投标文件格式”中要求为准</w:t>
            </w:r>
          </w:p>
          <w:p>
            <w:pPr>
              <w:pStyle w:val="276"/>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rPr>
              <w:t xml:space="preserve"> </w:t>
            </w:r>
            <w:r>
              <w:rPr>
                <w:rFonts w:hint="eastAsia" w:ascii="宋体" w:hAnsi="宋体" w:cs="宋体"/>
                <w:color w:val="auto"/>
                <w:szCs w:val="21"/>
                <w:highlight w:val="none"/>
              </w:rPr>
              <w:t>其他要求，</w:t>
            </w:r>
            <w:r>
              <w:rPr>
                <w:rFonts w:hint="eastAsia" w:ascii="宋体" w:hAnsi="宋体" w:cs="宋体"/>
                <w:color w:val="auto"/>
                <w:highlight w:val="none"/>
              </w:rPr>
              <w:t>对于特别复杂的特大桥梁和特长隧道项目主体工程以及其他有特殊要求的工程，招标人还可增加附录5对投标人的其他主要监理人员提出要求。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是否接受联合体投标</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不接受</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接受，应满足下列要求：</w:t>
            </w:r>
          </w:p>
          <w:p>
            <w:pPr>
              <w:pStyle w:val="276"/>
              <w:adjustRightInd w:val="0"/>
              <w:snapToGrid w:val="0"/>
              <w:spacing w:line="400" w:lineRule="exact"/>
              <w:jc w:val="left"/>
              <w:rPr>
                <w:rFonts w:hint="eastAsia" w:ascii="宋体" w:hAnsi="宋体" w:cs="宋体"/>
                <w:color w:val="auto"/>
                <w:szCs w:val="21"/>
                <w:highlight w:val="none"/>
                <w:u w:val="single"/>
              </w:rPr>
            </w:pPr>
            <w:r>
              <w:rPr>
                <w:rFonts w:hint="eastAsia" w:ascii="宋体" w:hAnsi="宋体" w:cs="宋体"/>
                <w:color w:val="auto"/>
                <w:szCs w:val="21"/>
                <w:highlight w:val="none"/>
              </w:rPr>
              <w:t>（1）联合体所有成员数量不得超过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家；</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（2）联合体应具有的资格条件要求：</w:t>
            </w:r>
            <w:r>
              <w:rPr>
                <w:rFonts w:hint="eastAsia" w:ascii="宋体" w:hAnsi="宋体" w:cs="宋体"/>
                <w:color w:val="auto"/>
                <w:szCs w:val="21"/>
                <w:highlight w:val="none"/>
                <w:u w:val="single"/>
              </w:rPr>
              <w:t>见投标人须知前附表附录资格审查条件</w:t>
            </w:r>
            <w:r>
              <w:rPr>
                <w:rFonts w:hint="eastAsia" w:ascii="宋体" w:hAnsi="宋体" w:cs="宋体"/>
                <w:color w:val="auto"/>
                <w:szCs w:val="21"/>
                <w:highlight w:val="none"/>
              </w:rPr>
              <w:t>；</w:t>
            </w:r>
          </w:p>
          <w:p>
            <w:pPr>
              <w:pStyle w:val="276"/>
              <w:adjustRightInd w:val="0"/>
              <w:snapToGrid w:val="0"/>
              <w:spacing w:line="400" w:lineRule="exact"/>
              <w:jc w:val="lef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（3）</w:t>
            </w:r>
            <w:r>
              <w:rPr>
                <w:rFonts w:hint="eastAsia" w:ascii="宋体" w:hAnsi="宋体" w:cs="宋体"/>
                <w:color w:val="auto"/>
                <w:szCs w:val="21"/>
                <w:highlight w:val="none"/>
                <w:u w:val="single"/>
              </w:rPr>
              <w:t>……</w:t>
            </w:r>
            <w:r>
              <w:rPr>
                <w:rFonts w:hint="eastAsia" w:asciiTheme="minorEastAsia" w:hAnsiTheme="minorEastAsia" w:eastAsiaTheme="minorEastAsia"/>
                <w:color w:val="auto"/>
                <w:szCs w:val="21"/>
                <w:highlight w:val="none"/>
              </w:rPr>
              <w:t xml:space="preserve">     </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注：1.本次招标未列入接受联合体投标的标段均视为不接受联合体</w:t>
            </w:r>
          </w:p>
          <w:p>
            <w:pPr>
              <w:pStyle w:val="276"/>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000000"/>
                <w:highlight w:val="none"/>
              </w:rPr>
              <w:t>2.招标人要明确联合体牵头人、成员方的资格要求，投标人组成联合体的资格</w:t>
            </w:r>
            <w:r>
              <w:rPr>
                <w:rFonts w:hint="eastAsia" w:ascii="宋体" w:hAnsi="宋体" w:cs="宋体"/>
                <w:color w:val="auto"/>
                <w:highlight w:val="none"/>
              </w:rPr>
              <w:t>根据联合体协议书中约定的内部职责分工以及本须知前附表附录资格审查条件中对应的专业资质、业绩、信誉、人员等要求最终认定。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投标人不得存在的其他关联情形</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highlight w:val="none"/>
              </w:rPr>
              <w:t>1.第</w:t>
            </w:r>
            <w:r>
              <w:rPr>
                <w:rFonts w:hint="eastAsia"/>
                <w:color w:val="auto"/>
                <w:highlight w:val="none"/>
              </w:rPr>
              <w:t>（</w:t>
            </w:r>
            <w:r>
              <w:rPr>
                <w:color w:val="auto"/>
                <w:highlight w:val="none"/>
              </w:rPr>
              <w:t>3</w:t>
            </w:r>
            <w:r>
              <w:rPr>
                <w:rFonts w:hint="eastAsia"/>
                <w:color w:val="auto"/>
                <w:highlight w:val="none"/>
              </w:rPr>
              <w:t>）目补充：单位负责人，是指单位法定代表人或者法律、行政法规规定代表单位行使职权的主要负责人；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2.第（4）目补充：   </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控股关系，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w:t>
            </w:r>
            <w:r>
              <w:rPr>
                <w:rFonts w:hint="eastAsia" w:asciiTheme="minorEastAsia" w:hAnsiTheme="minorEastAsia" w:eastAsiaTheme="minorEastAsia"/>
                <w:color w:val="auto"/>
                <w:szCs w:val="21"/>
                <w:highlight w:val="none"/>
              </w:rPr>
              <w:t>股东</w:t>
            </w:r>
            <w:r>
              <w:rPr>
                <w:rFonts w:hint="eastAsia" w:ascii="宋体" w:hAnsi="宋体" w:cs="宋体"/>
                <w:color w:val="auto"/>
                <w:szCs w:val="21"/>
                <w:highlight w:val="none"/>
              </w:rPr>
              <w:t>。</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管理关系，是指不具有出资持股关系的其他单位之间存在的管理与被管理关系。</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3.第（11）目其他关联情形：</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投标人不得存在的其他不良状况或不良信用记录</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1.本项第（4）、（5）、（6）目要求见本须知前附表第1.4.1项中“信誉最低要求”；</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2.第（7）目其他不良状况或不良信用记录：</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1.10.2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投标人在投标预备会前提出问题</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时间：在召开预备会时间之前（如有）</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形式：以匿名方式在</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本项目“澄清”菜单中提出问题，也可采用</w:t>
            </w:r>
            <w:r>
              <w:rPr>
                <w:rFonts w:hint="eastAsia" w:ascii="宋体" w:hAnsi="宋体" w:cs="宋体"/>
                <w:snapToGrid w:val="0"/>
                <w:color w:val="auto"/>
                <w:kern w:val="0"/>
                <w:highlight w:val="none"/>
              </w:rPr>
              <w:t>匿名书面方式进行</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1.12.3</w:t>
            </w:r>
          </w:p>
        </w:tc>
        <w:tc>
          <w:tcPr>
            <w:tcW w:w="215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细微偏差</w:t>
            </w:r>
          </w:p>
        </w:tc>
        <w:tc>
          <w:tcPr>
            <w:tcW w:w="5818"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本项细化为：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投标文件存在第三章“评标办法”中所列任一否决投标情形以外的情况均视为细微偏差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1.12.4</w:t>
            </w:r>
          </w:p>
        </w:tc>
        <w:tc>
          <w:tcPr>
            <w:tcW w:w="215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细微偏差的处理</w:t>
            </w:r>
          </w:p>
        </w:tc>
        <w:tc>
          <w:tcPr>
            <w:tcW w:w="5818"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见第三章“评标办法”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构成招标文件</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其他资料</w:t>
            </w:r>
          </w:p>
        </w:tc>
        <w:tc>
          <w:tcPr>
            <w:tcW w:w="5818"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投标人要求澄清</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时间：递交投标文件截止时间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日前</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形式：以匿名方式在</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本项目“澄清”菜单中提出，也可采用</w:t>
            </w:r>
            <w:r>
              <w:rPr>
                <w:rFonts w:hint="eastAsia" w:ascii="宋体" w:hAnsi="宋体" w:cs="宋体"/>
                <w:snapToGrid w:val="0"/>
                <w:color w:val="auto"/>
                <w:kern w:val="0"/>
                <w:highlight w:val="none"/>
              </w:rPr>
              <w:t>匿名书面方式进行</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招标文件澄清</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发出的形式</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招标人将以补遗书形式在全国公共资源交易平台（四川省）（</w:t>
            </w:r>
            <w:r>
              <w:rPr>
                <w:color w:val="auto"/>
                <w:highlight w:val="none"/>
              </w:rPr>
              <w:fldChar w:fldCharType="begin"/>
            </w:r>
            <w:r>
              <w:rPr>
                <w:color w:val="auto"/>
                <w:highlight w:val="none"/>
              </w:rPr>
              <w:instrText xml:space="preserve"> HYPERLINK "http://ggzyjy.sc.gov.cn/</w:instrText>
            </w:r>
            <w:r>
              <w:rPr>
                <w:rFonts w:hint="eastAsia"/>
                <w:color w:val="auto"/>
                <w:highlight w:val="none"/>
              </w:rPr>
              <w:instrText xml:space="preserve">）</w:instrText>
            </w:r>
            <w:r>
              <w:rPr>
                <w:color w:val="auto"/>
                <w:highlight w:val="none"/>
              </w:rPr>
              <w:instrText xml:space="preserve">" </w:instrText>
            </w:r>
            <w:r>
              <w:rPr>
                <w:rStyle w:val="50"/>
                <w:rFonts w:ascii="宋体" w:hAnsi="宋体" w:cs="宋体"/>
                <w:color w:val="auto"/>
                <w:szCs w:val="21"/>
                <w:highlight w:val="none"/>
                <w:u w:val="none"/>
              </w:rPr>
              <w:fldChar w:fldCharType="separate"/>
            </w:r>
            <w:r>
              <w:rPr>
                <w:rStyle w:val="56"/>
                <w:rFonts w:hint="eastAsia" w:ascii="宋体" w:hAnsi="宋体" w:cs="宋体"/>
                <w:color w:val="auto"/>
                <w:szCs w:val="21"/>
                <w:highlight w:val="none"/>
                <w:u w:val="none"/>
              </w:rPr>
              <w:t>https://ggzyjy.sc.gov.cn/）</w:t>
            </w:r>
            <w:r>
              <w:rPr>
                <w:rStyle w:val="56"/>
                <w:rFonts w:ascii="宋体" w:hAnsi="宋体" w:cs="宋体"/>
                <w:color w:val="auto"/>
                <w:szCs w:val="21"/>
                <w:highlight w:val="none"/>
                <w:u w:val="none"/>
              </w:rPr>
              <w:fldChar w:fldCharType="end"/>
            </w:r>
            <w:r>
              <w:rPr>
                <w:rFonts w:hint="eastAsia" w:ascii="宋体" w:hAnsi="宋体"/>
                <w:color w:val="auto"/>
                <w:szCs w:val="21"/>
                <w:highlight w:val="none"/>
              </w:rPr>
              <w:t>以及</w:t>
            </w:r>
            <w:r>
              <w:rPr>
                <w:rFonts w:hint="eastAsia" w:ascii="宋体" w:hAnsi="宋体" w:cs="宋体"/>
                <w:color w:val="auto"/>
                <w:highlight w:val="none"/>
              </w:rPr>
              <w:t>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宋体" w:hAnsi="宋体" w:cs="宋体"/>
                <w:color w:val="000000" w:themeColor="text1"/>
                <w:highlight w:val="none"/>
                <w:lang w:eastAsia="zh-CN"/>
                <w14:textFill>
                  <w14:solidFill>
                    <w14:schemeClr w14:val="tx1"/>
                  </w14:solidFill>
                </w14:textFill>
              </w:rPr>
              <w:t>，</w:t>
            </w:r>
            <w:r>
              <w:rPr>
                <w:rStyle w:val="56"/>
                <w:rFonts w:hint="eastAsia"/>
                <w:color w:val="000000" w:themeColor="text1"/>
                <w:szCs w:val="21"/>
                <w:highlight w:val="none"/>
                <w:u w:val="none"/>
                <w14:textFill>
                  <w14:solidFill>
                    <w14:schemeClr w14:val="tx1"/>
                  </w14:solidFill>
                </w14:textFill>
              </w:rPr>
              <w:sym w:font="Wingdings 2" w:char="00A3"/>
            </w:r>
            <w:r>
              <w:rPr>
                <w:rStyle w:val="56"/>
                <w:rFonts w:hint="eastAsia" w:cs="宋体"/>
                <w:color w:val="000000" w:themeColor="text1"/>
                <w:szCs w:val="21"/>
                <w:highlight w:val="none"/>
                <w:u w:val="none"/>
                <w14:textFill>
                  <w14:solidFill>
                    <w14:schemeClr w14:val="tx1"/>
                  </w14:solidFill>
                </w14:textFill>
              </w:rPr>
              <w:t>或</w:t>
            </w:r>
            <w:r>
              <w:rPr>
                <w:rStyle w:val="56"/>
                <w:rFonts w:hint="eastAsia"/>
                <w:color w:val="000000" w:themeColor="text1"/>
                <w:szCs w:val="21"/>
                <w:highlight w:val="none"/>
                <w:u w:val="none"/>
                <w14:textFill>
                  <w14:solidFill>
                    <w14:schemeClr w14:val="tx1"/>
                  </w14:solidFill>
                </w14:textFill>
              </w:rPr>
              <w:t>在对项目招标投标活动具有行政监督职责的交通运输行政主管部门门户网站</w:t>
            </w:r>
            <w:r>
              <w:rPr>
                <w:rFonts w:hint="eastAsia" w:ascii="宋体" w:hAnsi="宋体" w:cs="宋体"/>
                <w:color w:val="auto"/>
                <w:highlight w:val="none"/>
              </w:rPr>
              <w:t>发出招标文件澄清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投标人确认收到</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招标文件澄清</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无须确认。投标人应实时关注补遗书发布媒介，并及时下载澄清内容。因投标人自身原因未及时获知澄清内容而导致的任何后果将由投标人自行承担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2.3.1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招标文件修改</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发出的形式</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招标人将以补遗书形式发出招标文件的修改，发出媒介见本须知前附表第2.2.2项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2.3.2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投标人确认收到</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招标文件修改</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无须确认。投标人应实时关注补遗书发布媒介，并及时下载修改内容。因投标人自身原因未及时获知招标文件修改内容而导致的任何后果将由投标人自行承担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2.4</w:t>
            </w:r>
          </w:p>
        </w:tc>
        <w:tc>
          <w:tcPr>
            <w:tcW w:w="215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招标文件的异议</w:t>
            </w:r>
          </w:p>
        </w:tc>
        <w:tc>
          <w:tcPr>
            <w:tcW w:w="5818"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本款补充：</w:t>
            </w:r>
          </w:p>
          <w:p>
            <w:pPr>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Theme="minorEastAsia" w:hAnsiTheme="minorEastAsia" w:eastAsiaTheme="minorEastAsia"/>
                <w:color w:val="auto"/>
                <w:szCs w:val="21"/>
                <w:highlight w:val="none"/>
              </w:rPr>
              <w:t>投标人提出异议可通过《甘孜州电子交易系统》在“澄清与异议”菜单中进行</w:t>
            </w:r>
            <w:r>
              <w:rPr>
                <w:rFonts w:hint="eastAsia" w:ascii="宋体" w:hAnsi="宋体" w:cs="宋体"/>
                <w:snapToGrid w:val="0"/>
                <w:color w:val="auto"/>
                <w:kern w:val="0"/>
                <w:highlight w:val="none"/>
              </w:rPr>
              <w:t xml:space="preserve">，也可采用符合本须知前附表第8.5.2项要求的书面方式进行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3.1.1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投标文件的组成</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见第七章“投标文件格式”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增值税税金的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计算方法</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一般计税法</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报价方式</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单价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最高投标限价</w:t>
            </w:r>
          </w:p>
        </w:tc>
        <w:tc>
          <w:tcPr>
            <w:tcW w:w="5818"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无</w:t>
            </w:r>
          </w:p>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有</w:t>
            </w:r>
          </w:p>
          <w:p>
            <w:pPr>
              <w:pStyle w:val="276"/>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最高投标限价为：</w:t>
            </w:r>
          </w:p>
          <w:p>
            <w:pPr>
              <w:pStyle w:val="276"/>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最高投标限价：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元，其中：</w:t>
            </w:r>
          </w:p>
          <w:p>
            <w:pPr>
              <w:pStyle w:val="276"/>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（1）竞争性部分报价：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w:t>
            </w:r>
          </w:p>
          <w:p>
            <w:pPr>
              <w:pStyle w:val="276"/>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（2）非竞争性部分报价：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元，其中：</w:t>
            </w:r>
          </w:p>
          <w:p>
            <w:pPr>
              <w:pStyle w:val="276"/>
              <w:adjustRightInd w:val="0"/>
              <w:snapToGrid w:val="0"/>
              <w:spacing w:line="400" w:lineRule="exact"/>
              <w:ind w:firstLine="420" w:firstLineChars="200"/>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fldChar w:fldCharType="begin"/>
            </w:r>
            <w:r>
              <w:rPr>
                <w:rFonts w:hint="eastAsia" w:asciiTheme="minorEastAsia" w:hAnsiTheme="minorEastAsia" w:eastAsiaTheme="minorEastAsia"/>
                <w:color w:val="auto"/>
                <w:szCs w:val="21"/>
                <w:highlight w:val="none"/>
              </w:rPr>
              <w:instrText xml:space="preserve"> = 1 \* GB3 </w:instrText>
            </w:r>
            <w:r>
              <w:rPr>
                <w:rFonts w:asciiTheme="minorEastAsia" w:hAnsiTheme="minorEastAsia" w:eastAsiaTheme="minorEastAsia"/>
                <w:color w:val="auto"/>
                <w:szCs w:val="21"/>
                <w:highlight w:val="none"/>
              </w:rPr>
              <w:fldChar w:fldCharType="separate"/>
            </w:r>
            <w:r>
              <w:rPr>
                <w:rFonts w:hint="eastAsia" w:asciiTheme="minorEastAsia" w:hAnsiTheme="minorEastAsia" w:eastAsiaTheme="minorEastAsia"/>
                <w:color w:val="auto"/>
                <w:szCs w:val="21"/>
                <w:highlight w:val="none"/>
              </w:rPr>
              <w:t>①</w:t>
            </w:r>
            <w:r>
              <w:rPr>
                <w:rFonts w:asciiTheme="minorEastAsia" w:hAnsiTheme="minorEastAsia" w:eastAsiaTheme="minorEastAsia"/>
                <w:color w:val="auto"/>
                <w:szCs w:val="21"/>
                <w:highlight w:val="none"/>
              </w:rPr>
              <w:fldChar w:fldCharType="end"/>
            </w:r>
            <w:r>
              <w:rPr>
                <w:rFonts w:hint="eastAsia" w:asciiTheme="minorEastAsia" w:hAnsiTheme="minorEastAsia" w:eastAsiaTheme="minorEastAsia"/>
                <w:color w:val="auto"/>
                <w:szCs w:val="21"/>
                <w:highlight w:val="none"/>
              </w:rPr>
              <w:t>安全生产费：</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w:t>
            </w:r>
          </w:p>
          <w:p>
            <w:pPr>
              <w:pStyle w:val="276"/>
              <w:adjustRightInd w:val="0"/>
              <w:snapToGrid w:val="0"/>
              <w:spacing w:line="400" w:lineRule="exact"/>
              <w:ind w:firstLine="420" w:firstLineChars="200"/>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fldChar w:fldCharType="begin"/>
            </w:r>
            <w:r>
              <w:rPr>
                <w:rFonts w:hint="eastAsia" w:asciiTheme="minorEastAsia" w:hAnsiTheme="minorEastAsia" w:eastAsiaTheme="minorEastAsia"/>
                <w:color w:val="auto"/>
                <w:szCs w:val="21"/>
                <w:highlight w:val="none"/>
              </w:rPr>
              <w:instrText xml:space="preserve"> = 2 \* GB3 </w:instrText>
            </w:r>
            <w:r>
              <w:rPr>
                <w:rFonts w:asciiTheme="minorEastAsia" w:hAnsiTheme="minorEastAsia" w:eastAsiaTheme="minorEastAsia"/>
                <w:color w:val="auto"/>
                <w:szCs w:val="21"/>
                <w:highlight w:val="none"/>
              </w:rPr>
              <w:fldChar w:fldCharType="separate"/>
            </w:r>
            <w:r>
              <w:rPr>
                <w:rFonts w:hint="eastAsia" w:asciiTheme="minorEastAsia" w:hAnsiTheme="minorEastAsia" w:eastAsiaTheme="minorEastAsia"/>
                <w:color w:val="auto"/>
                <w:szCs w:val="21"/>
                <w:highlight w:val="none"/>
              </w:rPr>
              <w:t>②</w:t>
            </w:r>
            <w:r>
              <w:rPr>
                <w:rFonts w:asciiTheme="minorEastAsia" w:hAnsiTheme="minorEastAsia" w:eastAsiaTheme="minorEastAsia"/>
                <w:color w:val="auto"/>
                <w:szCs w:val="21"/>
                <w:highlight w:val="none"/>
              </w:rPr>
              <w:fldChar w:fldCharType="end"/>
            </w:r>
            <w:r>
              <w:rPr>
                <w:rFonts w:hint="eastAsia" w:asciiTheme="minorEastAsia" w:hAnsiTheme="minorEastAsia" w:eastAsiaTheme="minorEastAsia"/>
                <w:color w:val="auto"/>
                <w:szCs w:val="21"/>
                <w:highlight w:val="none"/>
              </w:rPr>
              <w:t>暂估价：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w:t>
            </w:r>
          </w:p>
          <w:p>
            <w:pPr>
              <w:pStyle w:val="276"/>
              <w:adjustRightInd w:val="0"/>
              <w:snapToGrid w:val="0"/>
              <w:spacing w:line="400" w:lineRule="exact"/>
              <w:ind w:firstLine="420" w:firstLineChars="200"/>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fldChar w:fldCharType="begin"/>
            </w:r>
            <w:r>
              <w:rPr>
                <w:rFonts w:hint="eastAsia" w:asciiTheme="minorEastAsia" w:hAnsiTheme="minorEastAsia" w:eastAsiaTheme="minorEastAsia"/>
                <w:color w:val="auto"/>
                <w:szCs w:val="21"/>
                <w:highlight w:val="none"/>
              </w:rPr>
              <w:instrText xml:space="preserve"> = 3 \* GB3 </w:instrText>
            </w:r>
            <w:r>
              <w:rPr>
                <w:rFonts w:asciiTheme="minorEastAsia" w:hAnsiTheme="minorEastAsia" w:eastAsiaTheme="minorEastAsia"/>
                <w:color w:val="auto"/>
                <w:szCs w:val="21"/>
                <w:highlight w:val="none"/>
              </w:rPr>
              <w:fldChar w:fldCharType="separate"/>
            </w:r>
            <w:r>
              <w:rPr>
                <w:rFonts w:hint="eastAsia" w:asciiTheme="minorEastAsia" w:hAnsiTheme="minorEastAsia" w:eastAsiaTheme="minorEastAsia"/>
                <w:color w:val="auto"/>
                <w:szCs w:val="21"/>
                <w:highlight w:val="none"/>
              </w:rPr>
              <w:t>③</w:t>
            </w:r>
            <w:r>
              <w:rPr>
                <w:rFonts w:asciiTheme="minorEastAsia" w:hAnsiTheme="minorEastAsia" w:eastAsiaTheme="minorEastAsia"/>
                <w:color w:val="auto"/>
                <w:szCs w:val="21"/>
                <w:highlight w:val="none"/>
              </w:rPr>
              <w:fldChar w:fldCharType="end"/>
            </w:r>
            <w:r>
              <w:rPr>
                <w:rFonts w:hint="eastAsia" w:asciiTheme="minorEastAsia" w:hAnsiTheme="minorEastAsia" w:eastAsiaTheme="minorEastAsia"/>
                <w:color w:val="auto"/>
                <w:szCs w:val="21"/>
                <w:highlight w:val="none"/>
              </w:rPr>
              <w:t>暂列金额：</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元。 </w:t>
            </w:r>
          </w:p>
          <w:p>
            <w:pPr>
              <w:pStyle w:val="276"/>
              <w:adjustRightInd w:val="0"/>
              <w:snapToGrid w:val="0"/>
              <w:spacing w:line="400" w:lineRule="exact"/>
              <w:ind w:firstLine="420" w:firstLineChars="2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公布的最高投标限价作为投标人投标报价的控制上限，最高投标限价包括竞争性部分报价和非竞争性部分报价。凡是投标报价超过最高投标限价的，其投标将被否决</w:t>
            </w:r>
          </w:p>
          <w:p>
            <w:pPr>
              <w:pStyle w:val="276"/>
              <w:adjustRightInd w:val="0"/>
              <w:snapToGrid w:val="0"/>
              <w:spacing w:line="400" w:lineRule="exact"/>
              <w:ind w:left="210"/>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 最高投标限价以补遗书的形式发布（补遗书须包含最高限价的招标文件，文件格式zbid）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3.2.5</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投标报价的其他要求</w:t>
            </w:r>
          </w:p>
        </w:tc>
        <w:tc>
          <w:tcPr>
            <w:tcW w:w="5818"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3.3.1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投标有效期</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自投标人提交投标文件截止之日起计算</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w:t>
            </w:r>
          </w:p>
        </w:tc>
        <w:tc>
          <w:tcPr>
            <w:tcW w:w="5818" w:type="dxa"/>
            <w:vAlign w:val="center"/>
          </w:tcPr>
          <w:p>
            <w:pPr>
              <w:spacing w:line="360" w:lineRule="auto"/>
              <w:rPr>
                <w:rFonts w:hint="eastAsia" w:ascii="宋体" w:hAnsi="宋体"/>
                <w:color w:val="auto"/>
                <w:highlight w:val="none"/>
              </w:rPr>
            </w:pPr>
            <w:r>
              <w:rPr>
                <w:rFonts w:hint="eastAsia" w:ascii="宋体" w:hAnsi="宋体"/>
                <w:color w:val="auto"/>
                <w:highlight w:val="none"/>
              </w:rPr>
              <w:t>□ 不要求投标人提交投标保证金。</w:t>
            </w:r>
          </w:p>
          <w:p>
            <w:pPr>
              <w:spacing w:line="360" w:lineRule="auto"/>
              <w:rPr>
                <w:rFonts w:hint="eastAsia" w:ascii="宋体" w:hAnsi="宋体"/>
                <w:color w:val="auto"/>
                <w:highlight w:val="none"/>
              </w:rPr>
            </w:pPr>
            <w:r>
              <w:rPr>
                <w:rFonts w:hint="eastAsia" w:ascii="宋体" w:hAnsi="宋体"/>
                <w:color w:val="auto"/>
                <w:highlight w:val="none"/>
              </w:rPr>
              <w:t>□要求投标人提交投标保证金。投标保证金的金额：人民币（大写）______</w:t>
            </w:r>
            <w:r>
              <w:rPr>
                <w:rFonts w:hint="eastAsia" w:ascii="宋体" w:hAnsi="宋体"/>
                <w:color w:val="auto"/>
                <w:highlight w:val="none"/>
                <w:u w:val="single"/>
              </w:rPr>
              <w:t xml:space="preserve"> </w:t>
            </w: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元）。</w:t>
            </w:r>
          </w:p>
          <w:p>
            <w:pPr>
              <w:spacing w:line="360" w:lineRule="auto"/>
              <w:rPr>
                <w:rFonts w:hint="eastAsia" w:ascii="宋体" w:hAnsi="宋体"/>
                <w:color w:val="auto"/>
                <w:highlight w:val="none"/>
              </w:rPr>
            </w:pPr>
            <w:r>
              <w:rPr>
                <w:rFonts w:hint="eastAsia" w:ascii="宋体" w:hAnsi="宋体"/>
                <w:color w:val="auto"/>
                <w:highlight w:val="none"/>
              </w:rPr>
              <w:t>投标人可以选择下列两种形式之一提交：</w:t>
            </w:r>
          </w:p>
          <w:p>
            <w:pPr>
              <w:spacing w:line="360" w:lineRule="auto"/>
              <w:rPr>
                <w:rFonts w:hint="eastAsia" w:ascii="宋体" w:hAnsi="宋体"/>
                <w:color w:val="auto"/>
                <w:highlight w:val="none"/>
              </w:rPr>
            </w:pPr>
            <w:r>
              <w:rPr>
                <w:rFonts w:hint="eastAsia" w:ascii="宋体" w:hAnsi="宋体"/>
                <w:color w:val="auto"/>
                <w:highlight w:val="none"/>
              </w:rPr>
              <w:t xml:space="preserve"> 1、保险公司电子保险合同（电子保险单）形式提交。采用电子保险合同（电子保险单）递交投标保证金的，投标人需在《甘孜州公共资源交易平台电子招标投标系统》中在线选择电子保险投保方式提交投标保证金，开标时以系统中的投标保证金一览表到账名单为准。凡未按要求有效投保导致系统不能准确显示投保信息的，责任由投标人自负。</w:t>
            </w:r>
          </w:p>
          <w:p>
            <w:pPr>
              <w:spacing w:line="360" w:lineRule="auto"/>
              <w:rPr>
                <w:rFonts w:hint="eastAsia" w:ascii="宋体" w:hAnsi="宋体"/>
                <w:color w:val="auto"/>
                <w:highlight w:val="none"/>
              </w:rPr>
            </w:pPr>
            <w:r>
              <w:rPr>
                <w:rFonts w:hint="eastAsia" w:ascii="宋体" w:hAnsi="宋体"/>
                <w:color w:val="auto"/>
                <w:highlight w:val="none"/>
              </w:rPr>
              <w:t xml:space="preserve"> 2、银行电子保函、担保电子保函形式提交。采用银行电子保函、担保电子保函递交投标保证金的，投标人需在《甘孜州公共资源交易平台电子招标投标系统》中在线选择银行电子保函、担保电子保函投保方式提交投标保证金，开标时以系统中的投标保证金一览表到账名单为准。凡未按要求有效投保导致系统不能准确显示投保信息的，责任由投标人自负。</w:t>
            </w:r>
          </w:p>
          <w:p>
            <w:pPr>
              <w:spacing w:line="360" w:lineRule="auto"/>
              <w:rPr>
                <w:rFonts w:hint="eastAsia" w:ascii="宋体" w:hAnsi="宋体"/>
                <w:color w:val="auto"/>
                <w:highlight w:val="none"/>
              </w:rPr>
            </w:pPr>
            <w:r>
              <w:rPr>
                <w:rFonts w:hint="eastAsia" w:ascii="宋体" w:hAnsi="宋体"/>
                <w:color w:val="auto"/>
                <w:highlight w:val="none"/>
              </w:rPr>
              <w:t xml:space="preserve"> 3、现金形式提交。投标人登录《甘孜州公共资源交易平台电子招投标系统》，进入当前公告的投标保证金提交页面，选择需提交投标保证金的标段，点击“生成子账号”，选择投标保证金收款银行，点击“确定”，系统自动生成该标段的投标保证金收款银行虚拟子账号（以下简称收款虚拟子账号）。投标人通过其企业网银（自行登录）、银行柜台、ATM机等，从其银行基本账户转账至需支付投标保证金标段的收款虚拟子账号，完成该标段投标保证金的提交。 投标保证金应在投标截止时间前到达系统指定交款虚拟子账号（不同标段的子账号不相同）。投标保证金支持同行和跨行转账支付，跨行转账需充分考虑跨行支付到账延迟时间。</w:t>
            </w:r>
          </w:p>
          <w:p>
            <w:pPr>
              <w:pStyle w:val="276"/>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olor w:val="auto"/>
                <w:highlight w:val="none"/>
              </w:rPr>
              <w:t>注：本项为单项选择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投标保证金的利息计算原则</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投标保证金以现金形式递交的，投标保证金的利息计算原则：</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投标保证金递交至招标人指定的开户银行及账号时，投标保证金的计息期起始日期为投标截止当日，终止日期为招标人退还投标保证金日期的前一日，但最长不超过投标有效期，利率为中国人民银行公布的同期活期存款利率（利息金额计算至分位，分以下尾数四舍五入）</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其他规定：</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u w:val="singl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投标保证金采用银行保函的，不适用</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此内容适用于投标保证金采用现金形式提交时。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退还方式</w:t>
            </w:r>
          </w:p>
        </w:tc>
        <w:tc>
          <w:tcPr>
            <w:tcW w:w="5818" w:type="dxa"/>
            <w:vAlign w:val="center"/>
          </w:tcPr>
          <w:p>
            <w:pPr>
              <w:spacing w:line="270" w:lineRule="auto"/>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不适用（不要求投标人提交投标保证金的）</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在线提交的投标保证金，非中标候选人的投标保证金，中标候选人公示期满次日起由系统自动发起退还申请，3个工作日内退还。中标候选人的投标保证金，在合同公示发出后的次日，由系统自动发起退还申请，3个工作日内退还。退还投标保证金时原路径退还。</w:t>
            </w:r>
          </w:p>
          <w:p>
            <w:pPr>
              <w:pStyle w:val="276"/>
              <w:adjustRightInd w:val="0"/>
              <w:snapToGrid w:val="0"/>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注：此内容适用于投标保证金采用现金提交时。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其他不予退还投标保证金的情形</w:t>
            </w:r>
          </w:p>
        </w:tc>
        <w:tc>
          <w:tcPr>
            <w:tcW w:w="5818" w:type="dxa"/>
            <w:vAlign w:val="center"/>
          </w:tcPr>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（3）其他不予退还投标保证金的情形：</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投标人存在弄虚作假且对其初步评审、详细评审产生影响的行为；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投标人有串通投标行为；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投标人有行贿行为；</w:t>
            </w:r>
          </w:p>
          <w:p>
            <w:pPr>
              <w:adjustRightInd w:val="0"/>
              <w:snapToGrid w:val="0"/>
              <w:spacing w:line="400" w:lineRule="exact"/>
              <w:ind w:firstLine="210" w:firstLineChars="100"/>
              <w:rPr>
                <w:rFonts w:hint="eastAsia" w:ascii="宋体" w:hAnsi="宋体"/>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投标人有其他行为：</w:t>
            </w:r>
            <w:r>
              <w:rPr>
                <w:rFonts w:hint="eastAsia" w:asciiTheme="minorEastAsia" w:hAnsiTheme="minorEastAsia" w:eastAsiaTheme="minorEastAsia"/>
                <w:color w:val="auto"/>
                <w:szCs w:val="21"/>
                <w:highlight w:val="none"/>
                <w:u w:val="single"/>
              </w:rPr>
              <w:t xml:space="preserve">        </w:t>
            </w:r>
          </w:p>
          <w:p>
            <w:pPr>
              <w:pStyle w:val="276"/>
              <w:adjustRightInd w:val="0"/>
              <w:snapToGrid w:val="0"/>
              <w:spacing w:line="400" w:lineRule="exact"/>
              <w:jc w:val="left"/>
              <w:rPr>
                <w:rFonts w:hint="eastAsia" w:ascii="宋体" w:hAnsi="宋体" w:cs="宋体"/>
                <w:color w:val="auto"/>
                <w:szCs w:val="21"/>
                <w:highlight w:val="none"/>
                <w:u w:val="single"/>
              </w:rPr>
            </w:pPr>
            <w:r>
              <w:rPr>
                <w:rFonts w:hint="eastAsia" w:ascii="宋体" w:hAnsi="宋体"/>
                <w:color w:val="auto"/>
                <w:szCs w:val="21"/>
                <w:highlight w:val="none"/>
              </w:rPr>
              <w:t>注：串通投标、弄虚作假具体情形见第三章“评标办法”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资格审查资料的特殊要求</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无</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有，具体要求：</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投标人基本情况表</w:t>
            </w:r>
          </w:p>
        </w:tc>
        <w:tc>
          <w:tcPr>
            <w:tcW w:w="5818"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“投标人基本情况表”应附的证明材料以第七章“投标文件格式”中要求为准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近年完成的类似项目情况的时间要求</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时间要求：</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日～投标截止日</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“近年完成的类似项目情况表”应附的证明材料以第七章“投标文件格式”中要求为准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投标人信誉情况表</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“投标人信誉情况表”应附的证明材料以第七章“投标文件格式”中要求为准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拟委任的主要人员资历表</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拟委任的主要人员：</w:t>
            </w:r>
            <w:r>
              <w:rPr>
                <w:rFonts w:hint="eastAsia" w:ascii="宋体" w:hAnsi="宋体" w:cs="宋体"/>
                <w:color w:val="auto"/>
                <w:szCs w:val="21"/>
                <w:highlight w:val="none"/>
                <w:u w:val="singl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“拟委任的主要人员资历表”应附的证明材料以第七章“投标文件格式”中要求为准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3.5.5</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拟委任的其他主要监理人员情况表</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拟委任的其他主要监理人员：</w:t>
            </w:r>
            <w:r>
              <w:rPr>
                <w:rFonts w:hint="eastAsia" w:ascii="宋体" w:hAnsi="宋体" w:cs="宋体"/>
                <w:color w:val="auto"/>
                <w:szCs w:val="21"/>
                <w:highlight w:val="none"/>
                <w:u w:val="singl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“拟委任的其他主要监理人员情况表”应附的证明材料以第七章“投标文件格式”中要求为准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拟委任的其他主要监理人员不作为资格审查强制性条件，投标人若成为中标人，则在签订合同前，须上报满足招标文件第四章第三节“</w:t>
            </w:r>
            <w:r>
              <w:rPr>
                <w:rFonts w:hint="eastAsia" w:ascii="宋体" w:hAnsi="宋体" w:cs="宋体"/>
                <w:color w:val="auto"/>
                <w:szCs w:val="21"/>
                <w:highlight w:val="none"/>
                <w:u w:val="single"/>
              </w:rPr>
              <w:t>附件三 其他主要监理人员最低要求</w:t>
            </w:r>
            <w:r>
              <w:rPr>
                <w:rFonts w:hint="eastAsia" w:ascii="宋体" w:hAnsi="宋体" w:cs="宋体"/>
                <w:color w:val="auto"/>
                <w:szCs w:val="21"/>
                <w:highlight w:val="none"/>
              </w:rPr>
              <w:t>”的相关具体人员，经招标人或委托人审核同意后签订合同，并按填报的人员进场开展工作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3.5.9</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投标文件的真实性</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要求</w:t>
            </w:r>
          </w:p>
        </w:tc>
        <w:tc>
          <w:tcPr>
            <w:tcW w:w="5818" w:type="dxa"/>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本项最后补充：</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并依据</w:t>
            </w:r>
            <w:r>
              <w:rPr>
                <w:rFonts w:hint="eastAsia" w:ascii="宋体" w:hAnsi="宋体" w:cs="宋体"/>
                <w:color w:val="auto"/>
                <w:szCs w:val="21"/>
                <w:highlight w:val="none"/>
                <w:u w:val="single"/>
              </w:rPr>
              <w:sym w:font="Wingdings 2" w:char="00A3"/>
            </w:r>
            <w:r>
              <w:rPr>
                <w:rFonts w:hint="eastAsia" w:ascii="宋体" w:hAnsi="宋体" w:cs="宋体"/>
                <w:color w:val="auto"/>
                <w:szCs w:val="21"/>
                <w:highlight w:val="none"/>
                <w:u w:val="single"/>
              </w:rPr>
              <w:t>《四川省重点公路建设从业单位信用管理办法》；</w:t>
            </w:r>
            <w:r>
              <w:rPr>
                <w:rFonts w:hint="eastAsia" w:ascii="宋体" w:hAnsi="宋体" w:cs="宋体"/>
                <w:color w:val="auto"/>
                <w:szCs w:val="21"/>
                <w:highlight w:val="none"/>
                <w:u w:val="single"/>
              </w:rPr>
              <w:sym w:font="Wingdings 2" w:char="00A3"/>
            </w:r>
            <w:r>
              <w:rPr>
                <w:rFonts w:hint="eastAsia" w:ascii="宋体" w:hAnsi="宋体" w:cs="宋体"/>
                <w:color w:val="auto"/>
                <w:szCs w:val="21"/>
                <w:highlight w:val="none"/>
                <w:u w:val="single"/>
              </w:rPr>
              <w:t>或；</w:t>
            </w:r>
            <w:r>
              <w:rPr>
                <w:rFonts w:hint="eastAsia" w:ascii="宋体" w:hAnsi="宋体" w:cs="宋体"/>
                <w:color w:val="auto"/>
                <w:szCs w:val="21"/>
                <w:highlight w:val="none"/>
                <w:u w:val="single"/>
              </w:rPr>
              <w:sym w:font="Wingdings 2" w:char="00A3"/>
            </w:r>
            <w:r>
              <w:rPr>
                <w:rFonts w:hint="eastAsia"/>
                <w:color w:val="auto"/>
                <w:szCs w:val="21"/>
                <w:highlight w:val="none"/>
                <w:u w:val="single"/>
              </w:rPr>
              <w:t>《</w:t>
            </w:r>
            <w:r>
              <w:rPr>
                <w:rFonts w:hint="eastAsia" w:ascii="宋体" w:hAnsi="宋体"/>
                <w:color w:val="auto"/>
                <w:szCs w:val="21"/>
                <w:highlight w:val="none"/>
                <w:u w:val="single"/>
              </w:rPr>
              <w:t>四川省农村公路建设从业单位信用管理办法</w:t>
            </w:r>
            <w:r>
              <w:rPr>
                <w:rFonts w:hint="eastAsia"/>
                <w:color w:val="auto"/>
                <w:szCs w:val="21"/>
                <w:highlight w:val="none"/>
                <w:u w:val="single"/>
              </w:rPr>
              <w:t>》</w:t>
            </w:r>
            <w:r>
              <w:rPr>
                <w:rFonts w:hint="eastAsia" w:ascii="宋体" w:hAnsi="宋体" w:cs="宋体"/>
                <w:color w:val="auto"/>
                <w:szCs w:val="21"/>
                <w:highlight w:val="none"/>
              </w:rPr>
              <w:t>给予信用处理</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本项为单选项。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3.6.1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是否允许递交</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备选投标方案</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不允许</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投标文件的制作</w:t>
            </w:r>
          </w:p>
        </w:tc>
        <w:tc>
          <w:tcPr>
            <w:tcW w:w="5818"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由投标人使用</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自带的“投标文件制作软件”制作生成的电子投标文件包括：</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（1）第一个信封（商务及技术文件）加密的电子投标文件</w:t>
            </w:r>
            <w:r>
              <w:rPr>
                <w:rFonts w:hint="eastAsia" w:ascii="宋体" w:hAnsi="宋体" w:cs="宋体"/>
                <w:color w:val="auto"/>
                <w:szCs w:val="21"/>
                <w:highlight w:val="none"/>
                <w:u w:val="single"/>
              </w:rPr>
              <w:t>（文件后缀名为“tbid.p7s”）</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（2）第二个信封（报价文件）加密的电子投标文件</w:t>
            </w:r>
            <w:r>
              <w:rPr>
                <w:rFonts w:hint="eastAsia" w:ascii="宋体" w:hAnsi="宋体" w:cs="宋体"/>
                <w:color w:val="auto"/>
                <w:szCs w:val="21"/>
                <w:highlight w:val="none"/>
                <w:u w:val="single"/>
              </w:rPr>
              <w:t>（文件后缀名为“tbid.p7s”）</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注：tbid.p7s为</w:t>
            </w:r>
            <w:r>
              <w:rPr>
                <w:rFonts w:hint="eastAsia" w:ascii="宋体" w:hAnsi="宋体" w:cs="宋体"/>
                <w:color w:val="auto"/>
                <w:highlight w:val="none"/>
              </w:rPr>
              <w:t>电子投标文件格式名称。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投标文件份数</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及其他要求</w:t>
            </w:r>
          </w:p>
        </w:tc>
        <w:tc>
          <w:tcPr>
            <w:tcW w:w="5818" w:type="dxa"/>
            <w:vAlign w:val="center"/>
          </w:tcPr>
          <w:p>
            <w:pPr>
              <w:pStyle w:val="276"/>
              <w:adjustRightInd w:val="0"/>
              <w:snapToGrid w:val="0"/>
              <w:spacing w:line="400" w:lineRule="exact"/>
              <w:rPr>
                <w:rFonts w:hint="eastAsia" w:ascii="宋体" w:hAnsi="宋体"/>
                <w:b/>
                <w:color w:val="auto"/>
                <w:szCs w:val="21"/>
                <w:highlight w:val="none"/>
              </w:rPr>
            </w:pPr>
            <w:r>
              <w:rPr>
                <w:rFonts w:hint="eastAsia" w:ascii="宋体" w:hAnsi="宋体" w:cs="宋体"/>
                <w:color w:val="auto"/>
                <w:szCs w:val="21"/>
                <w:highlight w:val="none"/>
              </w:rPr>
              <w:t>（1）投标截止时间前投标人将加密的第一个信封（商务及技术文件）、第二个信封（报价文件）电子投标文件上传至“电子交易系统”。</w:t>
            </w:r>
          </w:p>
          <w:p>
            <w:pPr>
              <w:pStyle w:val="276"/>
              <w:adjustRightInd w:val="0"/>
              <w:snapToGrid w:val="0"/>
              <w:spacing w:line="400" w:lineRule="exact"/>
              <w:rPr>
                <w:rFonts w:hint="eastAsia" w:ascii="宋体" w:hAnsi="宋体" w:cs="宋体"/>
                <w:b/>
                <w:color w:val="auto"/>
                <w:szCs w:val="21"/>
                <w:highlight w:val="none"/>
                <w:u w:val="single"/>
              </w:rPr>
            </w:pPr>
            <w:r>
              <w:rPr>
                <w:rFonts w:hint="eastAsia" w:ascii="宋体" w:hAnsi="宋体" w:cs="宋体"/>
                <w:color w:val="auto"/>
                <w:szCs w:val="21"/>
                <w:highlight w:val="none"/>
              </w:rPr>
              <w:t>（2）投标人提交的第一个信封（商务及技术文件）、第二个信封（报价文件）电子投标文件以解密成功的为准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3.7.5</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投标文件上传的要求</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投标人必须按招标文件和</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的要求制作、上传投标文件，以保证投标文件的有效性和保密性；否则</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将无法识别、无法上传。</w:t>
            </w:r>
          </w:p>
          <w:p>
            <w:pPr>
              <w:pStyle w:val="276"/>
              <w:adjustRightInd w:val="0"/>
              <w:snapToGrid w:val="0"/>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投标人必须在投标截止时间前授权解密（如未授权解密，开标时该投标文件将无法解密）。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4.1.1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投标文件的加密</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应按本须知前附表第3.7.3项要求制作并加密电子投标文件，未按要求加密的投标文件，</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 xml:space="preserve">将拒绝接收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4.2.3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是否退还投标文件</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否</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是，退还时间如下：</w:t>
            </w:r>
          </w:p>
          <w:p>
            <w:pPr>
              <w:pStyle w:val="276"/>
              <w:adjustRightInd w:val="0"/>
              <w:snapToGrid w:val="0"/>
              <w:spacing w:line="400" w:lineRule="exact"/>
              <w:rPr>
                <w:rFonts w:hint="eastAsia" w:ascii="宋体" w:hAnsi="宋体" w:cs="宋体"/>
                <w:bCs/>
                <w:color w:val="auto"/>
                <w:szCs w:val="21"/>
                <w:highlight w:val="none"/>
              </w:rPr>
            </w:pPr>
            <w:r>
              <w:rPr>
                <w:rFonts w:hint="eastAsia" w:ascii="宋体" w:hAnsi="宋体" w:cs="宋体"/>
                <w:bCs/>
                <w:color w:val="auto"/>
                <w:szCs w:val="21"/>
                <w:highlight w:val="none"/>
              </w:rPr>
              <w:t>（1）当标段投标人少于3个（不含3个）时，该标段将不予开标，投标人的电子投标文件将被“退还”给投标人；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Cs/>
                <w:color w:val="auto"/>
                <w:szCs w:val="21"/>
                <w:highlight w:val="none"/>
              </w:rPr>
              <w:t>（</w:t>
            </w:r>
            <w:r>
              <w:rPr>
                <w:rFonts w:hint="eastAsia" w:ascii="宋体" w:hAnsi="宋体" w:cs="宋体"/>
                <w:color w:val="auto"/>
                <w:szCs w:val="21"/>
                <w:highlight w:val="none"/>
              </w:rPr>
              <w:t>2</w:t>
            </w:r>
            <w:r>
              <w:rPr>
                <w:rFonts w:hint="eastAsia" w:ascii="宋体" w:hAnsi="宋体" w:cs="宋体"/>
                <w:bCs/>
                <w:color w:val="auto"/>
                <w:szCs w:val="21"/>
                <w:highlight w:val="none"/>
              </w:rPr>
              <w:t>）第二个信封（报价文件）开标时，未通过第一个信封（商务及技术文件）评审的投标人的第二个信封（报价文件）不予二次解密，并当场“退还”给投标人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4.3.1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投标文件的撤回</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本项补充：</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投标文件第一个信封（商务及技术文件）或第二个信封（报价文件）在投标截止时间前未按要求上传或递交都视为投标文件逾期送达。</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若开标现场证明是投标人原因造成其加密电子投标文件未解密的，视为撤销其投标文件。</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因投标人之外的原因造成其加密的电子投标文件在规定的时间内未解密的，按本须知前附表第5.3.1项进行补救。采取补救措施仍未解密的，视为投标文件撤回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开标时间和地点</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投标文件 </w:t>
            </w:r>
            <w:r>
              <w:rPr>
                <w:rFonts w:hint="eastAsia" w:ascii="宋体" w:hAnsi="宋体" w:cs="宋体"/>
                <w:color w:val="auto"/>
                <w:highlight w:val="none"/>
              </w:rPr>
              <w:t>[</w:t>
            </w:r>
            <w:r>
              <w:rPr>
                <w:rFonts w:hint="eastAsia" w:ascii="宋体" w:hAnsi="宋体" w:cs="宋体"/>
                <w:color w:val="auto"/>
                <w:szCs w:val="21"/>
                <w:highlight w:val="none"/>
              </w:rPr>
              <w:t>第一个信封（商务及技术文件）</w:t>
            </w:r>
            <w:r>
              <w:rPr>
                <w:rFonts w:hint="eastAsia" w:ascii="宋体" w:hAnsi="宋体" w:cs="宋体"/>
                <w:color w:val="auto"/>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开标时间：</w:t>
            </w:r>
            <w:r>
              <w:rPr>
                <w:rFonts w:hint="eastAsia" w:ascii="宋体" w:hAnsi="宋体" w:cs="宋体"/>
                <w:color w:val="auto"/>
                <w:szCs w:val="21"/>
                <w:highlight w:val="none"/>
                <w:u w:val="single"/>
              </w:rPr>
              <w:t>同投标截止时间</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开标地点：</w:t>
            </w:r>
            <w:r>
              <w:rPr>
                <w:rFonts w:hint="eastAsia" w:ascii="宋体" w:hAnsi="宋体" w:cs="宋体"/>
                <w:color w:val="auto"/>
                <w:szCs w:val="21"/>
                <w:highlight w:val="none"/>
                <w:u w:val="single"/>
              </w:rPr>
              <w:t>见招标公告</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投标文件 </w:t>
            </w:r>
            <w:r>
              <w:rPr>
                <w:rFonts w:hint="eastAsia" w:ascii="宋体" w:hAnsi="宋体" w:cs="宋体"/>
                <w:color w:val="auto"/>
                <w:highlight w:val="none"/>
              </w:rPr>
              <w:t>[</w:t>
            </w:r>
            <w:r>
              <w:rPr>
                <w:rFonts w:hint="eastAsia" w:ascii="宋体" w:hAnsi="宋体" w:cs="宋体"/>
                <w:color w:val="auto"/>
                <w:szCs w:val="21"/>
                <w:highlight w:val="none"/>
              </w:rPr>
              <w:t>第二个信封（报价文件）</w:t>
            </w:r>
            <w:r>
              <w:rPr>
                <w:rFonts w:hint="eastAsia" w:ascii="宋体" w:hAnsi="宋体" w:cs="宋体"/>
                <w:color w:val="auto"/>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开标时间：</w:t>
            </w:r>
            <w:r>
              <w:rPr>
                <w:rFonts w:hint="eastAsia" w:ascii="宋体" w:hAnsi="宋体" w:cs="宋体"/>
                <w:color w:val="auto"/>
                <w:szCs w:val="21"/>
                <w:highlight w:val="none"/>
                <w:u w:val="single"/>
              </w:rPr>
              <w:t>招标人另行通知</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开标地点：</w:t>
            </w:r>
            <w:r>
              <w:rPr>
                <w:rFonts w:hint="eastAsia" w:ascii="宋体" w:hAnsi="宋体" w:cs="宋体"/>
                <w:color w:val="auto"/>
                <w:szCs w:val="21"/>
                <w:highlight w:val="none"/>
                <w:u w:val="single"/>
              </w:rPr>
              <w:t>招标人另行通知</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第二个信封（报价文件）开标通知方式：</w:t>
            </w:r>
            <w:r>
              <w:rPr>
                <w:rFonts w:hint="eastAsia" w:ascii="宋体" w:hAnsi="宋体" w:cs="宋体"/>
                <w:color w:val="auto"/>
                <w:szCs w:val="21"/>
                <w:highlight w:val="none"/>
                <w:u w:val="singl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注: 第二个信封（报价文件）开标时间由招标人通过系统发送短信方式，或人工电话通知方式或其他有效方式告知投标人。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 xml:space="preserve"> 第一个信封（商务及技术文件）开标程序</w:t>
            </w:r>
          </w:p>
        </w:tc>
        <w:tc>
          <w:tcPr>
            <w:tcW w:w="5818" w:type="dxa"/>
            <w:vAlign w:val="center"/>
          </w:tcPr>
          <w:p>
            <w:pPr>
              <w:spacing w:line="252" w:lineRule="auto"/>
              <w:ind w:firstLine="252" w:firstLineChars="120"/>
              <w:jc w:val="lef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第一个信封（商务及技术文件）开标：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（1）投标截止时间前，投标人登录《甘孜州电子交易系统》；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（2）投标截止时间后，招标人或其委托代理机构在开标系统中组织线上开标；</w:t>
            </w:r>
          </w:p>
          <w:p>
            <w:pPr>
              <w:spacing w:line="252" w:lineRule="auto"/>
              <w:ind w:left="239" w:leftChars="114" w:firstLine="42" w:firstLineChars="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（3）宣布开标纪律；</w:t>
            </w:r>
            <w:r>
              <w:rPr>
                <w:rFonts w:hint="eastAsia" w:asciiTheme="minorEastAsia" w:hAnsiTheme="minorEastAsia" w:eastAsiaTheme="minorEastAsia"/>
                <w:color w:val="auto"/>
                <w:szCs w:val="21"/>
                <w:highlight w:val="none"/>
              </w:rPr>
              <w:br w:type="textWrapping"/>
            </w:r>
            <w:r>
              <w:rPr>
                <w:rFonts w:hint="eastAsia" w:asciiTheme="minorEastAsia" w:hAnsiTheme="minorEastAsia" w:eastAsiaTheme="minorEastAsia"/>
                <w:color w:val="auto"/>
                <w:szCs w:val="21"/>
                <w:highlight w:val="none"/>
              </w:rPr>
              <w:t>（4）宣布监督人员姓名、单位、联系方式； </w:t>
            </w:r>
            <w:r>
              <w:rPr>
                <w:rFonts w:hint="eastAsia" w:asciiTheme="minorEastAsia" w:hAnsiTheme="minorEastAsia" w:eastAsiaTheme="minorEastAsia"/>
                <w:color w:val="auto"/>
                <w:szCs w:val="21"/>
                <w:highlight w:val="none"/>
              </w:rPr>
              <w:br w:type="textWrapping"/>
            </w:r>
            <w:r>
              <w:rPr>
                <w:rFonts w:hint="eastAsia" w:asciiTheme="minorEastAsia" w:hAnsiTheme="minorEastAsia" w:eastAsiaTheme="minorEastAsia"/>
                <w:color w:val="auto"/>
                <w:szCs w:val="21"/>
                <w:highlight w:val="none"/>
              </w:rPr>
              <w:t>（5）公布投标截止时间前递交投标文件至“电子交易系统”的投标人数量；</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（6）对投标文件第一个信封（商务及技术文件）进行开标；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（7）对第一个信封（商务及技术文件）进行解密；</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8）出现本章正文第5.3.3项所列情况以及非投标人原因导致投标人投标文件无法成功解密的，按本须知前附表第5.3.1项进行补救。采取补救措施仍未解密的，应对未解密成功的情况记录在案。部分投标文件未解密的，其他投标文件的开标可以继续进行。</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（9）导入并读取所有解密成功的投标文件第一个信封（商务及技术文件）的内容；</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（10）核查投标保证金递交情况。</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（11）公布标段名称、投标人名称、投标保证金的递交情况、服务期限、项目负责人及其他内容，并记录在案；</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（12）按照评标办法规定进行有关随机抽取事项（如有）。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（13）对已解密的第一个信封（商务及技术文件）电子投标文件导入电子辅助评标系统；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（14）提出异议，处理异议；</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（15）生成开标记录表，招标人对开标记录进行签字确认；</w:t>
            </w:r>
          </w:p>
          <w:p>
            <w:pPr>
              <w:spacing w:line="252" w:lineRule="auto"/>
              <w:ind w:firstLine="462" w:firstLineChars="2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（16）开标结束。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w:t>
            </w:r>
          </w:p>
          <w:p>
            <w:pPr>
              <w:spacing w:line="252" w:lineRule="auto"/>
              <w:ind w:firstLine="543" w:firstLineChars="259"/>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1.开标后标段解密成功的投标人仅有1家时，将不进行下一步的评标工作。</w:t>
            </w:r>
          </w:p>
          <w:p>
            <w:pPr>
              <w:spacing w:line="252" w:lineRule="auto"/>
              <w:ind w:firstLine="543" w:firstLineChars="259"/>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2.投标人最迟应在完成上述第（13）项程序后10分钟内在线提出异议，招标人或其委托招标代理机构在线即时答复处理。如投标人未提出异议的，视为其认可开标过程、开标内容和开标结果。</w:t>
            </w:r>
          </w:p>
          <w:p>
            <w:pPr>
              <w:pStyle w:val="276"/>
              <w:adjustRightInd w:val="0"/>
              <w:snapToGrid w:val="0"/>
              <w:spacing w:line="400" w:lineRule="exact"/>
              <w:rPr>
                <w:rFonts w:hint="eastAsia" w:ascii="宋体" w:hAnsi="宋体" w:cs="宋体"/>
                <w:color w:val="auto"/>
                <w:szCs w:val="21"/>
                <w:highlight w:val="none"/>
              </w:rPr>
            </w:pPr>
            <w:bookmarkStart w:id="53" w:name="_Hlk85612996"/>
            <w:r>
              <w:rPr>
                <w:rFonts w:hint="eastAsia" w:asciiTheme="minorEastAsia" w:hAnsiTheme="minorEastAsia" w:eastAsiaTheme="minorEastAsia"/>
                <w:color w:val="auto"/>
                <w:szCs w:val="21"/>
                <w:highlight w:val="none"/>
              </w:rPr>
              <w:t>若证明是投标人原因导致开标时对其加密的投标文件未解密成功的，视为投标人撤销投标文件。</w:t>
            </w:r>
            <w:bookmarkEnd w:id="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第二个信封（报价文件）开标前的处置</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在第二个信封（报价文件）开标时间前，投标人的第二个信封（报价文件）电子投标文件始终处于加密状态。自第二个信封（报价文件）开标时间起，</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方可允许招标人开始解密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第二个信封（报价文件）开标程序</w:t>
            </w:r>
          </w:p>
        </w:tc>
        <w:tc>
          <w:tcPr>
            <w:tcW w:w="5818" w:type="dxa"/>
            <w:vAlign w:val="center"/>
          </w:tcPr>
          <w:p>
            <w:pPr>
              <w:spacing w:line="252" w:lineRule="auto"/>
              <w:ind w:firstLine="252" w:firstLineChars="120"/>
              <w:jc w:val="lef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第二个信封（报价文件）开标：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（1）开标截止时间前，投标人登录《甘孜州电子交易系统》；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（2）开标截止时间后，招标人或其委托代理机构在开标系统中组织线上开标；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（3）宣布开标纪律；</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（4）当众公布投标文件第一个信封（商务及技术文件）评审结果,公布通过投标文件第一个信封（商务及技术文件）评审的投标人名单；</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（5）招标人按照系统提示进行评标基准价系数的抽取（如有）；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（6）对第二个信封（报价文件）解密。未通过投标文件第一个信封（商务及技术文件）评审的投标人的第二个信封（报价文件）不予解密；</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7）出现本章正文第5.3.3项所列情况以及非投标人原因导致投标人投标文件无法成功解密的，按本须知前附表第5.3.1项进行补救。采取补救措施仍未解密的，应对未解密成功的情况记录在案。部分投标文件未解密的，其他投标文件的开标可以继续进行。</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（8）导入并读取所有解密成功的投标文件第二个信封（报价文件）的内容；</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（9）公布标段名称、投标人名称、投标报价及其他内容,并记录在案；</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（10）计算并公布评标基准价（如有）；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（11）对已解密的第二个信封（报价文件）电子投标文件导入电子辅助评标系统；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（12）提出异议，处理异议；</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（13）生成开标记录表，招标人对开标记录进行签字确认；</w:t>
            </w:r>
          </w:p>
          <w:p>
            <w:pPr>
              <w:spacing w:line="252" w:lineRule="auto"/>
              <w:ind w:firstLine="462" w:firstLineChars="2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（14）开标结束。</w:t>
            </w:r>
          </w:p>
          <w:p>
            <w:pPr>
              <w:spacing w:line="252" w:lineRule="auto"/>
              <w:ind w:firstLine="252" w:firstLineChars="120"/>
              <w:jc w:val="left"/>
              <w:rPr>
                <w:rFonts w:hint="eastAsia" w:asciiTheme="minorEastAsia" w:hAnsiTheme="minorEastAsia" w:eastAsiaTheme="minorEastAsia"/>
                <w:color w:val="auto"/>
                <w:szCs w:val="21"/>
                <w:highlight w:val="none"/>
              </w:rPr>
            </w:pPr>
          </w:p>
          <w:p>
            <w:pPr>
              <w:spacing w:line="252" w:lineRule="auto"/>
              <w:ind w:firstLine="252"/>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注：投标人最迟应在完成上述第（11）项程序后10分钟内在线提出异议，招标人或其委托招标代理机构在线即时答复处理。如投标人未提出异议的，视为其认可开标过程、开标内容和开标结果。</w:t>
            </w:r>
          </w:p>
          <w:p>
            <w:pPr>
              <w:pStyle w:val="276"/>
              <w:adjustRightInd w:val="0"/>
              <w:snapToGrid w:val="0"/>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若证明是投标人原因导致开标时对其加密的投标文件未解密成功的，视为投标人撤销投标文件。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不参加评标基准价计算的情形</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见第三章“评标办法”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5.3.1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补救措施</w:t>
            </w:r>
          </w:p>
        </w:tc>
        <w:tc>
          <w:tcPr>
            <w:tcW w:w="5818"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（1）出现本章正文第5.3.3项所列情况以及招标人原因导致系统无法正常运行和证明非投标人原因导致投标人现场无法解密的补救措施：</w:t>
            </w:r>
          </w:p>
          <w:p>
            <w:pPr>
              <w:adjustRightInd w:val="0"/>
              <w:snapToGrid w:val="0"/>
              <w:spacing w:line="400" w:lineRule="exact"/>
              <w:ind w:firstLine="266" w:firstLineChars="127"/>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应对未开标的中止电子开标，并在恢复正常后及时安排时间开标。同时采取补救措施时，必须对原有资料及信息作出妥善保密处理。</w:t>
            </w:r>
          </w:p>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（2）其他补救措施：</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开标异议</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本款补充：</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投标人对开标如有异议，应在“不见面开标大厅”中的“开标异议提问”提出。招标人应在“异议回复”栏当场作出答复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6.1.1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评标委员会的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组建</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评标委员会构成：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人，其中招标人代表：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人，专家：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评标专家确定方式：</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 xml:space="preserve"> 从国家重点公路工程建设项目评标专家库中随机抽取</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 xml:space="preserve"> 从四川省综合评标专家库中随机抽取</w:t>
            </w:r>
          </w:p>
          <w:p>
            <w:pPr>
              <w:pStyle w:val="276"/>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bCs/>
                <w:color w:val="auto"/>
                <w:szCs w:val="21"/>
                <w:highlight w:val="none"/>
              </w:rPr>
              <w:t>□</w:t>
            </w:r>
            <w:r>
              <w:rPr>
                <w:rFonts w:hint="eastAsia" w:cs="宋体" w:asciiTheme="minorEastAsia" w:hAnsiTheme="minorEastAsia" w:eastAsiaTheme="minorEastAsia"/>
                <w:color w:val="auto"/>
                <w:szCs w:val="21"/>
                <w:highlight w:val="none"/>
              </w:rPr>
              <w:t xml:space="preserve"> 由招标人直接确定</w:t>
            </w:r>
          </w:p>
          <w:p>
            <w:pPr>
              <w:pStyle w:val="267"/>
              <w:tabs>
                <w:tab w:val="left" w:pos="1573"/>
                <w:tab w:val="left" w:pos="2145"/>
              </w:tabs>
              <w:adjustRightInd w:val="0"/>
              <w:snapToGrid w:val="0"/>
              <w:spacing w:line="400" w:lineRule="exact"/>
              <w:ind w:left="105" w:hanging="105" w:hangingChars="50"/>
              <w:rPr>
                <w:rFonts w:hint="eastAsia"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注：</w:t>
            </w:r>
          </w:p>
          <w:p>
            <w:pPr>
              <w:pStyle w:val="267"/>
              <w:tabs>
                <w:tab w:val="left" w:pos="1573"/>
                <w:tab w:val="left" w:pos="2145"/>
              </w:tabs>
              <w:adjustRightInd w:val="0"/>
              <w:snapToGrid w:val="0"/>
              <w:spacing w:line="400" w:lineRule="exact"/>
              <w:ind w:left="267" w:leftChars="127"/>
              <w:rPr>
                <w:rFonts w:hint="eastAsia"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1.评标委员会由评标专家和招标人代表共同组成，人数为五人以上单数。其中，评标专家人数不得少于成员总数的三分之二。</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2.根据《公路工程建设项目评标工作细则》（交公路规〔2022〕8号）第十条规定，对于技术复杂、专业性强或者国家有特殊要求，采取随机抽取方式确定的评标专家难以保证胜任评标工作的特殊招标项目，招标人可以直接确定相应专业领域的评标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6.3.2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评标委员会推荐中标候选人的人数</w:t>
            </w:r>
          </w:p>
        </w:tc>
        <w:tc>
          <w:tcPr>
            <w:tcW w:w="5818" w:type="dxa"/>
            <w:vAlign w:val="center"/>
          </w:tcPr>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评标委员会推荐中标候选人的人数：3名（若不足3名，则按相应数量推荐）</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评标报告的形式：</w:t>
            </w:r>
          </w:p>
          <w:p>
            <w:pPr>
              <w:pStyle w:val="276"/>
              <w:adjustRightInd w:val="0"/>
              <w:snapToGrid w:val="0"/>
              <w:spacing w:line="400" w:lineRule="exact"/>
              <w:ind w:firstLine="210" w:firstLineChars="100"/>
              <w:jc w:val="lef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书面形式</w:t>
            </w:r>
          </w:p>
          <w:p>
            <w:pPr>
              <w:pStyle w:val="276"/>
              <w:adjustRightInd w:val="0"/>
              <w:snapToGrid w:val="0"/>
              <w:spacing w:line="400" w:lineRule="exact"/>
              <w:ind w:firstLine="210" w:firstLineChars="100"/>
              <w:jc w:val="lef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电子形式：通过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以数据电文形式发出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中标候选人公示媒介及期限</w:t>
            </w:r>
          </w:p>
        </w:tc>
        <w:tc>
          <w:tcPr>
            <w:tcW w:w="5818" w:type="dxa"/>
            <w:vAlign w:val="center"/>
          </w:tcPr>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公示媒介：见招标公告</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公示期限：见招标公告</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公示的其他内容：□ 开标记录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7.2</w:t>
            </w:r>
          </w:p>
        </w:tc>
        <w:tc>
          <w:tcPr>
            <w:tcW w:w="215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评标结果异议</w:t>
            </w:r>
          </w:p>
        </w:tc>
        <w:tc>
          <w:tcPr>
            <w:tcW w:w="5818" w:type="dxa"/>
            <w:vAlign w:val="center"/>
          </w:tcPr>
          <w:p>
            <w:pPr>
              <w:adjustRightInd w:val="0"/>
              <w:snapToGrid w:val="0"/>
              <w:spacing w:line="400" w:lineRule="exact"/>
              <w:rPr>
                <w:rFonts w:hint="eastAsia" w:ascii="宋体" w:hAnsi="宋体" w:cs="宋体"/>
                <w:snapToGrid w:val="0"/>
                <w:color w:val="auto"/>
                <w:kern w:val="0"/>
                <w:highlight w:val="none"/>
              </w:rPr>
            </w:pPr>
            <w:r>
              <w:rPr>
                <w:rFonts w:hint="eastAsia" w:ascii="宋体" w:hAnsi="宋体" w:cs="宋体"/>
                <w:snapToGrid w:val="0"/>
                <w:color w:val="auto"/>
                <w:kern w:val="0"/>
                <w:highlight w:val="none"/>
              </w:rPr>
              <w:t>本款补充：</w:t>
            </w:r>
          </w:p>
          <w:p>
            <w:pPr>
              <w:adjustRightInd w:val="0"/>
              <w:snapToGrid w:val="0"/>
              <w:spacing w:line="400" w:lineRule="exact"/>
              <w:ind w:firstLine="210" w:firstLineChars="100"/>
              <w:rPr>
                <w:rFonts w:hint="eastAsia" w:asciiTheme="minorEastAsia" w:hAnsiTheme="minorEastAsia"/>
                <w:color w:val="auto"/>
                <w:szCs w:val="21"/>
                <w:highlight w:val="none"/>
              </w:rPr>
            </w:pPr>
            <w:r>
              <w:rPr>
                <w:rFonts w:hint="eastAsia" w:ascii="宋体" w:hAnsi="宋体" w:cs="宋体"/>
                <w:snapToGrid w:val="0"/>
                <w:color w:val="auto"/>
                <w:kern w:val="0"/>
                <w:highlight w:val="none"/>
              </w:rPr>
              <w:t>投标人提出异议可通过</w:t>
            </w:r>
            <w:r>
              <w:rPr>
                <w:rFonts w:hint="eastAsia" w:asciiTheme="minorEastAsia" w:hAnsiTheme="minorEastAsia" w:eastAsiaTheme="minorEastAsia"/>
                <w:color w:val="auto"/>
                <w:szCs w:val="21"/>
                <w:highlight w:val="none"/>
              </w:rPr>
              <w:t>《甘孜州电子交易系统》</w:t>
            </w:r>
            <w:r>
              <w:rPr>
                <w:rFonts w:hint="eastAsia" w:ascii="宋体" w:hAnsi="宋体" w:cs="宋体"/>
                <w:snapToGrid w:val="0"/>
                <w:color w:val="auto"/>
                <w:kern w:val="0"/>
                <w:highlight w:val="none"/>
              </w:rPr>
              <w:t>在“澄清与异议”菜单中进行，也可采用符合本须知前附表第8.5.2项要求的书面方式进行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是否授权评标委员会确定中标人</w:t>
            </w:r>
          </w:p>
        </w:tc>
        <w:tc>
          <w:tcPr>
            <w:tcW w:w="5818" w:type="dxa"/>
            <w:vAlign w:val="center"/>
          </w:tcPr>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是</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否</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（1）招标人将依据评标委员会推荐的中标候选人，确定中标人。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等线"/>
                <w:color w:val="auto"/>
                <w:szCs w:val="21"/>
                <w:highlight w:val="none"/>
              </w:rPr>
              <w:t>国有资金占控股或者主导地位的依法必须招标的项目，招标人应当确定排名第一的中标候选人为中标人</w:t>
            </w:r>
            <w:r>
              <w:rPr>
                <w:rFonts w:hint="eastAsia" w:asciiTheme="minorEastAsia" w:hAnsiTheme="minorEastAsia" w:eastAsiaTheme="minorEastAsia"/>
                <w:color w:val="auto"/>
                <w:szCs w:val="21"/>
                <w:highlight w:val="none"/>
              </w:rPr>
              <w:t>。</w:t>
            </w:r>
            <w:r>
              <w:rPr>
                <w:rFonts w:hint="eastAsia" w:ascii="宋体" w:hAnsi="宋体" w:cs="宋体"/>
                <w:color w:val="auto"/>
                <w:szCs w:val="21"/>
                <w:highlight w:val="none"/>
              </w:rPr>
              <w:t>排名第一的中标候选人放弃中标，或因不可抗力不能履行合同，或不按招标文件要求提交履约保证金，或被查实存在影响中标结果的违法行为等情形不符合中标条件的，招标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7.5</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中标通知书和中标结果通知发出的形式</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书面形式</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电子形式：通过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以数据电文形式发出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7.6</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中标结果公告媒介及期限</w:t>
            </w:r>
          </w:p>
        </w:tc>
        <w:tc>
          <w:tcPr>
            <w:tcW w:w="5818" w:type="dxa"/>
            <w:vAlign w:val="center"/>
          </w:tcPr>
          <w:p>
            <w:pPr>
              <w:pStyle w:val="276"/>
              <w:wordWrap w:val="0"/>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公告媒介：全国公共资源交易平台（四川省）（</w:t>
            </w:r>
            <w:r>
              <w:rPr>
                <w:rStyle w:val="56"/>
                <w:rFonts w:hint="eastAsia" w:ascii="宋体" w:hAnsi="宋体" w:cs="宋体"/>
                <w:color w:val="auto"/>
                <w:szCs w:val="21"/>
                <w:highlight w:val="none"/>
                <w:u w:val="none"/>
              </w:rPr>
              <w:t>https://ggzyjy.sc.gov.cn/）、</w:t>
            </w:r>
            <w:r>
              <w:rPr>
                <w:rFonts w:hint="eastAsia" w:ascii="宋体" w:hAnsi="宋体" w:cs="宋体"/>
                <w:color w:val="auto"/>
                <w:szCs w:val="21"/>
                <w:highlight w:val="none"/>
              </w:rPr>
              <w:t>其他：</w:t>
            </w:r>
            <w:r>
              <w:rPr>
                <w:rFonts w:hint="eastAsia" w:ascii="宋体" w:hAnsi="宋体" w:cs="宋体"/>
                <w:color w:val="auto"/>
                <w:highlight w:val="none"/>
              </w:rPr>
              <w:t>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sym w:font="Wingdings 2" w:char="00A3"/>
            </w:r>
            <w:r>
              <w:rPr>
                <w:rFonts w:hint="eastAsia" w:ascii="宋体" w:hAnsi="宋体" w:cs="宋体"/>
                <w:color w:val="000000" w:themeColor="text1"/>
                <w:highlight w:val="none"/>
                <w14:textFill>
                  <w14:solidFill>
                    <w14:schemeClr w14:val="tx1"/>
                  </w14:solidFill>
                </w14:textFill>
              </w:rPr>
              <w:t>或在对项目招标投标活动具有行政监督职责的交通运输行政主管部门门户网站</w:t>
            </w:r>
            <w:r>
              <w:rPr>
                <w:rFonts w:hint="eastAsia" w:ascii="宋体" w:hAnsi="宋体" w:cs="宋体"/>
                <w:color w:val="auto"/>
                <w:highlight w:val="none"/>
              </w:rPr>
              <w:t>发出招标文件澄清</w:t>
            </w:r>
            <w:r>
              <w:rPr>
                <w:rFonts w:hint="eastAsia" w:ascii="宋体" w:hAnsi="宋体" w:cs="宋体"/>
                <w:color w:val="auto"/>
                <w:szCs w:val="21"/>
                <w:highlight w:val="non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公告期：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7.7.1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是否要求中标人提交履约保证金：</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不要求</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要求</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（1）履约保证金的形式：</w:t>
            </w:r>
          </w:p>
          <w:p>
            <w:pPr>
              <w:pStyle w:val="276"/>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rPr>
              <w:t>□银行保函  □现金  □支票  □其他：</w:t>
            </w:r>
            <w:r>
              <w:rPr>
                <w:rFonts w:hint="eastAsia" w:ascii="宋体" w:hAnsi="宋体" w:cs="宋体"/>
                <w:color w:val="auto"/>
                <w:szCs w:val="21"/>
                <w:highlight w:val="none"/>
                <w:u w:val="single"/>
              </w:rPr>
              <w:t xml:space="preserve">       </w:t>
            </w:r>
          </w:p>
          <w:p>
            <w:pPr>
              <w:pStyle w:val="26"/>
              <w:adjustRightInd w:val="0"/>
              <w:snapToGrid w:val="0"/>
              <w:spacing w:line="400" w:lineRule="exact"/>
              <w:ind w:firstLine="113" w:firstLineChars="54"/>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注：招标人不得强制限定履约保证金必须采用现金或支票方式缴纳，不得拒绝银行保函形式的履约保证金。投标人可选择其中任意的方式提交其履约保证金。</w:t>
            </w:r>
          </w:p>
          <w:p>
            <w:pPr>
              <w:adjustRightInd w:val="0"/>
              <w:snapToGrid w:val="0"/>
              <w:spacing w:line="400" w:lineRule="exact"/>
              <w:rPr>
                <w:rFonts w:hint="eastAsia" w:asciiTheme="minorEastAsia" w:hAnsiTheme="minorEastAsia" w:eastAsiaTheme="minorEastAsia"/>
                <w:color w:val="auto"/>
                <w:szCs w:val="21"/>
                <w:highlight w:val="none"/>
                <w:u w:val="single"/>
              </w:rPr>
            </w:pPr>
            <w:r>
              <w:rPr>
                <w:rFonts w:hint="eastAsia" w:ascii="宋体" w:hAnsi="宋体" w:cs="宋体"/>
                <w:color w:val="auto"/>
                <w:szCs w:val="21"/>
                <w:highlight w:val="none"/>
              </w:rPr>
              <w:t>（2）履约保证金的金额：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%签约合同价。</w:t>
            </w:r>
            <w:r>
              <w:rPr>
                <w:rFonts w:hint="eastAsia" w:asciiTheme="minorEastAsia" w:hAnsiTheme="minorEastAsia" w:eastAsiaTheme="minorEastAsia"/>
                <w:color w:val="auto"/>
                <w:szCs w:val="21"/>
                <w:highlight w:val="none"/>
              </w:rPr>
              <w:t>根据（</w:t>
            </w:r>
            <w:r>
              <w:rPr>
                <w:rFonts w:hint="eastAsia" w:asciiTheme="minorEastAsia" w:hAnsiTheme="minorEastAsia" w:eastAsiaTheme="minorEastAsia"/>
                <w:color w:val="auto"/>
                <w:szCs w:val="21"/>
                <w:highlight w:val="none"/>
              </w:rPr>
              <w:sym w:font="Wingdings 2" w:char="00A3"/>
            </w:r>
            <w:r>
              <w:rPr>
                <w:rFonts w:hint="eastAsia" w:ascii="宋体" w:hAnsi="宋体"/>
                <w:color w:val="auto"/>
                <w:szCs w:val="21"/>
                <w:highlight w:val="none"/>
              </w:rPr>
              <w:t>四川省重点公路建设从业单位信用评价等级；</w:t>
            </w:r>
            <w:r>
              <w:rPr>
                <w:rFonts w:hint="eastAsia" w:ascii="宋体" w:hAnsi="宋体"/>
                <w:color w:val="auto"/>
                <w:szCs w:val="21"/>
                <w:highlight w:val="none"/>
              </w:rPr>
              <w:sym w:font="Wingdings 2" w:char="00A3"/>
            </w:r>
            <w:r>
              <w:rPr>
                <w:rFonts w:hint="eastAsia" w:ascii="宋体" w:hAnsi="宋体"/>
                <w:color w:val="auto"/>
                <w:szCs w:val="21"/>
                <w:highlight w:val="none"/>
              </w:rPr>
              <w:t>四川省农村公路建设从业单位信用评价等级</w:t>
            </w:r>
            <w:r>
              <w:rPr>
                <w:rFonts w:hint="eastAsia" w:asciiTheme="minorEastAsia" w:hAnsiTheme="minorEastAsia" w:eastAsiaTheme="minorEastAsia"/>
                <w:color w:val="auto"/>
                <w:szCs w:val="21"/>
                <w:highlight w:val="none"/>
              </w:rPr>
              <w:t>）的评价结果设置的信用奖惩措施约定为：</w:t>
            </w:r>
            <w:r>
              <w:rPr>
                <w:rFonts w:hint="eastAsia" w:asciiTheme="minorEastAsia" w:hAnsiTheme="minorEastAsia" w:eastAsiaTheme="minorEastAsia"/>
                <w:color w:val="auto"/>
                <w:szCs w:val="21"/>
                <w:highlight w:val="none"/>
                <w:u w:val="single"/>
              </w:rPr>
              <w:t xml:space="preserve">           </w:t>
            </w:r>
          </w:p>
          <w:p>
            <w:pPr>
              <w:pStyle w:val="26"/>
              <w:adjustRightInd w:val="0"/>
              <w:snapToGrid w:val="0"/>
              <w:spacing w:line="400" w:lineRule="exact"/>
              <w:ind w:firstLine="113" w:firstLineChars="54"/>
              <w:rPr>
                <w:rFonts w:hint="eastAsia" w:cs="Courier New" w:asciiTheme="minorEastAsia" w:hAnsiTheme="minorEastAsia" w:eastAsiaTheme="minorEastAsia"/>
                <w:color w:val="auto"/>
                <w:highlight w:val="none"/>
              </w:rPr>
            </w:pPr>
            <w:r>
              <w:rPr>
                <w:rFonts w:hint="eastAsia" w:hAnsi="宋体" w:cs="宋体"/>
                <w:color w:val="auto"/>
                <w:highlight w:val="none"/>
              </w:rPr>
              <w:t>注：履约保证金一般为签约合同价的10%。</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（3）采用银行保函时，出具保函的银行级别要求：</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无限制</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支行及以上国有或股份制商业银行</w:t>
            </w:r>
          </w:p>
          <w:p>
            <w:pPr>
              <w:pStyle w:val="276"/>
              <w:numPr>
                <w:ilvl w:val="255"/>
                <w:numId w:val="0"/>
              </w:num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（4）采用现金或支票形式，应从投标人单位账户中转出</w:t>
            </w:r>
          </w:p>
          <w:p>
            <w:pPr>
              <w:pStyle w:val="276"/>
              <w:numPr>
                <w:ilvl w:val="255"/>
                <w:numId w:val="0"/>
              </w:num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（5）</w:t>
            </w:r>
            <w:r>
              <w:rPr>
                <w:rFonts w:hint="eastAsia" w:asciiTheme="minorEastAsia" w:hAnsiTheme="minorEastAsia" w:eastAsiaTheme="minorEastAsia"/>
                <w:color w:val="auto"/>
                <w:szCs w:val="21"/>
                <w:highlight w:val="none"/>
              </w:rPr>
              <w:t>采用其他担保形式的规定：</w:t>
            </w: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7.8.1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签订合同</w:t>
            </w:r>
          </w:p>
        </w:tc>
        <w:tc>
          <w:tcPr>
            <w:tcW w:w="5818"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（1）招标人将把合同授予按照本须知前附表第7.7.1项要求提交履约保证金的中标人；</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（2）在招标人发出中标通知书起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日内，中标人与招标人签订合同协议书；</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（3）合同协议书形式</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书面形式</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电子形式：通过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以数据电文形式与中标人签订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7.8.3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签约合同价的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确定原则</w:t>
            </w:r>
          </w:p>
        </w:tc>
        <w:tc>
          <w:tcPr>
            <w:tcW w:w="5818" w:type="dxa"/>
            <w:vAlign w:val="center"/>
          </w:tcPr>
          <w:p>
            <w:pPr>
              <w:pStyle w:val="276"/>
              <w:numPr>
                <w:ilvl w:val="255"/>
                <w:numId w:val="0"/>
              </w:num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（1）签约合同价为：</w:t>
            </w:r>
          </w:p>
          <w:p>
            <w:pPr>
              <w:pStyle w:val="276"/>
              <w:numPr>
                <w:ilvl w:val="255"/>
                <w:numId w:val="0"/>
              </w:num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投标人投标函（第二个信封）中的投标总报价大写金额</w:t>
            </w:r>
          </w:p>
          <w:p>
            <w:pPr>
              <w:pStyle w:val="276"/>
              <w:numPr>
                <w:ilvl w:val="255"/>
                <w:numId w:val="0"/>
              </w:numPr>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numPr>
                <w:ilvl w:val="255"/>
                <w:numId w:val="0"/>
              </w:numPr>
              <w:adjustRightInd w:val="0"/>
              <w:snapToGrid w:val="0"/>
              <w:spacing w:line="400" w:lineRule="exact"/>
              <w:ind w:firstLine="210" w:firstLineChars="100"/>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注：当报价方式采用单价或总价以外的其他情形时，在此约定具体签约合同价。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（2）签订合同协议书时如需对监理服务费用清单子项进行相应修正的，修正原则如下：</w:t>
            </w:r>
          </w:p>
          <w:p>
            <w:pPr>
              <w:pStyle w:val="276"/>
              <w:spacing w:line="400" w:lineRule="exact"/>
              <w:ind w:firstLine="210" w:firstLineChars="100"/>
              <w:rPr>
                <w:rFonts w:hint="eastAsia" w:ascii="宋体" w:hAnsi="宋体" w:cs="宋体"/>
                <w:color w:val="auto"/>
                <w:kern w:val="0"/>
                <w:szCs w:val="21"/>
                <w:highlight w:val="none"/>
              </w:rPr>
            </w:pPr>
            <w:r>
              <w:rPr>
                <w:rFonts w:hint="eastAsia" w:ascii="宋体" w:hAnsi="宋体" w:cs="宋体"/>
                <w:b/>
                <w:bCs/>
                <w:color w:val="auto"/>
                <w:kern w:val="0"/>
                <w:szCs w:val="21"/>
                <w:highlight w:val="none"/>
              </w:rPr>
              <w:sym w:font="Wingdings 2" w:char="00A3"/>
            </w:r>
            <w:r>
              <w:rPr>
                <w:rFonts w:hint="eastAsia" w:ascii="宋体" w:hAnsi="宋体" w:cs="宋体"/>
                <w:color w:val="auto"/>
                <w:kern w:val="0"/>
                <w:szCs w:val="21"/>
                <w:highlight w:val="none"/>
              </w:rPr>
              <w:t xml:space="preserve"> 方式一：</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投标函（第二个信封）中投标总报价大写金额与依据监理服务费用清单子项数量及单价（或总额价）计算出的结果不一致的，以投标函（第二个信封）中投标总报价大写金额为准修正单价：首先按照监理服务费用清单中有关规定，对于投标人不符合要求的报价予以修正；然后再对其他单价（或总额价）按同一比例进行修正。</w:t>
            </w:r>
          </w:p>
          <w:p>
            <w:pPr>
              <w:pStyle w:val="276"/>
              <w:spacing w:line="400" w:lineRule="exact"/>
              <w:ind w:firstLine="210" w:firstLineChars="100"/>
              <w:rPr>
                <w:rFonts w:hint="eastAsia" w:ascii="宋体" w:hAnsi="宋体" w:cs="宋体"/>
                <w:color w:val="auto"/>
                <w:kern w:val="0"/>
                <w:szCs w:val="21"/>
                <w:highlight w:val="none"/>
              </w:rPr>
            </w:pPr>
            <w:r>
              <w:rPr>
                <w:rFonts w:hint="eastAsia" w:ascii="宋体" w:hAnsi="宋体" w:cs="宋体"/>
                <w:b/>
                <w:bCs/>
                <w:color w:val="auto"/>
                <w:kern w:val="0"/>
                <w:szCs w:val="21"/>
                <w:highlight w:val="none"/>
              </w:rPr>
              <w:sym w:font="Wingdings 2" w:char="00A3"/>
            </w:r>
            <w:r>
              <w:rPr>
                <w:rFonts w:hint="eastAsia" w:ascii="宋体" w:hAnsi="宋体" w:cs="宋体"/>
                <w:color w:val="auto"/>
                <w:kern w:val="0"/>
                <w:szCs w:val="21"/>
                <w:highlight w:val="none"/>
              </w:rPr>
              <w:t xml:space="preserve"> 方式二：</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___________________</w:t>
            </w:r>
          </w:p>
          <w:p>
            <w:pPr>
              <w:numPr>
                <w:ilvl w:val="255"/>
                <w:numId w:val="0"/>
              </w:numPr>
              <w:adjustRightInd w:val="0"/>
              <w:snapToGrid w:val="0"/>
              <w:spacing w:line="400" w:lineRule="exact"/>
              <w:ind w:firstLine="210" w:firstLineChars="100"/>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注：当报价方式采用单价或总价以外的其他情形时，在此约定具体修正原则内容。</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修正后的价格对合同双方具有约束力。如果中标人不接受招标人按本项约定进行的修正，则视为中标人拒签合同，将取消其中标资格，投标保证金不予退还；给招标人造成的损失超过投标保证金数额的，中标人还应对超过部分予以赔偿。并上报省级交通运输主管部门，作为不良记录纳入公路建设市场监督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7.8.5</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签订合同事项</w:t>
            </w:r>
          </w:p>
        </w:tc>
        <w:tc>
          <w:tcPr>
            <w:tcW w:w="5818" w:type="dxa"/>
            <w:vAlign w:val="center"/>
          </w:tcPr>
          <w:p>
            <w:pPr>
              <w:adjustRightInd w:val="0"/>
              <w:snapToGrid w:val="0"/>
              <w:spacing w:line="400" w:lineRule="exact"/>
              <w:jc w:val="left"/>
              <w:rPr>
                <w:rFonts w:hint="eastAsia" w:asciiTheme="minorEastAsia" w:hAnsiTheme="minorEastAsia" w:eastAsiaTheme="minorEastAsia"/>
                <w:color w:val="auto"/>
                <w:szCs w:val="21"/>
                <w:highlight w:val="none"/>
              </w:rPr>
            </w:pPr>
            <w:r>
              <w:rPr>
                <w:rFonts w:hint="eastAsia" w:ascii="宋体" w:hAnsi="宋体" w:cs="宋体"/>
                <w:color w:val="auto"/>
                <w:szCs w:val="21"/>
                <w:highlight w:val="none"/>
              </w:rPr>
              <w:t>合同文件的制作及费用</w:t>
            </w:r>
            <w:r>
              <w:rPr>
                <w:rFonts w:hint="eastAsia" w:asciiTheme="minorEastAsia" w:hAnsiTheme="minorEastAsia" w:eastAsiaTheme="minorEastAsia"/>
                <w:color w:val="auto"/>
                <w:szCs w:val="21"/>
                <w:highlight w:val="none"/>
              </w:rPr>
              <w:t>承担：</w:t>
            </w:r>
            <w:r>
              <w:rPr>
                <w:rFonts w:hint="eastAsia" w:asciiTheme="minorEastAsia" w:hAnsiTheme="minorEastAsia" w:eastAsiaTheme="minorEastAsia"/>
                <w:b/>
                <w:bCs/>
                <w:color w:val="auto"/>
                <w:szCs w:val="21"/>
                <w:highlight w:val="none"/>
              </w:rPr>
              <w:t xml:space="preserve">□ </w:t>
            </w:r>
            <w:r>
              <w:rPr>
                <w:rFonts w:hint="eastAsia" w:asciiTheme="minorEastAsia" w:hAnsiTheme="minorEastAsia" w:eastAsiaTheme="minorEastAsia"/>
                <w:color w:val="auto"/>
                <w:szCs w:val="21"/>
                <w:highlight w:val="none"/>
              </w:rPr>
              <w:t xml:space="preserve">招标人  </w:t>
            </w:r>
          </w:p>
          <w:p>
            <w:pPr>
              <w:adjustRightInd w:val="0"/>
              <w:snapToGrid w:val="0"/>
              <w:spacing w:line="400" w:lineRule="exact"/>
              <w:ind w:firstLine="2740" w:firstLineChars="13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sym w:font="Wingdings 2" w:char="00A3"/>
            </w:r>
            <w:r>
              <w:rPr>
                <w:rFonts w:hint="eastAsia" w:asciiTheme="minorEastAsia" w:hAnsiTheme="minorEastAsia" w:eastAsiaTheme="minorEastAsia"/>
                <w:b/>
                <w:bCs/>
                <w:color w:val="auto"/>
                <w:szCs w:val="21"/>
                <w:highlight w:val="none"/>
              </w:rPr>
              <w:t xml:space="preserve"> </w:t>
            </w:r>
            <w:r>
              <w:rPr>
                <w:rFonts w:hint="eastAsia" w:asciiTheme="minorEastAsia" w:hAnsiTheme="minorEastAsia" w:eastAsiaTheme="minorEastAsia"/>
                <w:color w:val="auto"/>
                <w:szCs w:val="21"/>
                <w:highlight w:val="none"/>
              </w:rPr>
              <w:t>中标人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合同文件的份数根据需要由招标人与中标人协商确定；在合同协议书签订之前，投标文件和中标通知书将约束双方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7.9</w:t>
            </w:r>
          </w:p>
        </w:tc>
        <w:tc>
          <w:tcPr>
            <w:tcW w:w="215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合同内容公告媒介</w:t>
            </w:r>
          </w:p>
        </w:tc>
        <w:tc>
          <w:tcPr>
            <w:tcW w:w="5818" w:type="dxa"/>
            <w:vAlign w:val="center"/>
          </w:tcPr>
          <w:p>
            <w:pPr>
              <w:wordWrap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公告媒介：全国公共资源交易平台（四川省）</w:t>
            </w:r>
            <w:r>
              <w:rPr>
                <w:rStyle w:val="56"/>
                <w:rFonts w:hint="eastAsia" w:asciiTheme="minorEastAsia" w:hAnsiTheme="minorEastAsia" w:eastAsiaTheme="minorEastAsia"/>
                <w:color w:val="auto"/>
                <w:szCs w:val="21"/>
                <w:highlight w:val="none"/>
                <w:u w:val="none"/>
              </w:rPr>
              <w:t>（</w:t>
            </w:r>
            <w:r>
              <w:rPr>
                <w:color w:val="auto"/>
                <w:highlight w:val="none"/>
              </w:rPr>
              <w:fldChar w:fldCharType="begin"/>
            </w:r>
            <w:r>
              <w:rPr>
                <w:color w:val="auto"/>
                <w:highlight w:val="none"/>
              </w:rPr>
              <w:instrText xml:space="preserve"> HYPERLINK "http://ggzyjy.sc.gov.cn/</w:instrText>
            </w:r>
            <w:r>
              <w:rPr>
                <w:rFonts w:hint="eastAsia"/>
                <w:color w:val="auto"/>
                <w:highlight w:val="none"/>
              </w:rPr>
              <w:instrText xml:space="preserve">）、</w:instrText>
            </w:r>
            <w:r>
              <w:rPr>
                <w:color w:val="auto"/>
                <w:highlight w:val="none"/>
              </w:rPr>
              <w:instrText xml:space="preserve">" </w:instrText>
            </w:r>
            <w:r>
              <w:rPr>
                <w:rStyle w:val="50"/>
                <w:rFonts w:cs="宋体" w:asciiTheme="minorEastAsia" w:hAnsiTheme="minorEastAsia" w:eastAsiaTheme="minorEastAsia"/>
                <w:color w:val="auto"/>
                <w:szCs w:val="21"/>
                <w:highlight w:val="none"/>
                <w:u w:val="none"/>
              </w:rPr>
              <w:fldChar w:fldCharType="separate"/>
            </w:r>
            <w:r>
              <w:rPr>
                <w:rStyle w:val="56"/>
                <w:rFonts w:hint="eastAsia" w:cs="宋体" w:asciiTheme="minorEastAsia" w:hAnsiTheme="minorEastAsia" w:eastAsiaTheme="minorEastAsia"/>
                <w:color w:val="auto"/>
                <w:szCs w:val="21"/>
                <w:highlight w:val="none"/>
                <w:u w:val="none"/>
              </w:rPr>
              <w:t>https://ggzyjy.sc.gov.cn/）、</w:t>
            </w:r>
            <w:r>
              <w:rPr>
                <w:rStyle w:val="56"/>
                <w:rFonts w:cs="宋体" w:asciiTheme="minorEastAsia" w:hAnsiTheme="minorEastAsia" w:eastAsiaTheme="minorEastAsia"/>
                <w:color w:val="auto"/>
                <w:szCs w:val="21"/>
                <w:highlight w:val="none"/>
                <w:u w:val="none"/>
              </w:rPr>
              <w:fldChar w:fldCharType="end"/>
            </w:r>
            <w:r>
              <w:rPr>
                <w:rFonts w:hint="eastAsia" w:cs="宋体" w:asciiTheme="minorEastAsia" w:hAnsiTheme="minorEastAsia" w:eastAsiaTheme="minorEastAsia"/>
                <w:color w:val="auto"/>
                <w:szCs w:val="21"/>
                <w:highlight w:val="none"/>
              </w:rPr>
              <w:t>其他：</w:t>
            </w:r>
            <w:r>
              <w:rPr>
                <w:rFonts w:hint="eastAsia" w:ascii="宋体" w:hAnsi="宋体" w:cs="宋体"/>
                <w:color w:val="auto"/>
                <w:highlight w:val="none"/>
              </w:rPr>
              <w:t>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宋体" w:hAnsi="宋体" w:cs="宋体"/>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szCs w:val="21"/>
                <w:highlight w:val="none"/>
                <w14:textFill>
                  <w14:solidFill>
                    <w14:schemeClr w14:val="tx1"/>
                  </w14:solidFill>
                </w14:textFill>
              </w:rPr>
              <w:sym w:font="Wingdings 2" w:char="00A3"/>
            </w:r>
            <w:r>
              <w:rPr>
                <w:rFonts w:hint="eastAsia" w:cs="宋体" w:asciiTheme="minorEastAsia" w:hAnsiTheme="minorEastAsia" w:eastAsiaTheme="minorEastAsia"/>
                <w:color w:val="000000" w:themeColor="text1"/>
                <w:szCs w:val="21"/>
                <w:highlight w:val="none"/>
                <w14:textFill>
                  <w14:solidFill>
                    <w14:schemeClr w14:val="tx1"/>
                  </w14:solidFill>
                </w14:textFill>
              </w:rPr>
              <w:t>或在对项目招标投标活动具有行政监督职责的交通运输行政主管部门门户网站</w:t>
            </w:r>
            <w:r>
              <w:rPr>
                <w:rFonts w:hint="eastAsia" w:ascii="宋体" w:hAnsi="宋体" w:cs="宋体"/>
                <w:color w:val="auto"/>
                <w:highlight w:val="none"/>
              </w:rPr>
              <w:t>发出招标文件澄清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8.5.1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投诉</w:t>
            </w:r>
          </w:p>
        </w:tc>
        <w:tc>
          <w:tcPr>
            <w:tcW w:w="5818" w:type="dxa"/>
            <w:vAlign w:val="center"/>
          </w:tcPr>
          <w:p>
            <w:pPr>
              <w:pStyle w:val="276"/>
              <w:tabs>
                <w:tab w:val="left" w:pos="1170"/>
              </w:tabs>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行政监督部门：见招标公告。</w:t>
            </w:r>
          </w:p>
          <w:p>
            <w:pPr>
              <w:pStyle w:val="276"/>
              <w:tabs>
                <w:tab w:val="left" w:pos="1170"/>
              </w:tabs>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行政监督部门将按照</w:t>
            </w:r>
            <w:r>
              <w:rPr>
                <w:rFonts w:hint="eastAsia" w:ascii="宋体" w:hAnsi="宋体" w:cs="宋体"/>
                <w:color w:val="auto"/>
                <w:szCs w:val="21"/>
                <w:highlight w:val="none"/>
                <w:u w:val="single"/>
              </w:rPr>
              <w:t>《中华人民共和国招标投标法实施条例》、《工程建设项目招标投标活动投诉处理办法》（2013年3月11日国家发展改革委等九部委令第23号修改）、《四川省公路工程建设项目招标投标管理实施细则》（川交规〔2024〕7号）</w:t>
            </w:r>
            <w:r>
              <w:rPr>
                <w:rFonts w:hint="eastAsia" w:ascii="宋体" w:hAnsi="宋体" w:cs="宋体"/>
                <w:color w:val="auto"/>
                <w:szCs w:val="21"/>
                <w:highlight w:val="none"/>
              </w:rPr>
              <w:t>的规定接受投诉。投诉材料要求、投诉受理条件及查处按照上述规定执行。</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诉人认为招标投标活动不符合法律行政法规规定的，可以在知道或者应当知道之日起10日内提出书面投诉。依法应先提出异议的，异议答复期间不计算在内；异议人对答复不满意，应在异议答复之日起10日内提出书面投诉。</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（2）投诉人向行政监督部门提出投诉，应当实名提交投诉书</w:t>
            </w:r>
            <w:r>
              <w:rPr>
                <w:rFonts w:hint="eastAsia" w:ascii="宋体" w:hAnsi="宋体" w:cs="宋体"/>
                <w:color w:val="auto"/>
                <w:szCs w:val="21"/>
                <w:highlight w:val="none"/>
                <w:u w:val="single"/>
              </w:rPr>
              <w:t>（投诉书格式见投标人须知附件八）</w:t>
            </w:r>
            <w:r>
              <w:rPr>
                <w:rFonts w:hint="eastAsia" w:ascii="宋体" w:hAnsi="宋体" w:cs="宋体"/>
                <w:color w:val="auto"/>
                <w:szCs w:val="21"/>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（3）有下列情形之一的投诉，不予受理：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①投诉人不是所投诉招标投标活动的参与者，或者与投诉项目无任何利害关系；</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②投诉事项不具体，且未提供有效的线索、证据，难以查证的；</w:t>
            </w:r>
          </w:p>
          <w:p>
            <w:pPr>
              <w:pStyle w:val="276"/>
              <w:tabs>
                <w:tab w:val="left" w:pos="1170"/>
              </w:tabs>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③投诉书未署有投诉人真实姓名、签字和有效联系方式的；以法人名义投诉的，投诉书未经法定代表人签字并加盖单位章的；委托代理人没有相应的授权委托书和有效身份证明复印件，或者有关委托代理权限和事项不明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④应当在规定时间提出诉求而未提出，超出投诉时效的；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⑤已经作出处理决定，且投诉人没有提出新的证据的；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⑥投诉事项应先提出异议没有提出异议、已进入行政复议或者司法程序的；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⑦其他行政主管部门已经受理的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8.5.2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异议</w:t>
            </w:r>
          </w:p>
        </w:tc>
        <w:tc>
          <w:tcPr>
            <w:tcW w:w="5818" w:type="dxa"/>
            <w:vAlign w:val="center"/>
          </w:tcPr>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投标人或利害关系人认为招标投标活动存在不符合法律、法规和规章规定的，可以依法向招标人提出异议，或者依法向有关行政监督部门投诉。投标人或利害关系人对招标文件、开标、评标结果事项进行投诉的，应当依法先向招标人提出异议。</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（1）异议提出的期限规定如下：</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①对招标文件有异议的，潜在投标人或者其他利害关系人应当在提交投标文件截止时间10日前提出；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②对提交投标文件的截标时间、开标程序、唱标内容、开标记录、唱标次序等开标有异议的，投标人应当在开标期间当场提出；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③对评标有异议的，投标人或其他利害关系人应当在中标候选人的公示期间提出。</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（2）异议人提出异议应当提交异议书</w:t>
            </w:r>
            <w:r>
              <w:rPr>
                <w:rFonts w:hint="eastAsia" w:ascii="宋体" w:hAnsi="宋体" w:cs="宋体"/>
                <w:color w:val="auto"/>
                <w:szCs w:val="21"/>
                <w:highlight w:val="none"/>
                <w:u w:val="single"/>
              </w:rPr>
              <w:t>（异议书格式见投标人须知附件七）</w:t>
            </w:r>
            <w:r>
              <w:rPr>
                <w:rFonts w:hint="eastAsia" w:ascii="宋体" w:hAnsi="宋体" w:cs="宋体"/>
                <w:color w:val="auto"/>
                <w:szCs w:val="21"/>
                <w:highlight w:val="none"/>
              </w:rPr>
              <w:t>，但异议仅涉及开标的除外。</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（3）异议人是法人的，异议书必须由其法定代表人或者授权代表签字并加盖公章；其他组织或者个人提出异议的，异议书必须由其主要负责人或者提出异议的本人签字，并附真实有效身份证明复印件。</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（4）有下列情形之一的，招标人可以不予受理异议，并向异议人发出异议不予受理通知书：</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①异议人不是投标人、潜在投标人或者其他利害关系人；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②未在法定的异议期限内提出的；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③规定应当以书面形式提出但未以书面形式提出的；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④异议书未按照要求签字盖章的；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⑤异议书未提供有效联系人和联系方式的；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⑥针对依法应当保密的信息和资料提出异议的；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⑦开标现场已经投标人确认的事项，开标后投标人又就该事项提出异议的；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⑧招标人已经作出明确答复，无新的事实证据，又就同一问题提出异议的；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⑨异议人违反《中华人民共和国招标投标法》等法律规定，捏造事实、伪造材料或者以非法手段取得证明材料提出异议的。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招标人对异议未在规定时限内作出答复的，异议人可以向交通运输行政主管部门申诉，交通运输行政主管部门应当责令招标人依法作出答复。异议人对答复不满意的，可以提起投诉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997" w:type="dxa"/>
            <w:gridSpan w:val="3"/>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6"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10.1</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投标人的通信和其他</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要求</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（1）投标人在送交投标文件之前无需向招标人登记有关投标人信息，不提供联系方式；</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（2）投标人在递交或上传投标文件时登记的投标人信息及有效的联系方式（电话、传真、电子邮件），至评标结果公示前，必须保证其提供的联系方式处于有效工作状态，否则由此引起的一切后果由投标人承担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3"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10.2</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合同权利义务要求</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（1）投标人应接受招标文件规定的风险划分原则，未提出新的风险划分办法；</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（2）投标人未增加委托人的责任范围，或减少投标人义务；</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（3）投标人未提出不同的支付办法；</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（4）投标人对合同纠纷、事故处理办法未提出异议；</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（5）投标人在投标活动中无欺诈行为；</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（6）投标人未对合同条款有重要保留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10.3</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cs="宋体" w:asciiTheme="minorEastAsia" w:hAnsiTheme="minorEastAsia" w:eastAsiaTheme="minorEastAsia"/>
                <w:color w:val="000000" w:themeColor="text1"/>
                <w:szCs w:val="21"/>
                <w:highlight w:val="none"/>
                <w14:textFill>
                  <w14:solidFill>
                    <w14:schemeClr w14:val="tx1"/>
                  </w14:solidFill>
                </w14:textFill>
              </w:rPr>
              <w:t>纳入信用处理的放弃中标行为</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color w:val="auto"/>
                <w:szCs w:val="21"/>
                <w:highlight w:val="none"/>
              </w:rPr>
              <w:t>投标人有下列放弃中标行为的，将上报省级交通运输主管部门建议纳入信用信息管理：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（1）投标人在投标有效期内撤销投标文件的；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（2）中标人在收到中标通知书后，无正当理由不与招标人订立合同，在签订合同时向招标人提出附加条件或未按招标文件规定提交履约保证金的；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（3）合同协议书签订后，中标人放弃合同的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10.4</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开展扫黑除恶斗争的要求</w:t>
            </w:r>
          </w:p>
        </w:tc>
        <w:tc>
          <w:tcPr>
            <w:tcW w:w="5818" w:type="dxa"/>
            <w:vAlign w:val="center"/>
          </w:tcPr>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为进一步加强在全省公路水运建设领域内开展扫黑除恶专项斗争，依法严厉打击各类黑恶势力违法犯罪活动，有效净化建设市场和环境，维护招标单位和投标单位的合法权益，确保全省重点公路水运项目招标投标活动有序进行。按照有黑扫黑、无黑除恶、无恶治乱的工作要求，各投标单位及从业人员应按照</w:t>
            </w:r>
            <w:r>
              <w:rPr>
                <w:rFonts w:hint="eastAsia" w:ascii="宋体" w:hAnsi="宋体" w:cs="宋体"/>
                <w:color w:val="auto"/>
                <w:szCs w:val="21"/>
                <w:highlight w:val="none"/>
                <w:u w:val="single"/>
              </w:rPr>
              <w:t>《四川省交通运输厅关于开展公路水运建设领域建设环境专项整治工作的通知》（川交函〔2018〕657号）、《四川省交通运输厅关于开展公路水运建设领域恶意竞标专项整治工作的通知》（川交函〔2018〕656号）</w:t>
            </w:r>
            <w:r>
              <w:rPr>
                <w:rFonts w:hint="eastAsia" w:ascii="宋体" w:hAnsi="宋体" w:cs="宋体"/>
                <w:color w:val="auto"/>
                <w:szCs w:val="21"/>
                <w:highlight w:val="none"/>
              </w:rPr>
              <w:t>文件要求做好相关工作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10.5</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扫黑除恶</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举报电话</w:t>
            </w:r>
          </w:p>
        </w:tc>
        <w:tc>
          <w:tcPr>
            <w:tcW w:w="5818" w:type="dxa"/>
            <w:vAlign w:val="center"/>
          </w:tcPr>
          <w:p>
            <w:pPr>
              <w:pStyle w:val="26"/>
              <w:spacing w:line="400" w:lineRule="exact"/>
              <w:rPr>
                <w:rFonts w:hint="eastAsia" w:hAnsi="宋体" w:cs="宋体"/>
                <w:color w:val="auto"/>
                <w:highlight w:val="none"/>
              </w:rPr>
            </w:pPr>
            <w:bookmarkStart w:id="54" w:name="EBa89893e4d0884db683fe3dbcdb0c5e8d"/>
            <w:r>
              <w:rPr>
                <w:rFonts w:hint="eastAsia" w:hAnsi="宋体" w:cs="宋体"/>
                <w:color w:val="auto"/>
                <w:highlight w:val="none"/>
              </w:rPr>
              <w:t>举报邮箱：376130199@qq.com</w:t>
            </w:r>
          </w:p>
          <w:p>
            <w:pPr>
              <w:pStyle w:val="26"/>
              <w:spacing w:line="400" w:lineRule="exact"/>
              <w:rPr>
                <w:rFonts w:hint="eastAsia" w:hAnsi="宋体" w:cs="宋体"/>
                <w:color w:val="auto"/>
                <w:highlight w:val="none"/>
              </w:rPr>
            </w:pPr>
            <w:r>
              <w:rPr>
                <w:rFonts w:hint="eastAsia" w:hAnsi="宋体" w:cs="宋体"/>
                <w:color w:val="auto"/>
                <w:highlight w:val="none"/>
              </w:rPr>
              <w:t>举报信箱：甘孜州交通运输局一楼大厅</w:t>
            </w:r>
          </w:p>
          <w:p>
            <w:pPr>
              <w:pStyle w:val="26"/>
              <w:spacing w:line="400" w:lineRule="exact"/>
              <w:rPr>
                <w:rFonts w:hint="eastAsia" w:hAnsi="宋体" w:cs="宋体"/>
                <w:color w:val="auto"/>
                <w:highlight w:val="none"/>
              </w:rPr>
            </w:pPr>
            <w:r>
              <w:rPr>
                <w:rFonts w:hint="eastAsia" w:hAnsi="宋体" w:cs="宋体"/>
                <w:color w:val="auto"/>
                <w:highlight w:val="none"/>
              </w:rPr>
              <w:t>州局扫黑办：甘孜州交通运输局三楼303室</w:t>
            </w:r>
          </w:p>
          <w:p>
            <w:pPr>
              <w:pStyle w:val="26"/>
              <w:spacing w:line="400" w:lineRule="exact"/>
              <w:rPr>
                <w:rFonts w:hAnsi="宋体" w:cs="宋体"/>
                <w:color w:val="auto"/>
                <w:highlight w:val="none"/>
              </w:rPr>
            </w:pPr>
            <w:r>
              <w:rPr>
                <w:rFonts w:hint="eastAsia" w:hAnsi="宋体" w:cs="宋体"/>
                <w:color w:val="auto"/>
                <w:highlight w:val="none"/>
              </w:rPr>
              <w:t>举报电话：0836—</w:t>
            </w:r>
            <w:bookmarkEnd w:id="54"/>
            <w:r>
              <w:rPr>
                <w:rFonts w:hint="eastAsia" w:hAnsi="宋体" w:cs="宋体"/>
                <w:color w:val="auto"/>
                <w:highlight w:val="none"/>
              </w:rPr>
              <w:t>2811423</w:t>
            </w:r>
          </w:p>
          <w:p>
            <w:pPr>
              <w:pStyle w:val="276"/>
              <w:adjustRightInd w:val="0"/>
              <w:snapToGrid w:val="0"/>
              <w:spacing w:line="400" w:lineRule="exact"/>
              <w:rPr>
                <w:rFonts w:hint="eastAsia" w:ascii="宋体" w:hAnsi="宋体" w:cs="宋体"/>
                <w:color w:val="auto"/>
                <w:szCs w:val="21"/>
                <w:highlight w:val="none"/>
              </w:rPr>
            </w:pPr>
            <w:r>
              <w:rPr>
                <w:rFonts w:hint="eastAsia" w:hAnsi="宋体" w:cs="宋体"/>
                <w:color w:val="auto"/>
                <w:highlight w:val="none"/>
              </w:rPr>
              <w:t>邮政编码：626000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10.6</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招标代理服务费</w:t>
            </w:r>
          </w:p>
        </w:tc>
        <w:tc>
          <w:tcPr>
            <w:tcW w:w="5818"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无</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有，招标代理服务费金额：</w:t>
            </w:r>
            <w:r>
              <w:rPr>
                <w:rFonts w:hint="eastAsia" w:ascii="宋体" w:hAnsi="宋体" w:cs="宋体"/>
                <w:color w:val="auto"/>
                <w:szCs w:val="21"/>
                <w:highlight w:val="none"/>
                <w:u w:val="single"/>
              </w:rPr>
              <w:t xml:space="preserve">                 </w:t>
            </w:r>
          </w:p>
          <w:p>
            <w:pPr>
              <w:pStyle w:val="276"/>
              <w:adjustRightInd w:val="0"/>
              <w:snapToGrid w:val="0"/>
              <w:spacing w:line="400" w:lineRule="exact"/>
              <w:ind w:firstLine="315" w:firstLineChars="150"/>
              <w:rPr>
                <w:rFonts w:hint="eastAsia" w:ascii="宋体" w:hAnsi="宋体" w:cs="宋体"/>
                <w:color w:val="auto"/>
                <w:szCs w:val="21"/>
                <w:highlight w:val="none"/>
                <w:u w:val="single"/>
              </w:rPr>
            </w:pPr>
            <w:r>
              <w:rPr>
                <w:rFonts w:hint="eastAsia" w:ascii="宋体" w:hAnsi="宋体" w:cs="宋体"/>
                <w:color w:val="auto"/>
                <w:szCs w:val="21"/>
                <w:highlight w:val="none"/>
              </w:rPr>
              <w:t>支付方式：</w:t>
            </w:r>
            <w:r>
              <w:rPr>
                <w:rFonts w:hint="eastAsia" w:ascii="宋体" w:hAnsi="宋体" w:cs="宋体"/>
                <w:color w:val="auto"/>
                <w:szCs w:val="21"/>
                <w:highlight w:val="none"/>
                <w:u w:val="single"/>
              </w:rPr>
              <w:t xml:space="preserve">                                 </w:t>
            </w:r>
          </w:p>
          <w:p>
            <w:pPr>
              <w:pStyle w:val="276"/>
              <w:adjustRightInd w:val="0"/>
              <w:snapToGrid w:val="0"/>
              <w:spacing w:line="400" w:lineRule="exact"/>
              <w:ind w:firstLine="315" w:firstLineChars="150"/>
              <w:rPr>
                <w:rFonts w:hint="eastAsia" w:ascii="宋体" w:hAnsi="宋体" w:cs="宋体"/>
                <w:color w:val="auto"/>
                <w:szCs w:val="21"/>
                <w:highlight w:val="none"/>
                <w:u w:val="single"/>
              </w:rPr>
            </w:pPr>
            <w:r>
              <w:rPr>
                <w:rFonts w:hint="eastAsia" w:ascii="宋体" w:hAnsi="宋体" w:cs="宋体"/>
                <w:color w:val="auto"/>
                <w:szCs w:val="21"/>
                <w:highlight w:val="none"/>
              </w:rPr>
              <w:t>支付时间：</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10.7</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本项目技术建议书评审是否采用暗标</w:t>
            </w:r>
          </w:p>
        </w:tc>
        <w:tc>
          <w:tcPr>
            <w:tcW w:w="5818"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否</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是，具体</w:t>
            </w:r>
            <w:r>
              <w:rPr>
                <w:rFonts w:hint="eastAsia"/>
                <w:color w:val="auto"/>
                <w:highlight w:val="none"/>
              </w:rPr>
              <w:t>编制要求：</w:t>
            </w:r>
          </w:p>
          <w:p>
            <w:pPr>
              <w:adjustRightInd w:val="0"/>
              <w:snapToGrid w:val="0"/>
              <w:spacing w:line="400" w:lineRule="exact"/>
              <w:rPr>
                <w:rFonts w:hint="eastAsia" w:ascii="宋体" w:hAnsi="宋体"/>
                <w:color w:val="auto"/>
                <w:kern w:val="0"/>
                <w:highlight w:val="none"/>
              </w:rPr>
            </w:pPr>
            <w:r>
              <w:rPr>
                <w:rFonts w:hint="eastAsia" w:ascii="宋体" w:hAnsi="宋体" w:cs="宋体"/>
                <w:color w:val="auto"/>
                <w:szCs w:val="21"/>
                <w:highlight w:val="none"/>
              </w:rPr>
              <w:t>（1）</w:t>
            </w:r>
            <w:r>
              <w:rPr>
                <w:rFonts w:hint="eastAsia"/>
                <w:color w:val="auto"/>
                <w:highlight w:val="none"/>
              </w:rPr>
              <w:t>如果招标人对技术建议书评审采用暗标方式的，投标人</w:t>
            </w:r>
            <w:r>
              <w:rPr>
                <w:rFonts w:hint="eastAsia" w:ascii="宋体" w:hAnsi="宋体"/>
                <w:color w:val="auto"/>
                <w:kern w:val="0"/>
                <w:highlight w:val="none"/>
              </w:rPr>
              <w:t>技术建议书中不得出现投标人的名称和其他可识别投标人身份的文字、符号、标识等；</w:t>
            </w:r>
          </w:p>
          <w:p>
            <w:pPr>
              <w:pStyle w:val="276"/>
              <w:adjustRightInd w:val="0"/>
              <w:snapToGrid w:val="0"/>
              <w:spacing w:line="400" w:lineRule="exact"/>
              <w:rPr>
                <w:rFonts w:hint="eastAsia" w:ascii="宋体" w:hAnsi="宋体"/>
                <w:color w:val="auto"/>
                <w:kern w:val="0"/>
                <w:highlight w:val="none"/>
                <w:u w:val="single"/>
              </w:rPr>
            </w:pPr>
            <w:r>
              <w:rPr>
                <w:rFonts w:hint="eastAsia" w:ascii="宋体" w:hAnsi="宋体"/>
                <w:color w:val="auto"/>
                <w:kern w:val="0"/>
                <w:highlight w:val="none"/>
              </w:rPr>
              <w:t>（2）</w:t>
            </w:r>
            <w:r>
              <w:rPr>
                <w:rFonts w:hint="eastAsia" w:ascii="宋体" w:hAnsi="宋体"/>
                <w:color w:val="auto"/>
                <w:kern w:val="0"/>
                <w:highlight w:val="none"/>
                <w:u w:val="singl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olor w:val="auto"/>
                <w:kern w:val="0"/>
                <w:highlight w:val="none"/>
              </w:rPr>
              <w:t xml:space="preserve"> 注：</w:t>
            </w:r>
            <w:r>
              <w:rPr>
                <w:rFonts w:hint="eastAsia" w:ascii="宋体" w:hAnsi="宋体" w:cs="宋体"/>
                <w:color w:val="auto"/>
                <w:highlight w:val="none"/>
              </w:rPr>
              <w:t>招标人可根据项目具体情况，选择是否采用暗标方式进行技术建议书评审。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1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581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tc>
      </w:tr>
    </w:tbl>
    <w:p>
      <w:pPr>
        <w:pStyle w:val="276"/>
        <w:adjustRightInd w:val="0"/>
        <w:snapToGrid w:val="0"/>
        <w:spacing w:line="400" w:lineRule="exact"/>
        <w:jc w:val="center"/>
        <w:rPr>
          <w:rFonts w:hint="eastAsia" w:ascii="宋体" w:hAnsi="宋体" w:cs="宋体"/>
          <w:color w:val="auto"/>
          <w:szCs w:val="21"/>
          <w:highlight w:val="none"/>
        </w:rPr>
        <w:sectPr>
          <w:headerReference r:id="rId11" w:type="default"/>
          <w:footnotePr>
            <w:numFmt w:val="decimalEnclosedCircleChinese"/>
            <w:numRestart w:val="eachPage"/>
          </w:footnotePr>
          <w:pgSz w:w="11900" w:h="16840"/>
          <w:pgMar w:top="1418" w:right="1418" w:bottom="1418" w:left="1701" w:header="885" w:footer="624" w:gutter="0"/>
          <w:cols w:space="720" w:num="1"/>
          <w:docGrid w:linePitch="312" w:charSpace="0"/>
        </w:sectPr>
      </w:pPr>
    </w:p>
    <w:p>
      <w:pPr>
        <w:pStyle w:val="6"/>
        <w:ind w:firstLine="1967" w:firstLineChars="700"/>
        <w:rPr>
          <w:rStyle w:val="146"/>
          <w:rFonts w:hint="eastAsia" w:ascii="黑体" w:hAnsi="黑体" w:cs="黑体"/>
          <w:b/>
          <w:bCs/>
          <w:color w:val="auto"/>
          <w:highlight w:val="none"/>
        </w:rPr>
      </w:pPr>
      <w:bookmarkStart w:id="55" w:name="_Toc523921588"/>
      <w:bookmarkStart w:id="56" w:name="_Toc28187711"/>
      <w:r>
        <w:rPr>
          <w:rFonts w:hint="eastAsia" w:ascii="Calibri" w:hAnsi="Calibri"/>
          <w:b/>
          <w:bCs/>
          <w:color w:val="auto"/>
          <w:highlight w:val="none"/>
        </w:rPr>
        <w:t>附录</w:t>
      </w:r>
      <w:r>
        <w:rPr>
          <w:rFonts w:ascii="Calibri" w:hAnsi="Calibri"/>
          <w:b/>
          <w:bCs/>
          <w:color w:val="auto"/>
          <w:highlight w:val="none"/>
        </w:rPr>
        <w:t xml:space="preserve">1  </w:t>
      </w:r>
      <w:r>
        <w:rPr>
          <w:rFonts w:hint="eastAsia" w:ascii="Calibri" w:hAnsi="Calibri"/>
          <w:b/>
          <w:bCs/>
          <w:color w:val="auto"/>
          <w:highlight w:val="none"/>
        </w:rPr>
        <w:t>资格审查条件（资质最低要求）</w:t>
      </w:r>
      <w:bookmarkEnd w:id="55"/>
      <w:bookmarkEnd w:id="56"/>
    </w:p>
    <w:tbl>
      <w:tblPr>
        <w:tblStyle w:val="48"/>
        <w:tblW w:w="878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1"/>
        <w:gridCol w:w="7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351" w:type="dxa"/>
            <w:vAlign w:val="center"/>
          </w:tcPr>
          <w:p>
            <w:pPr>
              <w:pStyle w:val="276"/>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rPr>
              <w:t>标段</w:t>
            </w:r>
          </w:p>
        </w:tc>
        <w:tc>
          <w:tcPr>
            <w:tcW w:w="7438"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监理企业资质等级要求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5" w:hRule="atLeast"/>
        </w:trPr>
        <w:tc>
          <w:tcPr>
            <w:tcW w:w="1351" w:type="dxa"/>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7438"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（1）独立法人资格，持有有效的营业执照、</w:t>
            </w:r>
            <w:r>
              <w:rPr>
                <w:rFonts w:hint="eastAsia" w:cs="宋体" w:asciiTheme="minorEastAsia" w:hAnsiTheme="minorEastAsia" w:eastAsiaTheme="minorEastAsia"/>
                <w:color w:val="auto"/>
                <w:szCs w:val="21"/>
                <w:highlight w:val="none"/>
              </w:rPr>
              <w:t>开户许可证（基本账户或基本存款账户）</w:t>
            </w:r>
            <w:r>
              <w:rPr>
                <w:rFonts w:hint="eastAsia" w:ascii="宋体" w:hAnsi="宋体" w:cs="宋体"/>
                <w:color w:val="auto"/>
                <w:szCs w:val="21"/>
                <w:highlight w:val="none"/>
              </w:rPr>
              <w:t>或基本存款账户信息表。</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（2）具有交通运输主管部门颁发的</w:t>
            </w:r>
          </w:p>
          <w:p>
            <w:pPr>
              <w:pStyle w:val="276"/>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 □ 公路工程（□甲级；□乙级及以上）监理资质；□和  □或</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sym w:font="Wingdings 2" w:char="00A3"/>
            </w:r>
            <w:r>
              <w:rPr>
                <w:rFonts w:hint="eastAsia" w:ascii="宋体" w:hAnsi="宋体" w:cs="宋体"/>
                <w:color w:val="auto"/>
                <w:szCs w:val="21"/>
                <w:highlight w:val="none"/>
              </w:rPr>
              <w:t xml:space="preserve"> 公路工程机电专项监理资质。</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w:t>
            </w:r>
            <w:r>
              <w:rPr>
                <w:rFonts w:hint="eastAsia" w:ascii="宋体" w:hAnsi="宋体" w:cs="宋体"/>
                <w:color w:val="auto"/>
                <w:szCs w:val="21"/>
                <w:highlight w:val="none"/>
              </w:rPr>
              <w:t>□甲级；□乙级及以上</w:t>
            </w:r>
            <w:r>
              <w:rPr>
                <w:rFonts w:hint="eastAsia" w:ascii="宋体" w:hAnsi="宋体" w:cs="宋体"/>
                <w:color w:val="auto"/>
                <w:highlight w:val="none"/>
              </w:rPr>
              <w:t>”为单选项。</w:t>
            </w:r>
          </w:p>
          <w:p>
            <w:pPr>
              <w:pStyle w:val="276"/>
              <w:wordWrap w:val="0"/>
              <w:adjustRightInd w:val="0"/>
              <w:snapToGrid w:val="0"/>
              <w:spacing w:line="400" w:lineRule="exac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（3）</w:t>
            </w:r>
            <w:r>
              <w:rPr>
                <w:rFonts w:hint="eastAsia" w:ascii="宋体" w:hAnsi="宋体" w:cs="宋体"/>
                <w:color w:val="auto"/>
                <w:kern w:val="0"/>
                <w:szCs w:val="21"/>
                <w:highlight w:val="none"/>
              </w:rPr>
              <w:t>投标人应进入交通运输部“</w:t>
            </w:r>
            <w:r>
              <w:rPr>
                <w:rFonts w:hint="eastAsia" w:ascii="宋体" w:hAnsi="宋体" w:cs="宋体"/>
                <w:color w:val="auto"/>
                <w:szCs w:val="21"/>
                <w:highlight w:val="none"/>
              </w:rPr>
              <w:t>全国公路建设市场监督管理系统（https://hwdms.mot.gov.cn/BMWebSite/）</w:t>
            </w:r>
            <w:r>
              <w:rPr>
                <w:rFonts w:hint="eastAsia" w:ascii="宋体" w:hAnsi="宋体" w:cs="宋体"/>
                <w:color w:val="auto"/>
                <w:kern w:val="0"/>
                <w:szCs w:val="21"/>
                <w:highlight w:val="none"/>
              </w:rPr>
              <w:t>”中的公路工程施工监理资质企业名录，且投标人名称和资质与该名录中相应企业名称和资质完全一致。</w:t>
            </w:r>
          </w:p>
          <w:p>
            <w:pPr>
              <w:pStyle w:val="37"/>
              <w:ind w:left="420" w:hanging="420" w:hangingChars="200"/>
              <w:jc w:val="both"/>
              <w:rPr>
                <w:color w:val="auto"/>
                <w:kern w:val="0"/>
                <w:sz w:val="21"/>
                <w:szCs w:val="21"/>
                <w:highlight w:val="none"/>
              </w:rPr>
            </w:pPr>
            <w:r>
              <w:rPr>
                <w:rFonts w:hint="eastAsia" w:ascii="宋体" w:hAnsi="宋体" w:cs="宋体"/>
                <w:color w:val="auto"/>
                <w:kern w:val="0"/>
                <w:sz w:val="21"/>
                <w:szCs w:val="21"/>
                <w:highlight w:val="none"/>
              </w:rPr>
              <w:t>注：</w:t>
            </w:r>
            <w:r>
              <w:rPr>
                <w:color w:val="auto"/>
                <w:kern w:val="0"/>
                <w:sz w:val="21"/>
                <w:szCs w:val="21"/>
                <w:highlight w:val="none"/>
              </w:rPr>
              <w:t>a.</w:t>
            </w:r>
            <w:r>
              <w:rPr>
                <w:rFonts w:hint="eastAsia"/>
                <w:color w:val="auto"/>
                <w:kern w:val="0"/>
                <w:sz w:val="21"/>
                <w:szCs w:val="21"/>
                <w:highlight w:val="none"/>
              </w:rPr>
              <w:t>本项规定仅适用于根据《关于发布公路工程从业企业资质名录的通知》（厅公路字〔</w:t>
            </w:r>
            <w:r>
              <w:rPr>
                <w:color w:val="auto"/>
                <w:kern w:val="0"/>
                <w:sz w:val="21"/>
                <w:szCs w:val="21"/>
                <w:highlight w:val="none"/>
              </w:rPr>
              <w:t>2011</w:t>
            </w:r>
            <w:r>
              <w:rPr>
                <w:rFonts w:hint="eastAsia"/>
                <w:color w:val="auto"/>
                <w:kern w:val="0"/>
                <w:sz w:val="21"/>
                <w:szCs w:val="21"/>
                <w:highlight w:val="none"/>
              </w:rPr>
              <w:t>〕</w:t>
            </w:r>
            <w:r>
              <w:rPr>
                <w:color w:val="auto"/>
                <w:kern w:val="0"/>
                <w:sz w:val="21"/>
                <w:szCs w:val="21"/>
                <w:highlight w:val="none"/>
              </w:rPr>
              <w:t>114</w:t>
            </w:r>
            <w:r>
              <w:rPr>
                <w:rFonts w:hint="eastAsia"/>
                <w:color w:val="auto"/>
                <w:kern w:val="0"/>
                <w:sz w:val="21"/>
                <w:szCs w:val="21"/>
                <w:highlight w:val="none"/>
              </w:rPr>
              <w:t>号）要求，招标人应通过名录对投标人资质条件进行审核的公路施工监理企业。</w:t>
            </w:r>
          </w:p>
          <w:p>
            <w:pPr>
              <w:pStyle w:val="276"/>
              <w:wordWrap w:val="0"/>
              <w:adjustRightInd w:val="0"/>
              <w:snapToGrid w:val="0"/>
              <w:spacing w:line="400" w:lineRule="exact"/>
              <w:rPr>
                <w:rFonts w:hint="eastAsia" w:ascii="宋体" w:hAnsi="宋体" w:cs="宋体"/>
                <w:color w:val="auto"/>
                <w:kern w:val="0"/>
                <w:szCs w:val="21"/>
                <w:highlight w:val="none"/>
              </w:rPr>
            </w:pPr>
            <w:r>
              <w:rPr>
                <w:color w:val="auto"/>
                <w:kern w:val="0"/>
                <w:szCs w:val="21"/>
                <w:highlight w:val="none"/>
              </w:rPr>
              <w:t xml:space="preserve">    b.</w:t>
            </w:r>
            <w:r>
              <w:rPr>
                <w:rFonts w:hint="eastAsia"/>
                <w:color w:val="auto"/>
                <w:kern w:val="0"/>
                <w:szCs w:val="21"/>
                <w:highlight w:val="none"/>
              </w:rPr>
              <w:t>投标人名称和资质有变更，与交通运输部“</w:t>
            </w:r>
            <w:r>
              <w:rPr>
                <w:rFonts w:hint="eastAsia" w:ascii="宋体" w:hAnsi="宋体" w:cs="宋体"/>
                <w:color w:val="auto"/>
                <w:kern w:val="0"/>
                <w:szCs w:val="21"/>
                <w:highlight w:val="none"/>
              </w:rPr>
              <w:t>全国公路建设市场监督管理系统（https://hwdms.mot.gov.cn/BMWebSite/）</w:t>
            </w:r>
            <w:r>
              <w:rPr>
                <w:rFonts w:hint="eastAsia"/>
                <w:color w:val="auto"/>
                <w:kern w:val="0"/>
                <w:szCs w:val="21"/>
                <w:highlight w:val="none"/>
              </w:rPr>
              <w:t>”中的“公路工程施工监理资质企业名录”中的相应企业名称和资质不一致时，投标人应提供相关证明材料。</w:t>
            </w:r>
          </w:p>
          <w:p>
            <w:pPr>
              <w:pStyle w:val="276"/>
              <w:wordWrap w:val="0"/>
              <w:adjustRightInd w:val="0"/>
              <w:snapToGrid w:val="0"/>
              <w:spacing w:line="400" w:lineRule="exac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（4）投标人工地试验室母体检测机构具有交通运输主管部门颁发的公路水运工程质量检测机构下述等级证书。</w:t>
            </w:r>
          </w:p>
          <w:p>
            <w:pPr>
              <w:pStyle w:val="276"/>
              <w:adjustRightInd w:val="0"/>
              <w:snapToGrid w:val="0"/>
              <w:spacing w:line="400" w:lineRule="exact"/>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公路工程（□甲级；□乙级及以上）资质；□和  □或</w:t>
            </w:r>
          </w:p>
          <w:p>
            <w:pPr>
              <w:pStyle w:val="276"/>
              <w:adjustRightInd w:val="0"/>
              <w:snapToGrid w:val="0"/>
              <w:spacing w:line="400" w:lineRule="exact"/>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sym w:font="Wingdings 2" w:char="00A3"/>
            </w:r>
            <w:r>
              <w:rPr>
                <w:rFonts w:hint="eastAsia" w:ascii="宋体" w:hAnsi="宋体" w:cs="宋体"/>
                <w:color w:val="000000" w:themeColor="text1"/>
                <w:szCs w:val="21"/>
                <w:highlight w:val="none"/>
                <w14:textFill>
                  <w14:solidFill>
                    <w14:schemeClr w14:val="tx1"/>
                  </w14:solidFill>
                </w14:textFill>
              </w:rPr>
              <w:t xml:space="preserve"> 公路工程桥梁隧道工程专项资质；□和  □或</w:t>
            </w:r>
          </w:p>
          <w:p>
            <w:pPr>
              <w:pStyle w:val="276"/>
              <w:adjustRightInd w:val="0"/>
              <w:snapToGrid w:val="0"/>
              <w:spacing w:line="400" w:lineRule="exact"/>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交通工程专项资质。</w:t>
            </w:r>
          </w:p>
          <w:p>
            <w:pPr>
              <w:pStyle w:val="276"/>
              <w:adjustRightInd w:val="0"/>
              <w:snapToGrid w:val="0"/>
              <w:spacing w:line="400" w:lineRule="exact"/>
              <w:ind w:firstLine="420" w:firstLineChars="200"/>
              <w:rPr>
                <w:rFonts w:hint="eastAsia" w:ascii="宋体" w:hAnsi="宋体" w:cs="宋体"/>
                <w:color w:val="auto"/>
                <w:szCs w:val="21"/>
                <w:highlight w:val="none"/>
              </w:rPr>
            </w:pPr>
          </w:p>
          <w:p>
            <w:pPr>
              <w:pStyle w:val="276"/>
              <w:adjustRightInd w:val="0"/>
              <w:snapToGrid w:val="0"/>
              <w:spacing w:line="400" w:lineRule="exact"/>
              <w:ind w:firstLine="210" w:firstLineChars="100"/>
              <w:jc w:val="left"/>
              <w:rPr>
                <w:rFonts w:hint="eastAsia" w:ascii="宋体" w:hAnsi="宋体" w:cs="宋体"/>
                <w:color w:val="auto"/>
                <w:szCs w:val="21"/>
                <w:highlight w:val="none"/>
              </w:rPr>
            </w:pPr>
            <w:r>
              <w:rPr>
                <w:rFonts w:hint="eastAsia" w:ascii="宋体" w:hAnsi="宋体" w:cs="宋体"/>
                <w:color w:val="auto"/>
                <w:szCs w:val="21"/>
                <w:highlight w:val="none"/>
              </w:rPr>
              <w:t>注：1.如投标人监理试验室的母体试验检测机构与投标人为母子关系或参股关系时应出具为母子关系或参股关系的证明材料；如投标人监理试验室的母体试验检测机构与投标人为合作关系时应出具与试验检测机构的合作协议书。</w:t>
            </w:r>
          </w:p>
          <w:p>
            <w:pPr>
              <w:pStyle w:val="276"/>
              <w:adjustRightInd w:val="0"/>
              <w:snapToGrid w:val="0"/>
              <w:spacing w:line="400" w:lineRule="exact"/>
              <w:ind w:firstLine="665" w:firstLineChars="317"/>
              <w:jc w:val="left"/>
              <w:rPr>
                <w:rFonts w:hint="eastAsia" w:ascii="宋体" w:hAnsi="宋体" w:cs="宋体"/>
                <w:color w:val="000000" w:themeColor="text1"/>
                <w:highlight w:val="none"/>
                <w14:textFill>
                  <w14:solidFill>
                    <w14:schemeClr w14:val="tx1"/>
                  </w14:solidFill>
                </w14:textFill>
              </w:rPr>
            </w:pPr>
            <w:r>
              <w:rPr>
                <w:rFonts w:hint="eastAsia" w:ascii="宋体" w:hAnsi="宋体" w:cs="宋体"/>
                <w:color w:val="auto"/>
                <w:highlight w:val="none"/>
              </w:rPr>
              <w:t>2.</w:t>
            </w:r>
            <w:r>
              <w:rPr>
                <w:rStyle w:val="58"/>
                <w:rFonts w:hint="eastAsia" w:ascii="宋体" w:hAnsi="宋体" w:cs="宋体"/>
                <w:color w:val="auto"/>
                <w:highlight w:val="none"/>
                <w:vertAlign w:val="baseline"/>
              </w:rPr>
              <w:t>当招标范围包括监理试验室时，可对监理试验室的资质提出要求</w:t>
            </w:r>
            <w:r>
              <w:rPr>
                <w:rFonts w:hint="eastAsia" w:ascii="宋体" w:hAnsi="宋体" w:cs="宋体"/>
                <w:color w:val="auto"/>
                <w:highlight w:val="none"/>
              </w:rPr>
              <w:t>，但均须满足国家相关法律法规并符合招标项目具体特点和实际情况</w:t>
            </w:r>
            <w:r>
              <w:rPr>
                <w:rStyle w:val="58"/>
                <w:rFonts w:hint="eastAsia" w:ascii="宋体" w:hAnsi="宋体" w:cs="宋体"/>
                <w:color w:val="auto"/>
                <w:highlight w:val="none"/>
                <w:vertAlign w:val="baseline"/>
              </w:rPr>
              <w:t>。</w:t>
            </w:r>
          </w:p>
          <w:p>
            <w:pPr>
              <w:adjustRightInd w:val="0"/>
              <w:snapToGrid w:val="0"/>
              <w:spacing w:line="400" w:lineRule="exact"/>
              <w:ind w:left="210" w:leftChars="100" w:firstLine="420" w:firstLineChars="200"/>
              <w:rPr>
                <w:color w:val="auto"/>
                <w:highlight w:val="none"/>
              </w:rPr>
            </w:pPr>
            <w:r>
              <w:rPr>
                <w:rFonts w:hint="eastAsia" w:ascii="宋体" w:hAnsi="宋体" w:cs="宋体"/>
                <w:color w:val="auto"/>
                <w:szCs w:val="21"/>
                <w:highlight w:val="none"/>
              </w:rPr>
              <w:t>3.原公路水运工程试验检测机构公路工程综合</w:t>
            </w:r>
            <w:r>
              <w:rPr>
                <w:rFonts w:hint="eastAsia" w:ascii="宋体" w:hAnsi="宋体"/>
                <w:color w:val="auto"/>
                <w:szCs w:val="21"/>
                <w:highlight w:val="none"/>
              </w:rPr>
              <w:t>甲级、乙级，</w:t>
            </w:r>
            <w:r>
              <w:rPr>
                <w:rFonts w:hint="eastAsia" w:ascii="宋体" w:hAnsi="宋体" w:cs="宋体"/>
                <w:color w:val="000000" w:themeColor="text1"/>
                <w:szCs w:val="21"/>
                <w:highlight w:val="none"/>
                <w14:textFill>
                  <w14:solidFill>
                    <w14:schemeClr w14:val="tx1"/>
                  </w14:solidFill>
                </w14:textFill>
              </w:rPr>
              <w:t>公路工程桥梁隧道工程专项资质、交通工程专项资质</w:t>
            </w:r>
            <w:r>
              <w:rPr>
                <w:rFonts w:hint="eastAsia" w:ascii="宋体" w:hAnsi="宋体" w:cs="宋体"/>
                <w:color w:val="auto"/>
                <w:szCs w:val="21"/>
                <w:highlight w:val="none"/>
              </w:rPr>
              <w:t>等级证书仍适用。</w:t>
            </w:r>
          </w:p>
          <w:p>
            <w:pPr>
              <w:pStyle w:val="276"/>
              <w:adjustRightInd w:val="0"/>
              <w:snapToGrid w:val="0"/>
              <w:spacing w:line="400" w:lineRule="exact"/>
              <w:ind w:firstLine="665" w:firstLineChars="317"/>
              <w:jc w:val="left"/>
              <w:rPr>
                <w:rFonts w:hint="eastAsia" w:ascii="宋体" w:hAnsi="宋体" w:cs="宋体"/>
                <w:color w:val="auto"/>
                <w:szCs w:val="21"/>
                <w:highlight w:val="none"/>
              </w:rPr>
            </w:pP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（5）其他：</w:t>
            </w:r>
            <w:r>
              <w:rPr>
                <w:rFonts w:hint="eastAsia" w:ascii="宋体" w:hAnsi="宋体" w:cs="宋体"/>
                <w:color w:val="auto"/>
                <w:szCs w:val="21"/>
                <w:highlight w:val="none"/>
                <w:u w:val="single"/>
              </w:rPr>
              <w:t xml:space="preserve">            </w:t>
            </w:r>
          </w:p>
          <w:p>
            <w:pPr>
              <w:pStyle w:val="276"/>
              <w:adjustRightInd w:val="0"/>
              <w:snapToGrid w:val="0"/>
              <w:spacing w:line="400" w:lineRule="exact"/>
              <w:ind w:firstLine="239" w:firstLineChars="114"/>
              <w:rPr>
                <w:rFonts w:hint="eastAsia" w:ascii="宋体" w:hAnsi="宋体" w:cs="宋体"/>
                <w:color w:val="auto"/>
                <w:szCs w:val="21"/>
                <w:highlight w:val="none"/>
              </w:rPr>
            </w:pPr>
            <w:r>
              <w:rPr>
                <w:rFonts w:hint="eastAsia" w:ascii="宋体" w:hAnsi="宋体" w:cs="宋体"/>
                <w:color w:val="auto"/>
                <w:szCs w:val="21"/>
                <w:highlight w:val="none"/>
              </w:rPr>
              <w:t>注：</w:t>
            </w:r>
            <w:r>
              <w:rPr>
                <w:rStyle w:val="58"/>
                <w:rFonts w:hint="eastAsia" w:ascii="宋体" w:hAnsi="宋体" w:cs="宋体"/>
                <w:color w:val="auto"/>
                <w:highlight w:val="none"/>
                <w:vertAlign w:val="baseline"/>
              </w:rPr>
              <w:t>如招标范围包括房建等工程时，可以考虑增加相应资质要求</w:t>
            </w:r>
            <w:r>
              <w:rPr>
                <w:rFonts w:hint="eastAsia" w:ascii="宋体" w:hAnsi="宋体" w:cs="宋体"/>
                <w:color w:val="auto"/>
                <w:highlight w:val="none"/>
              </w:rPr>
              <w:t>，但均须满足国家相关法律法规并符合招标项目具体特点和实际情况</w:t>
            </w:r>
            <w:r>
              <w:rPr>
                <w:rStyle w:val="58"/>
                <w:rFonts w:hint="eastAsia" w:ascii="宋体" w:hAnsi="宋体" w:cs="宋体"/>
                <w:color w:val="auto"/>
                <w:highlight w:val="none"/>
                <w:vertAlign w:val="baseline"/>
              </w:rPr>
              <w:t>。</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（6）联合体应满足下列要求： </w:t>
            </w:r>
            <w:r>
              <w:rPr>
                <w:rFonts w:hint="eastAsia" w:ascii="宋体" w:hAnsi="宋体" w:cs="宋体"/>
                <w:color w:val="auto"/>
                <w:szCs w:val="21"/>
                <w:highlight w:val="none"/>
                <w:u w:val="single"/>
              </w:rPr>
              <w:t xml:space="preserve">                            </w:t>
            </w:r>
          </w:p>
        </w:tc>
      </w:tr>
    </w:tbl>
    <w:p>
      <w:pPr>
        <w:pStyle w:val="276"/>
        <w:jc w:val="center"/>
        <w:rPr>
          <w:rFonts w:hint="eastAsia" w:ascii="宋体" w:hAnsi="宋体" w:cs="宋体"/>
          <w:color w:val="auto"/>
          <w:highlight w:val="none"/>
        </w:rPr>
      </w:pPr>
    </w:p>
    <w:p>
      <w:pPr>
        <w:rPr>
          <w:color w:val="auto"/>
          <w:highlight w:val="none"/>
        </w:rPr>
      </w:pPr>
      <w:r>
        <w:rPr>
          <w:rFonts w:hint="eastAsia"/>
          <w:color w:val="auto"/>
          <w:highlight w:val="none"/>
        </w:rPr>
        <w:t>注：</w:t>
      </w:r>
      <w:r>
        <w:rPr>
          <w:rFonts w:hint="eastAsia" w:ascii="宋体" w:hAnsi="宋体" w:cs="宋体"/>
          <w:color w:val="auto"/>
          <w:highlight w:val="none"/>
        </w:rPr>
        <w:t>具体资质要求由招标人在满足国家相关法律法规前提下，根据招标项目具体特点和实际情况确定。</w:t>
      </w:r>
    </w:p>
    <w:p>
      <w:pPr>
        <w:rPr>
          <w:color w:val="auto"/>
          <w:highlight w:val="none"/>
        </w:rPr>
      </w:pPr>
    </w:p>
    <w:p>
      <w:pPr>
        <w:rPr>
          <w:color w:val="auto"/>
          <w:highlight w:val="none"/>
        </w:rPr>
      </w:pPr>
      <w:bookmarkStart w:id="57" w:name="_Toc523921589"/>
      <w:r>
        <w:rPr>
          <w:color w:val="auto"/>
          <w:highlight w:val="none"/>
        </w:rPr>
        <w:br w:type="page"/>
      </w:r>
    </w:p>
    <w:p>
      <w:pPr>
        <w:pStyle w:val="6"/>
        <w:ind w:firstLine="1967" w:firstLineChars="700"/>
        <w:rPr>
          <w:rStyle w:val="146"/>
          <w:rFonts w:hint="eastAsia" w:ascii="黑体" w:hAnsi="黑体" w:cs="黑体"/>
          <w:b/>
          <w:bCs/>
          <w:color w:val="auto"/>
          <w:kern w:val="2"/>
          <w:highlight w:val="none"/>
        </w:rPr>
      </w:pPr>
      <w:bookmarkStart w:id="58" w:name="_Toc28187712"/>
      <w:r>
        <w:rPr>
          <w:rStyle w:val="111"/>
          <w:rFonts w:hint="eastAsia"/>
          <w:b/>
          <w:bCs/>
          <w:color w:val="auto"/>
          <w:highlight w:val="none"/>
        </w:rPr>
        <w:t>附录</w:t>
      </w:r>
      <w:r>
        <w:rPr>
          <w:rStyle w:val="111"/>
          <w:b/>
          <w:bCs/>
          <w:color w:val="auto"/>
          <w:highlight w:val="none"/>
        </w:rPr>
        <w:t xml:space="preserve">2  </w:t>
      </w:r>
      <w:r>
        <w:rPr>
          <w:rStyle w:val="111"/>
          <w:rFonts w:hint="eastAsia"/>
          <w:b/>
          <w:bCs/>
          <w:color w:val="auto"/>
          <w:highlight w:val="none"/>
        </w:rPr>
        <w:t>资格审查条件（业绩最低要求）</w:t>
      </w:r>
      <w:bookmarkEnd w:id="57"/>
      <w:bookmarkEnd w:id="58"/>
    </w:p>
    <w:tbl>
      <w:tblPr>
        <w:tblStyle w:val="4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8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blHeader/>
          <w:jc w:val="center"/>
        </w:trPr>
        <w:tc>
          <w:tcPr>
            <w:tcW w:w="814" w:type="dxa"/>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标段</w:t>
            </w:r>
          </w:p>
        </w:tc>
        <w:tc>
          <w:tcPr>
            <w:tcW w:w="8112" w:type="dxa"/>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5" w:hRule="atLeast"/>
          <w:jc w:val="center"/>
        </w:trPr>
        <w:tc>
          <w:tcPr>
            <w:tcW w:w="814" w:type="dxa"/>
            <w:vAlign w:val="center"/>
          </w:tcPr>
          <w:p>
            <w:pPr>
              <w:pStyle w:val="276"/>
              <w:adjustRightInd w:val="0"/>
              <w:snapToGrid w:val="0"/>
              <w:spacing w:line="400" w:lineRule="exact"/>
              <w:ind w:firstLine="420" w:firstLineChars="200"/>
              <w:jc w:val="center"/>
              <w:rPr>
                <w:rFonts w:hint="eastAsia" w:cs="宋体" w:asciiTheme="minorEastAsia" w:hAnsiTheme="minorEastAsia" w:eastAsiaTheme="minorEastAsia"/>
                <w:color w:val="auto"/>
                <w:szCs w:val="21"/>
                <w:highlight w:val="none"/>
              </w:rPr>
            </w:pPr>
          </w:p>
        </w:tc>
        <w:tc>
          <w:tcPr>
            <w:tcW w:w="8112" w:type="dxa"/>
          </w:tcPr>
          <w:p>
            <w:pPr>
              <w:pStyle w:val="276"/>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投标人近</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年 （指</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年</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月</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 xml:space="preserve">日～投标截止日，以项目交工验收时间为准）的已完工程业绩应同时满足： </w:t>
            </w:r>
          </w:p>
          <w:p>
            <w:pPr>
              <w:adjustRightInd w:val="0"/>
              <w:snapToGrid w:val="0"/>
              <w:spacing w:line="400" w:lineRule="exact"/>
              <w:ind w:left="1687" w:hanging="1686" w:hangingChars="8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至少完成</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cs="宋体" w:asciiTheme="minorEastAsia" w:hAnsiTheme="minorEastAsia" w:eastAsiaTheme="minorEastAsia"/>
                <w:color w:val="auto"/>
                <w:szCs w:val="21"/>
                <w:highlight w:val="none"/>
              </w:rPr>
              <w:t>公路标段长度</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公里及以上的路</w:t>
            </w:r>
          </w:p>
          <w:p>
            <w:pPr>
              <w:adjustRightInd w:val="0"/>
              <w:snapToGrid w:val="0"/>
              <w:spacing w:line="400" w:lineRule="exact"/>
              <w:ind w:left="1680" w:hanging="1680" w:hangingChars="8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基土建工程施工监理项目；</w:t>
            </w:r>
          </w:p>
          <w:p>
            <w:pPr>
              <w:pStyle w:val="2"/>
              <w:ind w:leftChars="101" w:hanging="207" w:hangingChars="99"/>
              <w:rPr>
                <w:color w:val="auto"/>
                <w:highlight w:val="none"/>
              </w:rPr>
            </w:pPr>
            <w:r>
              <w:rPr>
                <w:rFonts w:hint="eastAsia"/>
                <w:color w:val="auto"/>
                <w:highlight w:val="none"/>
              </w:rPr>
              <w:t>注：</w:t>
            </w:r>
            <w:r>
              <w:rPr>
                <w:rFonts w:hint="eastAsia" w:ascii="宋体" w:hAnsi="宋体" w:cs="宋体"/>
                <w:color w:val="auto"/>
                <w:highlight w:val="none"/>
              </w:rPr>
              <w:t>路基土建工程指须至少包含“路基工程”的项目。</w:t>
            </w:r>
          </w:p>
          <w:p>
            <w:pPr>
              <w:adjustRightInd w:val="0"/>
              <w:snapToGrid w:val="0"/>
              <w:spacing w:line="400" w:lineRule="exact"/>
              <w:ind w:left="352" w:hanging="352" w:hangingChars="167"/>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至少完成</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座国内新建或改扩建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cs="宋体" w:asciiTheme="minorEastAsia" w:hAnsiTheme="minorEastAsia" w:eastAsiaTheme="minorEastAsia"/>
                <w:color w:val="auto"/>
                <w:szCs w:val="21"/>
                <w:highlight w:val="none"/>
              </w:rPr>
              <w:t>公路（□大桥；□特大桥）施工监理，□其中须至少包含（□同时包含；□包含其中之一）主跨桥梁类型：</w:t>
            </w:r>
          </w:p>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□拱式桥，主跨跨径</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米及以上</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座</w:t>
            </w:r>
          </w:p>
          <w:p>
            <w:pPr>
              <w:pStyle w:val="276"/>
              <w:adjustRightInd w:val="0"/>
              <w:snapToGrid w:val="0"/>
              <w:spacing w:line="400" w:lineRule="exact"/>
              <w:ind w:firstLine="630" w:firstLineChars="3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□悬索桥，主跨跨径</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米及以上</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座</w:t>
            </w:r>
          </w:p>
          <w:p>
            <w:pPr>
              <w:pStyle w:val="276"/>
              <w:adjustRightInd w:val="0"/>
              <w:snapToGrid w:val="0"/>
              <w:spacing w:line="400" w:lineRule="exact"/>
              <w:ind w:firstLine="630" w:firstLineChars="3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□斜拉桥，主跨跨径</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米及以上</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座</w:t>
            </w:r>
          </w:p>
          <w:p>
            <w:pPr>
              <w:pStyle w:val="276"/>
              <w:adjustRightInd w:val="0"/>
              <w:snapToGrid w:val="0"/>
              <w:spacing w:line="400" w:lineRule="exact"/>
              <w:ind w:firstLine="630" w:firstLineChars="3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□刚构桥，主跨跨径</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米及以上</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座</w:t>
            </w:r>
          </w:p>
          <w:p>
            <w:pPr>
              <w:pStyle w:val="276"/>
              <w:adjustRightInd w:val="0"/>
              <w:snapToGrid w:val="0"/>
              <w:spacing w:line="400" w:lineRule="exact"/>
              <w:ind w:firstLine="630" w:firstLineChars="3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□组合体系桥，主跨跨径</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米及以上</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座</w:t>
            </w:r>
          </w:p>
          <w:p>
            <w:pPr>
              <w:pStyle w:val="276"/>
              <w:adjustRightInd w:val="0"/>
              <w:snapToGrid w:val="0"/>
              <w:spacing w:line="400" w:lineRule="exact"/>
              <w:ind w:firstLine="630" w:firstLineChars="3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□其他：</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 xml:space="preserve"> ,主跨跨径</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米及以上</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 xml:space="preserve">座  </w:t>
            </w:r>
          </w:p>
          <w:p>
            <w:pPr>
              <w:pStyle w:val="37"/>
              <w:ind w:left="353" w:leftChars="168"/>
              <w:rPr>
                <w:rFonts w:hint="eastAsia" w:ascii="宋体" w:hAnsi="宋体" w:cs="宋体"/>
                <w:color w:val="auto"/>
                <w:sz w:val="21"/>
                <w:szCs w:val="24"/>
                <w:highlight w:val="none"/>
              </w:rPr>
            </w:pPr>
            <w:r>
              <w:rPr>
                <w:rFonts w:hint="eastAsia" w:ascii="宋体" w:hAnsi="宋体" w:cs="宋体"/>
                <w:color w:val="auto"/>
                <w:sz w:val="21"/>
                <w:szCs w:val="24"/>
                <w:highlight w:val="none"/>
              </w:rPr>
              <w:t>注：1.大桥、特大桥桥梁工程可为路基土建工程中包含的内容或者单独桥梁工程合同的项目。</w:t>
            </w:r>
          </w:p>
          <w:p>
            <w:pPr>
              <w:pStyle w:val="37"/>
              <w:ind w:left="420" w:leftChars="200" w:firstLine="357" w:firstLineChars="170"/>
              <w:rPr>
                <w:rFonts w:hint="eastAsia" w:ascii="宋体" w:hAnsi="宋体" w:cs="宋体"/>
                <w:color w:val="auto"/>
                <w:sz w:val="21"/>
                <w:szCs w:val="24"/>
                <w:highlight w:val="none"/>
              </w:rPr>
            </w:pPr>
            <w:r>
              <w:rPr>
                <w:rFonts w:hint="eastAsia" w:ascii="宋体" w:hAnsi="宋体" w:cs="宋体"/>
                <w:color w:val="auto"/>
                <w:sz w:val="21"/>
                <w:szCs w:val="24"/>
                <w:highlight w:val="none"/>
              </w:rPr>
              <w:t>2.主跨桥梁，根据项目具体情况，若存在特殊桥梁或特大桥或特别复杂的桥梁，需要增加特殊要求时，可对桥梁主跨桥型或跨径进行要求，但不得设置过高的要求。桥梁类型应从“拱式桥、悬索桥、斜拉桥、刚构桥、组合体系桥、其他”中选择，但建议原则上最多不超过2种类型。</w:t>
            </w:r>
          </w:p>
          <w:p>
            <w:pPr>
              <w:pStyle w:val="37"/>
              <w:ind w:left="420" w:leftChars="200" w:firstLine="357" w:firstLineChars="170"/>
              <w:rPr>
                <w:rFonts w:hint="eastAsia" w:ascii="宋体" w:hAnsi="宋体" w:cs="宋体"/>
                <w:color w:val="auto"/>
                <w:sz w:val="21"/>
                <w:szCs w:val="24"/>
                <w:highlight w:val="none"/>
              </w:rPr>
            </w:pPr>
            <w:r>
              <w:rPr>
                <w:rFonts w:hint="eastAsia" w:ascii="宋体" w:hAnsi="宋体" w:cs="宋体"/>
                <w:color w:val="auto"/>
                <w:sz w:val="21"/>
                <w:szCs w:val="24"/>
                <w:highlight w:val="none"/>
              </w:rPr>
              <w:t>3.主跨跨径，对于左右幅桥长不相同的桥梁，其桥梁长度以左右幅长度较长的为准；若只有单幅的，则以单幅桥梁长度数据为准。</w:t>
            </w:r>
          </w:p>
          <w:p>
            <w:pPr>
              <w:pStyle w:val="276"/>
              <w:adjustRightInd w:val="0"/>
              <w:snapToGrid w:val="0"/>
              <w:spacing w:line="400" w:lineRule="exact"/>
              <w:ind w:left="422" w:hanging="421" w:hangingChars="2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至少完成</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座国内新建或改扩建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cs="宋体" w:asciiTheme="minorEastAsia" w:hAnsiTheme="minorEastAsia" w:eastAsiaTheme="minorEastAsia"/>
                <w:color w:val="auto"/>
                <w:szCs w:val="21"/>
                <w:highlight w:val="none"/>
              </w:rPr>
              <w:t>公路（□中隧道及以上；□长隧道及以上；□特长隧道；□单洞长度</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米及以上特长隧道）施工监理项目；</w:t>
            </w:r>
          </w:p>
          <w:p>
            <w:pPr>
              <w:pStyle w:val="37"/>
              <w:ind w:left="353" w:leftChars="168"/>
              <w:rPr>
                <w:rFonts w:hint="eastAsia" w:ascii="宋体" w:hAnsi="宋体" w:cs="宋体"/>
                <w:color w:val="auto"/>
                <w:sz w:val="21"/>
                <w:szCs w:val="24"/>
                <w:highlight w:val="none"/>
              </w:rPr>
            </w:pPr>
            <w:r>
              <w:rPr>
                <w:rFonts w:hint="eastAsia" w:ascii="宋体" w:hAnsi="宋体" w:cs="宋体"/>
                <w:color w:val="auto"/>
                <w:sz w:val="21"/>
                <w:szCs w:val="24"/>
                <w:highlight w:val="none"/>
              </w:rPr>
              <w:t>注：1.单洞长度，对于具有双洞的隧道，其承担隧道长度以左右线隧道长度较长的为准；若只有单洞的，则以承担单洞隧道长度数据为准。隧道单洞长度不含斜井、竖井、支洞。</w:t>
            </w:r>
          </w:p>
          <w:p>
            <w:pPr>
              <w:pStyle w:val="37"/>
              <w:ind w:left="353" w:leftChars="168" w:firstLine="424" w:firstLineChars="202"/>
              <w:rPr>
                <w:rFonts w:hint="eastAsia" w:ascii="宋体" w:hAnsi="宋体" w:cs="宋体"/>
                <w:color w:val="auto"/>
                <w:sz w:val="21"/>
                <w:szCs w:val="24"/>
                <w:highlight w:val="none"/>
              </w:rPr>
            </w:pPr>
            <w:r>
              <w:rPr>
                <w:rFonts w:hint="eastAsia" w:ascii="宋体" w:hAnsi="宋体" w:cs="宋体"/>
                <w:color w:val="auto"/>
                <w:sz w:val="21"/>
                <w:szCs w:val="24"/>
                <w:highlight w:val="none"/>
              </w:rPr>
              <w:t>2.特长隧道，该隧道工程可为路基土建工程中包含的内容或者单独隧道工程合同的项目。根据项目具体情况，若存在特殊隧道或特长隧道或特别复杂的隧道，需要增加特殊要求时，可对隧道形式或隧道单洞长度进行要求，但不得设置过高的要求。</w:t>
            </w:r>
          </w:p>
          <w:p>
            <w:pPr>
              <w:adjustRightInd w:val="0"/>
              <w:snapToGrid w:val="0"/>
              <w:spacing w:line="400" w:lineRule="exact"/>
              <w:ind w:left="1687" w:hanging="1686" w:hangingChars="8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至少完成</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cs="宋体" w:asciiTheme="minorEastAsia" w:hAnsiTheme="minorEastAsia" w:eastAsiaTheme="minorEastAsia"/>
                <w:color w:val="auto"/>
                <w:szCs w:val="21"/>
                <w:highlight w:val="none"/>
              </w:rPr>
              <w:t>公路标段长度</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公里及以上的路</w:t>
            </w:r>
          </w:p>
          <w:p>
            <w:pPr>
              <w:adjustRightInd w:val="0"/>
              <w:snapToGrid w:val="0"/>
              <w:spacing w:line="400" w:lineRule="exact"/>
              <w:ind w:left="1680" w:hanging="1680" w:hangingChars="8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面工程施工监理项目； </w:t>
            </w:r>
          </w:p>
          <w:p>
            <w:pPr>
              <w:adjustRightInd w:val="0"/>
              <w:snapToGrid w:val="0"/>
              <w:spacing w:line="400" w:lineRule="exact"/>
              <w:ind w:left="1687" w:hanging="1686" w:hangingChars="8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至少完成</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cs="宋体" w:asciiTheme="minorEastAsia" w:hAnsiTheme="minorEastAsia" w:eastAsiaTheme="minorEastAsia"/>
                <w:color w:val="auto"/>
                <w:szCs w:val="21"/>
                <w:highlight w:val="none"/>
              </w:rPr>
              <w:t>公路标段长度</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公里及以上交通</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安全设施工程（至少含标志、标线、护栏）施工监理项目；</w:t>
            </w:r>
          </w:p>
          <w:p>
            <w:pPr>
              <w:adjustRightInd w:val="0"/>
              <w:snapToGrid w:val="0"/>
              <w:spacing w:line="400" w:lineRule="exact"/>
              <w:ind w:left="1687" w:hanging="1686" w:hangingChars="8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至少完成</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cs="宋体" w:asciiTheme="minorEastAsia" w:hAnsiTheme="minorEastAsia" w:eastAsiaTheme="minorEastAsia"/>
                <w:color w:val="auto"/>
                <w:szCs w:val="21"/>
                <w:highlight w:val="none"/>
              </w:rPr>
              <w:t>公路标段长度</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公里及以上机电</w:t>
            </w:r>
          </w:p>
          <w:p>
            <w:pPr>
              <w:adjustRightInd w:val="0"/>
              <w:snapToGrid w:val="0"/>
              <w:spacing w:line="400" w:lineRule="exact"/>
              <w:ind w:left="1680" w:hanging="1680" w:hangingChars="800"/>
              <w:rPr>
                <w:rFonts w:hint="eastAsia" w:cs="宋体" w:asciiTheme="minorEastAsia" w:hAnsiTheme="minorEastAsia" w:eastAsiaTheme="minorEastAsia"/>
                <w:b/>
                <w:color w:val="auto"/>
                <w:szCs w:val="21"/>
                <w:highlight w:val="none"/>
              </w:rPr>
            </w:pPr>
            <w:r>
              <w:rPr>
                <w:rFonts w:hint="eastAsia" w:cs="宋体" w:asciiTheme="minorEastAsia" w:hAnsiTheme="minorEastAsia" w:eastAsiaTheme="minorEastAsia"/>
                <w:color w:val="auto"/>
                <w:szCs w:val="21"/>
                <w:highlight w:val="none"/>
              </w:rPr>
              <w:t xml:space="preserve">   工程施工监理项目；</w:t>
            </w:r>
          </w:p>
          <w:p>
            <w:pPr>
              <w:adjustRightInd w:val="0"/>
              <w:snapToGrid w:val="0"/>
              <w:spacing w:line="400" w:lineRule="exact"/>
              <w:ind w:left="1687" w:hanging="1686" w:hangingChars="8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至少完成国内新建或改扩建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cs="宋体" w:asciiTheme="minorEastAsia" w:hAnsiTheme="minorEastAsia" w:eastAsiaTheme="minorEastAsia"/>
                <w:color w:val="auto"/>
                <w:szCs w:val="21"/>
                <w:highlight w:val="none"/>
              </w:rPr>
              <w:t>公路隧道机电工程施工监理累计长度</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公</w:t>
            </w:r>
          </w:p>
          <w:p>
            <w:pPr>
              <w:adjustRightInd w:val="0"/>
              <w:snapToGrid w:val="0"/>
              <w:spacing w:line="400" w:lineRule="exact"/>
              <w:ind w:left="1680" w:hanging="1680" w:hangingChars="8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里（双洞不累加）及以上，且其中至少有</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座隧道单洞长度不小于</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米。</w:t>
            </w:r>
          </w:p>
          <w:p>
            <w:pPr>
              <w:pStyle w:val="2"/>
              <w:ind w:leftChars="101" w:hanging="207" w:hangingChars="99"/>
              <w:rPr>
                <w:color w:val="auto"/>
                <w:highlight w:val="none"/>
              </w:rPr>
            </w:pPr>
            <w:r>
              <w:rPr>
                <w:rFonts w:hint="eastAsia"/>
                <w:color w:val="auto"/>
                <w:highlight w:val="none"/>
              </w:rPr>
              <w:t>注：</w:t>
            </w:r>
            <w:r>
              <w:rPr>
                <w:rFonts w:hint="eastAsia" w:ascii="宋体" w:hAnsi="宋体" w:cs="宋体"/>
                <w:color w:val="auto"/>
                <w:highlight w:val="none"/>
              </w:rPr>
              <w:t>隧道累计长度（双洞不累加）为承担各隧道长度之和。</w:t>
            </w:r>
          </w:p>
          <w:p>
            <w:pPr>
              <w:adjustRightInd w:val="0"/>
              <w:snapToGrid w:val="0"/>
              <w:spacing w:line="400" w:lineRule="exact"/>
              <w:ind w:left="422" w:hanging="421" w:hangingChars="200"/>
              <w:rPr>
                <w:rFonts w:hint="eastAsia"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独立完成</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个房建工程施工监理项目，□ 累计房建工程建筑面积</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平方米及以上；</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sym w:font="Wingdings 2" w:char="00A3"/>
            </w:r>
            <w:r>
              <w:rPr>
                <w:rFonts w:hint="eastAsia" w:cs="宋体" w:asciiTheme="minorEastAsia" w:hAnsiTheme="minorEastAsia" w:eastAsiaTheme="minorEastAsia"/>
                <w:color w:val="auto"/>
                <w:szCs w:val="21"/>
                <w:highlight w:val="none"/>
              </w:rPr>
              <w:t xml:space="preserve"> 其他：</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 xml:space="preserve">      </w:t>
            </w:r>
          </w:p>
          <w:p>
            <w:pPr>
              <w:adjustRightInd w:val="0"/>
              <w:snapToGrid w:val="0"/>
              <w:spacing w:line="400" w:lineRule="exact"/>
              <w:ind w:left="211" w:leftChars="100" w:hanging="1"/>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注：</w:t>
            </w:r>
            <w:r>
              <w:rPr>
                <w:rFonts w:hint="eastAsia" w:ascii="宋体" w:hAnsi="宋体" w:cs="宋体"/>
                <w:color w:val="auto"/>
                <w:highlight w:val="none"/>
              </w:rPr>
              <w:t>根据招标项目具体特点和实际情况，招标人可以对上述以外的其他类型监理业绩提出要求，但不得设置过高的要求。</w:t>
            </w:r>
            <w:r>
              <w:rPr>
                <w:rFonts w:hint="eastAsia" w:cs="宋体" w:asciiTheme="minorEastAsia" w:hAnsiTheme="minorEastAsia" w:eastAsiaTheme="minorEastAsia"/>
                <w:color w:val="auto"/>
                <w:szCs w:val="21"/>
                <w:highlight w:val="none"/>
              </w:rPr>
              <w:t xml:space="preserve">                </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联合体应满足下列要求：</w:t>
            </w:r>
            <w:r>
              <w:rPr>
                <w:rFonts w:hint="eastAsia" w:cs="宋体" w:asciiTheme="minorEastAsia" w:hAnsiTheme="minorEastAsia" w:eastAsiaTheme="minorEastAsia"/>
                <w:color w:val="auto"/>
                <w:szCs w:val="21"/>
                <w:highlight w:val="none"/>
                <w:u w:val="single"/>
              </w:rPr>
              <w:t xml:space="preserve">                                      </w:t>
            </w:r>
          </w:p>
          <w:p>
            <w:pPr>
              <w:adjustRightInd w:val="0"/>
              <w:snapToGrid w:val="0"/>
              <w:spacing w:line="400" w:lineRule="exact"/>
              <w:rPr>
                <w:rFonts w:hint="eastAsia" w:cs="宋体" w:asciiTheme="minorEastAsia" w:hAnsiTheme="minorEastAsia" w:eastAsiaTheme="minorEastAsia"/>
                <w:color w:val="auto"/>
                <w:szCs w:val="21"/>
                <w:highlight w:val="none"/>
              </w:rPr>
            </w:pPr>
          </w:p>
          <w:p>
            <w:pPr>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注：投标人提供的业绩以交通运输部“</w:t>
            </w:r>
            <w:r>
              <w:rPr>
                <w:rFonts w:hint="eastAsia" w:ascii="宋体" w:hAnsi="宋体" w:cs="宋体"/>
                <w:color w:val="auto"/>
                <w:szCs w:val="21"/>
                <w:highlight w:val="none"/>
              </w:rPr>
              <w:t>全国公路建设市场监督管理系统</w:t>
            </w:r>
            <w:r>
              <w:rPr>
                <w:rFonts w:hint="eastAsia" w:cs="宋体" w:asciiTheme="minorEastAsia" w:hAnsiTheme="minorEastAsia" w:eastAsiaTheme="minorEastAsia"/>
                <w:color w:val="auto"/>
                <w:szCs w:val="21"/>
                <w:highlight w:val="none"/>
              </w:rPr>
              <w:t>”企业“业绩信息”中登载的为准（</w:t>
            </w:r>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cs="宋体" w:asciiTheme="minorEastAsia" w:hAnsiTheme="minorEastAsia" w:eastAsiaTheme="minorEastAsia"/>
                <w:color w:val="auto"/>
                <w:szCs w:val="21"/>
                <w:highlight w:val="none"/>
              </w:rPr>
              <w:t>）；</w:t>
            </w:r>
            <w:r>
              <w:rPr>
                <w:rFonts w:hint="eastAsia" w:ascii="宋体" w:hAnsi="宋体" w:cs="宋体"/>
                <w:color w:val="auto"/>
                <w:szCs w:val="21"/>
                <w:highlight w:val="none"/>
              </w:rPr>
              <w:t>招标人设定的业绩为房建工程或市政类施工监理项目的，以</w:t>
            </w:r>
            <w:r>
              <w:rPr>
                <w:rFonts w:hint="eastAsia" w:ascii="宋体" w:hAnsi="宋体" w:cs="宋体"/>
                <w:color w:val="auto"/>
                <w:spacing w:val="-3"/>
                <w:highlight w:val="none"/>
              </w:rPr>
              <w:t>“全国建筑市场监管公共服务平台”中查询到的企业数据“工程项目”中登载的为准。</w:t>
            </w:r>
          </w:p>
        </w:tc>
      </w:tr>
    </w:tbl>
    <w:p>
      <w:pPr>
        <w:rPr>
          <w:rFonts w:hint="eastAsia" w:ascii="黑体" w:hAnsi="黑体" w:eastAsia="黑体" w:cs="黑体"/>
          <w:color w:val="auto"/>
          <w:szCs w:val="28"/>
          <w:highlight w:val="none"/>
        </w:rPr>
      </w:pPr>
      <w:bookmarkStart w:id="59" w:name="_Toc523921590"/>
      <w:bookmarkStart w:id="60" w:name="_Toc28187713"/>
      <w:r>
        <w:rPr>
          <w:rFonts w:hint="eastAsia" w:ascii="宋体" w:hAnsi="宋体" w:cs="宋体"/>
          <w:color w:val="auto"/>
          <w:highlight w:val="none"/>
        </w:rPr>
        <w:t>注：具体业绩要求由招标人在满足国家相关法律法规前提下，根据招标项目具体特点和实际情况确定，但不得设置过高的业绩条件。企业资质级别已是最低资质等级的，不宜设置业绩要求。</w:t>
      </w:r>
      <w:r>
        <w:rPr>
          <w:rFonts w:hint="eastAsia" w:ascii="黑体" w:hAnsi="黑体" w:eastAsia="黑体" w:cs="黑体"/>
          <w:color w:val="auto"/>
          <w:szCs w:val="28"/>
          <w:highlight w:val="none"/>
        </w:rPr>
        <w:br w:type="page"/>
      </w:r>
    </w:p>
    <w:p>
      <w:pPr>
        <w:pStyle w:val="6"/>
        <w:ind w:firstLine="1967" w:firstLineChars="700"/>
        <w:rPr>
          <w:rFonts w:hint="eastAsia" w:ascii="宋体" w:hAnsi="宋体" w:eastAsia="宋体" w:cs="宋体"/>
          <w:color w:val="auto"/>
          <w:szCs w:val="28"/>
          <w:highlight w:val="none"/>
        </w:rPr>
      </w:pPr>
      <w:r>
        <w:rPr>
          <w:rFonts w:hint="eastAsia"/>
          <w:color w:val="auto"/>
          <w:highlight w:val="none"/>
        </w:rPr>
        <w:t>附录</w:t>
      </w:r>
      <w:r>
        <w:rPr>
          <w:color w:val="auto"/>
          <w:highlight w:val="none"/>
        </w:rPr>
        <w:t xml:space="preserve">3  </w:t>
      </w:r>
      <w:r>
        <w:rPr>
          <w:rFonts w:hint="eastAsia"/>
          <w:color w:val="auto"/>
          <w:highlight w:val="none"/>
        </w:rPr>
        <w:t>资格审查条件（信誉最低要求）</w:t>
      </w:r>
      <w:bookmarkEnd w:id="59"/>
      <w:bookmarkEnd w:id="60"/>
    </w:p>
    <w:p>
      <w:pPr>
        <w:pStyle w:val="276"/>
        <w:rPr>
          <w:rFonts w:hint="eastAsia" w:ascii="宋体" w:hAnsi="宋体" w:cs="宋体"/>
          <w:color w:val="auto"/>
          <w:highlight w:val="none"/>
        </w:rPr>
      </w:pPr>
    </w:p>
    <w:tbl>
      <w:tblPr>
        <w:tblStyle w:val="4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7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59" w:type="dxa"/>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772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9" w:hRule="atLeast"/>
          <w:jc w:val="center"/>
        </w:trPr>
        <w:tc>
          <w:tcPr>
            <w:tcW w:w="1059" w:type="dxa"/>
            <w:vAlign w:val="center"/>
          </w:tcPr>
          <w:p>
            <w:pPr>
              <w:adjustRightInd w:val="0"/>
              <w:snapToGrid w:val="0"/>
              <w:spacing w:line="400" w:lineRule="exact"/>
              <w:ind w:firstLine="420" w:firstLineChars="200"/>
              <w:jc w:val="center"/>
              <w:rPr>
                <w:rFonts w:hint="eastAsia" w:ascii="宋体" w:hAnsi="宋体" w:cs="宋体"/>
                <w:color w:val="auto"/>
                <w:szCs w:val="21"/>
                <w:highlight w:val="none"/>
              </w:rPr>
            </w:pPr>
          </w:p>
        </w:tc>
        <w:tc>
          <w:tcPr>
            <w:tcW w:w="7725" w:type="dxa"/>
          </w:tcPr>
          <w:p>
            <w:pPr>
              <w:widowControl/>
              <w:spacing w:line="400" w:lineRule="exact"/>
              <w:rPr>
                <w:rFonts w:hint="eastAsia" w:ascii="宋体" w:hAnsi="宋体"/>
                <w:color w:val="auto"/>
                <w:kern w:val="0"/>
                <w:szCs w:val="21"/>
                <w:highlight w:val="none"/>
                <w:u w:val="single"/>
              </w:rPr>
            </w:pPr>
            <w:r>
              <w:rPr>
                <w:rFonts w:hint="eastAsia" w:ascii="宋体" w:hAnsi="宋体" w:cs="宋体"/>
                <w:bCs/>
                <w:color w:val="auto"/>
                <w:szCs w:val="21"/>
                <w:highlight w:val="none"/>
              </w:rPr>
              <w:t>（1）投标人在四川省交通运输厅网站公布的下述信用评价等级评定为C级及以上，且不得处于禁止投标行政处罚期内。</w:t>
            </w:r>
          </w:p>
          <w:p>
            <w:pPr>
              <w:widowControl/>
              <w:spacing w:line="400" w:lineRule="exact"/>
              <w:ind w:firstLine="420" w:firstLineChars="2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四川省重点公路建设从业单位信用评价等级；</w:t>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或</w:t>
            </w:r>
          </w:p>
          <w:p>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四川省农村公路建设从业单位信用评价等级。</w:t>
            </w:r>
          </w:p>
          <w:p>
            <w:pPr>
              <w:pStyle w:val="2"/>
              <w:ind w:left="388" w:leftChars="185" w:firstLine="2" w:firstLineChars="0"/>
              <w:rPr>
                <w:color w:val="auto"/>
                <w:highlight w:val="none"/>
              </w:rPr>
            </w:pPr>
            <w:r>
              <w:rPr>
                <w:rFonts w:hint="eastAsia"/>
                <w:color w:val="auto"/>
                <w:highlight w:val="none"/>
              </w:rPr>
              <w:t>注：</w:t>
            </w:r>
            <w:r>
              <w:rPr>
                <w:rFonts w:hint="eastAsia" w:ascii="宋体" w:hAnsi="宋体" w:cs="宋体"/>
                <w:color w:val="auto"/>
                <w:highlight w:val="none"/>
              </w:rPr>
              <w:t>该选择项为单选或多选，多选时由招标人根据项目实际需要设定选择项之间是否为“或”的关系。</w:t>
            </w:r>
          </w:p>
          <w:p>
            <w:pPr>
              <w:adjustRightInd w:val="0"/>
              <w:snapToGrid w:val="0"/>
              <w:spacing w:line="400" w:lineRule="exact"/>
              <w:rPr>
                <w:rFonts w:hint="eastAsia" w:ascii="宋体" w:hAnsi="宋体" w:cs="宋体"/>
                <w:bCs/>
                <w:color w:val="auto"/>
                <w:szCs w:val="21"/>
                <w:highlight w:val="none"/>
              </w:rPr>
            </w:pPr>
            <w:r>
              <w:rPr>
                <w:rFonts w:hint="eastAsia" w:ascii="宋体" w:hAnsi="宋体" w:cs="宋体"/>
                <w:bCs/>
                <w:color w:val="auto"/>
                <w:szCs w:val="21"/>
                <w:highlight w:val="none"/>
              </w:rPr>
              <w:t>（2）在国家企业信用信息公示系统（https：//www.gsxt.gov.cn/）中被列入严重违法失信企业名单，不得参加投标。</w:t>
            </w:r>
          </w:p>
          <w:p>
            <w:pPr>
              <w:adjustRightInd w:val="0"/>
              <w:snapToGrid w:val="0"/>
              <w:spacing w:line="400" w:lineRule="exact"/>
              <w:ind w:left="105" w:hanging="105" w:hangingChars="50"/>
              <w:rPr>
                <w:rFonts w:hint="eastAsia" w:ascii="宋体" w:hAnsi="宋体" w:cs="宋体"/>
                <w:bCs/>
                <w:color w:val="auto"/>
                <w:szCs w:val="21"/>
                <w:highlight w:val="none"/>
              </w:rPr>
            </w:pPr>
            <w:r>
              <w:rPr>
                <w:rFonts w:hint="eastAsia" w:ascii="宋体" w:hAnsi="宋体" w:cs="宋体"/>
                <w:bCs/>
                <w:color w:val="auto"/>
                <w:szCs w:val="21"/>
                <w:highlight w:val="none"/>
              </w:rPr>
              <w:t>（3）</w:t>
            </w:r>
            <w:r>
              <w:rPr>
                <w:rFonts w:hint="eastAsia" w:asciiTheme="minorEastAsia" w:hAnsiTheme="minorEastAsia" w:eastAsiaTheme="minorEastAsia"/>
                <w:color w:val="auto"/>
                <w:spacing w:val="-4"/>
                <w:highlight w:val="none"/>
              </w:rPr>
              <w:t>对通过“信用中国”网站（https://www.creditchina.gov.cn</w:t>
            </w:r>
            <w:r>
              <w:rPr>
                <w:rFonts w:hint="eastAsia" w:cs="宋体" w:asciiTheme="minorEastAsia" w:hAnsiTheme="minorEastAsia" w:eastAsiaTheme="minorEastAsia"/>
                <w:bCs/>
                <w:color w:val="auto"/>
                <w:highlight w:val="none"/>
              </w:rPr>
              <w:t>/</w:t>
            </w:r>
            <w:r>
              <w:rPr>
                <w:rFonts w:hint="eastAsia" w:asciiTheme="minorEastAsia" w:hAnsiTheme="minorEastAsia" w:eastAsiaTheme="minorEastAsia"/>
                <w:color w:val="auto"/>
                <w:spacing w:val="-4"/>
                <w:highlight w:val="none"/>
              </w:rPr>
              <w:t>）</w:t>
            </w:r>
            <w:r>
              <w:rPr>
                <w:rFonts w:hint="eastAsia" w:asciiTheme="minorEastAsia" w:hAnsiTheme="minorEastAsia" w:eastAsiaTheme="minorEastAsia"/>
                <w:color w:val="auto"/>
                <w:highlight w:val="none"/>
              </w:rPr>
              <w:t xml:space="preserve"> 查询“失信被执行人”链接“中国执行信息公开网（http://zxgk.court.gov.cn/shixin/）”</w:t>
            </w:r>
            <w:r>
              <w:rPr>
                <w:rFonts w:hint="eastAsia" w:asciiTheme="minorEastAsia" w:hAnsiTheme="minorEastAsia" w:eastAsiaTheme="minorEastAsia"/>
                <w:color w:val="auto"/>
                <w:spacing w:val="-4"/>
                <w:highlight w:val="none"/>
              </w:rPr>
              <w:t>中列为失信被执行人的投标人，</w:t>
            </w:r>
            <w:r>
              <w:rPr>
                <w:rFonts w:hint="eastAsia" w:asciiTheme="minorEastAsia" w:hAnsiTheme="minorEastAsia" w:eastAsiaTheme="minorEastAsia"/>
                <w:color w:val="auto"/>
                <w:highlight w:val="none"/>
              </w:rPr>
              <w:t>不得参加投标</w:t>
            </w:r>
            <w:r>
              <w:rPr>
                <w:rFonts w:hint="eastAsia" w:ascii="宋体" w:hAnsi="宋体" w:cs="宋体"/>
                <w:bCs/>
                <w:color w:val="auto"/>
                <w:szCs w:val="21"/>
                <w:highlight w:val="none"/>
              </w:rPr>
              <w:t>。</w:t>
            </w:r>
          </w:p>
          <w:p>
            <w:pPr>
              <w:adjustRightInd w:val="0"/>
              <w:snapToGrid w:val="0"/>
              <w:spacing w:line="400" w:lineRule="exact"/>
              <w:ind w:left="105" w:hanging="105" w:hangingChars="50"/>
              <w:rPr>
                <w:rFonts w:hint="eastAsia" w:ascii="宋体" w:hAnsi="宋体" w:cs="宋体"/>
                <w:bCs/>
                <w:color w:val="auto"/>
                <w:szCs w:val="21"/>
                <w:highlight w:val="none"/>
              </w:rPr>
            </w:pPr>
            <w:r>
              <w:rPr>
                <w:rFonts w:hint="eastAsia" w:ascii="宋体" w:hAnsi="宋体" w:cs="宋体"/>
                <w:bCs/>
                <w:color w:val="auto"/>
                <w:szCs w:val="21"/>
                <w:highlight w:val="none"/>
              </w:rPr>
              <w:t>（4）在</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日至本项目投标截止日期间，投标人（单位）、法定代表人、主要人员（</w:t>
            </w:r>
            <w:r>
              <w:rPr>
                <w:rFonts w:hint="eastAsia" w:ascii="宋体" w:hAnsi="宋体" w:cs="宋体"/>
                <w:bCs/>
                <w:color w:val="auto"/>
                <w:szCs w:val="21"/>
                <w:highlight w:val="none"/>
              </w:rPr>
              <w:sym w:font="Wingdings 2" w:char="00A3"/>
            </w:r>
            <w:r>
              <w:rPr>
                <w:rFonts w:hint="eastAsia" w:ascii="宋体" w:hAnsi="宋体" w:cs="宋体"/>
                <w:bCs/>
                <w:color w:val="auto"/>
                <w:szCs w:val="21"/>
                <w:highlight w:val="none"/>
              </w:rPr>
              <w:t>总监理工程师、□副总监理工程师、□驻地监理工程师、□试验室主任）被人民法院生效判决或裁定认定为行贿犯罪的，不得参加投标。</w:t>
            </w:r>
          </w:p>
          <w:p>
            <w:pPr>
              <w:pStyle w:val="2"/>
              <w:ind w:left="0" w:leftChars="0" w:firstLine="388" w:firstLineChars="185"/>
              <w:rPr>
                <w:rFonts w:hint="eastAsia" w:ascii="宋体" w:hAnsi="宋体" w:cs="宋体"/>
                <w:color w:val="auto"/>
                <w:highlight w:val="none"/>
              </w:rPr>
            </w:pPr>
            <w:r>
              <w:rPr>
                <w:rFonts w:hint="eastAsia" w:ascii="宋体" w:hAnsi="宋体" w:cs="宋体"/>
                <w:color w:val="auto"/>
                <w:highlight w:val="none"/>
              </w:rPr>
              <w:t>注：1.招标范围包含监理试验室时，可对监理试验室主要人员提出要求。</w:t>
            </w:r>
          </w:p>
          <w:p>
            <w:pPr>
              <w:pStyle w:val="2"/>
              <w:ind w:left="388" w:leftChars="185" w:firstLine="424" w:firstLineChars="202"/>
              <w:rPr>
                <w:color w:val="auto"/>
                <w:highlight w:val="none"/>
              </w:rPr>
            </w:pPr>
            <w:r>
              <w:rPr>
                <w:rFonts w:hint="eastAsia" w:ascii="宋体" w:hAnsi="宋体" w:cs="宋体"/>
                <w:color w:val="auto"/>
                <w:highlight w:val="none"/>
              </w:rPr>
              <w:t>2.主要人员被列入资格审查条件时，相应的人员也须对该项信誉条件进行资格审查。</w:t>
            </w:r>
          </w:p>
          <w:p>
            <w:pPr>
              <w:adjustRightInd w:val="0"/>
              <w:snapToGrid w:val="0"/>
              <w:spacing w:line="400" w:lineRule="exact"/>
              <w:ind w:left="105" w:hanging="105" w:hangingChars="50"/>
              <w:rPr>
                <w:rFonts w:hint="eastAsia" w:ascii="宋体" w:hAnsi="宋体" w:cs="宋体"/>
                <w:bCs/>
                <w:color w:val="auto"/>
                <w:szCs w:val="21"/>
                <w:highlight w:val="none"/>
              </w:rPr>
            </w:pPr>
            <w:r>
              <w:rPr>
                <w:rFonts w:hint="eastAsia" w:asciiTheme="minorEastAsia" w:hAnsiTheme="minorEastAsia" w:eastAsiaTheme="minorEastAsia"/>
                <w:b/>
                <w:bCs/>
                <w:color w:val="auto"/>
                <w:szCs w:val="21"/>
                <w:highlight w:val="none"/>
              </w:rPr>
              <w:t>□</w:t>
            </w:r>
            <w:r>
              <w:rPr>
                <w:rFonts w:hint="eastAsia" w:ascii="宋体" w:hAnsi="宋体" w:cs="宋体"/>
                <w:bCs/>
                <w:color w:val="auto"/>
                <w:szCs w:val="21"/>
                <w:highlight w:val="none"/>
              </w:rPr>
              <w:t>（5）其他：</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w:t>
            </w:r>
          </w:p>
          <w:p>
            <w:pPr>
              <w:adjustRightInd w:val="0"/>
              <w:snapToGrid w:val="0"/>
              <w:spacing w:line="400" w:lineRule="exact"/>
              <w:ind w:left="105" w:hanging="105" w:hangingChars="50"/>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bCs/>
                <w:color w:val="auto"/>
                <w:szCs w:val="21"/>
                <w:highlight w:val="none"/>
              </w:rPr>
              <w:t xml:space="preserve"> 联合体应满足下列要求： </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u w:val="single"/>
              </w:rPr>
              <w:t xml:space="preserve">                                </w:t>
            </w:r>
          </w:p>
          <w:p>
            <w:pPr>
              <w:adjustRightInd w:val="0"/>
              <w:snapToGrid w:val="0"/>
              <w:spacing w:line="400" w:lineRule="exact"/>
              <w:ind w:firstLine="420"/>
              <w:rPr>
                <w:rFonts w:hint="eastAsia" w:ascii="宋体" w:hAnsi="宋体" w:cs="宋体"/>
                <w:color w:val="auto"/>
                <w:szCs w:val="21"/>
                <w:highlight w:val="none"/>
                <w:u w:val="single"/>
              </w:rPr>
            </w:pP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1.投标人信誉要求中第（1）～（3）项均以招标人投标截止时间核查的上述对应网站投标人信息内容为准，第（4）项以投标人投标文件中提交的承诺函为准。</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2.允许联合体投标时，若以联合体形式投标的，所有成员均应满足本表</w:t>
            </w:r>
            <w:r>
              <w:rPr>
                <w:rFonts w:hint="eastAsia" w:ascii="宋体" w:hAnsi="宋体" w:cs="宋体"/>
                <w:bCs/>
                <w:color w:val="auto"/>
                <w:szCs w:val="21"/>
                <w:highlight w:val="none"/>
              </w:rPr>
              <w:t>要求</w:t>
            </w:r>
            <w:r>
              <w:rPr>
                <w:rFonts w:hint="eastAsia" w:ascii="宋体" w:hAnsi="宋体" w:cs="宋体"/>
                <w:color w:val="auto"/>
                <w:szCs w:val="21"/>
                <w:highlight w:val="none"/>
              </w:rPr>
              <w:t>。</w:t>
            </w:r>
          </w:p>
        </w:tc>
      </w:tr>
    </w:tbl>
    <w:p>
      <w:pPr>
        <w:rPr>
          <w:rFonts w:hint="eastAsia" w:ascii="宋体" w:hAnsi="宋体" w:cs="宋体"/>
          <w:color w:val="auto"/>
          <w:highlight w:val="none"/>
        </w:rPr>
      </w:pPr>
      <w:r>
        <w:rPr>
          <w:rFonts w:hint="eastAsia" w:ascii="宋体" w:hAnsi="宋体" w:cs="宋体"/>
          <w:color w:val="auto"/>
          <w:highlight w:val="none"/>
        </w:rPr>
        <w:t>注：</w:t>
      </w:r>
      <w:r>
        <w:rPr>
          <w:rFonts w:hint="eastAsia" w:ascii="宋体" w:hAnsi="宋体"/>
          <w:color w:val="auto"/>
          <w:highlight w:val="none"/>
        </w:rPr>
        <w:t>本表所列信誉要求中“其他”栏由招标人根据项目情况自行选择并填写，在满足国家相关法律法规前提下，根据招标项目具体特点和实际情况确定，但不得设置过高的信誉条件</w:t>
      </w:r>
      <w:r>
        <w:rPr>
          <w:rFonts w:hint="eastAsia"/>
          <w:color w:val="auto"/>
          <w:highlight w:val="none"/>
        </w:rPr>
        <w:t>。</w:t>
      </w:r>
      <w:r>
        <w:rPr>
          <w:rFonts w:hint="eastAsia" w:ascii="宋体" w:hAnsi="宋体" w:cs="宋体"/>
          <w:color w:val="auto"/>
          <w:highlight w:val="none"/>
        </w:rPr>
        <w:br w:type="page"/>
      </w:r>
    </w:p>
    <w:p>
      <w:pPr>
        <w:pStyle w:val="6"/>
        <w:ind w:firstLine="1686" w:firstLineChars="600"/>
        <w:rPr>
          <w:rFonts w:hint="eastAsia" w:ascii="黑体" w:hAnsi="黑体" w:cs="黑体"/>
          <w:color w:val="auto"/>
          <w:szCs w:val="28"/>
          <w:highlight w:val="none"/>
        </w:rPr>
      </w:pPr>
      <w:bookmarkStart w:id="61" w:name="_Toc28187714"/>
      <w:bookmarkStart w:id="62" w:name="_Toc523921591"/>
      <w:r>
        <w:rPr>
          <w:rStyle w:val="111"/>
          <w:rFonts w:hint="eastAsia"/>
          <w:b/>
          <w:bCs/>
          <w:color w:val="auto"/>
          <w:highlight w:val="none"/>
        </w:rPr>
        <w:t>附录</w:t>
      </w:r>
      <w:r>
        <w:rPr>
          <w:rStyle w:val="111"/>
          <w:b/>
          <w:bCs/>
          <w:color w:val="auto"/>
          <w:highlight w:val="none"/>
        </w:rPr>
        <w:t xml:space="preserve">4  </w:t>
      </w:r>
      <w:r>
        <w:rPr>
          <w:rStyle w:val="111"/>
          <w:rFonts w:hint="eastAsia"/>
          <w:b/>
          <w:bCs/>
          <w:color w:val="auto"/>
          <w:highlight w:val="none"/>
        </w:rPr>
        <w:t>资格审查条件（主要人员最低要求）</w:t>
      </w:r>
      <w:bookmarkEnd w:id="61"/>
      <w:bookmarkEnd w:id="62"/>
    </w:p>
    <w:p>
      <w:pPr>
        <w:pStyle w:val="276"/>
        <w:jc w:val="center"/>
        <w:rPr>
          <w:rFonts w:hint="eastAsia" w:ascii="黑体" w:hAnsi="黑体" w:eastAsia="黑体" w:cs="宋体"/>
          <w:bCs/>
          <w:color w:val="auto"/>
          <w:sz w:val="24"/>
          <w:highlight w:val="none"/>
        </w:rPr>
      </w:pPr>
      <w:r>
        <w:rPr>
          <w:rFonts w:hint="eastAsia" w:ascii="黑体" w:hAnsi="黑体" w:eastAsia="黑体" w:cs="宋体"/>
          <w:bCs/>
          <w:color w:val="auto"/>
          <w:sz w:val="24"/>
          <w:highlight w:val="none"/>
        </w:rPr>
        <w:t>总监理工程师</w:t>
      </w:r>
    </w:p>
    <w:p>
      <w:pPr>
        <w:pStyle w:val="276"/>
        <w:rPr>
          <w:rFonts w:hint="eastAsia" w:ascii="宋体" w:hAnsi="宋体" w:cs="宋体"/>
          <w:color w:val="auto"/>
          <w:highlight w:val="none"/>
        </w:rPr>
      </w:pPr>
    </w:p>
    <w:tbl>
      <w:tblPr>
        <w:tblStyle w:val="4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595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blHeader/>
          <w:jc w:val="center"/>
        </w:trPr>
        <w:tc>
          <w:tcPr>
            <w:tcW w:w="84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850"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595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c>
          <w:tcPr>
            <w:tcW w:w="127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在岗情况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3" w:hRule="atLeast"/>
          <w:jc w:val="center"/>
        </w:trPr>
        <w:tc>
          <w:tcPr>
            <w:tcW w:w="846"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p>
        </w:tc>
        <w:tc>
          <w:tcPr>
            <w:tcW w:w="850" w:type="dxa"/>
            <w:vAlign w:val="center"/>
          </w:tcPr>
          <w:p>
            <w:pPr>
              <w:pStyle w:val="276"/>
              <w:adjustRightInd w:val="0"/>
              <w:snapToGrid w:val="0"/>
              <w:spacing w:line="400" w:lineRule="exact"/>
              <w:rPr>
                <w:rFonts w:hint="eastAsia" w:ascii="宋体" w:hAnsi="宋体" w:cs="宋体"/>
                <w:color w:val="auto"/>
                <w:szCs w:val="21"/>
                <w:highlight w:val="none"/>
              </w:rPr>
            </w:pPr>
          </w:p>
        </w:tc>
        <w:tc>
          <w:tcPr>
            <w:tcW w:w="5954"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具有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（专业）（□工程师；□高级工程师）及以上技</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术职称；</w:t>
            </w:r>
          </w:p>
          <w:p>
            <w:pPr>
              <w:pStyle w:val="276"/>
              <w:adjustRightInd w:val="0"/>
              <w:snapToGrid w:val="0"/>
              <w:spacing w:line="400" w:lineRule="exact"/>
              <w:ind w:firstLine="321" w:firstLineChars="153"/>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w:t>
            </w:r>
            <w:r>
              <w:rPr>
                <w:rFonts w:hint="eastAsia" w:ascii="宋体" w:hAnsi="宋体" w:cs="宋体"/>
                <w:color w:val="auto"/>
                <w:szCs w:val="21"/>
                <w:highlight w:val="none"/>
              </w:rPr>
              <w:t>□工程师；□高级工程师</w:t>
            </w:r>
            <w:r>
              <w:rPr>
                <w:rFonts w:hint="eastAsia" w:ascii="宋体" w:hAnsi="宋体" w:cs="宋体"/>
                <w:color w:val="auto"/>
                <w:highlight w:val="none"/>
              </w:rPr>
              <w:t>”为单选项。</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具有交通运输部颁公路工程监理工程师资格证书或人力资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源和社会保障部颁的交通运输工程监理工程师证书（注册</w:t>
            </w:r>
          </w:p>
          <w:p>
            <w:pPr>
              <w:pStyle w:val="276"/>
              <w:adjustRightInd w:val="0"/>
              <w:snapToGrid w:val="0"/>
              <w:spacing w:line="400" w:lineRule="exact"/>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 xml:space="preserve">   专业：公路工程）或人力资源和社会保障部颁的监理工程</w:t>
            </w:r>
          </w:p>
          <w:p>
            <w:pPr>
              <w:pStyle w:val="276"/>
              <w:spacing w:line="400" w:lineRule="exact"/>
              <w:ind w:left="420" w:hanging="420" w:hanging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   师证书（专业：交通运输工程），并在</w:t>
            </w:r>
            <w:r>
              <w:rPr>
                <w:color w:val="auto"/>
                <w:highlight w:val="none"/>
              </w:rPr>
              <w:fldChar w:fldCharType="begin"/>
            </w:r>
            <w:r>
              <w:rPr>
                <w:color w:val="auto"/>
                <w:highlight w:val="none"/>
              </w:rPr>
              <w:instrText xml:space="preserve"> HYPERLINK "http://glxy.mot.gov.cn/</w:instrText>
            </w:r>
            <w:r>
              <w:rPr>
                <w:rFonts w:hint="eastAsia"/>
                <w:color w:val="auto"/>
                <w:highlight w:val="none"/>
              </w:rPr>
              <w:instrText xml:space="preserve">）中登记在投标人单位的注册监理人员列表中；</w:instrText>
            </w:r>
            <w:r>
              <w:rPr>
                <w:color w:val="auto"/>
                <w:highlight w:val="none"/>
              </w:rPr>
              <w:instrText xml:space="preserve">%20" </w:instrText>
            </w:r>
            <w:r>
              <w:rPr>
                <w:rStyle w:val="50"/>
                <w:rFonts w:asciiTheme="minorEastAsia" w:hAnsiTheme="minorEastAsia" w:eastAsiaTheme="minorEastAsia"/>
                <w:color w:val="auto"/>
                <w:highlight w:val="none"/>
                <w:u w:val="none"/>
              </w:rPr>
              <w:fldChar w:fldCharType="separate"/>
            </w:r>
            <w:r>
              <w:rPr>
                <w:rFonts w:hint="eastAsia" w:ascii="宋体" w:hAnsi="宋体" w:cs="宋体"/>
                <w:color w:val="auto"/>
                <w:szCs w:val="21"/>
                <w:highlight w:val="none"/>
              </w:rPr>
              <w:t>全国公路建设市场监督管理系统（https://hwdms.mot.gov.cn/BMWebSite/）</w:t>
            </w:r>
            <w:r>
              <w:rPr>
                <w:rStyle w:val="56"/>
                <w:rFonts w:hint="eastAsia" w:asciiTheme="minorEastAsia" w:hAnsiTheme="minorEastAsia" w:eastAsiaTheme="minorEastAsia"/>
                <w:color w:val="auto"/>
                <w:highlight w:val="none"/>
                <w:u w:val="none"/>
              </w:rPr>
              <w:t>中登记在投标人单位的注册监理人员列表中</w:t>
            </w:r>
            <w:r>
              <w:rPr>
                <w:rStyle w:val="56"/>
                <w:rFonts w:asciiTheme="minorEastAsia" w:hAnsiTheme="minorEastAsia" w:eastAsiaTheme="minorEastAsia"/>
                <w:color w:val="auto"/>
                <w:highlight w:val="none"/>
                <w:u w:val="none"/>
              </w:rPr>
              <w:fldChar w:fldCharType="end"/>
            </w:r>
            <w:r>
              <w:rPr>
                <w:rFonts w:hint="eastAsia" w:ascii="宋体" w:hAnsi="宋体" w:cs="宋体"/>
                <w:color w:val="auto"/>
                <w:szCs w:val="21"/>
                <w:highlight w:val="none"/>
              </w:rPr>
              <w:t>；</w:t>
            </w:r>
          </w:p>
          <w:p>
            <w:pPr>
              <w:adjustRightInd w:val="0"/>
              <w:snapToGrid w:val="0"/>
              <w:spacing w:line="400" w:lineRule="exact"/>
              <w:ind w:left="422" w:hanging="421" w:hangingChars="2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w:t>
            </w:r>
            <w:r>
              <w:rPr>
                <w:rFonts w:hint="eastAsia"/>
                <w:color w:val="auto"/>
                <w:highlight w:val="none"/>
              </w:rPr>
              <w:t>投标截止日所在月上个月或上上个月起之前在其</w:t>
            </w:r>
            <w:r>
              <w:rPr>
                <w:rFonts w:hint="eastAsia" w:ascii="宋体" w:hAnsi="宋体" w:cs="宋体"/>
                <w:color w:val="auto"/>
                <w:szCs w:val="21"/>
                <w:highlight w:val="none"/>
              </w:rPr>
              <w:t>投标单位</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连续6个月参加社保；</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bCs/>
                <w:color w:val="auto"/>
                <w:szCs w:val="21"/>
                <w:highlight w:val="none"/>
              </w:rPr>
              <w:t>至少</w:t>
            </w:r>
            <w:r>
              <w:rPr>
                <w:rFonts w:hint="eastAsia" w:ascii="宋体" w:hAnsi="宋体" w:cs="宋体"/>
                <w:color w:val="auto"/>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级及以上公路路基土建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工程施工监理项目中担任过（□总监理工程师、□或副总</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监理工程师、□或驻地监理工程师、□或副驻地监理工程师）</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职务。</w:t>
            </w:r>
          </w:p>
          <w:p>
            <w:pPr>
              <w:pStyle w:val="37"/>
              <w:ind w:firstLine="321" w:firstLineChars="153"/>
              <w:rPr>
                <w:rFonts w:hint="eastAsia" w:ascii="宋体" w:hAnsi="宋体"/>
                <w:color w:val="auto"/>
                <w:sz w:val="21"/>
                <w:szCs w:val="24"/>
                <w:highlight w:val="none"/>
              </w:rPr>
            </w:pPr>
            <w:r>
              <w:rPr>
                <w:rFonts w:hint="eastAsia" w:ascii="宋体" w:hAnsi="宋体"/>
                <w:color w:val="auto"/>
                <w:sz w:val="21"/>
                <w:szCs w:val="24"/>
                <w:highlight w:val="none"/>
              </w:rPr>
              <w:t>注：1.路基土建工程指须至少包含“路基工程”的项目。</w:t>
            </w:r>
          </w:p>
          <w:p>
            <w:pPr>
              <w:pStyle w:val="276"/>
              <w:adjustRightInd w:val="0"/>
              <w:snapToGrid w:val="0"/>
              <w:spacing w:line="400" w:lineRule="exact"/>
              <w:ind w:left="321" w:leftChars="153" w:firstLine="424" w:firstLineChars="202"/>
              <w:rPr>
                <w:rFonts w:hint="eastAsia" w:ascii="宋体" w:hAnsi="宋体" w:cs="宋体"/>
                <w:color w:val="auto"/>
                <w:szCs w:val="21"/>
                <w:highlight w:val="none"/>
              </w:rPr>
            </w:pPr>
            <w:r>
              <w:rPr>
                <w:rStyle w:val="58"/>
                <w:rFonts w:hint="eastAsia" w:ascii="宋体" w:hAnsi="宋体"/>
                <w:color w:val="auto"/>
                <w:highlight w:val="none"/>
                <w:vertAlign w:val="baseline"/>
              </w:rPr>
              <w:t>2</w:t>
            </w:r>
            <w:r>
              <w:rPr>
                <w:rFonts w:hint="eastAsia" w:ascii="宋体" w:hAnsi="宋体"/>
                <w:color w:val="auto"/>
                <w:highlight w:val="none"/>
              </w:rPr>
              <w:t>.本表“</w:t>
            </w:r>
            <w:r>
              <w:rPr>
                <w:rFonts w:hint="eastAsia" w:ascii="宋体" w:hAnsi="宋体" w:cs="宋体"/>
                <w:color w:val="auto"/>
                <w:szCs w:val="21"/>
                <w:highlight w:val="none"/>
              </w:rPr>
              <w:t>□总监理工程师、□或副总 监理工程师、□或驻地监理工程师、□或副驻地监理工程师</w:t>
            </w:r>
            <w:r>
              <w:rPr>
                <w:rFonts w:hint="eastAsia" w:ascii="宋体" w:hAnsi="宋体"/>
                <w:color w:val="auto"/>
                <w:highlight w:val="none"/>
              </w:rPr>
              <w:t>”选择项由招标人对主要人员业绩经验担任的相应职务进行要求，可为单选或多选，下同。</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的施工监理项目中担任过（□总监理工程师、□或副总监理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工程师、□或驻地监理工程师、□或副驻地监理工程师）职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务，□其中至少包含（□同时包含；□包含其中之一）主跨</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桥梁类型：</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□拱式桥，主跨跨径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□悬索桥，主跨跨径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□斜拉桥，主跨跨径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座  </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□刚构桥，主跨跨径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□组合体系桥，主跨跨径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37"/>
              <w:ind w:left="417" w:leftChars="153" w:hanging="96" w:hangingChars="46"/>
              <w:rPr>
                <w:rFonts w:hint="eastAsia" w:ascii="宋体" w:hAnsi="宋体" w:cs="宋体"/>
                <w:color w:val="auto"/>
                <w:sz w:val="21"/>
                <w:szCs w:val="20"/>
                <w:highlight w:val="none"/>
              </w:rPr>
            </w:pPr>
            <w:r>
              <w:rPr>
                <w:rFonts w:hint="eastAsia" w:ascii="宋体" w:hAnsi="宋体" w:cs="宋体"/>
                <w:color w:val="auto"/>
                <w:sz w:val="21"/>
                <w:szCs w:val="20"/>
                <w:highlight w:val="none"/>
              </w:rPr>
              <w:t>注：1.</w:t>
            </w:r>
            <w:r>
              <w:rPr>
                <w:rFonts w:hint="eastAsia" w:ascii="宋体" w:hAnsi="宋体" w:cs="宋体"/>
                <w:color w:val="auto"/>
                <w:szCs w:val="21"/>
                <w:highlight w:val="none"/>
              </w:rPr>
              <w:t xml:space="preserve"> </w:t>
            </w:r>
            <w:r>
              <w:rPr>
                <w:rFonts w:hint="eastAsia" w:ascii="宋体" w:hAnsi="宋体" w:cs="宋体"/>
                <w:color w:val="auto"/>
                <w:sz w:val="21"/>
                <w:szCs w:val="20"/>
                <w:highlight w:val="none"/>
              </w:rPr>
              <w:t>公路特大桥桥梁工程可为路基土建工程中包含的内容或者单独桥梁工程合同的项目。</w:t>
            </w:r>
          </w:p>
          <w:p>
            <w:pPr>
              <w:pStyle w:val="276"/>
              <w:adjustRightInd w:val="0"/>
              <w:snapToGrid w:val="0"/>
              <w:spacing w:line="400" w:lineRule="exact"/>
              <w:ind w:left="321" w:leftChars="153" w:firstLine="426" w:firstLineChars="203"/>
              <w:rPr>
                <w:rFonts w:hint="eastAsia" w:ascii="宋体" w:hAnsi="宋体" w:cs="宋体"/>
                <w:color w:val="auto"/>
                <w:szCs w:val="20"/>
                <w:highlight w:val="none"/>
              </w:rPr>
            </w:pPr>
            <w:r>
              <w:rPr>
                <w:rFonts w:hint="eastAsia" w:ascii="宋体" w:hAnsi="宋体" w:cs="宋体"/>
                <w:color w:val="auto"/>
                <w:szCs w:val="21"/>
                <w:highlight w:val="none"/>
              </w:rPr>
              <w:t>2.主跨桥梁，</w:t>
            </w:r>
            <w:r>
              <w:rPr>
                <w:rFonts w:hint="eastAsia" w:ascii="宋体" w:hAnsi="宋体" w:cs="宋体"/>
                <w:color w:val="auto"/>
                <w:szCs w:val="20"/>
                <w:highlight w:val="none"/>
              </w:rPr>
              <w:t>根据项目具体情况，若存在特殊桥梁或特大桥或特别复杂的桥梁，需要增加特殊要求时，可对桥梁主跨桥型或跨径进行要求，但不得设置过高的要求。桥梁类型应从“拱式桥、悬索桥、斜拉桥、刚构桥、组合体系桥、其他”中选择，但建议原则上最多不超过2种类型。</w:t>
            </w:r>
          </w:p>
          <w:p>
            <w:pPr>
              <w:pStyle w:val="276"/>
              <w:adjustRightInd w:val="0"/>
              <w:snapToGrid w:val="0"/>
              <w:spacing w:line="400" w:lineRule="exact"/>
              <w:ind w:left="321" w:leftChars="153" w:firstLine="426" w:firstLineChars="203"/>
              <w:rPr>
                <w:rFonts w:hint="eastAsia" w:ascii="宋体" w:hAnsi="宋体" w:cs="宋体"/>
                <w:color w:val="auto"/>
                <w:szCs w:val="21"/>
                <w:highlight w:val="none"/>
              </w:rPr>
            </w:pPr>
            <w:r>
              <w:rPr>
                <w:rFonts w:hint="eastAsia" w:ascii="宋体" w:hAnsi="宋体" w:cs="宋体"/>
                <w:color w:val="auto"/>
                <w:szCs w:val="21"/>
                <w:highlight w:val="none"/>
              </w:rPr>
              <w:t>3.拱式桥主跨跨径，对于左右幅桥长不相同的桥梁，其桥梁长度以左右幅长度较长的为准；若只有单幅的，则以单幅桥梁长度数据为准。</w:t>
            </w:r>
          </w:p>
          <w:p>
            <w:pPr>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级及以上公路（□中隧道及以上；□长隧道及以上；□特长隧道；□单洞长度</w:t>
            </w:r>
          </w:p>
          <w:p>
            <w:pPr>
              <w:adjustRightInd w:val="0"/>
              <w:snapToGrid w:val="0"/>
              <w:spacing w:line="400" w:lineRule="exact"/>
              <w:ind w:left="315" w:hanging="315" w:hangingChars="15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米及以上特长隧道）施工监理项目中担任过（□总监理工程师、□或副总监理工程师、</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或驻地监理工程师、□或副驻地监理工程师）职务。</w:t>
            </w:r>
          </w:p>
          <w:p>
            <w:pPr>
              <w:pStyle w:val="37"/>
              <w:ind w:left="321" w:leftChars="153" w:firstLine="1"/>
              <w:rPr>
                <w:rFonts w:hint="eastAsia" w:ascii="宋体" w:hAnsi="宋体" w:cs="宋体"/>
                <w:color w:val="auto"/>
                <w:sz w:val="21"/>
                <w:szCs w:val="20"/>
                <w:highlight w:val="none"/>
              </w:rPr>
            </w:pPr>
            <w:r>
              <w:rPr>
                <w:rFonts w:hint="eastAsia" w:ascii="宋体" w:hAnsi="宋体" w:cs="宋体"/>
                <w:color w:val="auto"/>
                <w:sz w:val="21"/>
                <w:szCs w:val="20"/>
                <w:highlight w:val="none"/>
              </w:rPr>
              <w:t>注：</w:t>
            </w:r>
            <w:r>
              <w:rPr>
                <w:color w:val="auto"/>
                <w:sz w:val="21"/>
                <w:szCs w:val="20"/>
                <w:highlight w:val="none"/>
              </w:rPr>
              <w:t>1.</w:t>
            </w:r>
            <w:r>
              <w:rPr>
                <w:rFonts w:hint="eastAsia" w:ascii="宋体" w:hAnsi="宋体" w:cs="宋体"/>
                <w:color w:val="auto"/>
                <w:szCs w:val="21"/>
                <w:highlight w:val="none"/>
              </w:rPr>
              <w:t xml:space="preserve"> </w:t>
            </w:r>
            <w:r>
              <w:rPr>
                <w:rFonts w:hint="eastAsia" w:ascii="宋体" w:hAnsi="宋体" w:cs="宋体"/>
                <w:color w:val="auto"/>
                <w:sz w:val="21"/>
                <w:szCs w:val="20"/>
                <w:highlight w:val="none"/>
              </w:rPr>
              <w:t>单洞长度，对于具有双洞的隧道，其承担隧道长度以左右线隧道长度较长的为准；若只有单洞的，则以承担单洞隧道长度数据为准。隧道单洞长度不含斜井、竖井、支洞。</w:t>
            </w:r>
          </w:p>
          <w:p>
            <w:pPr>
              <w:pStyle w:val="37"/>
              <w:ind w:left="321" w:leftChars="153" w:firstLine="1"/>
              <w:rPr>
                <w:rFonts w:hint="eastAsia" w:ascii="宋体" w:hAnsi="宋体" w:cs="宋体"/>
                <w:color w:val="auto"/>
                <w:sz w:val="21"/>
                <w:szCs w:val="20"/>
                <w:highlight w:val="none"/>
              </w:rPr>
            </w:pPr>
            <w:r>
              <w:rPr>
                <w:rFonts w:hint="eastAsia" w:ascii="宋体" w:hAnsi="宋体" w:cs="宋体"/>
                <w:color w:val="auto"/>
                <w:sz w:val="21"/>
                <w:szCs w:val="20"/>
                <w:highlight w:val="none"/>
              </w:rPr>
              <w:t>2. 特长隧道工程可为路基土建工程中包含的内容或者单独隧道工程合同的项目。根据项目具体情况，若存在特殊隧道或特长隧道或特别复杂的隧道，需要增加特殊要求时，可对隧道形式或隧道单洞长度进行要求，但不得设置过高的要求。</w:t>
            </w: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级及以上公路路面工程施工监理项目中担任过（□总监理工程师、□或副总监理工程师、□或驻地监理工程师、□或副驻地监理工程师）职务。</w:t>
            </w: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(□机电工程、□</w:t>
            </w:r>
            <w:r>
              <w:rPr>
                <w:rFonts w:hint="eastAsia"/>
                <w:color w:val="auto"/>
                <w:highlight w:val="none"/>
              </w:rPr>
              <w:t>和</w:t>
            </w:r>
            <w:r>
              <w:rPr>
                <w:rFonts w:hint="eastAsia" w:ascii="宋体" w:hAnsi="宋体" w:cs="宋体"/>
                <w:color w:val="auto"/>
                <w:szCs w:val="21"/>
                <w:highlight w:val="none"/>
              </w:rPr>
              <w:t>□</w:t>
            </w:r>
            <w:r>
              <w:rPr>
                <w:rFonts w:hint="eastAsia"/>
                <w:color w:val="auto"/>
                <w:highlight w:val="none"/>
              </w:rPr>
              <w:t>或 </w:t>
            </w:r>
            <w:r>
              <w:rPr>
                <w:rFonts w:hint="eastAsia" w:ascii="宋体" w:hAnsi="宋体" w:cs="宋体"/>
                <w:color w:val="auto"/>
                <w:szCs w:val="21"/>
                <w:highlight w:val="none"/>
              </w:rPr>
              <w:t>□公路隧道机电)施工监理项目中担任过（□总监理工程师、□或副总监理工程师、</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或驻地监理工程师、□或副驻地监理工程师）职务。</w:t>
            </w:r>
          </w:p>
          <w:p>
            <w:pPr>
              <w:pStyle w:val="276"/>
              <w:adjustRightInd w:val="0"/>
              <w:snapToGrid w:val="0"/>
              <w:spacing w:line="400" w:lineRule="exact"/>
              <w:ind w:left="315" w:leftChars="150" w:firstLine="6" w:firstLineChars="3"/>
              <w:rPr>
                <w:rFonts w:hint="eastAsia" w:ascii="宋体" w:hAnsi="宋体" w:cs="宋体"/>
                <w:color w:val="auto"/>
                <w:szCs w:val="21"/>
                <w:highlight w:val="none"/>
              </w:rPr>
            </w:pPr>
            <w:r>
              <w:rPr>
                <w:rFonts w:hint="eastAsia" w:ascii="宋体" w:hAnsi="宋体" w:cs="宋体"/>
                <w:color w:val="auto"/>
                <w:highlight w:val="none"/>
              </w:rPr>
              <w:t>注：选择项“□机电工程、□公</w:t>
            </w:r>
            <w:r>
              <w:rPr>
                <w:rFonts w:hint="eastAsia" w:ascii="宋体" w:hAnsi="宋体" w:cs="宋体"/>
                <w:color w:val="auto"/>
                <w:szCs w:val="21"/>
                <w:highlight w:val="none"/>
              </w:rPr>
              <w:t>路隧道机电</w:t>
            </w:r>
            <w:r>
              <w:rPr>
                <w:rFonts w:hint="eastAsia" w:ascii="宋体" w:hAnsi="宋体" w:cs="宋体"/>
                <w:color w:val="auto"/>
                <w:highlight w:val="none"/>
              </w:rPr>
              <w:t>”为单选或多选，多选时由招标人根据实际需要设定选择项之间是“或”还是“同时”的关系。</w:t>
            </w: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个国内房建工程施工监理项目中担任过（□总监理工程师、□或副总监理工程师、</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或驻地监理工程师、□或副驻地监理工程师）职务。</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p>
          <w:p>
            <w:pPr>
              <w:pStyle w:val="276"/>
              <w:adjustRightInd w:val="0"/>
              <w:snapToGrid w:val="0"/>
              <w:spacing w:line="400" w:lineRule="exact"/>
              <w:ind w:left="323" w:leftChars="153" w:hanging="2"/>
              <w:rPr>
                <w:rFonts w:hint="eastAsia" w:ascii="宋体" w:hAnsi="宋体" w:cs="宋体"/>
                <w:color w:val="auto"/>
                <w:szCs w:val="21"/>
                <w:highlight w:val="none"/>
                <w:u w:val="single"/>
              </w:rPr>
            </w:pPr>
            <w:r>
              <w:rPr>
                <w:rFonts w:hint="eastAsia" w:ascii="宋体" w:hAnsi="宋体"/>
                <w:color w:val="auto"/>
                <w:highlight w:val="none"/>
              </w:rPr>
              <w:t>注：根据招标项目具体特点和实际情况，招标人在满足国家相关法律法规前提下可对主要人员提出其他业绩类型经验要求，但不得设置过高的要求。</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联合体应满足下列要求： </w:t>
            </w:r>
            <w:r>
              <w:rPr>
                <w:rFonts w:hint="eastAsia" w:ascii="宋体" w:hAnsi="宋体" w:cs="宋体"/>
                <w:color w:val="auto"/>
                <w:szCs w:val="21"/>
                <w:highlight w:val="none"/>
                <w:u w:val="single"/>
              </w:rPr>
              <w:t xml:space="preserve">                 </w:t>
            </w:r>
          </w:p>
        </w:tc>
        <w:tc>
          <w:tcPr>
            <w:tcW w:w="127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无在岗项目（指目前未在其他项目上任职，或虽在其他项目上任职但本项目中标后能够从该项目撤离）</w:t>
            </w:r>
          </w:p>
        </w:tc>
      </w:tr>
    </w:tbl>
    <w:p>
      <w:pPr>
        <w:pStyle w:val="276"/>
        <w:adjustRightInd w:val="0"/>
        <w:snapToGrid w:val="0"/>
        <w:spacing w:line="360" w:lineRule="auto"/>
        <w:jc w:val="center"/>
        <w:rPr>
          <w:rFonts w:hint="eastAsia" w:ascii="宋体" w:hAnsi="宋体" w:cs="宋体"/>
          <w:b/>
          <w:bCs/>
          <w:color w:val="auto"/>
          <w:sz w:val="28"/>
          <w:szCs w:val="28"/>
          <w:highlight w:val="none"/>
        </w:rPr>
      </w:pPr>
    </w:p>
    <w:p>
      <w:pPr>
        <w:pStyle w:val="276"/>
        <w:adjustRightInd w:val="0"/>
        <w:snapToGrid w:val="0"/>
        <w:spacing w:line="360" w:lineRule="auto"/>
        <w:jc w:val="left"/>
        <w:rPr>
          <w:rFonts w:hint="eastAsia" w:ascii="宋体" w:hAnsi="宋体" w:cs="宋体"/>
          <w:b/>
          <w:bCs/>
          <w:color w:val="auto"/>
          <w:sz w:val="28"/>
          <w:szCs w:val="28"/>
          <w:highlight w:val="none"/>
        </w:rPr>
      </w:pPr>
      <w:r>
        <w:rPr>
          <w:rFonts w:hint="eastAsia" w:ascii="宋体" w:hAnsi="宋体" w:cs="宋体"/>
          <w:color w:val="auto"/>
          <w:highlight w:val="none"/>
        </w:rPr>
        <w:t>注：如总监理工程师仍在其他项目上任职，则投标人在投标函中应承诺上述人员能够从该项目撤离。</w:t>
      </w:r>
      <w:r>
        <w:rPr>
          <w:rFonts w:hint="eastAsia" w:ascii="宋体" w:hAnsi="宋体" w:cs="宋体"/>
          <w:b/>
          <w:bCs/>
          <w:color w:val="auto"/>
          <w:sz w:val="28"/>
          <w:szCs w:val="28"/>
          <w:highlight w:val="none"/>
        </w:rPr>
        <w:br w:type="page"/>
      </w:r>
    </w:p>
    <w:p>
      <w:pPr>
        <w:pStyle w:val="276"/>
        <w:spacing w:line="360" w:lineRule="auto"/>
        <w:jc w:val="center"/>
        <w:rPr>
          <w:rFonts w:hint="eastAsia" w:ascii="黑体" w:hAnsi="黑体" w:eastAsia="黑体" w:cs="宋体"/>
          <w:bCs/>
          <w:color w:val="auto"/>
          <w:sz w:val="24"/>
          <w:highlight w:val="none"/>
        </w:rPr>
      </w:pPr>
      <w:r>
        <w:rPr>
          <w:rFonts w:hint="eastAsia" w:ascii="黑体" w:hAnsi="黑体" w:eastAsia="黑体" w:cs="宋体"/>
          <w:bCs/>
          <w:color w:val="auto"/>
          <w:sz w:val="24"/>
          <w:highlight w:val="none"/>
        </w:rPr>
        <w:t>□ 副总监理工程师</w:t>
      </w:r>
    </w:p>
    <w:tbl>
      <w:tblPr>
        <w:tblStyle w:val="4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786"/>
        <w:gridCol w:w="566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blHeader/>
          <w:jc w:val="center"/>
        </w:trPr>
        <w:tc>
          <w:tcPr>
            <w:tcW w:w="106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78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5661" w:type="dxa"/>
            <w:vAlign w:val="center"/>
          </w:tcPr>
          <w:p>
            <w:pPr>
              <w:pStyle w:val="276"/>
              <w:adjustRightInd w:val="0"/>
              <w:snapToGrid w:val="0"/>
              <w:spacing w:line="400" w:lineRule="exact"/>
              <w:ind w:left="525" w:hanging="525" w:hangingChars="250"/>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c>
          <w:tcPr>
            <w:tcW w:w="1418"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在岗情况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8" w:hRule="atLeast"/>
          <w:jc w:val="center"/>
        </w:trPr>
        <w:tc>
          <w:tcPr>
            <w:tcW w:w="1061" w:type="dxa"/>
            <w:vAlign w:val="center"/>
          </w:tcPr>
          <w:p>
            <w:pPr>
              <w:pStyle w:val="276"/>
              <w:adjustRightInd w:val="0"/>
              <w:snapToGrid w:val="0"/>
              <w:spacing w:line="400" w:lineRule="exact"/>
              <w:rPr>
                <w:rFonts w:hint="eastAsia" w:ascii="宋体" w:hAnsi="宋体" w:cs="宋体"/>
                <w:color w:val="auto"/>
                <w:szCs w:val="21"/>
                <w:highlight w:val="none"/>
              </w:rPr>
            </w:pPr>
          </w:p>
        </w:tc>
        <w:tc>
          <w:tcPr>
            <w:tcW w:w="786" w:type="dxa"/>
            <w:vAlign w:val="center"/>
          </w:tcPr>
          <w:p>
            <w:pPr>
              <w:pStyle w:val="276"/>
              <w:adjustRightInd w:val="0"/>
              <w:snapToGrid w:val="0"/>
              <w:spacing w:line="400" w:lineRule="exact"/>
              <w:rPr>
                <w:rFonts w:hint="eastAsia" w:ascii="宋体" w:hAnsi="宋体" w:cs="宋体"/>
                <w:color w:val="auto"/>
                <w:szCs w:val="21"/>
                <w:highlight w:val="none"/>
              </w:rPr>
            </w:pPr>
          </w:p>
        </w:tc>
        <w:tc>
          <w:tcPr>
            <w:tcW w:w="5661"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具有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（专业）（□工程师；□高级工程师）及以</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上技术职称；</w:t>
            </w:r>
          </w:p>
          <w:p>
            <w:pPr>
              <w:pStyle w:val="276"/>
              <w:adjustRightInd w:val="0"/>
              <w:snapToGrid w:val="0"/>
              <w:spacing w:line="400" w:lineRule="exact"/>
              <w:ind w:firstLine="321" w:firstLineChars="153"/>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w:t>
            </w:r>
            <w:r>
              <w:rPr>
                <w:rFonts w:hint="eastAsia" w:ascii="宋体" w:hAnsi="宋体" w:cs="宋体"/>
                <w:color w:val="auto"/>
                <w:szCs w:val="21"/>
                <w:highlight w:val="none"/>
              </w:rPr>
              <w:t>□工程师；□高级工程师</w:t>
            </w:r>
            <w:r>
              <w:rPr>
                <w:rFonts w:hint="eastAsia" w:ascii="宋体" w:hAnsi="宋体" w:cs="宋体"/>
                <w:color w:val="auto"/>
                <w:highlight w:val="none"/>
              </w:rPr>
              <w:t>”为单选项。</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具有交通运输部颁公路工程监理工程师资格证书或人力</w:t>
            </w:r>
          </w:p>
          <w:p>
            <w:pPr>
              <w:pStyle w:val="276"/>
              <w:wordWrap w:val="0"/>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资源和社会保障部颁的交通运输工程监理工程师证书</w:t>
            </w:r>
          </w:p>
          <w:p>
            <w:pPr>
              <w:wordWrap w:val="0"/>
              <w:adjustRightInd w:val="0"/>
              <w:snapToGrid w:val="0"/>
              <w:spacing w:line="400" w:lineRule="exact"/>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 xml:space="preserve">   （注册专业：公路工程）或人力资源和社会保障部颁的</w:t>
            </w:r>
          </w:p>
          <w:p>
            <w:pPr>
              <w:pStyle w:val="276"/>
              <w:wordWrap w:val="0"/>
              <w:adjustRightInd w:val="0"/>
              <w:snapToGrid w:val="0"/>
              <w:spacing w:line="400" w:lineRule="exact"/>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 xml:space="preserve">   监理工程师证书（专业：交通运输工程），并在</w:t>
            </w:r>
            <w:r>
              <w:rPr>
                <w:color w:val="auto"/>
                <w:highlight w:val="none"/>
              </w:rPr>
              <w:fldChar w:fldCharType="begin"/>
            </w:r>
            <w:r>
              <w:rPr>
                <w:color w:val="auto"/>
                <w:highlight w:val="none"/>
              </w:rPr>
              <w:instrText xml:space="preserve"> HYPERLINK "http://glxy.mot.gov.cn/</w:instrText>
            </w:r>
            <w:r>
              <w:rPr>
                <w:rFonts w:hint="eastAsia"/>
                <w:color w:val="auto"/>
                <w:highlight w:val="none"/>
              </w:rPr>
              <w:instrText xml:space="preserve">）中登记在投标人单位的注册监理人员列表中；</w:instrText>
            </w:r>
            <w:r>
              <w:rPr>
                <w:color w:val="auto"/>
                <w:highlight w:val="none"/>
              </w:rPr>
              <w:instrText xml:space="preserve">%20" </w:instrText>
            </w:r>
            <w:r>
              <w:rPr>
                <w:rStyle w:val="50"/>
                <w:rFonts w:asciiTheme="minorEastAsia" w:hAnsiTheme="minorEastAsia" w:eastAsiaTheme="minorEastAsia"/>
                <w:color w:val="auto"/>
                <w:highlight w:val="none"/>
                <w:u w:val="none"/>
              </w:rPr>
              <w:fldChar w:fldCharType="separate"/>
            </w:r>
            <w:r>
              <w:rPr>
                <w:rFonts w:hint="eastAsia" w:ascii="宋体" w:hAnsi="宋体" w:cs="宋体"/>
                <w:color w:val="auto"/>
                <w:szCs w:val="21"/>
                <w:highlight w:val="none"/>
              </w:rPr>
              <w:t>全国公路建设市场监督管理系统（https://hwdms.mot.gov.cn/BMWebSite/）</w:t>
            </w:r>
            <w:r>
              <w:rPr>
                <w:rStyle w:val="56"/>
                <w:rFonts w:hint="eastAsia" w:asciiTheme="minorEastAsia" w:hAnsiTheme="minorEastAsia" w:eastAsiaTheme="minorEastAsia"/>
                <w:color w:val="auto"/>
                <w:highlight w:val="none"/>
                <w:u w:val="none"/>
              </w:rPr>
              <w:t>中登记在投标人单位的注册监理人员列表中</w:t>
            </w:r>
            <w:r>
              <w:rPr>
                <w:rStyle w:val="56"/>
                <w:rFonts w:asciiTheme="minorEastAsia" w:hAnsiTheme="minorEastAsia" w:eastAsiaTheme="minorEastAsia"/>
                <w:color w:val="auto"/>
                <w:highlight w:val="none"/>
                <w:u w:val="none"/>
              </w:rPr>
              <w:fldChar w:fldCharType="end"/>
            </w:r>
            <w:r>
              <w:rPr>
                <w:rFonts w:hint="eastAsia" w:ascii="宋体" w:hAnsi="宋体" w:cs="宋体"/>
                <w:color w:val="auto"/>
                <w:szCs w:val="21"/>
                <w:highlight w:val="none"/>
              </w:rPr>
              <w:t>；</w:t>
            </w:r>
          </w:p>
          <w:p>
            <w:pPr>
              <w:spacing w:line="400" w:lineRule="exact"/>
              <w:ind w:left="422" w:hanging="421" w:hangingChars="20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color w:val="auto"/>
                <w:highlight w:val="none"/>
              </w:rPr>
              <w:t>投标截止日所在月上个月或上上个月起之前在其</w:t>
            </w:r>
            <w:r>
              <w:rPr>
                <w:rFonts w:hint="eastAsia" w:ascii="宋体" w:hAnsi="宋体" w:cs="宋体"/>
                <w:color w:val="auto"/>
                <w:szCs w:val="21"/>
                <w:highlight w:val="none"/>
              </w:rPr>
              <w:t>投标单</w:t>
            </w: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位连续6个月参加社保；</w:t>
            </w: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级及以上公路路基土建工程施工监理项目中担任过（□总监理工程师、□或副总监理工程师、□或驻地监理工程师、□或副驻地监理工程师）职务。</w:t>
            </w:r>
          </w:p>
          <w:p>
            <w:pPr>
              <w:pStyle w:val="276"/>
              <w:adjustRightInd w:val="0"/>
              <w:snapToGrid w:val="0"/>
              <w:spacing w:line="400" w:lineRule="exact"/>
              <w:ind w:left="321" w:leftChars="153" w:firstLine="424" w:firstLineChars="202"/>
              <w:rPr>
                <w:rStyle w:val="58"/>
                <w:color w:val="auto"/>
                <w:highlight w:val="none"/>
                <w:vertAlign w:val="baseline"/>
              </w:rPr>
            </w:pPr>
            <w:r>
              <w:rPr>
                <w:rStyle w:val="58"/>
                <w:rFonts w:hint="eastAsia"/>
                <w:color w:val="auto"/>
                <w:highlight w:val="none"/>
                <w:vertAlign w:val="baseline"/>
              </w:rPr>
              <w:t>注：</w:t>
            </w:r>
            <w:r>
              <w:rPr>
                <w:rStyle w:val="58"/>
                <w:color w:val="auto"/>
                <w:highlight w:val="none"/>
                <w:vertAlign w:val="baseline"/>
              </w:rPr>
              <w:t>1.</w:t>
            </w:r>
            <w:r>
              <w:rPr>
                <w:rStyle w:val="58"/>
                <w:rFonts w:hint="eastAsia"/>
                <w:color w:val="auto"/>
                <w:highlight w:val="none"/>
                <w:vertAlign w:val="baseline"/>
              </w:rPr>
              <w:t>路基土建工程指须至少包含“路基工程”的项目。</w:t>
            </w:r>
          </w:p>
          <w:p>
            <w:pPr>
              <w:pStyle w:val="276"/>
              <w:adjustRightInd w:val="0"/>
              <w:snapToGrid w:val="0"/>
              <w:spacing w:line="400" w:lineRule="exact"/>
              <w:ind w:left="321" w:leftChars="153" w:firstLine="424" w:firstLineChars="202"/>
              <w:rPr>
                <w:rFonts w:hint="eastAsia" w:ascii="宋体" w:hAnsi="宋体" w:cs="宋体"/>
                <w:color w:val="auto"/>
                <w:szCs w:val="21"/>
                <w:highlight w:val="none"/>
              </w:rPr>
            </w:pPr>
            <w:r>
              <w:rPr>
                <w:rStyle w:val="58"/>
                <w:rFonts w:hint="eastAsia" w:ascii="宋体" w:hAnsi="宋体"/>
                <w:color w:val="auto"/>
                <w:highlight w:val="none"/>
                <w:vertAlign w:val="baseline"/>
              </w:rPr>
              <w:t>2</w:t>
            </w:r>
            <w:r>
              <w:rPr>
                <w:rFonts w:hint="eastAsia" w:ascii="宋体" w:hAnsi="宋体"/>
                <w:color w:val="auto"/>
                <w:highlight w:val="none"/>
              </w:rPr>
              <w:t>.本表“</w:t>
            </w:r>
            <w:r>
              <w:rPr>
                <w:rFonts w:hint="eastAsia" w:ascii="宋体" w:hAnsi="宋体" w:cs="宋体"/>
                <w:color w:val="auto"/>
                <w:szCs w:val="21"/>
                <w:highlight w:val="none"/>
              </w:rPr>
              <w:t>□总监理工程师、□或副总 监理工程师、□或驻地监理工程师、□或副驻地监理工程师</w:t>
            </w:r>
            <w:r>
              <w:rPr>
                <w:rFonts w:hint="eastAsia" w:ascii="宋体" w:hAnsi="宋体"/>
                <w:color w:val="auto"/>
                <w:highlight w:val="none"/>
              </w:rPr>
              <w:t>”选择项由招标人对主要人员业绩经验担任的相应职务进行要求，可为单选或多选，下同。</w:t>
            </w:r>
          </w:p>
          <w:p>
            <w:pPr>
              <w:pStyle w:val="276"/>
              <w:adjustRightInd w:val="0"/>
              <w:snapToGrid w:val="0"/>
              <w:spacing w:line="400" w:lineRule="exact"/>
              <w:ind w:left="316" w:hanging="316" w:hangingChars="150"/>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级及以上公路特大桥的施工监理项目中担任过（□总监理工程师、□或副总监理工程师、□或驻地监理工程师、□或副驻地监理工程师）职务，□其中须至少包含主跨桥梁类型（□同时包含；□包含其中之一）：</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□拱式桥，主跨跨径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□悬索桥，主跨跨径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□斜拉桥，主跨跨径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□刚构桥，主跨跨径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□组合体系桥，主跨跨径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座  </w:t>
            </w:r>
          </w:p>
          <w:p>
            <w:pPr>
              <w:pStyle w:val="37"/>
              <w:ind w:left="417" w:leftChars="153" w:hanging="96" w:hangingChars="46"/>
              <w:rPr>
                <w:rFonts w:hint="eastAsia" w:ascii="宋体" w:hAnsi="宋体" w:cs="宋体"/>
                <w:color w:val="auto"/>
                <w:sz w:val="21"/>
                <w:szCs w:val="20"/>
                <w:highlight w:val="none"/>
              </w:rPr>
            </w:pPr>
            <w:r>
              <w:rPr>
                <w:rFonts w:hint="eastAsia" w:ascii="宋体" w:hAnsi="宋体" w:cs="宋体"/>
                <w:color w:val="auto"/>
                <w:sz w:val="21"/>
                <w:szCs w:val="20"/>
                <w:highlight w:val="none"/>
              </w:rPr>
              <w:t>注：1.</w:t>
            </w:r>
            <w:r>
              <w:rPr>
                <w:rFonts w:hint="eastAsia" w:ascii="宋体" w:hAnsi="宋体" w:cs="宋体"/>
                <w:color w:val="auto"/>
                <w:szCs w:val="21"/>
                <w:highlight w:val="none"/>
              </w:rPr>
              <w:t xml:space="preserve"> </w:t>
            </w:r>
            <w:r>
              <w:rPr>
                <w:rFonts w:hint="eastAsia" w:ascii="宋体" w:hAnsi="宋体" w:cs="宋体"/>
                <w:color w:val="auto"/>
                <w:sz w:val="21"/>
                <w:szCs w:val="20"/>
                <w:highlight w:val="none"/>
              </w:rPr>
              <w:t>公路特大桥桥梁工程可为路基土建工程中包含的内容或者单独桥梁工程合同的项目。</w:t>
            </w:r>
          </w:p>
          <w:p>
            <w:pPr>
              <w:pStyle w:val="276"/>
              <w:adjustRightInd w:val="0"/>
              <w:snapToGrid w:val="0"/>
              <w:spacing w:line="400" w:lineRule="exact"/>
              <w:ind w:left="321" w:leftChars="153" w:firstLine="426" w:firstLineChars="203"/>
              <w:rPr>
                <w:rFonts w:hint="eastAsia" w:ascii="宋体" w:hAnsi="宋体" w:cs="宋体"/>
                <w:color w:val="auto"/>
                <w:szCs w:val="20"/>
                <w:highlight w:val="none"/>
              </w:rPr>
            </w:pPr>
            <w:r>
              <w:rPr>
                <w:rFonts w:hint="eastAsia" w:ascii="宋体" w:hAnsi="宋体" w:cs="宋体"/>
                <w:color w:val="auto"/>
                <w:szCs w:val="21"/>
                <w:highlight w:val="none"/>
              </w:rPr>
              <w:t>2.主跨桥梁，</w:t>
            </w:r>
            <w:r>
              <w:rPr>
                <w:rFonts w:hint="eastAsia" w:ascii="宋体" w:hAnsi="宋体" w:cs="宋体"/>
                <w:color w:val="auto"/>
                <w:szCs w:val="20"/>
                <w:highlight w:val="none"/>
              </w:rPr>
              <w:t>根据项目具体情况，若存在特殊桥梁或特大桥或特别复杂的桥梁，需要增加特殊要求时，可对桥梁主跨桥型或跨径进行要求，但不得设置过高的要求。桥梁类型应从“拱式桥、悬索桥、斜拉桥、刚构桥、组合体系桥、其他”中选择，但建议原则上最多不超过2种类型。</w:t>
            </w:r>
          </w:p>
          <w:p>
            <w:pPr>
              <w:pStyle w:val="276"/>
              <w:adjustRightInd w:val="0"/>
              <w:snapToGrid w:val="0"/>
              <w:spacing w:line="400" w:lineRule="exact"/>
              <w:ind w:left="321" w:leftChars="153" w:firstLine="426" w:firstLineChars="203"/>
              <w:rPr>
                <w:rFonts w:hint="eastAsia" w:ascii="宋体" w:hAnsi="宋体" w:cs="宋体"/>
                <w:color w:val="auto"/>
                <w:szCs w:val="21"/>
                <w:highlight w:val="none"/>
              </w:rPr>
            </w:pPr>
            <w:r>
              <w:rPr>
                <w:rFonts w:hint="eastAsia" w:ascii="宋体" w:hAnsi="宋体" w:cs="宋体"/>
                <w:color w:val="auto"/>
                <w:szCs w:val="21"/>
                <w:highlight w:val="none"/>
              </w:rPr>
              <w:t>3.拱式桥主跨跨径，对于左右幅桥长不相同的桥梁，其桥梁长度以左右幅长度较长的为准；若只有单幅的，则以单幅桥梁长度数据为准。</w:t>
            </w:r>
          </w:p>
          <w:p>
            <w:pPr>
              <w:pStyle w:val="276"/>
              <w:adjustRightInd w:val="0"/>
              <w:snapToGrid w:val="0"/>
              <w:spacing w:line="400" w:lineRule="exact"/>
              <w:ind w:firstLine="525" w:firstLineChars="250"/>
              <w:rPr>
                <w:rFonts w:hint="eastAsia" w:ascii="宋体" w:hAnsi="宋体" w:cs="宋体"/>
                <w:color w:val="auto"/>
                <w:szCs w:val="21"/>
                <w:highlight w:val="none"/>
              </w:rPr>
            </w:pPr>
          </w:p>
          <w:p>
            <w:pPr>
              <w:pStyle w:val="276"/>
              <w:adjustRightInd w:val="0"/>
              <w:snapToGrid w:val="0"/>
              <w:spacing w:line="400" w:lineRule="exact"/>
              <w:ind w:left="211" w:hanging="210" w:hangingChars="10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bCs/>
                <w:color w:val="auto"/>
                <w:szCs w:val="21"/>
                <w:highlight w:val="none"/>
              </w:rPr>
              <w:t>至少</w:t>
            </w:r>
            <w:r>
              <w:rPr>
                <w:rFonts w:hint="eastAsia" w:ascii="宋体" w:hAnsi="宋体" w:cs="宋体"/>
                <w:color w:val="auto"/>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w:t>
            </w:r>
          </w:p>
          <w:p>
            <w:pPr>
              <w:pStyle w:val="276"/>
              <w:adjustRightInd w:val="0"/>
              <w:snapToGrid w:val="0"/>
              <w:spacing w:line="40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道及以上；□长隧道及以上；□特长隧道；□单洞长度</w:t>
            </w:r>
          </w:p>
          <w:p>
            <w:pPr>
              <w:pStyle w:val="276"/>
              <w:adjustRightInd w:val="0"/>
              <w:snapToGrid w:val="0"/>
              <w:spacing w:line="40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米及以上特长隧道）施工监理项目中担任过（□总监理工程师、□或副总监理工程师、□或驻地监理工程师、□或副驻地监理工程师）职务；</w:t>
            </w:r>
          </w:p>
          <w:p>
            <w:pPr>
              <w:pStyle w:val="37"/>
              <w:ind w:left="321" w:leftChars="153" w:firstLine="1"/>
              <w:rPr>
                <w:rFonts w:hint="eastAsia" w:ascii="宋体" w:hAnsi="宋体" w:cs="宋体"/>
                <w:color w:val="auto"/>
                <w:sz w:val="21"/>
                <w:szCs w:val="20"/>
                <w:highlight w:val="none"/>
              </w:rPr>
            </w:pPr>
            <w:r>
              <w:rPr>
                <w:rFonts w:hint="eastAsia" w:ascii="宋体" w:hAnsi="宋体" w:cs="宋体"/>
                <w:color w:val="auto"/>
                <w:sz w:val="21"/>
                <w:szCs w:val="20"/>
                <w:highlight w:val="none"/>
              </w:rPr>
              <w:t>注：</w:t>
            </w:r>
            <w:r>
              <w:rPr>
                <w:color w:val="auto"/>
                <w:sz w:val="21"/>
                <w:szCs w:val="20"/>
                <w:highlight w:val="none"/>
              </w:rPr>
              <w:t>1.</w:t>
            </w:r>
            <w:r>
              <w:rPr>
                <w:rFonts w:hint="eastAsia" w:ascii="宋体" w:hAnsi="宋体" w:cs="宋体"/>
                <w:color w:val="auto"/>
                <w:szCs w:val="21"/>
                <w:highlight w:val="none"/>
              </w:rPr>
              <w:t xml:space="preserve"> </w:t>
            </w:r>
            <w:r>
              <w:rPr>
                <w:rFonts w:hint="eastAsia" w:ascii="宋体" w:hAnsi="宋体" w:cs="宋体"/>
                <w:color w:val="auto"/>
                <w:sz w:val="21"/>
                <w:szCs w:val="20"/>
                <w:highlight w:val="none"/>
              </w:rPr>
              <w:t>单洞长度，对于具有双洞的隧道，其承担隧道长度以左右线隧道长度较长的为准；若只有单洞的，则以承担单洞隧道长度数据为准。隧道单洞长度不含斜井、竖井、支洞。</w:t>
            </w:r>
          </w:p>
          <w:p>
            <w:pPr>
              <w:pStyle w:val="37"/>
              <w:ind w:left="321" w:leftChars="153" w:firstLine="1"/>
              <w:rPr>
                <w:rFonts w:hint="eastAsia" w:ascii="宋体" w:hAnsi="宋体" w:cs="宋体"/>
                <w:color w:val="auto"/>
                <w:sz w:val="21"/>
                <w:szCs w:val="20"/>
                <w:highlight w:val="none"/>
              </w:rPr>
            </w:pPr>
            <w:r>
              <w:rPr>
                <w:rFonts w:hint="eastAsia" w:ascii="宋体" w:hAnsi="宋体" w:cs="宋体"/>
                <w:color w:val="auto"/>
                <w:sz w:val="21"/>
                <w:szCs w:val="20"/>
                <w:highlight w:val="none"/>
              </w:rPr>
              <w:t>2. 特长隧道工程可为路基土建工程中包含的内容或者单独隧道工程合同的项目。根据项目具体情况，若存在特殊隧道或特长隧道或特别复杂的隧道，需要增加特殊要求时，可对隧道形式或隧道单洞长度进行要求，但不得设置过高的要求。</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 程施工监理项目中担任过（□总监理工程师、□或副总</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 监理工程师、□或驻地监理工程师、□或副驻地监理工</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 程师）职务。</w:t>
            </w:r>
          </w:p>
          <w:p>
            <w:pPr>
              <w:pStyle w:val="276"/>
              <w:adjustRightInd w:val="0"/>
              <w:snapToGrid w:val="0"/>
              <w:spacing w:line="400" w:lineRule="exact"/>
              <w:ind w:left="422" w:hanging="421" w:hangingChars="20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bCs/>
                <w:color w:val="auto"/>
                <w:szCs w:val="21"/>
                <w:highlight w:val="none"/>
              </w:rPr>
              <w:t>至少</w:t>
            </w:r>
            <w:r>
              <w:rPr>
                <w:rFonts w:hint="eastAsia" w:ascii="宋体" w:hAnsi="宋体" w:cs="宋体"/>
                <w:color w:val="auto"/>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76"/>
              <w:adjustRightInd w:val="0"/>
              <w:snapToGrid w:val="0"/>
              <w:spacing w:line="400" w:lineRule="exact"/>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 xml:space="preserve">   机电工程、□</w:t>
            </w:r>
            <w:r>
              <w:rPr>
                <w:rFonts w:hint="eastAsia"/>
                <w:color w:val="auto"/>
                <w:highlight w:val="none"/>
              </w:rPr>
              <w:t>和</w:t>
            </w:r>
            <w:r>
              <w:rPr>
                <w:rFonts w:hint="eastAsia" w:ascii="宋体" w:hAnsi="宋体" w:cs="宋体"/>
                <w:color w:val="auto"/>
                <w:szCs w:val="21"/>
                <w:highlight w:val="none"/>
              </w:rPr>
              <w:t>□</w:t>
            </w:r>
            <w:r>
              <w:rPr>
                <w:rFonts w:hint="eastAsia"/>
                <w:color w:val="auto"/>
                <w:highlight w:val="none"/>
              </w:rPr>
              <w:t>或 </w:t>
            </w:r>
            <w:r>
              <w:rPr>
                <w:rFonts w:hint="eastAsia" w:ascii="宋体" w:hAnsi="宋体" w:cs="宋体"/>
                <w:color w:val="auto"/>
                <w:szCs w:val="21"/>
                <w:highlight w:val="none"/>
              </w:rPr>
              <w:t>□公路隧道机电)施工监理项目中担任过</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（□总监理工程师、□或副总监理工程师、□或驻地监理</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 工程师、□或副驻地监理工程师）职务。</w:t>
            </w:r>
          </w:p>
          <w:p>
            <w:pPr>
              <w:pStyle w:val="276"/>
              <w:adjustRightInd w:val="0"/>
              <w:snapToGrid w:val="0"/>
              <w:spacing w:line="400" w:lineRule="exact"/>
              <w:ind w:left="315" w:leftChars="150" w:firstLine="6" w:firstLineChars="3"/>
              <w:rPr>
                <w:rFonts w:hint="eastAsia" w:ascii="宋体" w:hAnsi="宋体" w:cs="宋体"/>
                <w:color w:val="auto"/>
                <w:szCs w:val="21"/>
                <w:highlight w:val="none"/>
              </w:rPr>
            </w:pPr>
            <w:r>
              <w:rPr>
                <w:rFonts w:hint="eastAsia" w:ascii="宋体" w:hAnsi="宋体" w:cs="宋体"/>
                <w:color w:val="auto"/>
                <w:highlight w:val="none"/>
              </w:rPr>
              <w:t>注：选择项“□机电工程、□公</w:t>
            </w:r>
            <w:r>
              <w:rPr>
                <w:rFonts w:hint="eastAsia" w:ascii="宋体" w:hAnsi="宋体" w:cs="宋体"/>
                <w:color w:val="auto"/>
                <w:szCs w:val="21"/>
                <w:highlight w:val="none"/>
              </w:rPr>
              <w:t>路隧道机电</w:t>
            </w:r>
            <w:r>
              <w:rPr>
                <w:rFonts w:hint="eastAsia" w:ascii="宋体" w:hAnsi="宋体" w:cs="宋体"/>
                <w:color w:val="auto"/>
                <w:highlight w:val="none"/>
              </w:rPr>
              <w:t>”为单选或多选，多选时由招标人根据实际需要设定选择项之间是“或”还是“同时”的关系。</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个国内房建工程施工监理项目中担任过（□总</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监理工程师、□或副总监理工程师、</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或驻地监理工程师、</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□或副驻地监理工程师）职务。</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pStyle w:val="276"/>
              <w:adjustRightInd w:val="0"/>
              <w:snapToGrid w:val="0"/>
              <w:spacing w:line="400" w:lineRule="exact"/>
              <w:ind w:left="323" w:leftChars="153" w:hanging="2"/>
              <w:rPr>
                <w:rFonts w:hint="eastAsia" w:ascii="宋体" w:hAnsi="宋体" w:cs="宋体"/>
                <w:color w:val="auto"/>
                <w:szCs w:val="21"/>
                <w:highlight w:val="none"/>
                <w:u w:val="single"/>
              </w:rPr>
            </w:pPr>
            <w:r>
              <w:rPr>
                <w:rFonts w:hint="eastAsia" w:ascii="宋体" w:hAnsi="宋体"/>
                <w:color w:val="auto"/>
                <w:highlight w:val="none"/>
              </w:rPr>
              <w:t>注：根据招标项目具体特点和实际情况，招标人在满足国家相关法律法规前提下可对主要人员提出其他业绩类型经验要求，但不得设置过高的要求。</w:t>
            </w:r>
          </w:p>
          <w:p>
            <w:pPr>
              <w:pStyle w:val="276"/>
              <w:adjustRightInd w:val="0"/>
              <w:snapToGrid w:val="0"/>
              <w:spacing w:line="400" w:lineRule="exact"/>
              <w:rPr>
                <w:rFonts w:hint="eastAsia" w:ascii="宋体" w:hAnsi="宋体" w:cs="宋体"/>
                <w:color w:val="auto"/>
                <w:szCs w:val="21"/>
                <w:highlight w:val="none"/>
                <w:u w:val="single"/>
              </w:rPr>
            </w:pP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联合体应满足下列要求： </w:t>
            </w:r>
            <w:r>
              <w:rPr>
                <w:rFonts w:hint="eastAsia" w:ascii="宋体" w:hAnsi="宋体" w:cs="宋体"/>
                <w:color w:val="auto"/>
                <w:szCs w:val="21"/>
                <w:highlight w:val="none"/>
                <w:u w:val="single"/>
              </w:rPr>
              <w:t xml:space="preserve">                 </w:t>
            </w:r>
          </w:p>
        </w:tc>
        <w:tc>
          <w:tcPr>
            <w:tcW w:w="1418"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无在岗项目（指目前未在其他项目上任职，或虽在其他项目上任职但本项目中标后能够从该项目撤离）</w:t>
            </w:r>
          </w:p>
        </w:tc>
      </w:tr>
    </w:tbl>
    <w:p>
      <w:pPr>
        <w:pStyle w:val="276"/>
        <w:jc w:val="center"/>
        <w:rPr>
          <w:rFonts w:hint="eastAsia" w:ascii="黑体" w:hAnsi="黑体" w:eastAsia="黑体" w:cs="宋体"/>
          <w:bCs/>
          <w:color w:val="auto"/>
          <w:sz w:val="24"/>
          <w:highlight w:val="none"/>
        </w:rPr>
      </w:pPr>
      <w:r>
        <w:rPr>
          <w:rFonts w:hint="eastAsia" w:ascii="宋体" w:hAnsi="宋体" w:cs="宋体"/>
          <w:color w:val="auto"/>
          <w:highlight w:val="none"/>
        </w:rPr>
        <w:t>注：如副总监理工程师仍在其他项目上任职，则投标人在投标函中应承诺上述人员能够从该项目撤离。</w:t>
      </w:r>
      <w:r>
        <w:rPr>
          <w:rFonts w:hint="eastAsia" w:ascii="宋体" w:hAnsi="宋体" w:cs="宋体"/>
          <w:color w:val="auto"/>
          <w:highlight w:val="none"/>
        </w:rPr>
        <w:br w:type="page"/>
      </w:r>
      <w:r>
        <w:rPr>
          <w:rFonts w:hint="eastAsia" w:ascii="黑体" w:hAnsi="黑体" w:eastAsia="黑体" w:cs="宋体"/>
          <w:bCs/>
          <w:color w:val="auto"/>
          <w:sz w:val="24"/>
          <w:highlight w:val="none"/>
        </w:rPr>
        <w:t>□ 驻地监理工程师</w:t>
      </w:r>
    </w:p>
    <w:p>
      <w:pPr>
        <w:jc w:val="center"/>
        <w:rPr>
          <w:rFonts w:hint="eastAsia" w:ascii="宋体" w:hAnsi="宋体" w:cs="宋体"/>
          <w:b/>
          <w:bCs/>
          <w:color w:val="auto"/>
          <w:sz w:val="28"/>
          <w:szCs w:val="28"/>
          <w:highlight w:val="none"/>
        </w:rPr>
      </w:pPr>
    </w:p>
    <w:tbl>
      <w:tblPr>
        <w:tblStyle w:val="4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850"/>
        <w:gridCol w:w="5706"/>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100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850"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570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c>
          <w:tcPr>
            <w:tcW w:w="1222"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在岗情况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6" w:hRule="atLeast"/>
          <w:jc w:val="center"/>
        </w:trPr>
        <w:tc>
          <w:tcPr>
            <w:tcW w:w="1006" w:type="dxa"/>
            <w:vAlign w:val="center"/>
          </w:tcPr>
          <w:p>
            <w:pPr>
              <w:pStyle w:val="276"/>
              <w:adjustRightInd w:val="0"/>
              <w:snapToGrid w:val="0"/>
              <w:spacing w:line="400" w:lineRule="exact"/>
              <w:rPr>
                <w:rFonts w:hint="eastAsia" w:ascii="宋体" w:hAnsi="宋体" w:cs="宋体"/>
                <w:color w:val="auto"/>
                <w:szCs w:val="21"/>
                <w:highlight w:val="none"/>
              </w:rPr>
            </w:pPr>
          </w:p>
        </w:tc>
        <w:tc>
          <w:tcPr>
            <w:tcW w:w="850" w:type="dxa"/>
            <w:vAlign w:val="center"/>
          </w:tcPr>
          <w:p>
            <w:pPr>
              <w:pStyle w:val="276"/>
              <w:adjustRightInd w:val="0"/>
              <w:snapToGrid w:val="0"/>
              <w:spacing w:line="400" w:lineRule="exact"/>
              <w:rPr>
                <w:rFonts w:hint="eastAsia" w:ascii="宋体" w:hAnsi="宋体" w:cs="宋体"/>
                <w:color w:val="auto"/>
                <w:szCs w:val="21"/>
                <w:highlight w:val="none"/>
              </w:rPr>
            </w:pPr>
          </w:p>
        </w:tc>
        <w:tc>
          <w:tcPr>
            <w:tcW w:w="5706" w:type="dxa"/>
            <w:vAlign w:val="center"/>
          </w:tcPr>
          <w:p>
            <w:pPr>
              <w:pStyle w:val="276"/>
              <w:adjustRightInd w:val="0"/>
              <w:snapToGrid w:val="0"/>
              <w:spacing w:line="400" w:lineRule="exact"/>
              <w:ind w:left="422" w:hanging="421" w:hangingChars="2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具有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（专业）（□工程师；□高级工程师）及以上技术职称；</w:t>
            </w:r>
          </w:p>
          <w:p>
            <w:pPr>
              <w:pStyle w:val="276"/>
              <w:adjustRightInd w:val="0"/>
              <w:snapToGrid w:val="0"/>
              <w:spacing w:line="400" w:lineRule="exact"/>
              <w:ind w:firstLine="321" w:firstLineChars="153"/>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w:t>
            </w:r>
            <w:r>
              <w:rPr>
                <w:rFonts w:hint="eastAsia" w:ascii="宋体" w:hAnsi="宋体" w:cs="宋体"/>
                <w:color w:val="auto"/>
                <w:szCs w:val="21"/>
                <w:highlight w:val="none"/>
              </w:rPr>
              <w:t>□工程师；□高级工程师</w:t>
            </w:r>
            <w:r>
              <w:rPr>
                <w:rFonts w:hint="eastAsia" w:ascii="宋体" w:hAnsi="宋体" w:cs="宋体"/>
                <w:color w:val="auto"/>
                <w:highlight w:val="none"/>
              </w:rPr>
              <w:t>”为单选项。</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具有交通运输部颁公路工程监理工程师资格证书或人力</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资源和社会保障部颁的交通运输工程监理工程师证书</w:t>
            </w:r>
          </w:p>
          <w:p>
            <w:pPr>
              <w:pStyle w:val="276"/>
              <w:adjustRightInd w:val="0"/>
              <w:snapToGrid w:val="0"/>
              <w:spacing w:line="400" w:lineRule="exact"/>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 xml:space="preserve">   （注册专业：公路工程）或人力资源和社会保障部颁的</w:t>
            </w:r>
          </w:p>
          <w:p>
            <w:pPr>
              <w:pStyle w:val="276"/>
              <w:wordWrap w:val="0"/>
              <w:adjustRightInd w:val="0"/>
              <w:snapToGrid w:val="0"/>
              <w:spacing w:line="400" w:lineRule="exact"/>
              <w:ind w:left="420" w:hanging="420" w:hanging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   监理工程师证书（专业：交通运输工程），并在</w:t>
            </w:r>
            <w:r>
              <w:rPr>
                <w:rFonts w:hint="eastAsia"/>
                <w:color w:val="auto"/>
                <w:highlight w:val="none"/>
              </w:rPr>
              <w:fldChar w:fldCharType="begin"/>
            </w:r>
            <w:r>
              <w:rPr>
                <w:color w:val="auto"/>
                <w:highlight w:val="none"/>
              </w:rPr>
              <w:instrText xml:space="preserve"> HYPERLINK "http://glxy.mot.gov.cn/</w:instrText>
            </w:r>
            <w:r>
              <w:rPr>
                <w:rFonts w:hint="eastAsia"/>
                <w:color w:val="auto"/>
                <w:highlight w:val="none"/>
              </w:rPr>
              <w:instrText xml:space="preserve">）中登记在投标人单位的注册监理人员列表中；</w:instrText>
            </w:r>
            <w:r>
              <w:rPr>
                <w:color w:val="auto"/>
                <w:highlight w:val="none"/>
              </w:rPr>
              <w:instrText xml:space="preserve">%20" </w:instrText>
            </w:r>
            <w:r>
              <w:rPr>
                <w:rStyle w:val="50"/>
                <w:rFonts w:hint="eastAsia" w:asciiTheme="minorEastAsia" w:hAnsiTheme="minorEastAsia" w:eastAsiaTheme="minorEastAsia"/>
                <w:color w:val="auto"/>
                <w:highlight w:val="none"/>
                <w:u w:val="none"/>
              </w:rPr>
              <w:fldChar w:fldCharType="separate"/>
            </w:r>
            <w:r>
              <w:rPr>
                <w:rFonts w:hint="eastAsia" w:ascii="宋体" w:hAnsi="宋体" w:cs="宋体"/>
                <w:color w:val="auto"/>
                <w:szCs w:val="21"/>
                <w:highlight w:val="none"/>
              </w:rPr>
              <w:t>全国公路建设市场监督管理系统（https://hwdms.mot.gov.cn/BMWebSite/）</w:t>
            </w:r>
            <w:r>
              <w:rPr>
                <w:rStyle w:val="56"/>
                <w:rFonts w:hint="eastAsia" w:asciiTheme="minorEastAsia" w:hAnsiTheme="minorEastAsia" w:eastAsiaTheme="minorEastAsia"/>
                <w:color w:val="auto"/>
                <w:highlight w:val="none"/>
                <w:u w:val="none"/>
              </w:rPr>
              <w:t>中登记在投标人单位</w:t>
            </w:r>
            <w:bookmarkStart w:id="63" w:name="_Hlt28172108"/>
            <w:bookmarkEnd w:id="63"/>
            <w:bookmarkStart w:id="64" w:name="_Hlt28172111"/>
            <w:bookmarkEnd w:id="64"/>
            <w:r>
              <w:rPr>
                <w:rStyle w:val="56"/>
                <w:rFonts w:hint="eastAsia" w:asciiTheme="minorEastAsia" w:hAnsiTheme="minorEastAsia" w:eastAsiaTheme="minorEastAsia"/>
                <w:color w:val="auto"/>
                <w:highlight w:val="none"/>
                <w:u w:val="none"/>
              </w:rPr>
              <w:t xml:space="preserve">的注册监理人员列表中； </w:t>
            </w:r>
            <w:r>
              <w:rPr>
                <w:rStyle w:val="56"/>
                <w:rFonts w:hint="eastAsia" w:asciiTheme="minorEastAsia" w:hAnsiTheme="minorEastAsia" w:eastAsiaTheme="minorEastAsia"/>
                <w:color w:val="auto"/>
                <w:highlight w:val="none"/>
                <w:u w:val="none"/>
              </w:rPr>
              <w:fldChar w:fldCharType="end"/>
            </w:r>
          </w:p>
          <w:p>
            <w:pPr>
              <w:pStyle w:val="276"/>
              <w:adjustRightInd w:val="0"/>
              <w:snapToGrid w:val="0"/>
              <w:spacing w:line="400" w:lineRule="exact"/>
              <w:ind w:left="422" w:hanging="421" w:hangingChars="2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投标截止日所在月上个月或上上个月起之前在其投标单</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位连续6个月参加社保；</w:t>
            </w: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个及以上国内新建或改扩建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级及以上公路路基土建工程施工监理项目中担任过（□总监理工程师、□或副总监理工程师、□或驻地监理工程师、□或副驻地监理工程师、□或专业监理工程师）职务。</w:t>
            </w:r>
          </w:p>
          <w:p>
            <w:pPr>
              <w:pStyle w:val="276"/>
              <w:adjustRightInd w:val="0"/>
              <w:snapToGrid w:val="0"/>
              <w:spacing w:line="400" w:lineRule="exact"/>
              <w:ind w:left="321" w:leftChars="153" w:firstLine="424" w:firstLineChars="202"/>
              <w:rPr>
                <w:rStyle w:val="58"/>
                <w:color w:val="auto"/>
                <w:highlight w:val="none"/>
                <w:vertAlign w:val="baseline"/>
              </w:rPr>
            </w:pPr>
            <w:r>
              <w:rPr>
                <w:rStyle w:val="58"/>
                <w:rFonts w:hint="eastAsia"/>
                <w:color w:val="auto"/>
                <w:highlight w:val="none"/>
                <w:vertAlign w:val="baseline"/>
              </w:rPr>
              <w:t>注：</w:t>
            </w:r>
            <w:r>
              <w:rPr>
                <w:rStyle w:val="58"/>
                <w:color w:val="auto"/>
                <w:highlight w:val="none"/>
                <w:vertAlign w:val="baseline"/>
              </w:rPr>
              <w:t>1.</w:t>
            </w:r>
            <w:r>
              <w:rPr>
                <w:rStyle w:val="58"/>
                <w:rFonts w:hint="eastAsia"/>
                <w:color w:val="auto"/>
                <w:highlight w:val="none"/>
                <w:vertAlign w:val="baseline"/>
              </w:rPr>
              <w:t>路基土建工程指须至少包含“路基工程”的项目。</w:t>
            </w:r>
          </w:p>
          <w:p>
            <w:pPr>
              <w:pStyle w:val="276"/>
              <w:adjustRightInd w:val="0"/>
              <w:snapToGrid w:val="0"/>
              <w:spacing w:line="400" w:lineRule="exact"/>
              <w:ind w:left="321" w:leftChars="153" w:firstLine="424" w:firstLineChars="202"/>
              <w:rPr>
                <w:rFonts w:hint="eastAsia" w:ascii="宋体" w:hAnsi="宋体" w:cs="宋体"/>
                <w:color w:val="auto"/>
                <w:szCs w:val="21"/>
                <w:highlight w:val="none"/>
              </w:rPr>
            </w:pPr>
            <w:r>
              <w:rPr>
                <w:rStyle w:val="58"/>
                <w:rFonts w:hint="eastAsia" w:ascii="宋体" w:hAnsi="宋体"/>
                <w:color w:val="auto"/>
                <w:highlight w:val="none"/>
                <w:vertAlign w:val="baseline"/>
              </w:rPr>
              <w:t>2</w:t>
            </w:r>
            <w:r>
              <w:rPr>
                <w:rFonts w:hint="eastAsia" w:ascii="宋体" w:hAnsi="宋体"/>
                <w:color w:val="auto"/>
                <w:highlight w:val="none"/>
              </w:rPr>
              <w:t>.本表“</w:t>
            </w:r>
            <w:r>
              <w:rPr>
                <w:rFonts w:hint="eastAsia" w:ascii="宋体" w:hAnsi="宋体" w:cs="宋体"/>
                <w:color w:val="auto"/>
                <w:szCs w:val="21"/>
                <w:highlight w:val="none"/>
              </w:rPr>
              <w:t>□总监理工程师、□或副总 监理工程师、□或驻地监理工程师、□或副驻地监理工程师</w:t>
            </w:r>
            <w:r>
              <w:rPr>
                <w:rFonts w:hint="eastAsia" w:ascii="宋体" w:hAnsi="宋体"/>
                <w:color w:val="auto"/>
                <w:highlight w:val="none"/>
              </w:rPr>
              <w:t>”选择项由招标人对主要人员业绩经验担任的相应职务进行要求，可为单选或多选，下同。</w:t>
            </w:r>
          </w:p>
          <w:p>
            <w:pPr>
              <w:pStyle w:val="276"/>
              <w:adjustRightInd w:val="0"/>
              <w:snapToGrid w:val="0"/>
              <w:spacing w:line="400" w:lineRule="exact"/>
              <w:ind w:left="316" w:hanging="316" w:hangingChars="150"/>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的施工监理项目中担任过（□总监理工程师、□或副总监理工程师、□或驻地监理工程师、□或副驻地监理工程师、□或专业监理工程师）职务，□其中须至少包含主跨桥梁类型（□同时包含；□包含其中之一）：</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□拱式桥，主跨跨径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□悬索桥，主跨跨径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□斜拉桥，主跨跨径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□刚构桥，主跨跨径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□组合体系桥，主跨跨径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76"/>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座  </w:t>
            </w:r>
          </w:p>
          <w:p>
            <w:pPr>
              <w:pStyle w:val="37"/>
              <w:ind w:left="417" w:leftChars="153" w:hanging="96" w:hangingChars="46"/>
              <w:rPr>
                <w:rFonts w:hint="eastAsia" w:ascii="宋体" w:hAnsi="宋体" w:cs="宋体"/>
                <w:color w:val="auto"/>
                <w:sz w:val="21"/>
                <w:szCs w:val="20"/>
                <w:highlight w:val="none"/>
              </w:rPr>
            </w:pPr>
            <w:r>
              <w:rPr>
                <w:rFonts w:hint="eastAsia" w:ascii="宋体" w:hAnsi="宋体" w:cs="宋体"/>
                <w:color w:val="auto"/>
                <w:sz w:val="21"/>
                <w:szCs w:val="20"/>
                <w:highlight w:val="none"/>
              </w:rPr>
              <w:t>注：1.</w:t>
            </w:r>
            <w:r>
              <w:rPr>
                <w:rFonts w:hint="eastAsia" w:ascii="宋体" w:hAnsi="宋体" w:cs="宋体"/>
                <w:color w:val="auto"/>
                <w:szCs w:val="21"/>
                <w:highlight w:val="none"/>
              </w:rPr>
              <w:t xml:space="preserve"> </w:t>
            </w:r>
            <w:r>
              <w:rPr>
                <w:rFonts w:hint="eastAsia" w:ascii="宋体" w:hAnsi="宋体" w:cs="宋体"/>
                <w:color w:val="auto"/>
                <w:sz w:val="21"/>
                <w:szCs w:val="20"/>
                <w:highlight w:val="none"/>
              </w:rPr>
              <w:t>公路特大桥桥梁工程可为路基土建工程中包含的内容或者单独桥梁工程合同的项目。</w:t>
            </w:r>
          </w:p>
          <w:p>
            <w:pPr>
              <w:pStyle w:val="276"/>
              <w:adjustRightInd w:val="0"/>
              <w:snapToGrid w:val="0"/>
              <w:spacing w:line="400" w:lineRule="exact"/>
              <w:ind w:left="321" w:leftChars="153" w:firstLine="426" w:firstLineChars="203"/>
              <w:rPr>
                <w:rFonts w:hint="eastAsia" w:ascii="宋体" w:hAnsi="宋体" w:cs="宋体"/>
                <w:color w:val="auto"/>
                <w:szCs w:val="20"/>
                <w:highlight w:val="none"/>
              </w:rPr>
            </w:pPr>
            <w:r>
              <w:rPr>
                <w:rFonts w:hint="eastAsia" w:ascii="宋体" w:hAnsi="宋体" w:cs="宋体"/>
                <w:color w:val="auto"/>
                <w:szCs w:val="21"/>
                <w:highlight w:val="none"/>
              </w:rPr>
              <w:t>2.主跨桥梁，</w:t>
            </w:r>
            <w:r>
              <w:rPr>
                <w:rFonts w:hint="eastAsia" w:ascii="宋体" w:hAnsi="宋体" w:cs="宋体"/>
                <w:color w:val="auto"/>
                <w:szCs w:val="20"/>
                <w:highlight w:val="none"/>
              </w:rPr>
              <w:t>根据项目具体情况，若存在特殊桥梁或特大桥或特别复杂的桥梁，需要增加特殊要求时，可对桥梁主跨桥型或跨径进行要求，但不得设置过高的要求。桥梁类型应从“拱式桥、悬索桥、斜拉桥、刚构桥、组合体系桥、其他”中选择，但建议原则上最多不超过2种类型。</w:t>
            </w:r>
          </w:p>
          <w:p>
            <w:pPr>
              <w:pStyle w:val="276"/>
              <w:adjustRightInd w:val="0"/>
              <w:snapToGrid w:val="0"/>
              <w:spacing w:line="400" w:lineRule="exact"/>
              <w:ind w:left="321" w:leftChars="153" w:firstLine="426" w:firstLineChars="203"/>
              <w:rPr>
                <w:rFonts w:hint="eastAsia" w:ascii="宋体" w:hAnsi="宋体" w:cs="宋体"/>
                <w:color w:val="auto"/>
                <w:szCs w:val="21"/>
                <w:highlight w:val="none"/>
              </w:rPr>
            </w:pPr>
            <w:r>
              <w:rPr>
                <w:rFonts w:hint="eastAsia" w:ascii="宋体" w:hAnsi="宋体" w:cs="宋体"/>
                <w:color w:val="auto"/>
                <w:szCs w:val="21"/>
                <w:highlight w:val="none"/>
              </w:rPr>
              <w:t>3.拱式桥主跨跨径，对于左右幅桥长不相同的桥梁，其桥梁长度以左右幅长度较长的为准；若只有单幅的，则以单幅桥梁长度数据为准。</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 隧道及以上；□长隧道及以上；□特长隧道； □单洞长</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米及以上特长隧道）施工监理 项目中担任过</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（□总监理工程师、□或副总监理工 程师、□或驻地监</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理工程师、□或副驻地监理工程师、□或专业监理工程师）</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 职务；</w:t>
            </w:r>
          </w:p>
          <w:p>
            <w:pPr>
              <w:pStyle w:val="37"/>
              <w:ind w:left="321" w:leftChars="153" w:firstLine="1"/>
              <w:rPr>
                <w:rFonts w:hint="eastAsia" w:ascii="宋体" w:hAnsi="宋体" w:cs="宋体"/>
                <w:color w:val="auto"/>
                <w:sz w:val="21"/>
                <w:szCs w:val="20"/>
                <w:highlight w:val="none"/>
              </w:rPr>
            </w:pPr>
            <w:r>
              <w:rPr>
                <w:rFonts w:hint="eastAsia" w:ascii="宋体" w:hAnsi="宋体" w:cs="宋体"/>
                <w:color w:val="auto"/>
                <w:sz w:val="21"/>
                <w:szCs w:val="20"/>
                <w:highlight w:val="none"/>
              </w:rPr>
              <w:t>注：</w:t>
            </w:r>
            <w:r>
              <w:rPr>
                <w:color w:val="auto"/>
                <w:sz w:val="21"/>
                <w:szCs w:val="20"/>
                <w:highlight w:val="none"/>
              </w:rPr>
              <w:t>1.</w:t>
            </w:r>
            <w:r>
              <w:rPr>
                <w:rFonts w:hint="eastAsia" w:ascii="宋体" w:hAnsi="宋体" w:cs="宋体"/>
                <w:color w:val="auto"/>
                <w:szCs w:val="21"/>
                <w:highlight w:val="none"/>
              </w:rPr>
              <w:t xml:space="preserve"> </w:t>
            </w:r>
            <w:r>
              <w:rPr>
                <w:rFonts w:hint="eastAsia" w:ascii="宋体" w:hAnsi="宋体" w:cs="宋体"/>
                <w:color w:val="auto"/>
                <w:sz w:val="21"/>
                <w:szCs w:val="20"/>
                <w:highlight w:val="none"/>
              </w:rPr>
              <w:t>单洞长度，对于具有双洞的隧道，其承担隧道长度以左右线隧道长度较长的为准；若只有单洞的，则以承担单洞隧道长度数据为准。隧道单洞长度不含斜井、竖井、支洞。</w:t>
            </w:r>
          </w:p>
          <w:p>
            <w:pPr>
              <w:pStyle w:val="37"/>
              <w:ind w:left="321" w:leftChars="153" w:firstLine="1"/>
              <w:rPr>
                <w:rFonts w:hint="eastAsia" w:ascii="宋体" w:hAnsi="宋体" w:cs="宋体"/>
                <w:color w:val="auto"/>
                <w:sz w:val="21"/>
                <w:szCs w:val="20"/>
                <w:highlight w:val="none"/>
              </w:rPr>
            </w:pPr>
            <w:r>
              <w:rPr>
                <w:rFonts w:hint="eastAsia" w:ascii="宋体" w:hAnsi="宋体" w:cs="宋体"/>
                <w:color w:val="auto"/>
                <w:sz w:val="21"/>
                <w:szCs w:val="20"/>
                <w:highlight w:val="none"/>
              </w:rPr>
              <w:t>2. 特长隧道工程可为路基土建工程中包含的内容或者单独隧道工程合同的项目。根据项目具体情况，若存在特殊隧道或特长隧道或特别复杂的隧道，需要增加特殊要求时，可对隧道形式或隧道单洞长度进行要求，但不得设置过高的要求。</w:t>
            </w:r>
          </w:p>
          <w:p>
            <w:pPr>
              <w:pStyle w:val="2"/>
              <w:rPr>
                <w:color w:val="auto"/>
                <w:highlight w:val="none"/>
              </w:rPr>
            </w:pP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级及以上公路路面工程施工监理项目中担任过（□总监理工程师、□或副总监理工程师、□或驻地监理工程师、□或副驻地监理工程师、□或专业监理工程师）职务。</w:t>
            </w:r>
          </w:p>
          <w:p>
            <w:pPr>
              <w:pStyle w:val="276"/>
              <w:adjustRightInd w:val="0"/>
              <w:snapToGrid w:val="0"/>
              <w:spacing w:line="400" w:lineRule="exact"/>
              <w:ind w:left="527" w:hanging="527" w:hangingChars="250"/>
              <w:rPr>
                <w:rFonts w:hint="eastAsia" w:ascii="宋体" w:hAnsi="宋体" w:cs="宋体"/>
                <w:color w:val="auto"/>
                <w:szCs w:val="21"/>
                <w:highlight w:val="none"/>
                <w:u w:val="single"/>
              </w:rPr>
            </w:pPr>
            <w:r>
              <w:rPr>
                <w:rFonts w:hint="eastAsia" w:ascii="宋体" w:hAnsi="宋体" w:cs="宋体"/>
                <w:b/>
                <w:color w:val="auto"/>
                <w:szCs w:val="21"/>
                <w:highlight w:val="none"/>
              </w:rPr>
              <w:t xml:space="preserve">□ </w:t>
            </w:r>
            <w:r>
              <w:rPr>
                <w:rFonts w:hint="eastAsia" w:ascii="宋体" w:hAnsi="宋体" w:cs="宋体"/>
                <w:bCs/>
                <w:color w:val="auto"/>
                <w:szCs w:val="21"/>
                <w:highlight w:val="none"/>
              </w:rPr>
              <w:t>至少</w:t>
            </w:r>
            <w:r>
              <w:rPr>
                <w:rFonts w:hint="eastAsia" w:ascii="宋体" w:hAnsi="宋体" w:cs="宋体"/>
                <w:color w:val="auto"/>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w:t>
            </w:r>
            <w:r>
              <w:rPr>
                <w:rFonts w:hint="eastAsia" w:ascii="宋体" w:hAnsi="宋体" w:cs="宋体"/>
                <w:color w:val="auto"/>
                <w:szCs w:val="21"/>
                <w:highlight w:val="none"/>
                <w:u w:val="single"/>
              </w:rPr>
              <w:t xml:space="preserve">     </w:t>
            </w:r>
          </w:p>
          <w:p>
            <w:pPr>
              <w:pStyle w:val="276"/>
              <w:adjustRightInd w:val="0"/>
              <w:snapToGrid w:val="0"/>
              <w:spacing w:line="400" w:lineRule="exact"/>
              <w:ind w:left="525" w:hanging="525" w:hangingChars="250"/>
              <w:rPr>
                <w:rFonts w:hint="eastAsia" w:ascii="宋体" w:hAnsi="宋体" w:cs="宋体"/>
                <w:color w:val="auto"/>
                <w:szCs w:val="21"/>
                <w:highlight w:val="none"/>
              </w:rPr>
            </w:pPr>
            <w:r>
              <w:rPr>
                <w:rFonts w:hint="eastAsia" w:ascii="宋体" w:hAnsi="宋体" w:cs="宋体"/>
                <w:color w:val="auto"/>
                <w:szCs w:val="21"/>
                <w:highlight w:val="none"/>
              </w:rPr>
              <w:t xml:space="preserve">   (□机电工程、□</w:t>
            </w:r>
            <w:r>
              <w:rPr>
                <w:rFonts w:hint="eastAsia"/>
                <w:color w:val="auto"/>
                <w:highlight w:val="none"/>
              </w:rPr>
              <w:t>和</w:t>
            </w:r>
            <w:r>
              <w:rPr>
                <w:rFonts w:hint="eastAsia" w:ascii="宋体" w:hAnsi="宋体" w:cs="宋体"/>
                <w:color w:val="auto"/>
                <w:szCs w:val="21"/>
                <w:highlight w:val="none"/>
              </w:rPr>
              <w:t>□</w:t>
            </w:r>
            <w:r>
              <w:rPr>
                <w:rFonts w:hint="eastAsia"/>
                <w:color w:val="auto"/>
                <w:highlight w:val="none"/>
              </w:rPr>
              <w:t>或 </w:t>
            </w:r>
            <w:r>
              <w:rPr>
                <w:rFonts w:hint="eastAsia" w:ascii="宋体" w:hAnsi="宋体" w:cs="宋体"/>
                <w:color w:val="auto"/>
                <w:szCs w:val="21"/>
                <w:highlight w:val="none"/>
              </w:rPr>
              <w:t>□公路隧道机电)施工监理项目中担任</w:t>
            </w:r>
          </w:p>
          <w:p>
            <w:pPr>
              <w:pStyle w:val="276"/>
              <w:adjustRightInd w:val="0"/>
              <w:snapToGrid w:val="0"/>
              <w:spacing w:line="400" w:lineRule="exact"/>
              <w:ind w:left="525" w:hanging="525" w:hangingChars="250"/>
              <w:rPr>
                <w:rFonts w:hint="eastAsia" w:ascii="宋体" w:hAnsi="宋体" w:cs="宋体"/>
                <w:color w:val="auto"/>
                <w:szCs w:val="21"/>
                <w:highlight w:val="none"/>
              </w:rPr>
            </w:pPr>
            <w:r>
              <w:rPr>
                <w:rFonts w:hint="eastAsia" w:ascii="宋体" w:hAnsi="宋体" w:cs="宋体"/>
                <w:color w:val="auto"/>
                <w:szCs w:val="21"/>
                <w:highlight w:val="none"/>
              </w:rPr>
              <w:t xml:space="preserve">   过（□总监理工程师、□或副总监理工程师、□或驻地</w:t>
            </w:r>
          </w:p>
          <w:p>
            <w:pPr>
              <w:pStyle w:val="276"/>
              <w:adjustRightInd w:val="0"/>
              <w:snapToGrid w:val="0"/>
              <w:spacing w:line="400" w:lineRule="exact"/>
              <w:ind w:left="525" w:hanging="525" w:hangingChars="250"/>
              <w:rPr>
                <w:rFonts w:hint="eastAsia" w:ascii="宋体" w:hAnsi="宋体" w:cs="宋体"/>
                <w:color w:val="auto"/>
                <w:szCs w:val="21"/>
                <w:highlight w:val="none"/>
              </w:rPr>
            </w:pPr>
            <w:r>
              <w:rPr>
                <w:rFonts w:hint="eastAsia" w:ascii="宋体" w:hAnsi="宋体" w:cs="宋体"/>
                <w:color w:val="auto"/>
                <w:szCs w:val="21"/>
                <w:highlight w:val="none"/>
              </w:rPr>
              <w:t xml:space="preserve">   监理工程师、□或副驻地监理工程师、□或专业监理工</w:t>
            </w:r>
          </w:p>
          <w:p>
            <w:pPr>
              <w:pStyle w:val="276"/>
              <w:adjustRightInd w:val="0"/>
              <w:snapToGrid w:val="0"/>
              <w:spacing w:line="400" w:lineRule="exact"/>
              <w:ind w:left="525" w:hanging="525" w:hangingChars="250"/>
              <w:rPr>
                <w:rFonts w:hint="eastAsia" w:ascii="宋体" w:hAnsi="宋体" w:cs="宋体"/>
                <w:color w:val="auto"/>
                <w:szCs w:val="21"/>
                <w:highlight w:val="none"/>
              </w:rPr>
            </w:pPr>
            <w:r>
              <w:rPr>
                <w:rFonts w:hint="eastAsia" w:ascii="宋体" w:hAnsi="宋体" w:cs="宋体"/>
                <w:color w:val="auto"/>
                <w:szCs w:val="21"/>
                <w:highlight w:val="none"/>
              </w:rPr>
              <w:t xml:space="preserve">   程师）职务。</w:t>
            </w:r>
          </w:p>
          <w:p>
            <w:pPr>
              <w:pStyle w:val="276"/>
              <w:adjustRightInd w:val="0"/>
              <w:snapToGrid w:val="0"/>
              <w:spacing w:line="400" w:lineRule="exact"/>
              <w:ind w:left="315" w:leftChars="150" w:firstLine="6" w:firstLineChars="3"/>
              <w:rPr>
                <w:rFonts w:hint="eastAsia" w:ascii="宋体" w:hAnsi="宋体" w:cs="宋体"/>
                <w:color w:val="auto"/>
                <w:szCs w:val="21"/>
                <w:highlight w:val="none"/>
              </w:rPr>
            </w:pPr>
            <w:r>
              <w:rPr>
                <w:rFonts w:hint="eastAsia" w:ascii="宋体" w:hAnsi="宋体" w:cs="宋体"/>
                <w:color w:val="auto"/>
                <w:highlight w:val="none"/>
              </w:rPr>
              <w:t>注：选择项“□机电工程、□公</w:t>
            </w:r>
            <w:r>
              <w:rPr>
                <w:rFonts w:hint="eastAsia" w:ascii="宋体" w:hAnsi="宋体" w:cs="宋体"/>
                <w:color w:val="auto"/>
                <w:szCs w:val="21"/>
                <w:highlight w:val="none"/>
              </w:rPr>
              <w:t>路隧道机电</w:t>
            </w:r>
            <w:r>
              <w:rPr>
                <w:rFonts w:hint="eastAsia" w:ascii="宋体" w:hAnsi="宋体" w:cs="宋体"/>
                <w:color w:val="auto"/>
                <w:highlight w:val="none"/>
              </w:rPr>
              <w:t>”为单选或多选，多选时由招标人根据实际需要设定选择项之间是“或”还是“同时”的关系。</w:t>
            </w:r>
          </w:p>
          <w:p>
            <w:pPr>
              <w:pStyle w:val="276"/>
              <w:adjustRightInd w:val="0"/>
              <w:snapToGrid w:val="0"/>
              <w:spacing w:line="400" w:lineRule="exact"/>
              <w:ind w:left="525" w:hanging="525" w:hangingChars="250"/>
              <w:rPr>
                <w:rFonts w:hint="eastAsia" w:ascii="宋体" w:hAnsi="宋体" w:cs="宋体"/>
                <w:color w:val="auto"/>
                <w:szCs w:val="21"/>
                <w:highlight w:val="none"/>
              </w:rPr>
            </w:pP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 xml:space="preserve"> 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个国内房建工程施工监理项目中担任过（□总监理工程师、□或副总监理工程师、□或驻地监理工程师、□或副驻地监理工程师、□或专业监理工程师）职务。</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p>
          <w:p>
            <w:pPr>
              <w:pStyle w:val="276"/>
              <w:adjustRightInd w:val="0"/>
              <w:snapToGrid w:val="0"/>
              <w:spacing w:line="400" w:lineRule="exact"/>
              <w:ind w:left="323" w:leftChars="153" w:hanging="2"/>
              <w:rPr>
                <w:rFonts w:hint="eastAsia" w:ascii="宋体" w:hAnsi="宋体" w:cs="宋体"/>
                <w:color w:val="auto"/>
                <w:szCs w:val="21"/>
                <w:highlight w:val="none"/>
                <w:u w:val="single"/>
              </w:rPr>
            </w:pPr>
            <w:r>
              <w:rPr>
                <w:rFonts w:hint="eastAsia" w:ascii="宋体" w:hAnsi="宋体"/>
                <w:color w:val="auto"/>
                <w:highlight w:val="none"/>
              </w:rPr>
              <w:t>注：根据招标项目具体特点和实际情况，招标人在满足国家相关法律法规前提下可对主要人员提出其他业绩类型经验要求，但不得设置过高的要求。</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联合体应满足下列要求： </w:t>
            </w:r>
            <w:r>
              <w:rPr>
                <w:rFonts w:hint="eastAsia" w:ascii="宋体" w:hAnsi="宋体" w:cs="宋体"/>
                <w:color w:val="auto"/>
                <w:szCs w:val="21"/>
                <w:highlight w:val="none"/>
                <w:u w:val="single"/>
              </w:rPr>
              <w:t xml:space="preserve">                 </w:t>
            </w:r>
          </w:p>
        </w:tc>
        <w:tc>
          <w:tcPr>
            <w:tcW w:w="1222"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无在岗项目（指目前未在其他项目上任职，或虽在其他项目上任职但本项目中标后能够从该项目撤离）</w:t>
            </w:r>
          </w:p>
        </w:tc>
      </w:tr>
    </w:tbl>
    <w:p>
      <w:pPr>
        <w:rPr>
          <w:rFonts w:hint="eastAsia" w:ascii="宋体" w:hAnsi="宋体" w:cs="宋体"/>
          <w:color w:val="auto"/>
          <w:highlight w:val="none"/>
        </w:rPr>
      </w:pPr>
    </w:p>
    <w:p>
      <w:pPr>
        <w:rPr>
          <w:rFonts w:hint="eastAsia" w:ascii="宋体" w:hAnsi="宋体" w:cs="宋体"/>
          <w:color w:val="auto"/>
          <w:highlight w:val="none"/>
        </w:rPr>
      </w:pPr>
    </w:p>
    <w:p>
      <w:pPr>
        <w:spacing w:line="360" w:lineRule="auto"/>
        <w:jc w:val="left"/>
        <w:rPr>
          <w:rFonts w:hint="eastAsia" w:ascii="宋体" w:hAnsi="宋体" w:cs="宋体"/>
          <w:color w:val="auto"/>
          <w:highlight w:val="none"/>
        </w:rPr>
      </w:pPr>
      <w:r>
        <w:rPr>
          <w:rFonts w:hint="eastAsia" w:ascii="宋体" w:hAnsi="宋体" w:cs="宋体"/>
          <w:color w:val="auto"/>
          <w:highlight w:val="none"/>
        </w:rPr>
        <w:t>注：如驻地监理工程师仍在其他项目上任职，则投标人在投标函中应承诺上述人员能够从该项目撤离。</w:t>
      </w:r>
      <w:r>
        <w:rPr>
          <w:rFonts w:hint="eastAsia" w:ascii="宋体" w:hAnsi="宋体" w:cs="宋体"/>
          <w:color w:val="auto"/>
          <w:highlight w:val="none"/>
        </w:rPr>
        <w:br w:type="page"/>
      </w:r>
    </w:p>
    <w:p>
      <w:pPr>
        <w:pStyle w:val="276"/>
        <w:jc w:val="center"/>
        <w:rPr>
          <w:rFonts w:hint="eastAsia" w:ascii="黑体" w:hAnsi="黑体" w:eastAsia="黑体" w:cs="宋体"/>
          <w:bCs/>
          <w:color w:val="auto"/>
          <w:sz w:val="24"/>
          <w:highlight w:val="none"/>
        </w:rPr>
      </w:pPr>
      <w:r>
        <w:rPr>
          <w:rFonts w:hint="eastAsia" w:ascii="黑体" w:hAnsi="黑体" w:eastAsia="黑体" w:cs="宋体"/>
          <w:bCs/>
          <w:color w:val="auto"/>
          <w:sz w:val="24"/>
          <w:highlight w:val="none"/>
        </w:rPr>
        <w:t>□ 试验室主任</w:t>
      </w:r>
    </w:p>
    <w:p>
      <w:pPr>
        <w:rPr>
          <w:rFonts w:hint="eastAsia" w:ascii="宋体" w:hAnsi="宋体" w:cs="宋体"/>
          <w:color w:val="auto"/>
          <w:highlight w:val="none"/>
        </w:rPr>
      </w:pPr>
    </w:p>
    <w:tbl>
      <w:tblPr>
        <w:tblStyle w:val="48"/>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868"/>
        <w:gridCol w:w="536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988"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868"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5369"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c>
          <w:tcPr>
            <w:tcW w:w="1417"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在岗情况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8" w:hRule="atLeast"/>
          <w:jc w:val="center"/>
        </w:trPr>
        <w:tc>
          <w:tcPr>
            <w:tcW w:w="988" w:type="dxa"/>
            <w:vAlign w:val="center"/>
          </w:tcPr>
          <w:p>
            <w:pPr>
              <w:pStyle w:val="276"/>
              <w:spacing w:line="400" w:lineRule="exact"/>
              <w:rPr>
                <w:rFonts w:hint="eastAsia" w:ascii="宋体" w:hAnsi="宋体" w:cs="宋体"/>
                <w:color w:val="auto"/>
                <w:szCs w:val="21"/>
                <w:highlight w:val="none"/>
              </w:rPr>
            </w:pPr>
          </w:p>
        </w:tc>
        <w:tc>
          <w:tcPr>
            <w:tcW w:w="868" w:type="dxa"/>
            <w:vAlign w:val="center"/>
          </w:tcPr>
          <w:p>
            <w:pPr>
              <w:pStyle w:val="276"/>
              <w:spacing w:line="400" w:lineRule="exact"/>
              <w:rPr>
                <w:rFonts w:hint="eastAsia" w:ascii="宋体" w:hAnsi="宋体" w:cs="宋体"/>
                <w:color w:val="auto"/>
                <w:szCs w:val="21"/>
                <w:highlight w:val="none"/>
              </w:rPr>
            </w:pPr>
          </w:p>
        </w:tc>
        <w:tc>
          <w:tcPr>
            <w:tcW w:w="5369" w:type="dxa"/>
            <w:vAlign w:val="center"/>
          </w:tcPr>
          <w:p>
            <w:pPr>
              <w:pStyle w:val="276"/>
              <w:adjustRightInd w:val="0"/>
              <w:snapToGrid w:val="0"/>
              <w:spacing w:line="400" w:lineRule="exact"/>
              <w:ind w:left="422" w:hanging="421" w:hangingChars="2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具有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（专业）（□工程师；□高级工程师）及</w:t>
            </w:r>
          </w:p>
          <w:p>
            <w:pPr>
              <w:pStyle w:val="276"/>
              <w:adjustRightInd w:val="0"/>
              <w:snapToGrid w:val="0"/>
              <w:spacing w:line="400" w:lineRule="exact"/>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 xml:space="preserve">   以上技术职称；</w:t>
            </w:r>
          </w:p>
          <w:p>
            <w:pPr>
              <w:pStyle w:val="276"/>
              <w:adjustRightInd w:val="0"/>
              <w:snapToGrid w:val="0"/>
              <w:spacing w:line="400" w:lineRule="exact"/>
              <w:ind w:left="417" w:leftChars="144" w:hanging="115" w:hangingChars="55"/>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本项为单选项。</w:t>
            </w:r>
          </w:p>
          <w:p>
            <w:pPr>
              <w:adjustRightInd w:val="0"/>
              <w:snapToGrid w:val="0"/>
              <w:spacing w:line="400" w:lineRule="exact"/>
              <w:rPr>
                <w:color w:val="auto"/>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具有交通运输相关部门颁发的</w:t>
            </w:r>
            <w:r>
              <w:rPr>
                <w:rFonts w:hint="eastAsia"/>
                <w:color w:val="auto"/>
                <w:highlight w:val="none"/>
              </w:rPr>
              <w:t>公路水运工程试验检测</w:t>
            </w:r>
          </w:p>
          <w:p>
            <w:pPr>
              <w:adjustRightInd w:val="0"/>
              <w:snapToGrid w:val="0"/>
              <w:spacing w:line="400" w:lineRule="exact"/>
              <w:rPr>
                <w:rFonts w:hint="eastAsia" w:ascii="宋体" w:hAnsi="宋体" w:cs="宋体"/>
                <w:color w:val="auto"/>
                <w:szCs w:val="21"/>
                <w:highlight w:val="none"/>
              </w:rPr>
            </w:pPr>
            <w:r>
              <w:rPr>
                <w:color w:val="auto"/>
                <w:highlight w:val="none"/>
              </w:rPr>
              <w:t xml:space="preserve">   </w:t>
            </w:r>
            <w:r>
              <w:rPr>
                <w:rFonts w:hint="eastAsia"/>
                <w:color w:val="auto"/>
                <w:highlight w:val="none"/>
              </w:rPr>
              <w:t>工程师</w:t>
            </w:r>
            <w:r>
              <w:rPr>
                <w:rFonts w:hint="eastAsia" w:ascii="宋体" w:hAnsi="宋体" w:cs="宋体"/>
                <w:color w:val="auto"/>
                <w:szCs w:val="21"/>
                <w:highlight w:val="none"/>
              </w:rPr>
              <w:t>证书；</w:t>
            </w:r>
          </w:p>
          <w:p>
            <w:pPr>
              <w:pStyle w:val="2"/>
              <w:ind w:left="300" w:leftChars="143" w:firstLine="1" w:firstLineChars="0"/>
              <w:rPr>
                <w:color w:val="auto"/>
                <w:highlight w:val="none"/>
              </w:rPr>
            </w:pPr>
            <w:r>
              <w:rPr>
                <w:rFonts w:hint="eastAsia"/>
                <w:color w:val="auto"/>
                <w:highlight w:val="none"/>
              </w:rPr>
              <w:t>注：</w:t>
            </w:r>
            <w:r>
              <w:rPr>
                <w:rFonts w:hint="eastAsia" w:ascii="宋体" w:hAnsi="宋体" w:cs="宋体"/>
                <w:color w:val="auto"/>
                <w:highlight w:val="none"/>
              </w:rPr>
              <w:t>指取得交通运输相关部门颁发的公路水运工程试验检测工程师证书的从业人员，资格证书可为公路工程试验检测工程师或（公路）检师或公路水运工程试验检测师或新的管理办法下颁发的同类型资格证书。</w:t>
            </w:r>
          </w:p>
          <w:p>
            <w:pPr>
              <w:spacing w:line="400" w:lineRule="exact"/>
              <w:ind w:left="211" w:hanging="210" w:hangingChars="100"/>
              <w:rPr>
                <w:color w:val="auto"/>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w:t>
            </w:r>
            <w:r>
              <w:rPr>
                <w:rFonts w:hint="eastAsia"/>
                <w:color w:val="auto"/>
                <w:highlight w:val="none"/>
              </w:rPr>
              <w:t>投标截止日所在月上个月或上上个月起之前在其</w:t>
            </w:r>
            <w:r>
              <w:rPr>
                <w:rFonts w:hint="eastAsia" w:ascii="宋体" w:hAnsi="宋体" w:cs="宋体"/>
                <w:color w:val="auto"/>
                <w:szCs w:val="21"/>
                <w:highlight w:val="none"/>
              </w:rPr>
              <w:t>投标</w:t>
            </w:r>
          </w:p>
          <w:p>
            <w:pPr>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单位连续6个月参加社保；</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级及以上公路工</w:t>
            </w:r>
          </w:p>
          <w:p>
            <w:pPr>
              <w:pStyle w:val="276"/>
              <w:adjustRightInd w:val="0"/>
              <w:snapToGrid w:val="0"/>
              <w:spacing w:line="400" w:lineRule="exact"/>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 xml:space="preserve">   程项目中担任过（□试验室主任、□或技术负责人）</w:t>
            </w:r>
          </w:p>
          <w:p>
            <w:pPr>
              <w:pStyle w:val="276"/>
              <w:adjustRightInd w:val="0"/>
              <w:snapToGrid w:val="0"/>
              <w:spacing w:line="400" w:lineRule="exact"/>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 xml:space="preserve">   职务。</w:t>
            </w:r>
          </w:p>
          <w:p>
            <w:pPr>
              <w:pStyle w:val="276"/>
              <w:adjustRightInd w:val="0"/>
              <w:snapToGrid w:val="0"/>
              <w:spacing w:line="400" w:lineRule="exact"/>
              <w:ind w:left="300" w:leftChars="143" w:firstLine="1"/>
              <w:rPr>
                <w:rFonts w:hint="eastAsia" w:ascii="宋体" w:hAnsi="宋体" w:cs="宋体"/>
                <w:color w:val="auto"/>
                <w:szCs w:val="21"/>
                <w:highlight w:val="none"/>
              </w:rPr>
            </w:pPr>
            <w:r>
              <w:rPr>
                <w:rFonts w:hint="eastAsia" w:ascii="宋体" w:hAnsi="宋体"/>
                <w:color w:val="auto"/>
                <w:highlight w:val="none"/>
              </w:rPr>
              <w:t>注：本表该选择项由招标人对主要人员业绩经验担任的相应职务进行要求，可为单选或多选，下同。</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p>
          <w:p>
            <w:pPr>
              <w:pStyle w:val="276"/>
              <w:adjustRightInd w:val="0"/>
              <w:snapToGrid w:val="0"/>
              <w:spacing w:line="400" w:lineRule="exact"/>
              <w:ind w:left="300" w:leftChars="143" w:firstLine="1"/>
              <w:rPr>
                <w:rFonts w:hint="eastAsia" w:ascii="宋体" w:hAnsi="宋体" w:cs="宋体"/>
                <w:color w:val="auto"/>
                <w:szCs w:val="21"/>
                <w:highlight w:val="none"/>
                <w:u w:val="single"/>
              </w:rPr>
            </w:pPr>
            <w:r>
              <w:rPr>
                <w:rFonts w:hint="eastAsia" w:ascii="宋体" w:hAnsi="宋体" w:cs="宋体"/>
                <w:color w:val="auto"/>
                <w:szCs w:val="21"/>
                <w:highlight w:val="none"/>
              </w:rPr>
              <w:t>注：</w:t>
            </w:r>
            <w:r>
              <w:rPr>
                <w:rFonts w:hint="eastAsia" w:ascii="宋体" w:hAnsi="宋体"/>
                <w:color w:val="auto"/>
                <w:highlight w:val="none"/>
              </w:rPr>
              <w:t>根据招标项目具体特点和实际情况，招标人在满足国家相关法律法规前提下可对主要人员提出其他业绩类型经验要求，但不得设置过高的要求。</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联合体应满足下列要求： </w:t>
            </w:r>
            <w:r>
              <w:rPr>
                <w:rFonts w:hint="eastAsia" w:ascii="宋体" w:hAnsi="宋体" w:cs="宋体"/>
                <w:color w:val="auto"/>
                <w:szCs w:val="21"/>
                <w:highlight w:val="none"/>
                <w:u w:val="single"/>
              </w:rPr>
              <w:t xml:space="preserve">                 </w:t>
            </w:r>
          </w:p>
        </w:tc>
        <w:tc>
          <w:tcPr>
            <w:tcW w:w="1417"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无在岗项目（指目前未在其他项目上任职，或虽在其他项目上任职但本项目中标后能够从该项目撤离）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8642" w:type="dxa"/>
            <w:gridSpan w:val="4"/>
            <w:vAlign w:val="center"/>
          </w:tcPr>
          <w:p>
            <w:pPr>
              <w:pStyle w:val="37"/>
              <w:ind w:left="420" w:hanging="420" w:hangingChars="200"/>
              <w:rPr>
                <w:rFonts w:hint="eastAsia" w:ascii="宋体" w:hAnsi="宋体" w:cs="宋体"/>
                <w:color w:val="auto"/>
                <w:sz w:val="21"/>
                <w:szCs w:val="24"/>
                <w:highlight w:val="none"/>
              </w:rPr>
            </w:pPr>
            <w:r>
              <w:rPr>
                <w:rFonts w:hint="eastAsia" w:ascii="宋体" w:hAnsi="宋体" w:cs="宋体"/>
                <w:color w:val="auto"/>
                <w:sz w:val="21"/>
                <w:szCs w:val="24"/>
                <w:highlight w:val="none"/>
              </w:rPr>
              <w:t>注：</w:t>
            </w:r>
            <w:r>
              <w:rPr>
                <w:color w:val="auto"/>
                <w:sz w:val="21"/>
                <w:szCs w:val="24"/>
                <w:highlight w:val="none"/>
              </w:rPr>
              <w:t>1.</w:t>
            </w:r>
            <w:r>
              <w:rPr>
                <w:rFonts w:hint="eastAsia" w:ascii="宋体" w:hAnsi="宋体" w:cs="宋体"/>
                <w:color w:val="auto"/>
                <w:sz w:val="21"/>
                <w:szCs w:val="24"/>
                <w:highlight w:val="none"/>
              </w:rPr>
              <w:t>对试验室主任提出要求仅适用于监理招标范围中包含监理试验室的情形，对应人员的相关证明材料应由试验检测机构提供。</w:t>
            </w:r>
          </w:p>
          <w:p>
            <w:pPr>
              <w:pStyle w:val="276"/>
              <w:spacing w:line="400" w:lineRule="exact"/>
              <w:ind w:left="307" w:leftChars="146" w:firstLine="140" w:firstLineChars="67"/>
              <w:jc w:val="left"/>
              <w:rPr>
                <w:rFonts w:hint="eastAsia" w:ascii="宋体" w:hAnsi="宋体" w:cs="宋体"/>
                <w:color w:val="auto"/>
                <w:szCs w:val="21"/>
                <w:highlight w:val="none"/>
              </w:rPr>
            </w:pPr>
            <w:r>
              <w:rPr>
                <w:rFonts w:hint="eastAsia" w:ascii="宋体" w:hAnsi="宋体" w:cs="宋体"/>
                <w:color w:val="auto"/>
                <w:highlight w:val="none"/>
              </w:rPr>
              <w:t>2.如试验室主任仍在其他项目上任职，则投标人在投标函中应承诺上述人员能够从该项目撤离。</w:t>
            </w:r>
          </w:p>
        </w:tc>
      </w:tr>
    </w:tbl>
    <w:p>
      <w:pPr>
        <w:pStyle w:val="276"/>
        <w:rPr>
          <w:rFonts w:hint="eastAsia" w:ascii="宋体" w:hAnsi="宋体" w:cs="宋体"/>
          <w:color w:val="auto"/>
          <w:highlight w:val="none"/>
        </w:rPr>
        <w:sectPr>
          <w:footnotePr>
            <w:numFmt w:val="decimalEnclosedCircleChinese"/>
            <w:numRestart w:val="eachPage"/>
          </w:footnotePr>
          <w:type w:val="continuous"/>
          <w:pgSz w:w="11900" w:h="16840"/>
          <w:pgMar w:top="1418" w:right="1418" w:bottom="1418" w:left="1701" w:header="885" w:footer="624" w:gutter="0"/>
          <w:cols w:space="720" w:num="1"/>
          <w:docGrid w:linePitch="312" w:charSpace="0"/>
        </w:sectPr>
      </w:pPr>
    </w:p>
    <w:p>
      <w:pPr>
        <w:rPr>
          <w:rFonts w:hint="eastAsia" w:ascii="宋体" w:hAnsi="宋体" w:cs="宋体"/>
          <w:color w:val="auto"/>
          <w:szCs w:val="21"/>
          <w:highlight w:val="none"/>
        </w:rPr>
      </w:pPr>
      <w:bookmarkStart w:id="65" w:name="_Toc28187715"/>
      <w:bookmarkStart w:id="66" w:name="_Toc523921592"/>
      <w:r>
        <w:rPr>
          <w:rFonts w:hint="eastAsia" w:ascii="宋体" w:hAnsi="宋体" w:cs="宋体"/>
          <w:color w:val="auto"/>
          <w:szCs w:val="21"/>
          <w:highlight w:val="none"/>
        </w:rPr>
        <w:t>注：对主要人员[指总监理工程师、副总监理工程师（如有）、驻地监理工程师（如有）、试验室主任（如有）]的最低要求由招标人在满足国家相关法律、法规前提下，根据招标项目具体特点和实际情况确定。</w:t>
      </w:r>
    </w:p>
    <w:p>
      <w:pPr>
        <w:pStyle w:val="2"/>
        <w:rPr>
          <w:color w:val="auto"/>
          <w:highlight w:val="none"/>
        </w:rPr>
      </w:pPr>
    </w:p>
    <w:p>
      <w:pPr>
        <w:pStyle w:val="6"/>
        <w:rPr>
          <w:rFonts w:hint="eastAsia" w:ascii="黑体" w:hAnsi="黑体" w:cs="黑体"/>
          <w:color w:val="auto"/>
          <w:szCs w:val="28"/>
          <w:highlight w:val="none"/>
        </w:rPr>
      </w:pPr>
      <w:r>
        <w:rPr>
          <w:rStyle w:val="111"/>
          <w:b/>
          <w:bCs/>
          <w:color w:val="auto"/>
          <w:highlight w:val="none"/>
        </w:rPr>
        <w:sym w:font="Wingdings 2" w:char="00A3"/>
      </w:r>
      <w:r>
        <w:rPr>
          <w:rStyle w:val="111"/>
          <w:b/>
          <w:bCs/>
          <w:color w:val="auto"/>
          <w:highlight w:val="none"/>
        </w:rPr>
        <w:t xml:space="preserve"> </w:t>
      </w:r>
      <w:r>
        <w:rPr>
          <w:rStyle w:val="111"/>
          <w:rFonts w:hint="eastAsia"/>
          <w:b/>
          <w:bCs/>
          <w:color w:val="auto"/>
          <w:highlight w:val="none"/>
        </w:rPr>
        <w:t>附录</w:t>
      </w:r>
      <w:r>
        <w:rPr>
          <w:rStyle w:val="111"/>
          <w:b/>
          <w:bCs/>
          <w:color w:val="auto"/>
          <w:highlight w:val="none"/>
        </w:rPr>
        <w:t xml:space="preserve">5  </w:t>
      </w:r>
      <w:r>
        <w:rPr>
          <w:rStyle w:val="111"/>
          <w:rFonts w:hint="eastAsia"/>
          <w:b/>
          <w:bCs/>
          <w:color w:val="auto"/>
          <w:highlight w:val="none"/>
        </w:rPr>
        <w:t>资格审查条件（其他主要监理人员最低要求）</w:t>
      </w:r>
      <w:bookmarkEnd w:id="65"/>
      <w:bookmarkEnd w:id="66"/>
    </w:p>
    <w:p>
      <w:pPr>
        <w:pStyle w:val="276"/>
        <w:jc w:val="center"/>
        <w:rPr>
          <w:rFonts w:hint="eastAsia" w:ascii="黑体" w:hAnsi="黑体" w:eastAsia="黑体" w:cs="宋体"/>
          <w:bCs/>
          <w:color w:val="auto"/>
          <w:sz w:val="24"/>
          <w:highlight w:val="none"/>
        </w:rPr>
      </w:pPr>
      <w:r>
        <w:rPr>
          <w:rFonts w:hint="eastAsia" w:ascii="黑体" w:hAnsi="黑体" w:eastAsia="黑体" w:cs="宋体"/>
          <w:bCs/>
          <w:color w:val="auto"/>
          <w:sz w:val="24"/>
          <w:highlight w:val="none"/>
        </w:rPr>
        <w:t>□ 桥梁专业监理工程师</w:t>
      </w:r>
    </w:p>
    <w:p>
      <w:pPr>
        <w:jc w:val="center"/>
        <w:rPr>
          <w:rFonts w:hint="eastAsia" w:ascii="宋体" w:hAnsi="宋体" w:cs="宋体"/>
          <w:b/>
          <w:color w:val="auto"/>
          <w:sz w:val="28"/>
          <w:szCs w:val="28"/>
          <w:highlight w:val="none"/>
        </w:rPr>
      </w:pPr>
    </w:p>
    <w:tbl>
      <w:tblPr>
        <w:tblStyle w:val="4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761"/>
        <w:gridCol w:w="7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88"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761"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7177"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3" w:hRule="atLeast"/>
          <w:jc w:val="center"/>
        </w:trPr>
        <w:tc>
          <w:tcPr>
            <w:tcW w:w="988" w:type="dxa"/>
          </w:tcPr>
          <w:p>
            <w:pPr>
              <w:pStyle w:val="276"/>
              <w:spacing w:line="400" w:lineRule="exact"/>
              <w:rPr>
                <w:rFonts w:hint="eastAsia" w:ascii="宋体" w:hAnsi="宋体" w:cs="宋体"/>
                <w:color w:val="auto"/>
                <w:szCs w:val="21"/>
                <w:highlight w:val="none"/>
              </w:rPr>
            </w:pPr>
          </w:p>
        </w:tc>
        <w:tc>
          <w:tcPr>
            <w:tcW w:w="761" w:type="dxa"/>
            <w:vAlign w:val="center"/>
          </w:tcPr>
          <w:p>
            <w:pPr>
              <w:pStyle w:val="276"/>
              <w:spacing w:line="400" w:lineRule="exact"/>
              <w:rPr>
                <w:rFonts w:hint="eastAsia" w:ascii="宋体" w:hAnsi="宋体" w:cs="宋体"/>
                <w:color w:val="auto"/>
                <w:szCs w:val="21"/>
                <w:highlight w:val="none"/>
              </w:rPr>
            </w:pPr>
          </w:p>
        </w:tc>
        <w:tc>
          <w:tcPr>
            <w:tcW w:w="7177"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具备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（专业）（□工程师；□高级工程师）及以上技术职称；</w:t>
            </w:r>
          </w:p>
          <w:p>
            <w:pPr>
              <w:pStyle w:val="276"/>
              <w:spacing w:line="400" w:lineRule="exact"/>
              <w:ind w:firstLine="268" w:firstLineChars="128"/>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本项为单选项。</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具有交通运输部颁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专业监理工程师资格证书及以上或人力资源和</w:t>
            </w:r>
          </w:p>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社会保障部颁的交通运输工程监理工程师证书（注册专业：公路工程）</w:t>
            </w:r>
          </w:p>
          <w:p>
            <w:pPr>
              <w:pStyle w:val="276"/>
              <w:spacing w:line="400" w:lineRule="exact"/>
              <w:ind w:left="199" w:leftChars="95" w:firstLine="105" w:firstLineChars="50"/>
              <w:jc w:val="left"/>
              <w:rPr>
                <w:rFonts w:hint="eastAsia" w:ascii="宋体" w:hAnsi="宋体" w:cs="宋体"/>
                <w:color w:val="auto"/>
                <w:szCs w:val="21"/>
                <w:highlight w:val="none"/>
              </w:rPr>
            </w:pPr>
            <w:r>
              <w:rPr>
                <w:rFonts w:hint="eastAsia" w:ascii="宋体" w:hAnsi="宋体" w:cs="宋体"/>
                <w:color w:val="auto"/>
                <w:szCs w:val="21"/>
                <w:highlight w:val="none"/>
              </w:rPr>
              <w:t>或人力资源和社会保障部颁的监理工程师证书（专业：交通运输工程），</w:t>
            </w:r>
          </w:p>
          <w:p>
            <w:pPr>
              <w:pStyle w:val="276"/>
              <w:wordWrap w:val="0"/>
              <w:spacing w:line="400" w:lineRule="exact"/>
              <w:ind w:left="199" w:leftChars="95"/>
              <w:jc w:val="left"/>
              <w:rPr>
                <w:rFonts w:hint="eastAsia" w:ascii="宋体" w:hAnsi="宋体" w:cs="宋体"/>
                <w:color w:val="auto"/>
                <w:szCs w:val="21"/>
                <w:highlight w:val="none"/>
              </w:rPr>
            </w:pPr>
            <w:r>
              <w:rPr>
                <w:rFonts w:hint="eastAsia" w:ascii="宋体" w:hAnsi="宋体" w:cs="宋体"/>
                <w:color w:val="auto"/>
                <w:szCs w:val="21"/>
                <w:highlight w:val="none"/>
              </w:rPr>
              <w:t>并在“全国公路建设市场监督管理系统（https://hwdms.mot.gov.cn/BMWebSite/）”中登记在投标人单位的注册监理人员列表中；</w:t>
            </w:r>
          </w:p>
          <w:p>
            <w:pPr>
              <w:pStyle w:val="276"/>
              <w:wordWrap w:val="0"/>
              <w:spacing w:line="400" w:lineRule="exact"/>
              <w:ind w:left="199" w:leftChars="95"/>
              <w:jc w:val="lef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交通运输部颁发的专业监理工程师包括：专业监理工程师（道路与桥梁）、专业监理工程师（隧道）、专业监理工程师（机电工程）、专业监理工程师（公路工程经济）。</w:t>
            </w:r>
          </w:p>
          <w:p>
            <w:pPr>
              <w:adjustRightInd w:val="0"/>
              <w:snapToGrid w:val="0"/>
              <w:spacing w:line="400" w:lineRule="exact"/>
              <w:ind w:left="422" w:hanging="421" w:hangingChars="2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w:t>
            </w:r>
            <w:r>
              <w:rPr>
                <w:rFonts w:hint="eastAsia"/>
                <w:color w:val="auto"/>
                <w:highlight w:val="none"/>
              </w:rPr>
              <w:t>投标截止日所在月上个月或上上个月起之前在其</w:t>
            </w:r>
            <w:r>
              <w:rPr>
                <w:rFonts w:hint="eastAsia" w:ascii="宋体" w:hAnsi="宋体" w:cs="宋体"/>
                <w:color w:val="auto"/>
                <w:szCs w:val="21"/>
                <w:highlight w:val="none"/>
              </w:rPr>
              <w:t>投标单位连续6个月</w:t>
            </w:r>
          </w:p>
          <w:p>
            <w:pPr>
              <w:pStyle w:val="276"/>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参加社保；</w:t>
            </w:r>
          </w:p>
          <w:p>
            <w:pPr>
              <w:pStyle w:val="276"/>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级及以上公路（□大桥及以上；□</w:t>
            </w:r>
          </w:p>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特大桥）施工监理项目中担任过桥梁专业监理工程师职务。</w:t>
            </w:r>
          </w:p>
          <w:p>
            <w:pPr>
              <w:pStyle w:val="276"/>
              <w:spacing w:line="400" w:lineRule="exact"/>
              <w:ind w:left="269" w:leftChars="128"/>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color w:val="auto"/>
                <w:highlight w:val="none"/>
              </w:rPr>
              <w:t>该桥梁工程可为路基土建工程中包含的内容或者单独桥梁工程合同的项目</w:t>
            </w:r>
            <w:r>
              <w:rPr>
                <w:rFonts w:hint="eastAsia" w:ascii="宋体" w:hAnsi="宋体"/>
                <w:color w:val="auto"/>
                <w:highlight w:val="none"/>
              </w:rPr>
              <w:t>。</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p>
          <w:p>
            <w:pPr>
              <w:pStyle w:val="276"/>
              <w:adjustRightInd w:val="0"/>
              <w:snapToGrid w:val="0"/>
              <w:spacing w:line="400" w:lineRule="exact"/>
              <w:ind w:left="269" w:leftChars="128"/>
              <w:rPr>
                <w:rFonts w:hint="eastAsia" w:ascii="宋体" w:hAnsi="宋体" w:cs="宋体"/>
                <w:color w:val="auto"/>
                <w:szCs w:val="21"/>
                <w:highlight w:val="none"/>
                <w:u w:val="single"/>
              </w:rPr>
            </w:pPr>
            <w:r>
              <w:rPr>
                <w:rFonts w:hint="eastAsia" w:ascii="宋体" w:hAnsi="宋体"/>
                <w:color w:val="auto"/>
                <w:highlight w:val="none"/>
              </w:rPr>
              <w:t>注：根据招标项目具体特点和实际情况，招标人在满足国家相关法律法规前提下可对其他主要监理人员提出其他业绩类型经验要求，但不得设置过高的要求。</w:t>
            </w:r>
          </w:p>
          <w:p>
            <w:pPr>
              <w:pStyle w:val="276"/>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联合体应满足下列要求： </w:t>
            </w:r>
            <w:r>
              <w:rPr>
                <w:rFonts w:hint="eastAsia" w:ascii="宋体" w:hAnsi="宋体" w:cs="宋体"/>
                <w:color w:val="auto"/>
                <w:szCs w:val="21"/>
                <w:highlight w:val="none"/>
                <w:u w:val="single"/>
              </w:rPr>
              <w:t xml:space="preserve">                 </w:t>
            </w:r>
          </w:p>
        </w:tc>
      </w:tr>
    </w:tbl>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pStyle w:val="276"/>
        <w:jc w:val="center"/>
        <w:rPr>
          <w:rFonts w:hint="eastAsia" w:ascii="黑体" w:hAnsi="黑体" w:eastAsia="黑体" w:cs="宋体"/>
          <w:bCs/>
          <w:color w:val="auto"/>
          <w:sz w:val="24"/>
          <w:highlight w:val="none"/>
        </w:rPr>
      </w:pPr>
      <w:r>
        <w:rPr>
          <w:rFonts w:hint="eastAsia" w:ascii="宋体" w:hAnsi="宋体" w:cs="宋体"/>
          <w:b/>
          <w:color w:val="auto"/>
          <w:sz w:val="28"/>
          <w:szCs w:val="28"/>
          <w:highlight w:val="none"/>
        </w:rPr>
        <w:br w:type="page"/>
      </w:r>
      <w:r>
        <w:rPr>
          <w:rFonts w:hint="eastAsia" w:ascii="黑体" w:hAnsi="黑体" w:eastAsia="黑体" w:cs="宋体"/>
          <w:bCs/>
          <w:color w:val="auto"/>
          <w:sz w:val="24"/>
          <w:highlight w:val="none"/>
        </w:rPr>
        <w:t>□ 隧道专业监理工程师</w:t>
      </w:r>
    </w:p>
    <w:p>
      <w:pPr>
        <w:rPr>
          <w:rFonts w:hint="eastAsia" w:ascii="宋体" w:hAnsi="宋体" w:cs="宋体"/>
          <w:color w:val="auto"/>
          <w:highlight w:val="none"/>
        </w:rPr>
      </w:pPr>
    </w:p>
    <w:tbl>
      <w:tblPr>
        <w:tblStyle w:val="48"/>
        <w:tblW w:w="8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824"/>
        <w:gridCol w:w="6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990"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8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6832"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5" w:hRule="atLeast"/>
          <w:jc w:val="center"/>
        </w:trPr>
        <w:tc>
          <w:tcPr>
            <w:tcW w:w="990" w:type="dxa"/>
          </w:tcPr>
          <w:p>
            <w:pPr>
              <w:pStyle w:val="276"/>
              <w:adjustRightInd w:val="0"/>
              <w:snapToGrid w:val="0"/>
              <w:spacing w:line="400" w:lineRule="exact"/>
              <w:rPr>
                <w:rFonts w:hint="eastAsia" w:ascii="宋体" w:hAnsi="宋体" w:cs="宋体"/>
                <w:color w:val="auto"/>
                <w:szCs w:val="21"/>
                <w:highlight w:val="none"/>
              </w:rPr>
            </w:pPr>
          </w:p>
        </w:tc>
        <w:tc>
          <w:tcPr>
            <w:tcW w:w="824" w:type="dxa"/>
            <w:vAlign w:val="center"/>
          </w:tcPr>
          <w:p>
            <w:pPr>
              <w:pStyle w:val="276"/>
              <w:adjustRightInd w:val="0"/>
              <w:snapToGrid w:val="0"/>
              <w:spacing w:line="400" w:lineRule="exact"/>
              <w:rPr>
                <w:rFonts w:hint="eastAsia" w:ascii="宋体" w:hAnsi="宋体" w:cs="宋体"/>
                <w:color w:val="auto"/>
                <w:szCs w:val="21"/>
                <w:highlight w:val="none"/>
              </w:rPr>
            </w:pPr>
          </w:p>
        </w:tc>
        <w:tc>
          <w:tcPr>
            <w:tcW w:w="683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具备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（专业）（□工程师；□高级工程师）及以上技术职称；</w:t>
            </w:r>
          </w:p>
          <w:p>
            <w:pPr>
              <w:pStyle w:val="276"/>
              <w:spacing w:line="400" w:lineRule="exact"/>
              <w:ind w:firstLine="268" w:firstLineChars="128"/>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本项为单选项。</w:t>
            </w:r>
          </w:p>
          <w:p>
            <w:pPr>
              <w:pStyle w:val="276"/>
              <w:adjustRightInd w:val="0"/>
              <w:snapToGrid w:val="0"/>
              <w:spacing w:line="400" w:lineRule="exact"/>
              <w:ind w:left="211" w:hanging="210" w:hanging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具有交通运输部颁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专业监理工程师资格证书及以上或人力资</w:t>
            </w:r>
          </w:p>
          <w:p>
            <w:pPr>
              <w:pStyle w:val="276"/>
              <w:adjustRightInd w:val="0"/>
              <w:snapToGrid w:val="0"/>
              <w:spacing w:line="40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源和社会保障部颁的交通运输工程监理工程师证书（注册专业：公路</w:t>
            </w:r>
          </w:p>
          <w:p>
            <w:pPr>
              <w:pStyle w:val="276"/>
              <w:wordWrap w:val="0"/>
              <w:adjustRightInd w:val="0"/>
              <w:snapToGrid w:val="0"/>
              <w:spacing w:line="40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工程）或人力资源和社会保障部颁的监理工程师证书（专业：交通运</w:t>
            </w:r>
          </w:p>
          <w:p>
            <w:pPr>
              <w:pStyle w:val="276"/>
              <w:wordWrap w:val="0"/>
              <w:adjustRightInd w:val="0"/>
              <w:snapToGrid w:val="0"/>
              <w:spacing w:line="40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输工程），并在“全国公路建设市场监督管理系统（https://hwdms.mot.gov.cn/BMWebSite/）”中登记在投标人单位的注册监理人员列表中；</w:t>
            </w:r>
          </w:p>
          <w:p>
            <w:pPr>
              <w:pStyle w:val="276"/>
              <w:wordWrap w:val="0"/>
              <w:spacing w:line="400" w:lineRule="exact"/>
              <w:ind w:left="199" w:leftChars="95"/>
              <w:jc w:val="lef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交通运输部颁发的专业监理工程师包括：专业监理工程师（道路与桥梁）、专业监理工程师（隧道）、专业监理工程师（机电工程）、专业监理工程师（公路工程经济）。</w:t>
            </w:r>
          </w:p>
          <w:p>
            <w:pPr>
              <w:pStyle w:val="276"/>
              <w:adjustRightInd w:val="0"/>
              <w:snapToGrid w:val="0"/>
              <w:spacing w:line="400" w:lineRule="exact"/>
              <w:ind w:left="422" w:hanging="421" w:hangingChars="2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投标截止日所在月上个月或上上个月起之前在其投标单位连续6个</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月参加社保；</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bCs/>
                <w:color w:val="auto"/>
                <w:szCs w:val="21"/>
                <w:highlight w:val="none"/>
              </w:rPr>
              <w:t>至少</w:t>
            </w:r>
            <w:r>
              <w:rPr>
                <w:rFonts w:hint="eastAsia" w:ascii="宋体" w:hAnsi="宋体" w:cs="宋体"/>
                <w:color w:val="auto"/>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□长隧道及以上；□特长隧道）施工监理项目中担任过隧道专业监</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理工程师职务。</w:t>
            </w:r>
          </w:p>
          <w:p>
            <w:pPr>
              <w:pStyle w:val="276"/>
              <w:spacing w:line="400" w:lineRule="exact"/>
              <w:ind w:left="269" w:leftChars="128"/>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color w:val="auto"/>
                <w:highlight w:val="none"/>
              </w:rPr>
              <w:t>该桥梁工程可为路基土建工程中包含的内容或者单独桥梁工程合同的项目</w:t>
            </w:r>
            <w:r>
              <w:rPr>
                <w:rFonts w:hint="eastAsia" w:ascii="宋体" w:hAnsi="宋体"/>
                <w:color w:val="auto"/>
                <w:highlight w:val="none"/>
              </w:rPr>
              <w:t>。</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p>
          <w:p>
            <w:pPr>
              <w:pStyle w:val="276"/>
              <w:adjustRightInd w:val="0"/>
              <w:snapToGrid w:val="0"/>
              <w:spacing w:line="400" w:lineRule="exact"/>
              <w:ind w:left="344" w:leftChars="164" w:firstLine="2"/>
              <w:rPr>
                <w:rFonts w:hint="eastAsia" w:ascii="宋体" w:hAnsi="宋体" w:cs="宋体"/>
                <w:color w:val="auto"/>
                <w:szCs w:val="21"/>
                <w:highlight w:val="none"/>
                <w:u w:val="single"/>
              </w:rPr>
            </w:pPr>
            <w:r>
              <w:rPr>
                <w:rFonts w:hint="eastAsia" w:ascii="宋体" w:hAnsi="宋体"/>
                <w:color w:val="auto"/>
                <w:highlight w:val="none"/>
              </w:rPr>
              <w:t>注：根据招标项目具体特点和实际情况，招标人在满足国家相关法律法规前提下可对其他主要监理人员提出其他业绩类型经验要求，但不得设置过高的要求。</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联合体应满足下列要求： </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990"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8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683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tc>
      </w:tr>
    </w:tbl>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pStyle w:val="276"/>
        <w:jc w:val="center"/>
        <w:rPr>
          <w:rFonts w:hint="eastAsia" w:ascii="黑体" w:hAnsi="黑体" w:eastAsia="黑体" w:cs="宋体"/>
          <w:bCs/>
          <w:color w:val="auto"/>
          <w:sz w:val="24"/>
          <w:highlight w:val="none"/>
        </w:rPr>
      </w:pPr>
      <w:bookmarkStart w:id="67" w:name="_Toc523921593"/>
      <w:r>
        <w:rPr>
          <w:rFonts w:hint="eastAsia" w:ascii="黑体" w:hAnsi="黑体" w:eastAsia="黑体" w:cs="宋体"/>
          <w:bCs/>
          <w:color w:val="auto"/>
          <w:sz w:val="24"/>
          <w:highlight w:val="none"/>
        </w:rPr>
        <w:t>□ 其他</w:t>
      </w:r>
      <w:r>
        <w:rPr>
          <w:rFonts w:hint="eastAsia" w:ascii="黑体" w:hAnsi="黑体" w:eastAsia="黑体" w:cs="宋体"/>
          <w:bCs/>
          <w:color w:val="auto"/>
          <w:sz w:val="24"/>
          <w:highlight w:val="none"/>
          <w:u w:val="single"/>
        </w:rPr>
        <w:t xml:space="preserve">      </w:t>
      </w:r>
      <w:r>
        <w:rPr>
          <w:rFonts w:hint="eastAsia" w:ascii="黑体" w:hAnsi="黑体" w:eastAsia="黑体" w:cs="宋体"/>
          <w:bCs/>
          <w:color w:val="auto"/>
          <w:sz w:val="24"/>
          <w:highlight w:val="none"/>
        </w:rPr>
        <w:t>专业监理工程师</w:t>
      </w:r>
    </w:p>
    <w:p>
      <w:pPr>
        <w:jc w:val="center"/>
        <w:rPr>
          <w:rFonts w:hint="eastAsia" w:ascii="宋体" w:hAnsi="宋体" w:cs="宋体"/>
          <w:b/>
          <w:color w:val="auto"/>
          <w:sz w:val="28"/>
          <w:szCs w:val="28"/>
          <w:highlight w:val="none"/>
        </w:rPr>
      </w:pPr>
    </w:p>
    <w:tbl>
      <w:tblPr>
        <w:tblStyle w:val="4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88"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992"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6946" w:type="dxa"/>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9" w:hRule="atLeast"/>
          <w:jc w:val="center"/>
        </w:trPr>
        <w:tc>
          <w:tcPr>
            <w:tcW w:w="988" w:type="dxa"/>
          </w:tcPr>
          <w:p>
            <w:pPr>
              <w:pStyle w:val="276"/>
              <w:spacing w:line="400" w:lineRule="exact"/>
              <w:rPr>
                <w:rFonts w:hint="eastAsia" w:ascii="宋体" w:hAnsi="宋体" w:cs="宋体"/>
                <w:color w:val="auto"/>
                <w:szCs w:val="21"/>
                <w:highlight w:val="none"/>
              </w:rPr>
            </w:pPr>
          </w:p>
        </w:tc>
        <w:tc>
          <w:tcPr>
            <w:tcW w:w="992" w:type="dxa"/>
            <w:vAlign w:val="center"/>
          </w:tcPr>
          <w:p>
            <w:pPr>
              <w:pStyle w:val="276"/>
              <w:spacing w:line="400" w:lineRule="exact"/>
              <w:rPr>
                <w:rFonts w:hint="eastAsia" w:ascii="宋体" w:hAnsi="宋体" w:cs="宋体"/>
                <w:color w:val="auto"/>
                <w:szCs w:val="21"/>
                <w:highlight w:val="none"/>
              </w:rPr>
            </w:pPr>
          </w:p>
        </w:tc>
        <w:tc>
          <w:tcPr>
            <w:tcW w:w="6946" w:type="dxa"/>
            <w:vAlign w:val="center"/>
          </w:tcPr>
          <w:p>
            <w:pPr>
              <w:pStyle w:val="276"/>
              <w:spacing w:line="400" w:lineRule="exact"/>
              <w:rPr>
                <w:rFonts w:hint="eastAsia" w:ascii="宋体" w:hAnsi="宋体" w:cs="宋体"/>
                <w:color w:val="auto"/>
                <w:szCs w:val="21"/>
                <w:highlight w:val="none"/>
              </w:rPr>
            </w:pPr>
          </w:p>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p>
            <w:pPr>
              <w:pStyle w:val="276"/>
              <w:spacing w:line="400" w:lineRule="exact"/>
              <w:rPr>
                <w:rFonts w:hint="eastAsia" w:ascii="宋体" w:hAnsi="宋体" w:cs="宋体"/>
                <w:color w:val="auto"/>
                <w:szCs w:val="21"/>
                <w:highlight w:val="none"/>
              </w:rPr>
            </w:pPr>
          </w:p>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如需要设置其他类型的专业监理工程师的</w:t>
            </w:r>
            <w:r>
              <w:rPr>
                <w:rFonts w:hint="eastAsia"/>
                <w:color w:val="auto"/>
                <w:highlight w:val="none"/>
              </w:rPr>
              <w:t>，由招标人在满足国家相关法律法规前提下，根据招标项目具体特点和实际情况确定，但不得设置过高的资格条件。</w:t>
            </w:r>
          </w:p>
        </w:tc>
      </w:tr>
    </w:tbl>
    <w:p>
      <w:pPr>
        <w:rPr>
          <w:rFonts w:hint="eastAsia" w:asciiTheme="minorEastAsia" w:hAnsiTheme="minorEastAsia" w:eastAsiaTheme="minorEastAsia"/>
          <w:b/>
          <w:color w:val="auto"/>
          <w:sz w:val="24"/>
          <w:highlight w:val="none"/>
        </w:rPr>
      </w:pPr>
      <w:r>
        <w:rPr>
          <w:rFonts w:hint="eastAsia" w:cs="宋体" w:asciiTheme="minorEastAsia" w:hAnsiTheme="minorEastAsia" w:eastAsiaTheme="minorEastAsia"/>
          <w:color w:val="auto"/>
          <w:sz w:val="24"/>
          <w:highlight w:val="none"/>
        </w:rPr>
        <w:t>注：其他主要监理人员最低要求表仅适用于特别复杂的特大桥和特长隧道项目主体工程以及其他有特殊要求的工程。对其他主要监理人员的岗位、数量及资格条件要求，由招标人在满足国家相关法律法规和《公路工程施工监理规范》前提下，根据招标项目具体特点和实际情况确定，但不得设置过高的人员数量和资格条件。</w:t>
      </w:r>
    </w:p>
    <w:p>
      <w:pPr>
        <w:pStyle w:val="6"/>
        <w:rPr>
          <w:rFonts w:hint="eastAsia" w:ascii="黑体" w:hAnsi="黑体" w:cs="黑体"/>
          <w:color w:val="auto"/>
          <w:highlight w:val="none"/>
        </w:rPr>
      </w:pPr>
      <w:r>
        <w:rPr>
          <w:color w:val="auto"/>
          <w:highlight w:val="none"/>
        </w:rPr>
        <w:br w:type="page"/>
      </w:r>
      <w:r>
        <w:rPr>
          <w:rFonts w:hint="eastAsia" w:ascii="黑体" w:hAnsi="黑体" w:cs="黑体"/>
          <w:color w:val="auto"/>
          <w:highlight w:val="none"/>
        </w:rPr>
        <w:t xml:space="preserve">1. </w:t>
      </w:r>
      <w:bookmarkStart w:id="68" w:name="_Toc28187716"/>
      <w:r>
        <w:rPr>
          <w:rFonts w:hint="eastAsia" w:ascii="黑体" w:hAnsi="黑体" w:cs="黑体"/>
          <w:color w:val="auto"/>
          <w:highlight w:val="none"/>
        </w:rPr>
        <w:t>总则</w:t>
      </w:r>
      <w:bookmarkEnd w:id="67"/>
      <w:bookmarkEnd w:id="68"/>
    </w:p>
    <w:p>
      <w:pPr>
        <w:pStyle w:val="6"/>
        <w:rPr>
          <w:rFonts w:hint="eastAsia" w:ascii="黑体" w:hAnsi="黑体" w:cs="黑体"/>
          <w:b w:val="0"/>
          <w:bCs w:val="0"/>
          <w:color w:val="auto"/>
          <w:highlight w:val="none"/>
        </w:rPr>
      </w:pPr>
      <w:bookmarkStart w:id="69" w:name="_Toc523921594"/>
      <w:r>
        <w:rPr>
          <w:rFonts w:hint="eastAsia" w:ascii="黑体" w:hAnsi="黑体" w:cs="黑体"/>
          <w:b w:val="0"/>
          <w:bCs w:val="0"/>
          <w:color w:val="auto"/>
          <w:highlight w:val="none"/>
        </w:rPr>
        <w:t>1.1 项目概况</w:t>
      </w:r>
      <w:bookmarkEnd w:id="6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 根据《中华人民共和国招标投标法》《中华人民共和国招标投标法实施条例》《公路工程建设项目招标投标管理办法》等有关法律、法规和规章的规定，本招标项目已具备招标条件，现对本标段施工监理进行招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 本</w:t>
      </w:r>
      <w:bookmarkStart w:id="70" w:name="_Hlk76567642"/>
      <w:r>
        <w:rPr>
          <w:rFonts w:hint="eastAsia" w:ascii="宋体" w:hAnsi="宋体" w:cs="宋体"/>
          <w:color w:val="auto"/>
          <w:sz w:val="24"/>
          <w:highlight w:val="none"/>
        </w:rPr>
        <w:t>招标项目</w:t>
      </w:r>
      <w:bookmarkEnd w:id="70"/>
      <w:r>
        <w:rPr>
          <w:rFonts w:hint="eastAsia" w:ascii="宋体" w:hAnsi="宋体" w:cs="宋体"/>
          <w:color w:val="auto"/>
          <w:sz w:val="24"/>
          <w:highlight w:val="none"/>
        </w:rPr>
        <w:t>招标人：见投标人须知前附表。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 本标段招标代理机构：见投标人须知前附表。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1.1.4 本招标项目名称：见投标人须知前附表。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1.1.5 本标段建设地点：见投标人须知前附表。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1.1.6 本标段建设规模：见投标人须知前附表。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1.1.7 招标项目施工预计开工日期和建设周期：见投标人须知前附表。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1.1.8 建筑安装工程费/工程概算投资额：见投标人须知前附表。</w:t>
      </w:r>
    </w:p>
    <w:p>
      <w:pPr>
        <w:pStyle w:val="6"/>
        <w:rPr>
          <w:rFonts w:hint="eastAsia" w:ascii="黑体" w:hAnsi="黑体" w:cs="黑体"/>
          <w:b w:val="0"/>
          <w:bCs w:val="0"/>
          <w:color w:val="auto"/>
          <w:highlight w:val="none"/>
        </w:rPr>
      </w:pPr>
      <w:bookmarkStart w:id="71" w:name="_Toc523921595"/>
      <w:r>
        <w:rPr>
          <w:rFonts w:hint="eastAsia" w:ascii="黑体" w:hAnsi="黑体" w:cs="黑体"/>
          <w:b w:val="0"/>
          <w:bCs w:val="0"/>
          <w:color w:val="auto"/>
          <w:highlight w:val="none"/>
        </w:rPr>
        <w:t>1.2 招标项目的资金来源和落实情况</w:t>
      </w:r>
      <w:bookmarkEnd w:id="7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 资金来源及比例：见投标人须知前附表。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 资金落实情况：见投标人须知前附表。</w:t>
      </w:r>
    </w:p>
    <w:p>
      <w:pPr>
        <w:pStyle w:val="6"/>
        <w:rPr>
          <w:rFonts w:hint="eastAsia" w:ascii="黑体" w:hAnsi="黑体" w:cs="黑体"/>
          <w:b w:val="0"/>
          <w:bCs w:val="0"/>
          <w:color w:val="auto"/>
          <w:highlight w:val="none"/>
        </w:rPr>
      </w:pPr>
      <w:bookmarkStart w:id="72" w:name="_Toc523921596"/>
      <w:r>
        <w:rPr>
          <w:rFonts w:hint="eastAsia" w:ascii="黑体" w:hAnsi="黑体" w:cs="黑体"/>
          <w:b w:val="0"/>
          <w:bCs w:val="0"/>
          <w:color w:val="auto"/>
          <w:highlight w:val="none"/>
        </w:rPr>
        <w:t>1.3 招标范围、监理服务期限、质量要求和安全目标</w:t>
      </w:r>
      <w:bookmarkEnd w:id="7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1.3.1 招标范围：见投标人须知前附表。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 本标段的监理服务期限：见投标人须知前附表。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1.3.3 本标段的质量要求：见投标人须知前附表。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1.3.4 本标段的安全目标：见投标人须知前附表。</w:t>
      </w:r>
    </w:p>
    <w:p>
      <w:pPr>
        <w:pStyle w:val="6"/>
        <w:rPr>
          <w:rFonts w:hint="eastAsia" w:ascii="黑体" w:hAnsi="黑体" w:cs="黑体"/>
          <w:b w:val="0"/>
          <w:bCs w:val="0"/>
          <w:color w:val="auto"/>
          <w:highlight w:val="none"/>
        </w:rPr>
      </w:pPr>
      <w:bookmarkStart w:id="73" w:name="_Toc523921597"/>
      <w:r>
        <w:rPr>
          <w:rFonts w:hint="eastAsia" w:ascii="黑体" w:hAnsi="黑体" w:cs="黑体"/>
          <w:b w:val="0"/>
          <w:bCs w:val="0"/>
          <w:color w:val="auto"/>
          <w:highlight w:val="none"/>
        </w:rPr>
        <w:t>1.4 投标人资格要求</w:t>
      </w:r>
      <w:bookmarkEnd w:id="7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1.4.1 投标人应具备承担本标段施工监理的资质条件、能力和信誉。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（1）资质最低要求：见投标人须知前附表；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（2）业绩最低要求：见投标人须知前附表；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（3）信誉最低要求：见投标人须知前附表；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（4）主要人员最低要求：见投标人须知前附表；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（5）其他要求：见投标人须知前附表。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需要提交的相关证明材料见本章第3.5款的规定。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 投标人须知前附表规定接受联合体投标的，联合体除应符合本章第1.4.1 项和投标人须知前附表的要求外，还应遵守以下规定：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（1）联合体各方应按招标文件提供的格式签订联合体协议书，明确联合体牵头人和各方权利义务，并承诺就中标项目向招标人承担连带责任；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（2）由同一专业的单位组成的联合体，按照资质等级较低的单位确定资质等级；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（3）联合体各方不得再以自己名义单独或参加其他联合体在同一标段中投标；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（5）尽管委任了联合体牵头人，但联合体各成员在投标、签订合同与履行合同过程中，仍负有连带的和各自的法律责任。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 投标人（包括联合体各成员）不得与本标段相关单位存在下列关联情形：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（1）为招标人不具有独立法人资格的附属机构（单位）；</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（2）与招标人存在利害关系且可能影响招标公正性；</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（3）与本标段的其他投标人同为一个单位负责人；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（4）与本标段的其他投标人存在控股、管理关系；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（5）为本标段的代建人；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（6）为本标段的招标代理机构；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（7）与本标段的代建人或招标代理机构同为一个法定代表人；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（8）与本标段的代建人或招标代理机构存在控股或参股关系；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（9）与本标段对应工程的施工承包人以及建筑材料、建筑构配件和设备供应商有隶属关系或其他利害关系；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w:t>
      </w:r>
      <w:r>
        <w:rPr>
          <w:rFonts w:hint="eastAsia" w:ascii="宋体" w:hAnsi="宋体"/>
          <w:color w:val="auto"/>
          <w:sz w:val="24"/>
          <w:highlight w:val="none"/>
        </w:rPr>
        <w:t>为本标段电子招标投标交易平台的运营机构或与该机构有控股或者管理关系且可能影响招标公正性的单位；</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（11）法律法规或投标人须知前附表规定的其他情形。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1.4.4 投标人（包括联合体各成员）不得存在下列不良状况或不良信用记录：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（1）被省级及以上交通运输主管部门取消招标项目所在地的投标资格且处于有效期内；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（2）被责令停业，暂扣或吊销执照，或吊销资质证书；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（3）进入清算程序，或被宣告破产，或其他丧失履约能力的情形；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（4）在国家企业信用信息公示系统（https://www.gsxt.gov.cn/）中被列入严重违法失信企业名单；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w:t>
      </w:r>
      <w:r>
        <w:rPr>
          <w:rFonts w:hint="eastAsia"/>
          <w:color w:val="auto"/>
          <w:highlight w:val="none"/>
        </w:rPr>
        <w:fldChar w:fldCharType="begin"/>
      </w:r>
      <w:r>
        <w:rPr>
          <w:color w:val="auto"/>
          <w:highlight w:val="none"/>
        </w:rPr>
        <w:instrText xml:space="preserve"> HYPERLINK "http://www.creditchina.gov.cn/" \h </w:instrText>
      </w:r>
      <w:r>
        <w:rPr>
          <w:rFonts w:hint="eastAsia" w:ascii="Calibri" w:hAnsi="Calibri" w:cs="Times New Roman"/>
          <w:color w:val="auto"/>
          <w:sz w:val="21"/>
          <w:highlight w:val="none"/>
        </w:rPr>
        <w:fldChar w:fldCharType="separate"/>
      </w:r>
      <w:r>
        <w:rPr>
          <w:rFonts w:hint="eastAsia" w:ascii="宋体" w:hAnsi="宋体" w:cs="宋体"/>
          <w:color w:val="auto"/>
          <w:sz w:val="24"/>
          <w:highlight w:val="none"/>
        </w:rPr>
        <w:t>在“信用中国”网站（https://w</w:t>
      </w:r>
      <w:r>
        <w:rPr>
          <w:rFonts w:hint="eastAsia" w:ascii="宋体" w:hAnsi="宋体" w:cs="宋体"/>
          <w:color w:val="auto"/>
          <w:sz w:val="24"/>
          <w:highlight w:val="none"/>
        </w:rPr>
        <w:fldChar w:fldCharType="end"/>
      </w:r>
      <w:r>
        <w:rPr>
          <w:rFonts w:hint="eastAsia" w:ascii="宋体" w:hAnsi="宋体" w:cs="宋体"/>
          <w:color w:val="auto"/>
          <w:sz w:val="24"/>
          <w:highlight w:val="none"/>
        </w:rPr>
        <w:t>w</w:t>
      </w:r>
      <w:r>
        <w:rPr>
          <w:rFonts w:hint="eastAsia"/>
          <w:color w:val="auto"/>
          <w:highlight w:val="none"/>
        </w:rPr>
        <w:fldChar w:fldCharType="begin"/>
      </w:r>
      <w:r>
        <w:rPr>
          <w:color w:val="auto"/>
          <w:highlight w:val="none"/>
        </w:rPr>
        <w:instrText xml:space="preserve"> HYPERLINK "http://www.creditchina.gov.cn/" \h </w:instrText>
      </w:r>
      <w:r>
        <w:rPr>
          <w:rFonts w:hint="eastAsia" w:ascii="Calibri" w:hAnsi="Calibri" w:cs="Times New Roman"/>
          <w:color w:val="auto"/>
          <w:sz w:val="21"/>
          <w:highlight w:val="none"/>
        </w:rPr>
        <w:fldChar w:fldCharType="separate"/>
      </w:r>
      <w:r>
        <w:rPr>
          <w:rFonts w:hint="eastAsia" w:ascii="宋体" w:hAnsi="宋体" w:cs="宋体"/>
          <w:color w:val="auto"/>
          <w:sz w:val="24"/>
          <w:highlight w:val="none"/>
        </w:rPr>
        <w:t>w.creditchina.gov.c</w:t>
      </w:r>
      <w:r>
        <w:rPr>
          <w:rFonts w:hint="eastAsia" w:ascii="宋体" w:hAnsi="宋体" w:cs="宋体"/>
          <w:color w:val="auto"/>
          <w:sz w:val="24"/>
          <w:highlight w:val="none"/>
        </w:rPr>
        <w:fldChar w:fldCharType="end"/>
      </w:r>
      <w:r>
        <w:rPr>
          <w:rFonts w:hint="eastAsia" w:ascii="宋体" w:hAnsi="宋体" w:cs="宋体"/>
          <w:color w:val="auto"/>
          <w:sz w:val="24"/>
          <w:highlight w:val="none"/>
        </w:rPr>
        <w:t>n/）中被列入失信被执行人名单；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（6）投标人及其法定代表人、拟委任的总监理工程师、副总监理工程师（如有）、驻地监理工程师（如有）、试验室主任（如有）在近三年内被人民法院生效判决或裁定认定为行贿犯罪的；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（7）法律法规或投标人须知前附表规定的其他情形。</w:t>
      </w:r>
    </w:p>
    <w:p>
      <w:pPr>
        <w:wordWrap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1.4.5 投标人应进入交通运输部“全国公路建设市场监督管理系统（https://hwdms.mot.gov.cn/BMWebSite/）”中的公路工程施工监理资质企业名录，且投标人名称和资质与该名录中的相应企业名称和资质完全一致。投标人不满足本项规定条件的，将被否决投标。</w:t>
      </w:r>
    </w:p>
    <w:p>
      <w:pPr>
        <w:wordWrap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注：本项规定仅适用于根据《关于发布公路工程从业企业资质名录的通知》（厅公路字〔2011〕114号）要求，招标人应通过名录对投标人资质条件进行审核的公路施工监理企业。</w:t>
      </w:r>
    </w:p>
    <w:p>
      <w:pPr>
        <w:pStyle w:val="6"/>
        <w:rPr>
          <w:rFonts w:hint="eastAsia" w:ascii="黑体" w:hAnsi="黑体" w:cs="黑体"/>
          <w:b w:val="0"/>
          <w:bCs w:val="0"/>
          <w:color w:val="auto"/>
          <w:highlight w:val="none"/>
        </w:rPr>
      </w:pPr>
      <w:bookmarkStart w:id="74" w:name="_Toc234382595"/>
      <w:bookmarkStart w:id="75" w:name="_Toc523921598"/>
      <w:r>
        <w:rPr>
          <w:rFonts w:hint="eastAsia" w:ascii="黑体" w:hAnsi="黑体" w:cs="黑体"/>
          <w:b w:val="0"/>
          <w:bCs w:val="0"/>
          <w:color w:val="auto"/>
          <w:highlight w:val="none"/>
        </w:rPr>
        <w:t>1.5 费用承担</w:t>
      </w:r>
      <w:bookmarkEnd w:id="74"/>
      <w:bookmarkEnd w:id="7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投标人准备和参加投标活动发生的费用自理。</w:t>
      </w:r>
    </w:p>
    <w:p>
      <w:pPr>
        <w:pStyle w:val="6"/>
        <w:rPr>
          <w:rFonts w:hint="eastAsia" w:ascii="黑体" w:hAnsi="黑体" w:cs="黑体"/>
          <w:b w:val="0"/>
          <w:bCs w:val="0"/>
          <w:color w:val="auto"/>
          <w:highlight w:val="none"/>
        </w:rPr>
      </w:pPr>
      <w:bookmarkStart w:id="76" w:name="_Toc234382596"/>
      <w:bookmarkStart w:id="77" w:name="_Toc523921599"/>
      <w:r>
        <w:rPr>
          <w:rFonts w:hint="eastAsia" w:ascii="黑体" w:hAnsi="黑体" w:cs="黑体"/>
          <w:b w:val="0"/>
          <w:bCs w:val="0"/>
          <w:color w:val="auto"/>
          <w:highlight w:val="none"/>
        </w:rPr>
        <w:t>1.6 保密</w:t>
      </w:r>
      <w:bookmarkEnd w:id="76"/>
      <w:bookmarkEnd w:id="7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参与招标投标活动的各方应对招标文件和投标文件中的商业和技术等秘密保密，违者应对由此造成的后果承担法律责任。</w:t>
      </w:r>
    </w:p>
    <w:p>
      <w:pPr>
        <w:pStyle w:val="6"/>
        <w:rPr>
          <w:rFonts w:hint="eastAsia" w:ascii="黑体" w:hAnsi="黑体" w:cs="黑体"/>
          <w:b w:val="0"/>
          <w:bCs w:val="0"/>
          <w:color w:val="auto"/>
          <w:highlight w:val="none"/>
        </w:rPr>
      </w:pPr>
      <w:bookmarkStart w:id="78" w:name="_Toc523921600"/>
      <w:bookmarkStart w:id="79" w:name="_Toc234382597"/>
      <w:r>
        <w:rPr>
          <w:rFonts w:hint="eastAsia" w:ascii="黑体" w:hAnsi="黑体" w:cs="黑体"/>
          <w:b w:val="0"/>
          <w:bCs w:val="0"/>
          <w:color w:val="auto"/>
          <w:highlight w:val="none"/>
        </w:rPr>
        <w:t>1.7 语言文字</w:t>
      </w:r>
      <w:bookmarkEnd w:id="78"/>
      <w:bookmarkEnd w:id="7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招标投标文件使用的语言文字为中文。专用术语使用外文的，应附有中文注释。</w:t>
      </w:r>
    </w:p>
    <w:p>
      <w:pPr>
        <w:pStyle w:val="6"/>
        <w:rPr>
          <w:rFonts w:hint="eastAsia" w:ascii="黑体" w:hAnsi="黑体" w:cs="黑体"/>
          <w:b w:val="0"/>
          <w:bCs w:val="0"/>
          <w:color w:val="auto"/>
          <w:highlight w:val="none"/>
        </w:rPr>
      </w:pPr>
      <w:bookmarkStart w:id="80" w:name="_Toc234382598"/>
      <w:bookmarkStart w:id="81" w:name="_Toc523921601"/>
      <w:r>
        <w:rPr>
          <w:rFonts w:hint="eastAsia" w:ascii="黑体" w:hAnsi="黑体" w:cs="黑体"/>
          <w:b w:val="0"/>
          <w:bCs w:val="0"/>
          <w:color w:val="auto"/>
          <w:highlight w:val="none"/>
        </w:rPr>
        <w:t>1.8 计量单位</w:t>
      </w:r>
      <w:bookmarkEnd w:id="80"/>
      <w:bookmarkEnd w:id="8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所有计量均采用中华人民共和国法定计量单位。</w:t>
      </w:r>
    </w:p>
    <w:p>
      <w:pPr>
        <w:pStyle w:val="6"/>
        <w:rPr>
          <w:rFonts w:hint="eastAsia" w:ascii="黑体" w:hAnsi="黑体" w:cs="黑体"/>
          <w:b w:val="0"/>
          <w:bCs w:val="0"/>
          <w:color w:val="auto"/>
          <w:highlight w:val="none"/>
        </w:rPr>
      </w:pPr>
      <w:bookmarkStart w:id="82" w:name="_Toc523921602"/>
      <w:bookmarkStart w:id="83" w:name="_Toc234382599"/>
      <w:r>
        <w:rPr>
          <w:rFonts w:hint="eastAsia" w:ascii="黑体" w:hAnsi="黑体" w:cs="黑体"/>
          <w:b w:val="0"/>
          <w:bCs w:val="0"/>
          <w:color w:val="auto"/>
          <w:highlight w:val="none"/>
        </w:rPr>
        <w:t>1.9 踏勘现场</w:t>
      </w:r>
      <w:bookmarkEnd w:id="82"/>
      <w:bookmarkEnd w:id="8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 第一章“招标公告”规定组织踏勘现场的，招标人按规定的时间、地点组织投标人踏勘项目现场。部分投标人未按时参加踏勘现场的，不影响踏勘现场的正常进行。招标人不得组织单个或部分投标人踏勘项目现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 投标人踏勘现场发生的费用自理。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 除招标人的原因外，投标人自行负责在踏勘现场中所发生的人员伤亡和财产损失。</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 招标人在踏勘现场中介绍的工程场地和相关的周边环境情况，供投标人在编制投标文件时参考，招标人不对投标人据此作出的判断和决策负责。</w:t>
      </w:r>
    </w:p>
    <w:p>
      <w:pPr>
        <w:pStyle w:val="6"/>
        <w:rPr>
          <w:rFonts w:hint="eastAsia" w:ascii="黑体" w:hAnsi="黑体" w:cs="黑体"/>
          <w:b w:val="0"/>
          <w:bCs w:val="0"/>
          <w:color w:val="auto"/>
          <w:highlight w:val="none"/>
        </w:rPr>
      </w:pPr>
      <w:bookmarkStart w:id="84" w:name="_Toc523921603"/>
      <w:bookmarkStart w:id="85" w:name="_Toc234382600"/>
      <w:r>
        <w:rPr>
          <w:rFonts w:hint="eastAsia" w:ascii="黑体" w:hAnsi="黑体" w:cs="黑体"/>
          <w:b w:val="0"/>
          <w:bCs w:val="0"/>
          <w:color w:val="auto"/>
          <w:highlight w:val="none"/>
        </w:rPr>
        <w:t>1.10 投标预备会</w:t>
      </w:r>
      <w:bookmarkEnd w:id="84"/>
      <w:bookmarkEnd w:id="8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1.10.1 第一章“招标公告”规定召开投标预备会的，招标人按规定的时间和地点召开投标预备会，澄清投标人提出的问题。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1.10.2 投标人应按投标人须知前附表规定的时间和形式将提出的问题送达招标人，以便招标人在会议期间澄清。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1.10.3  投标预备会后，招标人将对投标人所提问题的澄清，以本章第2.2款规定的形式和时间发出。该澄清内容为招标文件的组成部分。</w:t>
      </w:r>
    </w:p>
    <w:p>
      <w:pPr>
        <w:pStyle w:val="6"/>
        <w:rPr>
          <w:rFonts w:hint="eastAsia" w:ascii="黑体" w:hAnsi="黑体" w:cs="黑体"/>
          <w:b w:val="0"/>
          <w:bCs w:val="0"/>
          <w:color w:val="auto"/>
          <w:highlight w:val="none"/>
        </w:rPr>
      </w:pPr>
      <w:bookmarkStart w:id="86" w:name="_Toc513555781"/>
      <w:bookmarkStart w:id="87" w:name="_Toc234382601"/>
      <w:bookmarkStart w:id="88" w:name="_Toc519601438"/>
      <w:bookmarkStart w:id="89" w:name="_Toc523921604"/>
      <w:bookmarkStart w:id="90" w:name="_Toc509828604"/>
      <w:bookmarkStart w:id="91" w:name="_Toc513555537"/>
      <w:bookmarkStart w:id="92" w:name="_Toc513556614"/>
      <w:r>
        <w:rPr>
          <w:rFonts w:hint="eastAsia" w:ascii="黑体" w:hAnsi="黑体" w:cs="黑体"/>
          <w:b w:val="0"/>
          <w:bCs w:val="0"/>
          <w:color w:val="auto"/>
          <w:highlight w:val="none"/>
        </w:rPr>
        <w:t>1.11 分包</w:t>
      </w:r>
      <w:bookmarkEnd w:id="86"/>
      <w:bookmarkEnd w:id="87"/>
      <w:bookmarkEnd w:id="88"/>
      <w:bookmarkEnd w:id="89"/>
      <w:bookmarkEnd w:id="90"/>
      <w:bookmarkEnd w:id="91"/>
      <w:bookmarkEnd w:id="9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本项目严禁分包。</w:t>
      </w:r>
      <w:bookmarkStart w:id="93" w:name="_Toc234382602"/>
    </w:p>
    <w:p>
      <w:pPr>
        <w:pStyle w:val="6"/>
        <w:rPr>
          <w:rFonts w:hint="eastAsia" w:ascii="黑体" w:hAnsi="黑体" w:cs="黑体"/>
          <w:b w:val="0"/>
          <w:bCs w:val="0"/>
          <w:color w:val="auto"/>
          <w:highlight w:val="none"/>
        </w:rPr>
      </w:pPr>
      <w:bookmarkStart w:id="94" w:name="_Toc509828605"/>
      <w:bookmarkStart w:id="95" w:name="_Toc519601439"/>
      <w:bookmarkStart w:id="96" w:name="_Toc513555538"/>
      <w:bookmarkStart w:id="97" w:name="_Toc513556615"/>
      <w:bookmarkStart w:id="98" w:name="_Toc513555782"/>
      <w:bookmarkStart w:id="99" w:name="_Toc523921605"/>
      <w:r>
        <w:rPr>
          <w:rFonts w:hint="eastAsia" w:ascii="黑体" w:hAnsi="黑体" w:cs="黑体"/>
          <w:b w:val="0"/>
          <w:bCs w:val="0"/>
          <w:color w:val="auto"/>
          <w:highlight w:val="none"/>
        </w:rPr>
        <w:t xml:space="preserve">1.12 </w:t>
      </w:r>
      <w:bookmarkEnd w:id="93"/>
      <w:bookmarkEnd w:id="94"/>
      <w:r>
        <w:rPr>
          <w:rFonts w:hint="eastAsia" w:ascii="黑体" w:hAnsi="黑体" w:cs="黑体"/>
          <w:b w:val="0"/>
          <w:bCs w:val="0"/>
          <w:color w:val="auto"/>
          <w:highlight w:val="none"/>
        </w:rPr>
        <w:t>响应和偏差</w:t>
      </w:r>
      <w:bookmarkEnd w:id="95"/>
      <w:bookmarkEnd w:id="96"/>
      <w:bookmarkEnd w:id="97"/>
      <w:bookmarkEnd w:id="98"/>
      <w:bookmarkEnd w:id="9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1.12.1 投标文件偏离招标文件某些要求，视为投标文件存在偏差。偏差包括重大偏差和细微偏差。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1.12.2 投标文件应对招标文件的实质性要求和条件作出满足性或更有利于招标人的响应,否则,视为投标文件存在重大偏差,投标人的投标将被否决。</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投标文件存在第三章“评标办法”中所列任一否决投标情形的,均属于存在重大偏差。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1.12.3 投标文件中的下列偏差为细微偏差：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（1）在按照第三章“评标办法”的规定对投标价进行算术性错误修正后,最终投标报价未超过最高投标限价（如有）的情况下,出现第三章“评标办法”规定的算术性错误；</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（2）技术建议书不够完善；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（3）投标文件页码不连续、个别文字有遗漏错误等不影响投标文件实质性内容的偏差。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1.12.4 评标委员会对投标文件中的细微偏差按如下规定处理：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（1）对于本章第1.12.3项（1）目所述的细微偏差,按照第三章“评标办法”的规定予以修正并要求投标人进行澄清；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（2）对于本章第1.12.3项（2）目所述的细微偏差,可在相关评分因素的评分中酌情扣分；</w:t>
      </w:r>
    </w:p>
    <w:p>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（3）对于本章第1.12.3项（3）目所述的细微偏差，可要求投标人对细微偏差进行澄清。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1.12.5 投标人应根据招标文件的要求提供技术建议书等内容以对招标文件作出响应。</w:t>
      </w:r>
    </w:p>
    <w:p>
      <w:pPr>
        <w:pStyle w:val="5"/>
        <w:rPr>
          <w:color w:val="auto"/>
          <w:highlight w:val="none"/>
        </w:rPr>
      </w:pPr>
      <w:bookmarkStart w:id="100" w:name="_Toc28187717"/>
      <w:bookmarkStart w:id="101" w:name="_Toc523921606"/>
      <w:r>
        <w:rPr>
          <w:color w:val="auto"/>
          <w:highlight w:val="none"/>
        </w:rPr>
        <w:t xml:space="preserve">2. </w:t>
      </w:r>
      <w:r>
        <w:rPr>
          <w:rFonts w:hint="eastAsia"/>
          <w:color w:val="auto"/>
          <w:highlight w:val="none"/>
        </w:rPr>
        <w:t>招标文件</w:t>
      </w:r>
      <w:bookmarkEnd w:id="100"/>
      <w:bookmarkEnd w:id="101"/>
    </w:p>
    <w:p>
      <w:pPr>
        <w:pStyle w:val="6"/>
        <w:rPr>
          <w:rFonts w:hint="eastAsia" w:ascii="黑体" w:hAnsi="黑体" w:cs="黑体"/>
          <w:b w:val="0"/>
          <w:bCs w:val="0"/>
          <w:color w:val="auto"/>
          <w:highlight w:val="none"/>
        </w:rPr>
      </w:pPr>
      <w:bookmarkStart w:id="102" w:name="_Toc513556616"/>
      <w:bookmarkStart w:id="103" w:name="_Toc519601440"/>
      <w:bookmarkStart w:id="104" w:name="_Toc523921607"/>
      <w:bookmarkStart w:id="105" w:name="_Toc513555539"/>
      <w:bookmarkStart w:id="106" w:name="_Toc513555783"/>
      <w:r>
        <w:rPr>
          <w:rFonts w:hint="eastAsia" w:ascii="黑体" w:hAnsi="黑体" w:cs="黑体"/>
          <w:b w:val="0"/>
          <w:bCs w:val="0"/>
          <w:color w:val="auto"/>
          <w:highlight w:val="none"/>
        </w:rPr>
        <w:t>2.1招标文件的组成</w:t>
      </w:r>
      <w:bookmarkEnd w:id="102"/>
      <w:bookmarkEnd w:id="103"/>
      <w:bookmarkEnd w:id="104"/>
      <w:bookmarkEnd w:id="105"/>
      <w:bookmarkEnd w:id="10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本招标文件包括：</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（1）招标公告；</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（2）投标人须知；</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（3）评标办法；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（4）合同条款及格式；</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（5）委托人要求；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（6）图纸和资料；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（7）投标文件格式；</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（8）投标人须知前附表规定的其他资料。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根据本章第1.10款、第2.2款和第2.3款对招标文件所作的澄清、修改，构成招标文件的组成部分。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当招标文件、招标文件的澄清或修改等在同一内容的表述上不一致时，以最后发出的书面文件为准。</w:t>
      </w:r>
    </w:p>
    <w:p>
      <w:pPr>
        <w:pStyle w:val="6"/>
        <w:rPr>
          <w:rFonts w:hint="eastAsia" w:ascii="黑体" w:hAnsi="黑体" w:cs="黑体"/>
          <w:b w:val="0"/>
          <w:bCs w:val="0"/>
          <w:color w:val="auto"/>
          <w:highlight w:val="none"/>
        </w:rPr>
      </w:pPr>
      <w:bookmarkStart w:id="107" w:name="_Toc513555540"/>
      <w:bookmarkStart w:id="108" w:name="_Toc523921608"/>
      <w:bookmarkStart w:id="109" w:name="_Toc519601441"/>
      <w:bookmarkStart w:id="110" w:name="_Toc509828607"/>
      <w:bookmarkStart w:id="111" w:name="_Toc234382605"/>
      <w:bookmarkStart w:id="112" w:name="_Toc513555784"/>
      <w:bookmarkStart w:id="113" w:name="_Toc513556617"/>
      <w:r>
        <w:rPr>
          <w:rFonts w:hint="eastAsia" w:ascii="黑体" w:hAnsi="黑体" w:cs="黑体"/>
          <w:b w:val="0"/>
          <w:bCs w:val="0"/>
          <w:color w:val="auto"/>
          <w:highlight w:val="none"/>
        </w:rPr>
        <w:t>2.2 招标文件的澄清</w:t>
      </w:r>
      <w:bookmarkEnd w:id="107"/>
      <w:bookmarkEnd w:id="108"/>
      <w:bookmarkEnd w:id="109"/>
      <w:bookmarkEnd w:id="110"/>
      <w:bookmarkEnd w:id="111"/>
      <w:bookmarkEnd w:id="112"/>
      <w:bookmarkEnd w:id="11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2.2.1 投标人应仔细阅读和检查招标文件的全部内容。如发现缺页或附件不全，应及时向招标人提出，以便补齐。如有疑问，应在投标人须知前附表规定的时间和形式将提出的问题送达招标人，要求招标人对招标文件予以澄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2.2.2 招标文件的澄清以投标人须知前附表规定的形式发出，但不指明澄清问题的来源。澄清发出的时间距本章第4.2.1项规定的投标截止时间不足15日，并且澄清内容可能影响投标文件编制，将相应延长投标截止时间。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 投标人按照投标人须知前附表要求及时收悉澄清内容。投标人应注意及时浏览澄清发布媒介发出的澄清，因投标人自身原因未及时获知澄清内容而导致的任何后果将由投标人自行承担。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 除非招标人认为确有必要答复，否则，招标人有权拒绝回复投标人在本章第2.2.1项规定的时间后提出的任何澄清要求。</w:t>
      </w:r>
    </w:p>
    <w:p>
      <w:pPr>
        <w:pStyle w:val="6"/>
        <w:rPr>
          <w:rFonts w:hint="eastAsia" w:ascii="黑体" w:hAnsi="黑体" w:cs="黑体"/>
          <w:b w:val="0"/>
          <w:bCs w:val="0"/>
          <w:color w:val="auto"/>
          <w:highlight w:val="none"/>
        </w:rPr>
      </w:pPr>
      <w:bookmarkStart w:id="114" w:name="_Toc523921609"/>
      <w:r>
        <w:rPr>
          <w:rFonts w:hint="eastAsia" w:ascii="黑体" w:hAnsi="黑体" w:cs="黑体"/>
          <w:b w:val="0"/>
          <w:bCs w:val="0"/>
          <w:color w:val="auto"/>
          <w:highlight w:val="none"/>
        </w:rPr>
        <w:t>2.3 招标文件的修改</w:t>
      </w:r>
      <w:bookmarkEnd w:id="11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2.3.1 招标人以投标人须知前附表规定的形式修改招标文件，修改招标文件的时间距本章第4.2.1项规定的投标截止时间不足15日，且修改内容可能影响投标文件编制的，将相应延长投标截止时间。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2.3.2 投标人按照投标人须知前附表要求及时收悉修改内容。</w:t>
      </w:r>
      <w:bookmarkStart w:id="115" w:name="_Toc234382607"/>
      <w:r>
        <w:rPr>
          <w:rFonts w:hint="eastAsia" w:ascii="宋体" w:hAnsi="宋体" w:cs="宋体"/>
          <w:color w:val="auto"/>
          <w:sz w:val="24"/>
          <w:highlight w:val="none"/>
        </w:rPr>
        <w:t>投标人应注意及时浏览澄清发布媒介发出的修改，因投标人自身原因未及时获知修改内容而导致的任何后果将由投标人自行承担。</w:t>
      </w:r>
    </w:p>
    <w:p>
      <w:pPr>
        <w:pStyle w:val="6"/>
        <w:rPr>
          <w:rFonts w:hint="eastAsia" w:ascii="黑体" w:hAnsi="黑体" w:cs="黑体"/>
          <w:b w:val="0"/>
          <w:bCs w:val="0"/>
          <w:color w:val="auto"/>
          <w:highlight w:val="none"/>
        </w:rPr>
      </w:pPr>
      <w:bookmarkStart w:id="116" w:name="_Toc523921610"/>
      <w:r>
        <w:rPr>
          <w:rFonts w:hint="eastAsia" w:ascii="黑体" w:hAnsi="黑体" w:cs="黑体"/>
          <w:b w:val="0"/>
          <w:bCs w:val="0"/>
          <w:color w:val="auto"/>
          <w:highlight w:val="none"/>
        </w:rPr>
        <w:t>2.4 招标文件的异议</w:t>
      </w:r>
      <w:bookmarkEnd w:id="11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投标人或其他利害关系人对招标文件有异议的，应在投标截止时间10日前提出。招标人将在收到异议之日起3日内作出答复；作出答复前，将暂停招标投标活动。</w:t>
      </w:r>
    </w:p>
    <w:p>
      <w:pPr>
        <w:pStyle w:val="5"/>
        <w:rPr>
          <w:color w:val="auto"/>
          <w:highlight w:val="none"/>
        </w:rPr>
      </w:pPr>
      <w:bookmarkStart w:id="117" w:name="_Toc28187718"/>
      <w:bookmarkStart w:id="118" w:name="_Toc523921611"/>
      <w:r>
        <w:rPr>
          <w:color w:val="auto"/>
          <w:highlight w:val="none"/>
        </w:rPr>
        <w:t xml:space="preserve">3. </w:t>
      </w:r>
      <w:r>
        <w:rPr>
          <w:rFonts w:hint="eastAsia"/>
          <w:color w:val="auto"/>
          <w:highlight w:val="none"/>
        </w:rPr>
        <w:t>投标文件</w:t>
      </w:r>
      <w:bookmarkEnd w:id="115"/>
      <w:bookmarkEnd w:id="117"/>
      <w:bookmarkEnd w:id="118"/>
    </w:p>
    <w:p>
      <w:pPr>
        <w:pStyle w:val="6"/>
        <w:rPr>
          <w:rFonts w:hint="eastAsia" w:ascii="黑体" w:hAnsi="黑体" w:cs="黑体"/>
          <w:b w:val="0"/>
          <w:bCs w:val="0"/>
          <w:color w:val="auto"/>
          <w:highlight w:val="none"/>
        </w:rPr>
      </w:pPr>
      <w:bookmarkStart w:id="119" w:name="_Toc513555785"/>
      <w:bookmarkStart w:id="120" w:name="_Toc513556618"/>
      <w:bookmarkStart w:id="121" w:name="_Toc234382608"/>
      <w:bookmarkStart w:id="122" w:name="_Toc513555541"/>
      <w:bookmarkStart w:id="123" w:name="_Toc509828608"/>
      <w:bookmarkStart w:id="124" w:name="_Toc519601442"/>
      <w:bookmarkStart w:id="125" w:name="_Toc523921612"/>
      <w:r>
        <w:rPr>
          <w:rFonts w:hint="eastAsia" w:ascii="黑体" w:hAnsi="黑体" w:cs="黑体"/>
          <w:b w:val="0"/>
          <w:bCs w:val="0"/>
          <w:color w:val="auto"/>
          <w:highlight w:val="none"/>
        </w:rPr>
        <w:t>3.1 投标文件的组成</w:t>
      </w:r>
      <w:bookmarkEnd w:id="119"/>
      <w:bookmarkEnd w:id="120"/>
      <w:bookmarkEnd w:id="121"/>
      <w:bookmarkEnd w:id="122"/>
      <w:bookmarkEnd w:id="123"/>
      <w:bookmarkEnd w:id="124"/>
      <w:bookmarkEnd w:id="12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3.1.1投标文件应采用双信封形式，包括下列内容：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第一个信封（商务及技术文件）：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（1）投标函；</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（2）授权委托书或法定代表人身份证明；</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（3）联合体协议书；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（4）投标保证金；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（5）资格审查资料；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（6）技术建议书；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（7）其他资料（如有）。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第二个信封（报价文件）：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（1）投标函（第二个信封）；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（2）监理服务费用清单。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投标人在评标过程中作出的符合法律法规和招标文件规定的澄清确认，构成投标文件的组成部分。</w:t>
      </w:r>
    </w:p>
    <w:p>
      <w:pPr>
        <w:spacing w:line="360" w:lineRule="auto"/>
        <w:ind w:firstLine="480" w:firstLineChars="200"/>
        <w:rPr>
          <w:rFonts w:hint="eastAsia" w:ascii="宋体" w:hAnsi="宋体" w:cs="宋体"/>
          <w:color w:val="auto"/>
          <w:sz w:val="24"/>
          <w:highlight w:val="none"/>
        </w:rPr>
      </w:pPr>
      <w:bookmarkStart w:id="126" w:name="_Toc509828609"/>
      <w:bookmarkStart w:id="127" w:name="_Toc234382609"/>
      <w:r>
        <w:rPr>
          <w:rFonts w:hint="eastAsia" w:ascii="宋体" w:hAnsi="宋体" w:cs="宋体"/>
          <w:color w:val="auto"/>
          <w:sz w:val="24"/>
          <w:highlight w:val="none"/>
        </w:rPr>
        <w:t>3.1.2 投标人须知前附表规定不接受联合体投标的，或投标人没有组成联合体的，投标文件不包括本章第3.1.1项（3）目所指的联合体协议书。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3.1.3 投标人须知前附表未要求提交投标保证金的，投标文件不包括本章第3.1.1项（4）目所指的投标保证金。</w:t>
      </w:r>
    </w:p>
    <w:p>
      <w:pPr>
        <w:pStyle w:val="6"/>
        <w:rPr>
          <w:rFonts w:hint="eastAsia" w:ascii="黑体" w:hAnsi="黑体" w:cs="黑体"/>
          <w:b w:val="0"/>
          <w:bCs w:val="0"/>
          <w:color w:val="auto"/>
          <w:highlight w:val="none"/>
        </w:rPr>
      </w:pPr>
      <w:bookmarkStart w:id="128" w:name="_Toc513556619"/>
      <w:bookmarkStart w:id="129" w:name="_Toc513555786"/>
      <w:bookmarkStart w:id="130" w:name="_Toc519601443"/>
      <w:bookmarkStart w:id="131" w:name="_Toc513555542"/>
      <w:bookmarkStart w:id="132" w:name="_Toc523921613"/>
      <w:r>
        <w:rPr>
          <w:rFonts w:hint="eastAsia" w:ascii="黑体" w:hAnsi="黑体" w:cs="黑体"/>
          <w:b w:val="0"/>
          <w:bCs w:val="0"/>
          <w:color w:val="auto"/>
          <w:highlight w:val="none"/>
        </w:rPr>
        <w:t>3.2 投标报价</w:t>
      </w:r>
      <w:bookmarkEnd w:id="126"/>
      <w:bookmarkEnd w:id="127"/>
      <w:bookmarkEnd w:id="128"/>
      <w:bookmarkEnd w:id="129"/>
      <w:bookmarkEnd w:id="130"/>
      <w:bookmarkEnd w:id="131"/>
      <w:bookmarkEnd w:id="13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 投标报价应包括国家规定的增值税税金,除投标人须知前附表另有规定外,增值税税金按一般计税方法计算。投标人应按第七章“投标文件格式”的要求在投标函（第二个信封）中进行报价并填写监理服务费用清单相应表格。</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 投标人应充分了解本项目的总体情况以及影响投标报价的其他要素,按照招标文件规定的施工监理工作内容和计划工作量,自行测算监理服务费用。投标报价应涵盖投标人完成施工准备阶段、施工阶段、试运行阶段（如有）、缺陷责任期阶段监理工作所需的全部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投标人应按照第七章“投标文件格式”中“监理服务费用清单”的要求填报监理服务费。投标人未填报的部分,在工程实施时委托人将不予支付,并认为该部分费用已包含在报价中。</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 本项目的报价方式见投标人须知前附表。投标人在投标截止时间前修改投标函（第二个信封）中的投标报价总额,应同时修改投标文件“监理服务费用清单”中的相应报价。此项修改须符合本章第4.3款的有关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3.2.4 招标人设有最高投标限价的，投标人的投标报价不得超过最高投标限价，最高投标限价在投标人须知前附表中载明。</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3.2.5 投标报价的其他要求见投标人须知前附表。</w:t>
      </w:r>
    </w:p>
    <w:p>
      <w:pPr>
        <w:pStyle w:val="6"/>
        <w:rPr>
          <w:rFonts w:hint="eastAsia" w:ascii="黑体" w:hAnsi="黑体" w:cs="黑体"/>
          <w:b w:val="0"/>
          <w:bCs w:val="0"/>
          <w:color w:val="auto"/>
          <w:highlight w:val="none"/>
        </w:rPr>
      </w:pPr>
      <w:bookmarkStart w:id="133" w:name="_Toc513555543"/>
      <w:bookmarkStart w:id="134" w:name="_Toc519601444"/>
      <w:bookmarkStart w:id="135" w:name="_Toc513556620"/>
      <w:bookmarkStart w:id="136" w:name="_Toc523921614"/>
      <w:bookmarkStart w:id="137" w:name="_Toc513555787"/>
      <w:r>
        <w:rPr>
          <w:rFonts w:hint="eastAsia" w:ascii="黑体" w:hAnsi="黑体" w:cs="黑体"/>
          <w:b w:val="0"/>
          <w:bCs w:val="0"/>
          <w:color w:val="auto"/>
          <w:highlight w:val="none"/>
        </w:rPr>
        <w:t>3.3 投标有效期</w:t>
      </w:r>
      <w:bookmarkEnd w:id="133"/>
      <w:bookmarkEnd w:id="134"/>
      <w:bookmarkEnd w:id="135"/>
      <w:bookmarkEnd w:id="136"/>
      <w:bookmarkEnd w:id="13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3.3.1 除投标人须知前附表另有规定外，投标有效期为90日。</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3.3.2 在投标有效期内，投标人撤销投标文件的，应承担招标文件和法律规定的责任。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3.3.3 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支票形式递交的投标保证金的银行同期活期存款利息。</w:t>
      </w:r>
    </w:p>
    <w:p>
      <w:pPr>
        <w:pStyle w:val="6"/>
        <w:rPr>
          <w:rFonts w:hint="eastAsia" w:ascii="黑体" w:hAnsi="黑体" w:cs="黑体"/>
          <w:b w:val="0"/>
          <w:bCs w:val="0"/>
          <w:color w:val="auto"/>
          <w:highlight w:val="none"/>
        </w:rPr>
      </w:pPr>
      <w:bookmarkStart w:id="138" w:name="_Toc513555544"/>
      <w:bookmarkStart w:id="139" w:name="_Toc519601445"/>
      <w:bookmarkStart w:id="140" w:name="_Toc513556621"/>
      <w:bookmarkStart w:id="141" w:name="_Toc513555788"/>
      <w:bookmarkStart w:id="142" w:name="_Toc523921615"/>
      <w:r>
        <w:rPr>
          <w:rFonts w:hint="eastAsia" w:ascii="黑体" w:hAnsi="黑体" w:cs="黑体"/>
          <w:b w:val="0"/>
          <w:bCs w:val="0"/>
          <w:color w:val="auto"/>
          <w:highlight w:val="none"/>
        </w:rPr>
        <w:t>3.4 投标保证金</w:t>
      </w:r>
      <w:bookmarkEnd w:id="138"/>
      <w:bookmarkEnd w:id="139"/>
      <w:bookmarkEnd w:id="140"/>
      <w:bookmarkEnd w:id="141"/>
      <w:bookmarkEnd w:id="14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3.4.1 投标人在递交投标文件的同时，应按投标人须知前附表规定的金额和第七章“投标文件格式”规定的投标保证金格式递交投标保证金，并作为其投标文件的组成部分。联合体投标的，其投标保证金由牵头人递交，并应符合投标人须知前附表的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投标保证金应采用现金、支票、银行保函或招标人在投标人须知前附表规定的其他形式。</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若采用现金或支票，投标人应在递交投标文件截止时间之前，将投标保证金由投标人的基本账户（或基本存款账户）转入招标人指定账户，否则视为投标保证金无效。招标人指定的开户银行及账号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（2）若采用银行保函，则应由符合投标人须知前附表规定的银行开具，并采用招标文件提供的格式。</w:t>
      </w:r>
      <w:r>
        <w:rPr>
          <w:rFonts w:hint="eastAsia" w:ascii="宋体" w:hAnsi="宋体"/>
          <w:color w:val="auto"/>
          <w:sz w:val="24"/>
          <w:highlight w:val="none"/>
        </w:rPr>
        <w:t>银行保函递交方式见投标人须知前附表。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无论采取何种形式的投标保证金，投标保证金有效期均应与投标有效期一致。招标人如果按本章第3.3.3项的规定延长了投标有效期，则投标保证金的有效期也相应延长。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3.4.2 投标人不按本章第3.4.1项要求提交投标保证金的，评标委员会将否决其投标。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3.4.3 招标人最迟将在中标通知书发出后5日内向中标候选人以外的其他投标人退还投标保证金，与中标人签订合同后5日内向中标人和其他中标候选人退还投标保证金。投标保证金以现金或者支票形式递交的，招标人应同时退还投标保证金的银行同期活期存款利息，且退还至投标人基本账户（或基本存款账户）。</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利息计算原则、投标保证金退还方式见投标人须知前附表。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3.4.4 有下列情形之一的，投标保证金将不予退还：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（1）投标人在投标有效期内撤销投标文件；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（2）中标人在收到中标通知书后，无正当理由不与招标人订立合同，在签订合同时向招标人提出附加条件，或者不按照招标文件要求提交履约保证金；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（3）发生投标人须知前附表规定的其他不予退还投标保证金的情形。</w:t>
      </w:r>
    </w:p>
    <w:p>
      <w:pPr>
        <w:pStyle w:val="6"/>
        <w:rPr>
          <w:rFonts w:hint="eastAsia" w:ascii="黑体" w:hAnsi="黑体" w:cs="黑体"/>
          <w:b w:val="0"/>
          <w:bCs w:val="0"/>
          <w:color w:val="auto"/>
          <w:highlight w:val="none"/>
        </w:rPr>
      </w:pPr>
      <w:bookmarkStart w:id="143" w:name="_Toc523921616"/>
      <w:bookmarkStart w:id="144" w:name="_Toc519601447"/>
      <w:bookmarkStart w:id="145" w:name="_Toc513555546"/>
      <w:bookmarkStart w:id="146" w:name="_Toc513555790"/>
      <w:bookmarkStart w:id="147" w:name="_Toc513556623"/>
      <w:r>
        <w:rPr>
          <w:rFonts w:hint="eastAsia" w:ascii="黑体" w:hAnsi="黑体" w:cs="黑体"/>
          <w:b w:val="0"/>
          <w:bCs w:val="0"/>
          <w:color w:val="auto"/>
          <w:highlight w:val="none"/>
        </w:rPr>
        <w:t>3.5 资格审查资料</w:t>
      </w:r>
      <w:bookmarkEnd w:id="143"/>
      <w:bookmarkEnd w:id="144"/>
      <w:bookmarkEnd w:id="145"/>
      <w:bookmarkEnd w:id="146"/>
      <w:bookmarkEnd w:id="14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除投标人须知前附表另有规定外，投标人应按下列规定提供资格审查资料，以证明其满足本章第1.4款规定的资质、业绩、信誉等要求。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3.5.1 “投标人基本情况表”应附的证明材料要求：见投标人须知前附表。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3.5.2 “近年完成的类似项目”具体时间要求：见投标人须知前附表。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“近年完成的类似项目情况表”应附的证明材料要求：见投标人须知前附表。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如投标人未提供相关项目证明材料或相关证明材料中的信息无法证实投标人满足招标文件规定的资格审查条件（业绩最低要求）,则该项目业绩不予认定。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3.5.3 “投标人的信誉情况表”应附的证明材料要求：见投标人须知前附表。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3.5.4 “拟委任的主要人员资历表”应附的证明材料要求：见投标人须知前附表。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如投标人未提供主要人员相关业绩证明材料或相关业绩证明材料中的信息无法证实投标人满足招标文件规定的资格审查条件（主要人员最低要求）,则该项业绩不予认定。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如拟委任的总监理工程师、副总监理工程师（如有）、驻地监理工程师（如有）、试验室主任（如有）等主要人员目前仍在其他项目上任职，则投标人在投标函中应承诺可以从该项目撤离。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3.5.5 “拟委任的其他主要监理人员情况表”（如有）应填报满足投标人须知前附表附录5规定的其他主要监理人员的相关信息，应附的证明材料要求：见投标人须知前附表。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3.5.6 投标人须知前附表规定接受联合体投标的,本章第3.5.1项至第3.5.5项规定的表格和资料应包括联合体各方相关情况。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3.5.7 除合同条款约定的特殊情形外,投标人在投标文件中填报的主要人员不允许更换。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3.5.8 </w:t>
      </w:r>
      <w:r>
        <w:rPr>
          <w:rFonts w:hint="eastAsia" w:ascii="宋体" w:hAnsi="宋体"/>
          <w:color w:val="auto"/>
          <w:sz w:val="24"/>
          <w:highlight w:val="none"/>
        </w:rPr>
        <w:t>投标人在投标文件中填报的资质、业绩、主要人员资历等信息，应与其在交通运输主管部门“</w:t>
      </w:r>
      <w:r>
        <w:rPr>
          <w:rFonts w:hint="eastAsia" w:ascii="宋体" w:hAnsi="宋体"/>
          <w:color w:val="auto"/>
          <w:kern w:val="0"/>
          <w:sz w:val="24"/>
          <w:highlight w:val="none"/>
        </w:rPr>
        <w:t>全国公路建设市场监督管理系统</w:t>
      </w:r>
      <w:r>
        <w:rPr>
          <w:rFonts w:hint="eastAsia" w:ascii="宋体" w:hAnsi="宋体"/>
          <w:color w:val="auto"/>
          <w:sz w:val="24"/>
          <w:highlight w:val="none"/>
        </w:rPr>
        <w:t>”上填报并发布的相关信息一致</w:t>
      </w:r>
      <w:bookmarkStart w:id="148" w:name="_Hlk94000849"/>
      <w:r>
        <w:rPr>
          <w:rStyle w:val="58"/>
          <w:rFonts w:hint="eastAsia" w:ascii="宋体" w:hAnsi="宋体"/>
          <w:color w:val="auto"/>
          <w:sz w:val="24"/>
          <w:highlight w:val="none"/>
        </w:rPr>
        <w:footnoteReference w:id="0"/>
      </w:r>
      <w:bookmarkEnd w:id="148"/>
      <w:r>
        <w:rPr>
          <w:rFonts w:hint="eastAsia" w:ascii="宋体" w:hAnsi="宋体" w:cs="宋体"/>
          <w:color w:val="auto"/>
          <w:sz w:val="24"/>
          <w:highlight w:val="none"/>
        </w:rPr>
        <w:t>，信用等级信息应以“信用交通·四川”上查询结果为准。投标人应根据本单位实际情况及时完成相关信息的申报、录入和动态更新，并对相关信息的真实性、完整性和准确性负责。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3.5.9 招标人有权核查投标人在投标文件中提供的资料，若在评标期间发现投标人提供了虚假资料,其投标将被否决；若在签订合同前发现作为中标候选人的投标人提供了虚假资料,招标人有权取消其中标资格；若在合同实施期间发现投标人提供了虚假资料，招标人有权从合同价款或履约保证金中扣除不超过5%签约合同价的金额作为违约金。同时招标人将投标人上述弄虚作假行为上报省级交通运输主管部门，作为不良记录纳入公路建设市场监督管理系统。</w:t>
      </w:r>
    </w:p>
    <w:p>
      <w:pPr>
        <w:pStyle w:val="6"/>
        <w:rPr>
          <w:rFonts w:hint="eastAsia" w:ascii="黑体" w:hAnsi="黑体" w:cs="黑体"/>
          <w:b w:val="0"/>
          <w:bCs w:val="0"/>
          <w:color w:val="auto"/>
          <w:highlight w:val="none"/>
        </w:rPr>
      </w:pPr>
      <w:bookmarkStart w:id="149" w:name="_Toc513555791"/>
      <w:bookmarkStart w:id="150" w:name="_Toc234382614"/>
      <w:bookmarkStart w:id="151" w:name="_Toc513556624"/>
      <w:bookmarkStart w:id="152" w:name="_Toc509828613"/>
      <w:bookmarkStart w:id="153" w:name="_Toc513555547"/>
      <w:bookmarkStart w:id="154" w:name="_Toc523921617"/>
      <w:bookmarkStart w:id="155" w:name="_Toc519601448"/>
      <w:r>
        <w:rPr>
          <w:rFonts w:hint="eastAsia" w:ascii="黑体" w:hAnsi="黑体" w:cs="黑体"/>
          <w:b w:val="0"/>
          <w:bCs w:val="0"/>
          <w:color w:val="auto"/>
          <w:highlight w:val="none"/>
        </w:rPr>
        <w:t>3.6 备选投标方案</w:t>
      </w:r>
      <w:bookmarkEnd w:id="149"/>
      <w:bookmarkEnd w:id="150"/>
      <w:bookmarkEnd w:id="151"/>
      <w:bookmarkEnd w:id="152"/>
      <w:bookmarkEnd w:id="153"/>
      <w:bookmarkEnd w:id="154"/>
      <w:bookmarkEnd w:id="15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3.6.1 除投标人须知前附表规定允许外，投标人不得递交备选投标方案，否则其投标将被否决。</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3.6.3 投标人提供两个或两个以上投标报价，或在投标文件中提供一个报价，但同时提供两个或两个以上监理方案的，视为提供备选投标方案。</w:t>
      </w:r>
    </w:p>
    <w:p>
      <w:pPr>
        <w:pStyle w:val="6"/>
        <w:rPr>
          <w:rFonts w:hint="eastAsia" w:ascii="黑体" w:hAnsi="黑体" w:cs="黑体"/>
          <w:b w:val="0"/>
          <w:bCs w:val="0"/>
          <w:color w:val="auto"/>
          <w:highlight w:val="none"/>
        </w:rPr>
      </w:pPr>
      <w:bookmarkStart w:id="156" w:name="_Toc513556625"/>
      <w:bookmarkStart w:id="157" w:name="_Toc234382615"/>
      <w:bookmarkStart w:id="158" w:name="_Toc509828614"/>
      <w:bookmarkStart w:id="159" w:name="_Toc523921618"/>
      <w:bookmarkStart w:id="160" w:name="_Toc519601449"/>
      <w:bookmarkStart w:id="161" w:name="_Toc513555548"/>
      <w:bookmarkStart w:id="162" w:name="_Toc513555792"/>
      <w:r>
        <w:rPr>
          <w:rFonts w:hint="eastAsia" w:ascii="黑体" w:hAnsi="黑体" w:cs="黑体"/>
          <w:b w:val="0"/>
          <w:bCs w:val="0"/>
          <w:color w:val="auto"/>
          <w:highlight w:val="none"/>
        </w:rPr>
        <w:t>3.7 投标文件的编制</w:t>
      </w:r>
      <w:bookmarkEnd w:id="156"/>
      <w:bookmarkEnd w:id="157"/>
      <w:bookmarkEnd w:id="158"/>
      <w:bookmarkEnd w:id="159"/>
      <w:bookmarkEnd w:id="160"/>
      <w:bookmarkEnd w:id="161"/>
      <w:bookmarkEnd w:id="16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3.7.1 投标文件应按第七章“投标文件格式”进行编写，如有必要，可以增加附页，作为投标文件的组成部分。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3.7.2 投标文件应当对招标文件有关监理服务期限、投标有效期、质量要求、安全目标、委托人要求、招标范围等实质性内容作出响应。</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3.7.3 投标文件的制作应满足以下规定：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（1）投标文件由投标人使用《甘孜州电子交易系统》自带的“投标文件制作工具”制作生成。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（2）投标人在编制投标文件时应建立分级目录，并按照标签提示导入相关内容。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（3）投标文件中证明资料的“原件原色扫描件”均为“原件的扫描件”。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（4）投标文件中已标价报价清单数据文件应与招标人提供的报价清单数据文件格式一致。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第七章“投标文件格式”中要求盖单位电子印章之处，投标人均应使用单位CA数字证书加盖投标人的单位电子印章；第七章“投标文件格式”中要求签字之处，投标人均应使用个人CA数字证书加盖投标人的法定代表人或其委托代理人的个人电子签名章或</w:t>
      </w:r>
      <w:r>
        <w:rPr>
          <w:rFonts w:hint="eastAsia" w:ascii="宋体" w:hAnsi="宋体"/>
          <w:color w:val="auto"/>
          <w:sz w:val="24"/>
          <w:highlight w:val="none"/>
        </w:rPr>
        <w:t>个人电子印章</w:t>
      </w:r>
      <w:r>
        <w:rPr>
          <w:rFonts w:hint="eastAsia" w:ascii="宋体" w:hAnsi="宋体" w:cs="宋体"/>
          <w:color w:val="auto"/>
          <w:sz w:val="24"/>
          <w:highlight w:val="none"/>
        </w:rPr>
        <w:t>。联合体投标的，投标文件由联合体牵头人按上述规定加盖联合体牵头人单位电子印章、法定代表人或其委托代理人的个人电子签名章或</w:t>
      </w:r>
      <w:r>
        <w:rPr>
          <w:rFonts w:hint="eastAsia" w:ascii="宋体" w:hAnsi="宋体"/>
          <w:color w:val="auto"/>
          <w:sz w:val="24"/>
          <w:highlight w:val="none"/>
        </w:rPr>
        <w:t>个人电子印章</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（6）投标文件制作完成后，投标人应使用单位CA数字证书对投标文件进行加密，形成加密的电子投标文件。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（7）投标文件制作的具体方法见“投标文件制作工具”中的帮助文档。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3.7.4 投标文件份数及其他要求：见投标人须知前附表。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3.7.5 投标文件上传的要求：见投标人须知前附表。</w:t>
      </w:r>
    </w:p>
    <w:p>
      <w:pPr>
        <w:pStyle w:val="5"/>
        <w:rPr>
          <w:color w:val="auto"/>
          <w:highlight w:val="none"/>
        </w:rPr>
      </w:pPr>
      <w:bookmarkStart w:id="163" w:name="_Toc234382616"/>
      <w:bookmarkStart w:id="164" w:name="_Toc523921619"/>
      <w:bookmarkStart w:id="165" w:name="_Toc28187719"/>
      <w:r>
        <w:rPr>
          <w:color w:val="auto"/>
          <w:highlight w:val="none"/>
        </w:rPr>
        <w:t xml:space="preserve">4. </w:t>
      </w:r>
      <w:r>
        <w:rPr>
          <w:rFonts w:hint="eastAsia"/>
          <w:color w:val="auto"/>
          <w:highlight w:val="none"/>
        </w:rPr>
        <w:t>投标</w:t>
      </w:r>
      <w:bookmarkEnd w:id="163"/>
      <w:bookmarkEnd w:id="164"/>
      <w:bookmarkEnd w:id="165"/>
    </w:p>
    <w:p>
      <w:pPr>
        <w:pStyle w:val="6"/>
        <w:rPr>
          <w:rFonts w:hint="eastAsia" w:ascii="黑体" w:hAnsi="黑体" w:cs="黑体"/>
          <w:b w:val="0"/>
          <w:bCs w:val="0"/>
          <w:color w:val="auto"/>
          <w:highlight w:val="none"/>
        </w:rPr>
      </w:pPr>
      <w:bookmarkStart w:id="166" w:name="_Toc234382617"/>
      <w:bookmarkStart w:id="167" w:name="_Toc523921620"/>
      <w:r>
        <w:rPr>
          <w:rFonts w:hint="eastAsia" w:ascii="黑体" w:hAnsi="黑体" w:cs="黑体"/>
          <w:b w:val="0"/>
          <w:bCs w:val="0"/>
          <w:color w:val="auto"/>
          <w:highlight w:val="none"/>
        </w:rPr>
        <w:t>4.1</w:t>
      </w:r>
      <w:bookmarkEnd w:id="166"/>
      <w:r>
        <w:rPr>
          <w:rFonts w:hint="eastAsia" w:ascii="黑体" w:hAnsi="黑体" w:cs="黑体"/>
          <w:b w:val="0"/>
          <w:bCs w:val="0"/>
          <w:color w:val="auto"/>
          <w:highlight w:val="none"/>
        </w:rPr>
        <w:t xml:space="preserve"> 投标文件的加密</w:t>
      </w:r>
      <w:bookmarkEnd w:id="16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 投标文件应按照本章第3.7.3项要求制作并加密，未按要求加密的投标文件，《甘孜州电子交易系统》将拒绝接收。</w:t>
      </w:r>
    </w:p>
    <w:p>
      <w:pPr>
        <w:pStyle w:val="6"/>
        <w:rPr>
          <w:rFonts w:hint="eastAsia" w:ascii="黑体" w:hAnsi="黑体" w:cs="黑体"/>
          <w:b w:val="0"/>
          <w:bCs w:val="0"/>
          <w:color w:val="auto"/>
          <w:highlight w:val="none"/>
        </w:rPr>
      </w:pPr>
      <w:bookmarkStart w:id="168" w:name="_Toc234382618"/>
      <w:bookmarkStart w:id="169" w:name="_Toc509828615"/>
      <w:bookmarkStart w:id="170" w:name="_Toc523921621"/>
      <w:bookmarkStart w:id="171" w:name="_Toc513555549"/>
      <w:bookmarkStart w:id="172" w:name="_Toc513555793"/>
      <w:bookmarkStart w:id="173" w:name="_Toc519601450"/>
      <w:bookmarkStart w:id="174" w:name="_Toc513556626"/>
      <w:r>
        <w:rPr>
          <w:rFonts w:hint="eastAsia" w:ascii="黑体" w:hAnsi="黑体" w:cs="黑体"/>
          <w:b w:val="0"/>
          <w:bCs w:val="0"/>
          <w:color w:val="auto"/>
          <w:highlight w:val="none"/>
        </w:rPr>
        <w:t>4.2 投标文件的递交</w:t>
      </w:r>
      <w:bookmarkEnd w:id="168"/>
      <w:bookmarkEnd w:id="169"/>
      <w:bookmarkEnd w:id="170"/>
      <w:bookmarkEnd w:id="171"/>
      <w:bookmarkEnd w:id="172"/>
      <w:bookmarkEnd w:id="173"/>
      <w:bookmarkEnd w:id="174"/>
    </w:p>
    <w:p>
      <w:pPr>
        <w:spacing w:line="360" w:lineRule="auto"/>
        <w:ind w:firstLine="480" w:firstLineChars="200"/>
        <w:rPr>
          <w:rFonts w:hint="eastAsia" w:asciiTheme="minorEastAsia" w:hAnsiTheme="minorEastAsia" w:eastAsiaTheme="minorEastAsia"/>
          <w:color w:val="auto"/>
          <w:sz w:val="24"/>
          <w:highlight w:val="none"/>
        </w:rPr>
      </w:pPr>
      <w:bookmarkStart w:id="175" w:name="_Toc234382619"/>
      <w:r>
        <w:rPr>
          <w:rFonts w:hint="eastAsia" w:ascii="宋体" w:hAnsi="宋体" w:cs="宋体"/>
          <w:color w:val="auto"/>
          <w:sz w:val="24"/>
          <w:highlight w:val="none"/>
        </w:rPr>
        <w:t xml:space="preserve">4.2.1 </w:t>
      </w:r>
      <w:r>
        <w:rPr>
          <w:rFonts w:hint="eastAsia"/>
          <w:color w:val="auto"/>
          <w:sz w:val="24"/>
          <w:highlight w:val="none"/>
        </w:rPr>
        <w:t>投标人应在第一章“招标公告”规定的投标截止时间前递交投标文件。</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4.2.2 投标人递交投标文件的方式、地点：见第一章“招标公告”</w:t>
      </w:r>
      <w:r>
        <w:rPr>
          <w:rFonts w:hint="eastAsia" w:cs="宋体" w:asciiTheme="minorEastAsia" w:hAnsiTheme="minorEastAsia" w:eastAsiaTheme="minorEastAsia"/>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 除投标人须知前附表另有规定外，投标人所递交的投标文件不予退还。投标人少于3个的，投标文件当场退还给投标人。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4.2.4 逾期到达或者未到达《甘孜州电子交易系统》的电子投标文件视为放弃本次投标。</w:t>
      </w:r>
      <w:r>
        <w:rPr>
          <w:rFonts w:hint="eastAsia" w:ascii="宋体" w:hAnsi="宋体"/>
          <w:color w:val="auto"/>
          <w:sz w:val="24"/>
          <w:highlight w:val="none"/>
        </w:rPr>
        <w:t>采用银行保函形式提交投标保证金的，银行保函原件逾期送达的或未送达指定地点的，招标人将予以拒收。</w:t>
      </w:r>
    </w:p>
    <w:p>
      <w:pPr>
        <w:pStyle w:val="6"/>
        <w:rPr>
          <w:rFonts w:hint="eastAsia" w:ascii="黑体" w:hAnsi="黑体" w:cs="黑体"/>
          <w:b w:val="0"/>
          <w:bCs w:val="0"/>
          <w:color w:val="auto"/>
          <w:highlight w:val="none"/>
        </w:rPr>
      </w:pPr>
      <w:bookmarkStart w:id="176" w:name="_Toc513555794"/>
      <w:bookmarkStart w:id="177" w:name="_Toc513556627"/>
      <w:bookmarkStart w:id="178" w:name="_Toc513555550"/>
      <w:bookmarkStart w:id="179" w:name="_Toc519601451"/>
      <w:bookmarkStart w:id="180" w:name="_Toc523921622"/>
      <w:bookmarkStart w:id="181" w:name="_Toc509828616"/>
      <w:r>
        <w:rPr>
          <w:rFonts w:hint="eastAsia" w:ascii="黑体" w:hAnsi="黑体" w:cs="黑体"/>
          <w:b w:val="0"/>
          <w:bCs w:val="0"/>
          <w:color w:val="auto"/>
          <w:highlight w:val="none"/>
        </w:rPr>
        <w:t>4.3 投标文件的修改与撤回</w:t>
      </w:r>
      <w:bookmarkEnd w:id="175"/>
      <w:bookmarkEnd w:id="176"/>
      <w:bookmarkEnd w:id="177"/>
      <w:bookmarkEnd w:id="178"/>
      <w:bookmarkEnd w:id="179"/>
      <w:bookmarkEnd w:id="180"/>
      <w:bookmarkEnd w:id="18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4.3.1 在本章第4.2.1项规定的投标截止时间前,投标人可以修改或撤回已递交的投标文件。投标人对加密的投标文件进行撤回的，应在《甘孜州电子交易系统》直接进行撤回操作；投标人对加密的投标文件进行修改的，应在投标截止时间前完成上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4.3.2 投标人修改投标文件的，应使用“投标文件制作工具”制作成完整的投标文件，并按照本章第3条、第4条规定进行编制、加密和递交。上传加密的投标文件，以投标截止时间前最后完成上传的文件为准。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4.3.3 投标人撤回投标文件的,招标人自收到投标人书面撤回通知之日起5日内退还已收取的投标保证金。</w:t>
      </w:r>
    </w:p>
    <w:p>
      <w:pPr>
        <w:pStyle w:val="5"/>
        <w:rPr>
          <w:color w:val="auto"/>
          <w:highlight w:val="none"/>
        </w:rPr>
      </w:pPr>
      <w:bookmarkStart w:id="182" w:name="_Toc234382620"/>
      <w:bookmarkStart w:id="183" w:name="_Toc28187720"/>
      <w:bookmarkStart w:id="184" w:name="_Toc523921623"/>
      <w:r>
        <w:rPr>
          <w:color w:val="auto"/>
          <w:highlight w:val="none"/>
        </w:rPr>
        <w:t xml:space="preserve">5. </w:t>
      </w:r>
      <w:r>
        <w:rPr>
          <w:rFonts w:hint="eastAsia"/>
          <w:color w:val="auto"/>
          <w:highlight w:val="none"/>
        </w:rPr>
        <w:t>开标</w:t>
      </w:r>
      <w:bookmarkEnd w:id="182"/>
      <w:bookmarkEnd w:id="183"/>
      <w:bookmarkEnd w:id="184"/>
    </w:p>
    <w:p>
      <w:pPr>
        <w:pStyle w:val="6"/>
        <w:rPr>
          <w:rFonts w:hint="eastAsia" w:ascii="黑体" w:hAnsi="黑体" w:cs="黑体"/>
          <w:b w:val="0"/>
          <w:bCs w:val="0"/>
          <w:color w:val="auto"/>
          <w:highlight w:val="none"/>
        </w:rPr>
      </w:pPr>
      <w:bookmarkStart w:id="185" w:name="_Toc513556628"/>
      <w:bookmarkStart w:id="186" w:name="_Toc234382621"/>
      <w:bookmarkStart w:id="187" w:name="_Toc509828617"/>
      <w:bookmarkStart w:id="188" w:name="_Toc513555551"/>
      <w:bookmarkStart w:id="189" w:name="_Toc519601452"/>
      <w:bookmarkStart w:id="190" w:name="_Toc513555795"/>
      <w:bookmarkStart w:id="191" w:name="_Toc523921624"/>
      <w:r>
        <w:rPr>
          <w:rFonts w:hint="eastAsia" w:ascii="黑体" w:hAnsi="黑体" w:cs="黑体"/>
          <w:b w:val="0"/>
          <w:bCs w:val="0"/>
          <w:color w:val="auto"/>
          <w:highlight w:val="none"/>
        </w:rPr>
        <w:t>5.1 开标时间和地点</w:t>
      </w:r>
      <w:bookmarkEnd w:id="185"/>
      <w:bookmarkEnd w:id="186"/>
      <w:bookmarkEnd w:id="187"/>
      <w:bookmarkEnd w:id="188"/>
      <w:bookmarkEnd w:id="189"/>
      <w:bookmarkEnd w:id="190"/>
      <w:bookmarkEnd w:id="19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招标人在本章第4.2.1项规定的投标截止时间（开标时间）和投标人须知前附表规定的地点对收到的投标文件第一个信封（商务及技术文件）公开开标，并邀请所有投标人的法定代表人或其委托代理人准时参加。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招标人在投标人须知前附表规定的时间和地点对投标文件第二个信封（报价文件）进行公开开标，并邀请所有投标人的法定代表人或其委托代理人准时参加。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投标人若未派法定代表人或委托代理人参加开标的，视为该投标人默认开标结果。</w:t>
      </w:r>
    </w:p>
    <w:p>
      <w:pPr>
        <w:pStyle w:val="6"/>
        <w:rPr>
          <w:rFonts w:hint="eastAsia" w:ascii="黑体" w:hAnsi="黑体" w:cs="黑体"/>
          <w:b w:val="0"/>
          <w:bCs w:val="0"/>
          <w:color w:val="auto"/>
          <w:highlight w:val="none"/>
        </w:rPr>
      </w:pPr>
      <w:bookmarkStart w:id="192" w:name="_Toc513556629"/>
      <w:bookmarkStart w:id="193" w:name="_Toc519601453"/>
      <w:bookmarkStart w:id="194" w:name="_Toc513555796"/>
      <w:bookmarkStart w:id="195" w:name="_Toc513555552"/>
      <w:bookmarkStart w:id="196" w:name="_Toc523921625"/>
      <w:bookmarkStart w:id="197" w:name="_Toc509828618"/>
      <w:bookmarkStart w:id="198" w:name="_Toc234382623"/>
      <w:r>
        <w:rPr>
          <w:rFonts w:hint="eastAsia" w:ascii="黑体" w:hAnsi="黑体" w:cs="黑体"/>
          <w:b w:val="0"/>
          <w:bCs w:val="0"/>
          <w:color w:val="auto"/>
          <w:highlight w:val="none"/>
        </w:rPr>
        <w:t>5.2 开标程序</w:t>
      </w:r>
      <w:bookmarkEnd w:id="192"/>
      <w:bookmarkEnd w:id="193"/>
      <w:bookmarkEnd w:id="194"/>
      <w:bookmarkEnd w:id="195"/>
      <w:bookmarkEnd w:id="196"/>
      <w:bookmarkEnd w:id="197"/>
      <w:bookmarkEnd w:id="198"/>
    </w:p>
    <w:p>
      <w:pPr>
        <w:spacing w:line="360" w:lineRule="auto"/>
        <w:ind w:left="479" w:leftChars="228"/>
        <w:rPr>
          <w:rFonts w:hint="eastAsia" w:ascii="宋体" w:hAnsi="宋体" w:cs="宋体"/>
          <w:color w:val="auto"/>
          <w:sz w:val="24"/>
          <w:highlight w:val="none"/>
        </w:rPr>
      </w:pPr>
      <w:r>
        <w:rPr>
          <w:rFonts w:hint="eastAsia" w:ascii="宋体" w:hAnsi="宋体" w:cs="宋体"/>
          <w:color w:val="auto"/>
          <w:sz w:val="24"/>
          <w:highlight w:val="none"/>
        </w:rPr>
        <w:t>5.2.1 投标文件第一个信封（商务及技术文件）开标程序：见投标人须知前附表。</w:t>
      </w:r>
    </w:p>
    <w:p>
      <w:pPr>
        <w:spacing w:line="360" w:lineRule="auto"/>
        <w:ind w:left="479" w:leftChars="228"/>
        <w:rPr>
          <w:rFonts w:hint="eastAsia" w:ascii="宋体" w:hAnsi="宋体" w:cs="宋体"/>
          <w:color w:val="auto"/>
          <w:sz w:val="24"/>
          <w:highlight w:val="none"/>
        </w:rPr>
      </w:pPr>
      <w:r>
        <w:rPr>
          <w:rFonts w:hint="eastAsia" w:ascii="宋体" w:hAnsi="宋体" w:cs="宋体"/>
          <w:color w:val="auto"/>
          <w:sz w:val="24"/>
          <w:highlight w:val="none"/>
        </w:rPr>
        <w:t>5.2.2 投标文件第二个信封（报价文件）开标前的处置：见投标人须知前附表。</w:t>
      </w:r>
    </w:p>
    <w:p>
      <w:pPr>
        <w:spacing w:line="360" w:lineRule="auto"/>
        <w:ind w:left="479" w:leftChars="228"/>
        <w:rPr>
          <w:rFonts w:hint="eastAsia" w:ascii="宋体" w:hAnsi="宋体" w:cs="宋体"/>
          <w:color w:val="auto"/>
          <w:sz w:val="24"/>
          <w:highlight w:val="none"/>
        </w:rPr>
      </w:pPr>
      <w:r>
        <w:rPr>
          <w:rFonts w:hint="eastAsia" w:ascii="宋体" w:hAnsi="宋体" w:cs="宋体"/>
          <w:color w:val="auto"/>
          <w:sz w:val="24"/>
          <w:highlight w:val="none"/>
        </w:rPr>
        <w:t>5.2.3 投标文件第二个信封（报价文件）开标程序：见投标人须知前附表。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5.2.4 在投标文件第二个信封（报价文件）开标现场,招标人将按第三章“评标办法”前附表第2.2.2项规定的原则计算并宣布评标基准价。若招标人发现投标文件出现</w:t>
      </w:r>
      <w:r>
        <w:rPr>
          <w:rFonts w:hint="eastAsia" w:ascii="宋体" w:hAnsi="宋体"/>
          <w:color w:val="auto"/>
          <w:sz w:val="24"/>
          <w:highlight w:val="none"/>
        </w:rPr>
        <w:t>第三章“评标办法”前附表第2.2.2项中所述</w:t>
      </w:r>
      <w:bookmarkStart w:id="199" w:name="_Hlk98784990"/>
      <w:r>
        <w:rPr>
          <w:rFonts w:hint="eastAsia" w:ascii="宋体" w:hAnsi="宋体"/>
          <w:color w:val="auto"/>
          <w:sz w:val="24"/>
          <w:highlight w:val="none"/>
        </w:rPr>
        <w:t>不参加评标基准价计算的</w:t>
      </w:r>
      <w:bookmarkEnd w:id="199"/>
      <w:r>
        <w:rPr>
          <w:rFonts w:hint="eastAsia" w:ascii="宋体" w:hAnsi="宋体" w:cs="宋体"/>
          <w:color w:val="auto"/>
          <w:sz w:val="24"/>
          <w:highlight w:val="none"/>
        </w:rPr>
        <w:t>任一情形。其投标报价将不再参加评标基准价的计算。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如果投标人认为某一标段的评标基准价计算有误,有权在开标现场提出,经招标人当场核实确认之后,可重新宣布评标基准价。开标现场宣布的评标基准价除计算有误经评标委员会修正外,在整个评标期间保持不变,不随任何因素发生变化。</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5.2.5 在投标文件第一个信封（商务及技术文件）或第二个信封（报价文件）开标过程中,若招标人宣读的内容与投标文件不符,投标人有权在开标现场提出疑问,经招标人当场核查确认之后,可重新宣读其投标文件。若投标人现场未提出疑问,则认为投标人已确认招标人宣读的内容。</w:t>
      </w:r>
    </w:p>
    <w:p>
      <w:pPr>
        <w:pStyle w:val="6"/>
        <w:rPr>
          <w:rFonts w:hint="eastAsia" w:ascii="黑体" w:hAnsi="黑体" w:cs="黑体"/>
          <w:b w:val="0"/>
          <w:bCs w:val="0"/>
          <w:color w:val="auto"/>
          <w:highlight w:val="none"/>
        </w:rPr>
      </w:pPr>
      <w:bookmarkStart w:id="200" w:name="_Toc27059794"/>
      <w:bookmarkStart w:id="201" w:name="_Toc27059896"/>
      <w:bookmarkStart w:id="202" w:name="_Toc27060692"/>
      <w:bookmarkStart w:id="203" w:name="_Toc27059523"/>
      <w:bookmarkStart w:id="204" w:name="_Toc27059704"/>
      <w:r>
        <w:rPr>
          <w:rFonts w:hint="eastAsia" w:ascii="黑体" w:hAnsi="黑体" w:cs="黑体"/>
          <w:b w:val="0"/>
          <w:bCs w:val="0"/>
          <w:color w:val="auto"/>
          <w:highlight w:val="none"/>
        </w:rPr>
        <w:t>5.3 开标补救措施</w:t>
      </w:r>
      <w:bookmarkEnd w:id="200"/>
      <w:bookmarkEnd w:id="201"/>
      <w:bookmarkEnd w:id="202"/>
      <w:bookmarkEnd w:id="203"/>
      <w:bookmarkEnd w:id="20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5.3.1 开标过程中因本章第5.3.2项、第5.3.3项所列原因，导致系统无法正常运行，将按投标人须知前附表的规定采取补救措施。</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5.3.2 在投标截止时间止，因《甘孜州电子交易系统》系统故障导致投标人无法正常上传加密的投标文件的情形，投标人应打印并递交电子交易系统自动生成的上传失败的异常记录单。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5.3.3 当出现以下情况时，应对未开标的中止电子开标，并在恢复正常后及时安排时间开标：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（1）系统服务器发生故障，无法访问或无法使用系统；</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（2）系统的软件或数据库出现错误，不能进行正常操作；</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（3）系统发现有安全漏洞，有潜在的泄密危险；</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（4）出现断电事故且短时间内无法恢复供电；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（5）其他无法保证招投标过程正常进行的情形。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5.3.4 采取补救措施时，必须对原有资料及信息作出妥善保密处理。</w:t>
      </w:r>
    </w:p>
    <w:p>
      <w:pPr>
        <w:pStyle w:val="6"/>
        <w:rPr>
          <w:rFonts w:hint="eastAsia" w:ascii="黑体" w:hAnsi="黑体" w:cs="黑体"/>
          <w:b w:val="0"/>
          <w:bCs w:val="0"/>
          <w:color w:val="auto"/>
          <w:highlight w:val="none"/>
        </w:rPr>
      </w:pPr>
      <w:bookmarkStart w:id="205" w:name="_Toc27059795"/>
      <w:bookmarkStart w:id="206" w:name="_Toc27059897"/>
      <w:bookmarkStart w:id="207" w:name="_Toc27059524"/>
      <w:bookmarkStart w:id="208" w:name="_Toc27060693"/>
      <w:bookmarkStart w:id="209" w:name="_Toc27059705"/>
      <w:r>
        <w:rPr>
          <w:rFonts w:hint="eastAsia" w:ascii="黑体" w:hAnsi="黑体" w:cs="黑体"/>
          <w:b w:val="0"/>
          <w:bCs w:val="0"/>
          <w:color w:val="auto"/>
          <w:highlight w:val="none"/>
        </w:rPr>
        <w:t>5.4 开标异议</w:t>
      </w:r>
      <w:bookmarkEnd w:id="205"/>
      <w:bookmarkEnd w:id="206"/>
      <w:bookmarkEnd w:id="207"/>
      <w:bookmarkEnd w:id="208"/>
      <w:bookmarkEnd w:id="209"/>
    </w:p>
    <w:p>
      <w:pPr>
        <w:pStyle w:val="276"/>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投标人对开标有异议的,应在开标现场提出,招标人当场作出答复,并予以记录。</w:t>
      </w:r>
    </w:p>
    <w:p>
      <w:pPr>
        <w:pStyle w:val="5"/>
        <w:rPr>
          <w:color w:val="auto"/>
          <w:highlight w:val="none"/>
        </w:rPr>
      </w:pPr>
      <w:bookmarkStart w:id="210" w:name="_Toc28187721"/>
      <w:bookmarkStart w:id="211" w:name="_Toc234382625"/>
      <w:bookmarkStart w:id="212" w:name="_Toc523921626"/>
      <w:r>
        <w:rPr>
          <w:color w:val="auto"/>
          <w:highlight w:val="none"/>
        </w:rPr>
        <w:t xml:space="preserve">6. </w:t>
      </w:r>
      <w:r>
        <w:rPr>
          <w:rFonts w:hint="eastAsia"/>
          <w:color w:val="auto"/>
          <w:highlight w:val="none"/>
        </w:rPr>
        <w:t>评标</w:t>
      </w:r>
      <w:bookmarkEnd w:id="210"/>
      <w:bookmarkEnd w:id="211"/>
      <w:bookmarkEnd w:id="212"/>
    </w:p>
    <w:p>
      <w:pPr>
        <w:pStyle w:val="6"/>
        <w:rPr>
          <w:rFonts w:hint="eastAsia" w:ascii="黑体" w:hAnsi="黑体" w:cs="黑体"/>
          <w:b w:val="0"/>
          <w:bCs w:val="0"/>
          <w:color w:val="auto"/>
          <w:highlight w:val="none"/>
        </w:rPr>
      </w:pPr>
      <w:bookmarkStart w:id="213" w:name="_Toc234832907"/>
      <w:bookmarkStart w:id="214" w:name="_Toc27059899"/>
      <w:bookmarkStart w:id="215" w:name="_Toc27059526"/>
      <w:bookmarkStart w:id="216" w:name="_Toc27059707"/>
      <w:bookmarkStart w:id="217" w:name="_Toc27059797"/>
      <w:bookmarkStart w:id="218" w:name="_Toc501257099"/>
      <w:bookmarkStart w:id="219" w:name="_Toc27060695"/>
      <w:r>
        <w:rPr>
          <w:rFonts w:hint="eastAsia" w:ascii="黑体" w:hAnsi="黑体" w:cs="黑体"/>
          <w:b w:val="0"/>
          <w:bCs w:val="0"/>
          <w:color w:val="auto"/>
          <w:highlight w:val="none"/>
        </w:rPr>
        <w:t>6.1 评标委员会</w:t>
      </w:r>
      <w:bookmarkEnd w:id="213"/>
      <w:bookmarkEnd w:id="214"/>
      <w:bookmarkEnd w:id="215"/>
      <w:bookmarkEnd w:id="216"/>
      <w:bookmarkEnd w:id="217"/>
      <w:bookmarkEnd w:id="218"/>
      <w:bookmarkEnd w:id="21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6.1.2 评标委员会成员有下列情形之一的，应主动提出回避：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（1）为负责招标项目监督管理的交通运输主管部门的工作人员；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（2）与投标人法定代表人或其委托代理人有近亲属关系；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（3）为投标人的工作人员或退休人员；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（4）与投标人有其他利害关系，可能影响评标活动公正性；</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（5）在与招标投标有关活动中有过违法违规行为、曾受过行政处罚或刑事处罚。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招标人及其子公司、招标人下属单位、招标人的上级主管部门或者控股公司、招标代理机构的工作人员或者退休人员不得以专家身份参与本单位或者招标代理项目的评标。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6.1.3 评标过程中，评标委员会成员有回避事由、擅离职守或者因健康等原因不能继续评标的，招标人有权更换。被更换的评标委员会成员作出的评审结论无效，由更换后的评标委员会成员重新进行评审。</w:t>
      </w:r>
    </w:p>
    <w:p>
      <w:pPr>
        <w:pStyle w:val="6"/>
        <w:rPr>
          <w:rFonts w:hint="eastAsia" w:ascii="黑体" w:hAnsi="黑体" w:cs="黑体"/>
          <w:b w:val="0"/>
          <w:bCs w:val="0"/>
          <w:color w:val="auto"/>
          <w:highlight w:val="none"/>
        </w:rPr>
      </w:pPr>
      <w:bookmarkStart w:id="220" w:name="_Toc509828620"/>
      <w:bookmarkStart w:id="221" w:name="_Toc513555554"/>
      <w:bookmarkStart w:id="222" w:name="_Toc523921628"/>
      <w:bookmarkStart w:id="223" w:name="_Toc234382627"/>
      <w:bookmarkStart w:id="224" w:name="_Toc513555798"/>
      <w:bookmarkStart w:id="225" w:name="_Toc519601455"/>
      <w:bookmarkStart w:id="226" w:name="_Toc513556631"/>
      <w:r>
        <w:rPr>
          <w:rFonts w:hint="eastAsia" w:ascii="黑体" w:hAnsi="黑体" w:cs="黑体"/>
          <w:b w:val="0"/>
          <w:bCs w:val="0"/>
          <w:color w:val="auto"/>
          <w:highlight w:val="none"/>
        </w:rPr>
        <w:t>6.2 评标原则</w:t>
      </w:r>
      <w:bookmarkEnd w:id="220"/>
      <w:bookmarkEnd w:id="221"/>
      <w:bookmarkEnd w:id="222"/>
      <w:bookmarkEnd w:id="223"/>
      <w:bookmarkEnd w:id="224"/>
      <w:bookmarkEnd w:id="225"/>
      <w:bookmarkEnd w:id="22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评标活动遵循公平、公正、科学和择优的原则。</w:t>
      </w:r>
    </w:p>
    <w:p>
      <w:pPr>
        <w:pStyle w:val="6"/>
        <w:rPr>
          <w:rFonts w:hint="eastAsia" w:ascii="黑体" w:hAnsi="黑体" w:cs="黑体"/>
          <w:b w:val="0"/>
          <w:bCs w:val="0"/>
          <w:color w:val="auto"/>
          <w:highlight w:val="none"/>
        </w:rPr>
      </w:pPr>
      <w:bookmarkStart w:id="227" w:name="_Toc513555799"/>
      <w:bookmarkStart w:id="228" w:name="_Toc513555555"/>
      <w:bookmarkStart w:id="229" w:name="_Toc234382628"/>
      <w:bookmarkStart w:id="230" w:name="_Toc519601456"/>
      <w:bookmarkStart w:id="231" w:name="_Toc509828621"/>
      <w:bookmarkStart w:id="232" w:name="_Toc513556632"/>
      <w:bookmarkStart w:id="233" w:name="_Toc523921629"/>
      <w:r>
        <w:rPr>
          <w:rFonts w:hint="eastAsia" w:ascii="黑体" w:hAnsi="黑体" w:cs="黑体"/>
          <w:b w:val="0"/>
          <w:bCs w:val="0"/>
          <w:color w:val="auto"/>
          <w:highlight w:val="none"/>
        </w:rPr>
        <w:t>6.3 评标</w:t>
      </w:r>
      <w:bookmarkEnd w:id="227"/>
      <w:bookmarkEnd w:id="228"/>
      <w:bookmarkEnd w:id="229"/>
      <w:bookmarkEnd w:id="230"/>
      <w:bookmarkEnd w:id="231"/>
      <w:bookmarkEnd w:id="232"/>
      <w:bookmarkEnd w:id="23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6.3.1 评标委员会按照第三章“评标办法”规定的方法、评审因素、标准和程序对投标文件进行评审。第三章“评标办法”中没有规定的方法、评审因素和标准，不作为评标依据。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6.3.2 评标委员会按照本章第6.3.1项的规定在电子评标系统上开展评审工作。如果评标过程中出现异常情况，导致无法继续评审工作的，可暂停评标，对原有资料及信息作出妥善保密处理，待电子评标系统恢复正常之后，应重新组织评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评标完成后，评标委员会应当向招标人提交评标报告和中标候选人名单。评标委员会推荐中标候选人的数量、提交的评标报告形式要求见投标人须知前附表。</w:t>
      </w:r>
    </w:p>
    <w:p>
      <w:pPr>
        <w:pStyle w:val="5"/>
        <w:rPr>
          <w:rFonts w:hint="eastAsia" w:ascii="黑体" w:hAnsi="黑体" w:cs="黑体"/>
          <w:color w:val="auto"/>
          <w:highlight w:val="none"/>
        </w:rPr>
      </w:pPr>
      <w:bookmarkStart w:id="234" w:name="_Toc523921630"/>
      <w:bookmarkStart w:id="235" w:name="_Toc513555800"/>
      <w:bookmarkStart w:id="236" w:name="_Toc519601457"/>
      <w:bookmarkStart w:id="237" w:name="_Toc513556633"/>
      <w:bookmarkStart w:id="238" w:name="_Toc513555556"/>
      <w:bookmarkStart w:id="239" w:name="_Toc28187722"/>
      <w:bookmarkStart w:id="240" w:name="_Toc509828622"/>
      <w:r>
        <w:rPr>
          <w:rFonts w:hint="eastAsia" w:ascii="黑体" w:hAnsi="黑体" w:cs="黑体"/>
          <w:color w:val="auto"/>
          <w:highlight w:val="none"/>
        </w:rPr>
        <w:t>7. 合同授予</w:t>
      </w:r>
      <w:bookmarkEnd w:id="234"/>
      <w:bookmarkEnd w:id="235"/>
      <w:bookmarkEnd w:id="236"/>
      <w:bookmarkEnd w:id="237"/>
      <w:bookmarkEnd w:id="238"/>
      <w:bookmarkEnd w:id="239"/>
    </w:p>
    <w:p>
      <w:pPr>
        <w:pStyle w:val="6"/>
        <w:rPr>
          <w:rFonts w:hint="eastAsia" w:ascii="黑体" w:hAnsi="黑体" w:cs="黑体"/>
          <w:b w:val="0"/>
          <w:bCs w:val="0"/>
          <w:color w:val="auto"/>
          <w:highlight w:val="none"/>
        </w:rPr>
      </w:pPr>
      <w:bookmarkStart w:id="241" w:name="_Toc513555801"/>
      <w:bookmarkStart w:id="242" w:name="_Toc513555557"/>
      <w:bookmarkStart w:id="243" w:name="_Toc519601458"/>
      <w:bookmarkStart w:id="244" w:name="_Toc513556634"/>
      <w:bookmarkStart w:id="245" w:name="_Toc523921631"/>
      <w:r>
        <w:rPr>
          <w:rFonts w:hint="eastAsia" w:ascii="黑体" w:hAnsi="黑体" w:cs="黑体"/>
          <w:b w:val="0"/>
          <w:bCs w:val="0"/>
          <w:color w:val="auto"/>
          <w:highlight w:val="none"/>
        </w:rPr>
        <w:t>7.1 中标候选人公示</w:t>
      </w:r>
      <w:bookmarkEnd w:id="240"/>
      <w:bookmarkEnd w:id="241"/>
      <w:bookmarkEnd w:id="242"/>
      <w:bookmarkEnd w:id="243"/>
      <w:bookmarkEnd w:id="244"/>
      <w:bookmarkEnd w:id="245"/>
    </w:p>
    <w:p>
      <w:pPr>
        <w:spacing w:line="360" w:lineRule="auto"/>
        <w:ind w:firstLine="480" w:firstLineChars="200"/>
        <w:rPr>
          <w:rFonts w:hint="eastAsia" w:ascii="宋体" w:hAnsi="宋体" w:cs="宋体"/>
          <w:color w:val="auto"/>
          <w:sz w:val="24"/>
          <w:highlight w:val="none"/>
        </w:rPr>
      </w:pPr>
      <w:bookmarkStart w:id="246" w:name="_Toc234382629"/>
      <w:r>
        <w:rPr>
          <w:rFonts w:hint="eastAsia" w:ascii="宋体" w:hAnsi="宋体" w:cs="宋体"/>
          <w:color w:val="auto"/>
          <w:sz w:val="24"/>
          <w:highlight w:val="none"/>
        </w:rPr>
        <w:t>招标人应在收到评标报告之日起3日内，按照投标人须知前附表规定的公示媒介和期限公示中标候选人，公示期不得少于3个工作日，公示内容包括：</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（1）中标候选人排序、名称、投标报价，对监理质量要求、安全目标和监理服务期限的响应情况；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（2）中标候选人在投标文件中承诺的总监理工程师、副总监理工程师（如有）、驻地监理工程师（如有）、试验室主任（如有）姓名、个人业绩、相关证书名称和编号；</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（3）中标候选人在投标文件中填报的项目业绩；</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（4）被否决投标的投标人名称、否决依据和原因；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（5）提出异议的渠道和方式；</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（6）投标人须知前附表规定公示的其他内容。 </w:t>
      </w:r>
    </w:p>
    <w:p>
      <w:pPr>
        <w:pStyle w:val="6"/>
        <w:rPr>
          <w:rFonts w:hint="eastAsia" w:ascii="黑体" w:hAnsi="黑体" w:cs="黑体"/>
          <w:b w:val="0"/>
          <w:bCs w:val="0"/>
          <w:color w:val="auto"/>
          <w:highlight w:val="none"/>
        </w:rPr>
      </w:pPr>
      <w:bookmarkStart w:id="247" w:name="_Toc513556635"/>
      <w:bookmarkStart w:id="248" w:name="_Toc523921632"/>
      <w:bookmarkStart w:id="249" w:name="_Toc513555558"/>
      <w:bookmarkStart w:id="250" w:name="_Toc519601459"/>
      <w:bookmarkStart w:id="251" w:name="_Toc513555802"/>
      <w:r>
        <w:rPr>
          <w:rFonts w:hint="eastAsia" w:ascii="黑体" w:hAnsi="黑体" w:cs="黑体"/>
          <w:b w:val="0"/>
          <w:bCs w:val="0"/>
          <w:color w:val="auto"/>
          <w:highlight w:val="none"/>
        </w:rPr>
        <w:t>7.2 评标结果异议</w:t>
      </w:r>
      <w:bookmarkEnd w:id="247"/>
      <w:bookmarkEnd w:id="248"/>
      <w:bookmarkEnd w:id="249"/>
      <w:bookmarkEnd w:id="250"/>
      <w:bookmarkEnd w:id="251"/>
      <w:r>
        <w:rPr>
          <w:rFonts w:hint="eastAsia" w:ascii="黑体" w:hAnsi="黑体" w:cs="黑体"/>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投标人或者其他利害关系人对依法必须招标的项目的评标结果有异议的，应在中标候选人公示期间提出。招标人将在收到异议之日起3日内作出答复；作出答复前，应暂停招标投标活动。</w:t>
      </w:r>
    </w:p>
    <w:p>
      <w:pPr>
        <w:pStyle w:val="6"/>
        <w:rPr>
          <w:rFonts w:hint="eastAsia" w:ascii="黑体" w:hAnsi="黑体" w:cs="黑体"/>
          <w:b w:val="0"/>
          <w:bCs w:val="0"/>
          <w:color w:val="auto"/>
          <w:highlight w:val="none"/>
        </w:rPr>
      </w:pPr>
      <w:bookmarkStart w:id="252" w:name="_Toc523921633"/>
      <w:r>
        <w:rPr>
          <w:rFonts w:hint="eastAsia" w:ascii="黑体" w:hAnsi="黑体" w:cs="黑体"/>
          <w:b w:val="0"/>
          <w:bCs w:val="0"/>
          <w:color w:val="auto"/>
          <w:highlight w:val="none"/>
        </w:rPr>
        <w:t>7.3 中标候选人履约能力审查</w:t>
      </w:r>
      <w:bookmarkEnd w:id="25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中标候选人的经营、财务状况发生较大变化或者存在违法行为，招标人认为可能影响其履约能力的，将在发出中标通知书前提请原评标委员会按照招标文件规定的标准和方法进行审查确认。</w:t>
      </w:r>
    </w:p>
    <w:bookmarkEnd w:id="246"/>
    <w:p>
      <w:pPr>
        <w:pStyle w:val="6"/>
        <w:rPr>
          <w:rFonts w:hint="eastAsia" w:ascii="黑体" w:hAnsi="黑体" w:cs="黑体"/>
          <w:b w:val="0"/>
          <w:bCs w:val="0"/>
          <w:color w:val="auto"/>
          <w:highlight w:val="none"/>
        </w:rPr>
      </w:pPr>
      <w:bookmarkStart w:id="253" w:name="_Toc523921634"/>
      <w:bookmarkStart w:id="254" w:name="_Toc234382630"/>
      <w:bookmarkStart w:id="255" w:name="_Toc513555559"/>
      <w:bookmarkStart w:id="256" w:name="_Toc519601460"/>
      <w:bookmarkStart w:id="257" w:name="_Toc509828623"/>
      <w:bookmarkStart w:id="258" w:name="_Toc513555803"/>
      <w:bookmarkStart w:id="259" w:name="_Toc513556636"/>
      <w:r>
        <w:rPr>
          <w:rFonts w:hint="eastAsia" w:ascii="黑体" w:hAnsi="黑体" w:cs="黑体"/>
          <w:b w:val="0"/>
          <w:bCs w:val="0"/>
          <w:color w:val="auto"/>
          <w:highlight w:val="none"/>
        </w:rPr>
        <w:t>7.4 定标</w:t>
      </w:r>
      <w:bookmarkEnd w:id="253"/>
      <w:bookmarkEnd w:id="254"/>
      <w:bookmarkEnd w:id="255"/>
      <w:bookmarkEnd w:id="256"/>
      <w:bookmarkEnd w:id="257"/>
      <w:bookmarkEnd w:id="258"/>
      <w:bookmarkEnd w:id="25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按照投标人须知前附表的规定，招标人或招标人授权的评标委员会依法确定中标人。</w:t>
      </w:r>
    </w:p>
    <w:p>
      <w:pPr>
        <w:pStyle w:val="6"/>
        <w:rPr>
          <w:rFonts w:hint="eastAsia" w:ascii="黑体" w:hAnsi="黑体" w:cs="黑体"/>
          <w:b w:val="0"/>
          <w:bCs w:val="0"/>
          <w:color w:val="auto"/>
          <w:highlight w:val="none"/>
        </w:rPr>
      </w:pPr>
      <w:bookmarkStart w:id="260" w:name="_Toc513555804"/>
      <w:bookmarkStart w:id="261" w:name="_Toc513555560"/>
      <w:bookmarkStart w:id="262" w:name="_Toc519601461"/>
      <w:bookmarkStart w:id="263" w:name="_Toc234382631"/>
      <w:bookmarkStart w:id="264" w:name="_Toc509828624"/>
      <w:bookmarkStart w:id="265" w:name="_Toc523921635"/>
      <w:bookmarkStart w:id="266" w:name="_Toc513556637"/>
      <w:r>
        <w:rPr>
          <w:rFonts w:hint="eastAsia" w:ascii="黑体" w:hAnsi="黑体" w:cs="黑体"/>
          <w:b w:val="0"/>
          <w:bCs w:val="0"/>
          <w:color w:val="auto"/>
          <w:highlight w:val="none"/>
        </w:rPr>
        <w:t>7.5 中标通知</w:t>
      </w:r>
      <w:bookmarkEnd w:id="260"/>
      <w:bookmarkEnd w:id="261"/>
      <w:bookmarkEnd w:id="262"/>
      <w:bookmarkEnd w:id="263"/>
      <w:bookmarkEnd w:id="264"/>
      <w:bookmarkEnd w:id="265"/>
      <w:bookmarkEnd w:id="26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在本章第3.3款规定的投标有效期内，招标人以投标人须知前附表规定的形式向中标人发出中标通知书，同时将中标结果通知未中标的投标人。</w:t>
      </w:r>
    </w:p>
    <w:p>
      <w:pPr>
        <w:pStyle w:val="6"/>
        <w:rPr>
          <w:rFonts w:hint="eastAsia" w:ascii="黑体" w:hAnsi="黑体" w:cs="黑体"/>
          <w:b w:val="0"/>
          <w:bCs w:val="0"/>
          <w:color w:val="auto"/>
          <w:highlight w:val="none"/>
        </w:rPr>
      </w:pPr>
      <w:bookmarkStart w:id="267" w:name="_Toc513556638"/>
      <w:bookmarkStart w:id="268" w:name="_Toc523921636"/>
      <w:bookmarkStart w:id="269" w:name="_Toc519601462"/>
      <w:bookmarkStart w:id="270" w:name="_Toc513555805"/>
      <w:bookmarkStart w:id="271" w:name="_Toc513555561"/>
      <w:bookmarkStart w:id="272" w:name="_Toc234382632"/>
      <w:bookmarkStart w:id="273" w:name="_Toc509828625"/>
      <w:r>
        <w:rPr>
          <w:rFonts w:hint="eastAsia" w:ascii="黑体" w:hAnsi="黑体" w:cs="黑体"/>
          <w:b w:val="0"/>
          <w:bCs w:val="0"/>
          <w:color w:val="auto"/>
          <w:highlight w:val="none"/>
        </w:rPr>
        <w:t>7.6 中标结果公告</w:t>
      </w:r>
      <w:bookmarkEnd w:id="267"/>
      <w:bookmarkEnd w:id="268"/>
      <w:bookmarkEnd w:id="269"/>
      <w:bookmarkEnd w:id="270"/>
      <w:bookmarkEnd w:id="27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招标人在确定中标人之日起3日内，按照投标人须知前附表规定的公告媒介和期限公告中标结果，公告期不得少于3日。公告内容包括中标人名称、中标价。</w:t>
      </w:r>
    </w:p>
    <w:p>
      <w:pPr>
        <w:pStyle w:val="6"/>
        <w:rPr>
          <w:rFonts w:hint="eastAsia" w:ascii="黑体" w:hAnsi="黑体" w:cs="黑体"/>
          <w:b w:val="0"/>
          <w:bCs w:val="0"/>
          <w:color w:val="auto"/>
          <w:highlight w:val="none"/>
        </w:rPr>
      </w:pPr>
      <w:bookmarkStart w:id="274" w:name="_Toc519601463"/>
      <w:bookmarkStart w:id="275" w:name="_Toc513556639"/>
      <w:bookmarkStart w:id="276" w:name="_Toc523921637"/>
      <w:bookmarkStart w:id="277" w:name="_Toc513555562"/>
      <w:bookmarkStart w:id="278" w:name="_Toc513555806"/>
      <w:r>
        <w:rPr>
          <w:rFonts w:hint="eastAsia" w:ascii="黑体" w:hAnsi="黑体" w:cs="黑体"/>
          <w:b w:val="0"/>
          <w:bCs w:val="0"/>
          <w:color w:val="auto"/>
          <w:highlight w:val="none"/>
        </w:rPr>
        <w:t xml:space="preserve">7.7 </w:t>
      </w:r>
      <w:bookmarkEnd w:id="272"/>
      <w:bookmarkEnd w:id="273"/>
      <w:r>
        <w:rPr>
          <w:rFonts w:hint="eastAsia" w:ascii="黑体" w:hAnsi="黑体" w:cs="黑体"/>
          <w:b w:val="0"/>
          <w:bCs w:val="0"/>
          <w:color w:val="auto"/>
          <w:highlight w:val="none"/>
        </w:rPr>
        <w:t>履约保证金</w:t>
      </w:r>
      <w:bookmarkEnd w:id="274"/>
      <w:bookmarkEnd w:id="275"/>
      <w:bookmarkEnd w:id="276"/>
      <w:bookmarkEnd w:id="277"/>
      <w:bookmarkEnd w:id="27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7.7.1 在签订合同前，中标人应按投标人须知前附表规定的形式、金额和招标文件第四章“合同条款及格式”规定的或事先经过招标人书面认可的履约保证金格式向招标人提交履约保证金。除投标人须知前附表另有规定外，履约保证金为签约合同价的10%。联合体中标的，其履约保证金以联合体各方或联合体中牵头人的名义提交。</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采用银行保函时，应由符合投标人须知前附表规定级别的银行开具，所需的费用由中标人承担，中标人应保证银行保函有效。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7.7.2 中标人不能按本章第7.7.1项要求提交履约保证金的，视为放弃中标，其投标保证金不予退还，给招标人造成的损失超过投标保证金数额的，中标人还应当对超过部分予以赔偿。</w:t>
      </w:r>
    </w:p>
    <w:p>
      <w:pPr>
        <w:pStyle w:val="6"/>
        <w:rPr>
          <w:rFonts w:hint="eastAsia" w:ascii="黑体" w:hAnsi="黑体" w:cs="黑体"/>
          <w:b w:val="0"/>
          <w:bCs w:val="0"/>
          <w:color w:val="auto"/>
          <w:highlight w:val="none"/>
        </w:rPr>
      </w:pPr>
      <w:bookmarkStart w:id="279" w:name="_Toc513555563"/>
      <w:bookmarkStart w:id="280" w:name="_Toc519601464"/>
      <w:bookmarkStart w:id="281" w:name="_Toc523921638"/>
      <w:bookmarkStart w:id="282" w:name="_Toc509828626"/>
      <w:bookmarkStart w:id="283" w:name="_Toc513555807"/>
      <w:bookmarkStart w:id="284" w:name="_Toc513556640"/>
      <w:bookmarkStart w:id="285" w:name="_Toc234382633"/>
      <w:r>
        <w:rPr>
          <w:rFonts w:hint="eastAsia" w:ascii="黑体" w:hAnsi="黑体" w:cs="黑体"/>
          <w:b w:val="0"/>
          <w:bCs w:val="0"/>
          <w:color w:val="auto"/>
          <w:highlight w:val="none"/>
        </w:rPr>
        <w:t>7.8 签订合同</w:t>
      </w:r>
      <w:bookmarkEnd w:id="279"/>
      <w:bookmarkEnd w:id="280"/>
      <w:bookmarkEnd w:id="281"/>
      <w:bookmarkEnd w:id="282"/>
      <w:bookmarkEnd w:id="283"/>
      <w:bookmarkEnd w:id="284"/>
      <w:bookmarkEnd w:id="28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7.8.1 招标人和中标人应当在中标通知书发出之日起30日内，根据招标文件和中标人的投标文件订立书面合同，合同形式见投标人须知前附表。中标人无正当理由拒签合同，在签订合同时向招标人提出附加条件，或者不按照招标文件要求提交履约保证金的，招标人取消其中标资格，其投标保证金不予退还；给招标人造成的损失超过投标保证金数额的，中标人还应当对超过部分予以赔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7.8.2 发出中标通知书后，招标人无正当理由拒签合同，或者在签订合同时向中标人提出附加条件的，招标人向中标人退还投标保证金；给中标人造成损失的，还应当赔偿损失。</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7.8.3 签约合同价的确定原则：见投标人须知前附表。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7.8.4 联合体中标的,联合体各方应共同与招标人签订合同,就中标项目向招标人承担连带责任。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7.8.5 招标人和中标人在签订合同协议书的同时,须按照本招标文件规定的格式和要求签订廉政合同,明确双方在廉政建设方面的权利和义务以及应承担的违约责任。制作合同文件及费用、份数要求：见投标人须知前附表。</w:t>
      </w:r>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7.9 合同内容公告</w:t>
      </w:r>
    </w:p>
    <w:p>
      <w:pPr>
        <w:pStyle w:val="21"/>
        <w:kinsoku w:val="0"/>
        <w:spacing w:line="360" w:lineRule="auto"/>
        <w:ind w:firstLine="480" w:firstLineChars="200"/>
        <w:rPr>
          <w:rFonts w:hint="eastAsia"/>
          <w:color w:val="auto"/>
          <w:highlight w:val="none"/>
        </w:rPr>
      </w:pPr>
      <w:r>
        <w:rPr>
          <w:rFonts w:hint="eastAsia"/>
          <w:color w:val="auto"/>
          <w:highlight w:val="none"/>
        </w:rPr>
        <w:t>合同签订后，招标人应当将合同签订情况在投标人须知前附表规定的公告媒介公告合同主要内容。公告内容包括：</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（1）项目名称、项目所在地；</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（2）委托人名称、地址和电话；</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（3）签订合同标段号、监理人名称、地址和电话；</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（4）签订合同日期、合同价、合同工期；</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（5）履约担保形式、金额及提交情况；</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（6）总监理工程师及其他主要人员（如有）的姓名、证件及证号；</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（7）主要合同工作内容：填写监理服务合同段的主要工作内容、建设规模等；</w:t>
      </w:r>
    </w:p>
    <w:p>
      <w:pPr>
        <w:pStyle w:val="21"/>
        <w:kinsoku w:val="0"/>
        <w:spacing w:line="360" w:lineRule="auto"/>
        <w:ind w:firstLine="480" w:firstLineChars="200"/>
        <w:rPr>
          <w:rFonts w:hint="eastAsia" w:cs="宋体"/>
          <w:color w:val="auto"/>
          <w:highlight w:val="none"/>
        </w:rPr>
      </w:pPr>
      <w:r>
        <w:rPr>
          <w:rFonts w:hint="eastAsia"/>
          <w:color w:val="auto"/>
          <w:highlight w:val="none"/>
        </w:rPr>
        <w:t>（8）应注明是否为第一中标候选人及不选择第一中标候选人的理由。</w:t>
      </w:r>
    </w:p>
    <w:p>
      <w:pPr>
        <w:pStyle w:val="5"/>
        <w:rPr>
          <w:color w:val="auto"/>
          <w:highlight w:val="none"/>
        </w:rPr>
      </w:pPr>
      <w:bookmarkStart w:id="286" w:name="_Toc234382637"/>
      <w:bookmarkStart w:id="287" w:name="_Toc523921639"/>
      <w:bookmarkStart w:id="288" w:name="_Toc28187723"/>
      <w:r>
        <w:rPr>
          <w:color w:val="auto"/>
          <w:highlight w:val="none"/>
        </w:rPr>
        <w:t xml:space="preserve">8. </w:t>
      </w:r>
      <w:r>
        <w:rPr>
          <w:rFonts w:hint="eastAsia"/>
          <w:color w:val="auto"/>
          <w:highlight w:val="none"/>
        </w:rPr>
        <w:t>纪律和监督</w:t>
      </w:r>
      <w:bookmarkEnd w:id="286"/>
      <w:bookmarkEnd w:id="287"/>
      <w:bookmarkEnd w:id="288"/>
    </w:p>
    <w:p>
      <w:pPr>
        <w:pStyle w:val="6"/>
        <w:rPr>
          <w:rFonts w:hint="eastAsia" w:ascii="黑体" w:hAnsi="黑体" w:cs="黑体"/>
          <w:b w:val="0"/>
          <w:bCs w:val="0"/>
          <w:color w:val="auto"/>
          <w:highlight w:val="none"/>
        </w:rPr>
      </w:pPr>
      <w:bookmarkStart w:id="289" w:name="_Toc234382638"/>
      <w:bookmarkStart w:id="290" w:name="_Toc513556641"/>
      <w:bookmarkStart w:id="291" w:name="_Toc513555808"/>
      <w:bookmarkStart w:id="292" w:name="_Toc519601465"/>
      <w:bookmarkStart w:id="293" w:name="_Toc523921640"/>
      <w:bookmarkStart w:id="294" w:name="_Toc513555564"/>
      <w:bookmarkStart w:id="295" w:name="_Toc509828629"/>
      <w:r>
        <w:rPr>
          <w:rFonts w:hint="eastAsia" w:ascii="黑体" w:hAnsi="黑体" w:cs="黑体"/>
          <w:b w:val="0"/>
          <w:bCs w:val="0"/>
          <w:color w:val="auto"/>
          <w:highlight w:val="none"/>
        </w:rPr>
        <w:t>8.1 对招标人的纪律要求</w:t>
      </w:r>
      <w:bookmarkEnd w:id="289"/>
      <w:bookmarkEnd w:id="290"/>
      <w:bookmarkEnd w:id="291"/>
      <w:bookmarkEnd w:id="292"/>
      <w:bookmarkEnd w:id="293"/>
      <w:bookmarkEnd w:id="294"/>
      <w:bookmarkEnd w:id="29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招标人不得泄露招标投标活动中应当保密的情况和资料，不得与投标人串通损害国家利益、社会公共利益或者他人合法权益。</w:t>
      </w:r>
    </w:p>
    <w:p>
      <w:pPr>
        <w:pStyle w:val="6"/>
        <w:rPr>
          <w:rFonts w:hint="eastAsia" w:ascii="黑体" w:hAnsi="黑体" w:cs="黑体"/>
          <w:b w:val="0"/>
          <w:bCs w:val="0"/>
          <w:color w:val="auto"/>
          <w:highlight w:val="none"/>
        </w:rPr>
      </w:pPr>
      <w:bookmarkStart w:id="296" w:name="_Toc509828630"/>
      <w:bookmarkStart w:id="297" w:name="_Toc523921641"/>
      <w:bookmarkStart w:id="298" w:name="_Toc513555565"/>
      <w:bookmarkStart w:id="299" w:name="_Toc513555809"/>
      <w:bookmarkStart w:id="300" w:name="_Toc234382639"/>
      <w:bookmarkStart w:id="301" w:name="_Toc519601466"/>
      <w:bookmarkStart w:id="302" w:name="_Toc513556642"/>
      <w:r>
        <w:rPr>
          <w:rFonts w:hint="eastAsia" w:ascii="黑体" w:hAnsi="黑体" w:cs="黑体"/>
          <w:b w:val="0"/>
          <w:bCs w:val="0"/>
          <w:color w:val="auto"/>
          <w:highlight w:val="none"/>
        </w:rPr>
        <w:t>8.2 对投标人的纪律要求</w:t>
      </w:r>
      <w:bookmarkEnd w:id="296"/>
      <w:bookmarkEnd w:id="297"/>
      <w:bookmarkEnd w:id="298"/>
      <w:bookmarkEnd w:id="299"/>
      <w:bookmarkEnd w:id="300"/>
      <w:bookmarkEnd w:id="301"/>
      <w:bookmarkEnd w:id="30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投标人不得相互串通投标或与招标人串通投标，不得向招标人或评标委员会成员行贿谋取中标，不得以他人名义投标或以其他方式弄虚作假骗取中标；投标人不得以任何方式干扰、影响评标工作。</w:t>
      </w:r>
      <w:bookmarkStart w:id="303" w:name="_Toc234382640"/>
    </w:p>
    <w:p>
      <w:pPr>
        <w:pStyle w:val="6"/>
        <w:rPr>
          <w:rFonts w:hint="eastAsia" w:ascii="黑体" w:hAnsi="黑体" w:cs="黑体"/>
          <w:b w:val="0"/>
          <w:bCs w:val="0"/>
          <w:color w:val="auto"/>
          <w:highlight w:val="none"/>
        </w:rPr>
      </w:pPr>
      <w:bookmarkStart w:id="304" w:name="_Toc523921642"/>
      <w:bookmarkStart w:id="305" w:name="_Toc513555810"/>
      <w:bookmarkStart w:id="306" w:name="_Toc513556643"/>
      <w:bookmarkStart w:id="307" w:name="_Toc513555566"/>
      <w:bookmarkStart w:id="308" w:name="_Toc519601467"/>
      <w:bookmarkStart w:id="309" w:name="_Toc509828631"/>
      <w:r>
        <w:rPr>
          <w:rFonts w:hint="eastAsia" w:ascii="黑体" w:hAnsi="黑体" w:cs="黑体"/>
          <w:b w:val="0"/>
          <w:bCs w:val="0"/>
          <w:color w:val="auto"/>
          <w:highlight w:val="none"/>
        </w:rPr>
        <w:t>8.3 对评标委员会成员的纪律要求</w:t>
      </w:r>
      <w:bookmarkEnd w:id="303"/>
      <w:bookmarkEnd w:id="304"/>
      <w:bookmarkEnd w:id="305"/>
      <w:bookmarkEnd w:id="306"/>
      <w:bookmarkEnd w:id="307"/>
      <w:bookmarkEnd w:id="308"/>
      <w:bookmarkEnd w:id="30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委员会成员不得收受他人的财物或者其他好处，不得向他人透漏对投标文件的评审和比较、中标候选人的推荐情况以及评标有关的其他情况。在评标活动中，评标委员会成员应当客观、公正的履行职责，遵守职业道德，不得擅离职守，影响评标程序正常进行，不得使用第三章“评标办法”中没有规定的评审因素和标准进行评标。</w:t>
      </w:r>
    </w:p>
    <w:p>
      <w:pPr>
        <w:pStyle w:val="6"/>
        <w:rPr>
          <w:rFonts w:hint="eastAsia" w:ascii="黑体" w:hAnsi="黑体" w:cs="黑体"/>
          <w:b w:val="0"/>
          <w:bCs w:val="0"/>
          <w:color w:val="auto"/>
          <w:highlight w:val="none"/>
        </w:rPr>
      </w:pPr>
      <w:bookmarkStart w:id="310" w:name="_Toc234382641"/>
      <w:bookmarkStart w:id="311" w:name="_Toc513556644"/>
      <w:bookmarkStart w:id="312" w:name="_Toc519601468"/>
      <w:bookmarkStart w:id="313" w:name="_Toc513555567"/>
      <w:bookmarkStart w:id="314" w:name="_Toc523921643"/>
      <w:bookmarkStart w:id="315" w:name="_Toc509828632"/>
      <w:bookmarkStart w:id="316" w:name="_Toc513555811"/>
      <w:r>
        <w:rPr>
          <w:rFonts w:hint="eastAsia" w:ascii="黑体" w:hAnsi="黑体" w:cs="黑体"/>
          <w:b w:val="0"/>
          <w:bCs w:val="0"/>
          <w:color w:val="auto"/>
          <w:highlight w:val="none"/>
        </w:rPr>
        <w:t>8.4 对与评标活动有关的工作人员的纪律要求</w:t>
      </w:r>
      <w:bookmarkEnd w:id="310"/>
      <w:bookmarkEnd w:id="311"/>
      <w:bookmarkEnd w:id="312"/>
      <w:bookmarkEnd w:id="313"/>
      <w:bookmarkEnd w:id="314"/>
      <w:bookmarkEnd w:id="315"/>
      <w:bookmarkEnd w:id="31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pStyle w:val="6"/>
        <w:rPr>
          <w:rFonts w:hint="eastAsia" w:ascii="黑体" w:hAnsi="黑体" w:cs="黑体"/>
          <w:b w:val="0"/>
          <w:bCs w:val="0"/>
          <w:color w:val="auto"/>
          <w:highlight w:val="none"/>
        </w:rPr>
      </w:pPr>
      <w:bookmarkStart w:id="317" w:name="_Toc523921644"/>
      <w:bookmarkStart w:id="318" w:name="_Toc513555568"/>
      <w:bookmarkStart w:id="319" w:name="_Toc519601469"/>
      <w:bookmarkStart w:id="320" w:name="_Toc234382642"/>
      <w:bookmarkStart w:id="321" w:name="_Toc513555812"/>
      <w:bookmarkStart w:id="322" w:name="_Toc513556645"/>
      <w:bookmarkStart w:id="323" w:name="_Toc509828633"/>
      <w:r>
        <w:rPr>
          <w:rFonts w:hint="eastAsia" w:ascii="黑体" w:hAnsi="黑体" w:cs="黑体"/>
          <w:b w:val="0"/>
          <w:bCs w:val="0"/>
          <w:color w:val="auto"/>
          <w:highlight w:val="none"/>
        </w:rPr>
        <w:t>8.5 投诉</w:t>
      </w:r>
      <w:bookmarkEnd w:id="317"/>
      <w:bookmarkEnd w:id="318"/>
      <w:bookmarkEnd w:id="319"/>
      <w:bookmarkEnd w:id="320"/>
      <w:bookmarkEnd w:id="321"/>
      <w:bookmarkEnd w:id="322"/>
      <w:bookmarkEnd w:id="32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8.5.1 投标人或其他利害关系人认为招标投标活动不符合法律、行政法规规定的，可自知道或应当知道之日起10日内有关行政监督部门投诉。投诉应有明确的请求和必要的证明材料。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行政监督部门的联系方式见投标人须知前附表。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8.5.2 投标人或者其他利害关系人对招标文件、开标和评标结果提出投诉的，应当按照投标人须知第2.4款、第5.4款和第7.2款的规定先向招标人提出异议。异议答复期间不计算在第8.5.1项规定的期限内。</w:t>
      </w:r>
    </w:p>
    <w:p>
      <w:pPr>
        <w:pStyle w:val="5"/>
        <w:rPr>
          <w:color w:val="auto"/>
          <w:highlight w:val="none"/>
        </w:rPr>
      </w:pPr>
      <w:bookmarkStart w:id="324" w:name="_Toc28187724"/>
      <w:bookmarkStart w:id="325" w:name="_Toc523921645"/>
      <w:bookmarkStart w:id="326" w:name="_Toc234382643"/>
      <w:r>
        <w:rPr>
          <w:color w:val="auto"/>
          <w:highlight w:val="none"/>
        </w:rPr>
        <w:t xml:space="preserve">9. </w:t>
      </w:r>
      <w:r>
        <w:rPr>
          <w:rFonts w:hint="eastAsia"/>
          <w:color w:val="auto"/>
          <w:highlight w:val="none"/>
        </w:rPr>
        <w:t>是否采用电子招标投标</w:t>
      </w:r>
    </w:p>
    <w:p>
      <w:pPr>
        <w:pStyle w:val="21"/>
        <w:kinsoku w:val="0"/>
        <w:overflowPunct w:val="0"/>
        <w:spacing w:line="360" w:lineRule="auto"/>
        <w:ind w:firstLine="480" w:firstLineChars="200"/>
        <w:rPr>
          <w:rFonts w:hint="eastAsia"/>
          <w:color w:val="auto"/>
          <w:highlight w:val="none"/>
        </w:rPr>
      </w:pPr>
      <w:r>
        <w:rPr>
          <w:rFonts w:hint="eastAsia"/>
          <w:color w:val="auto"/>
          <w:highlight w:val="none"/>
        </w:rPr>
        <w:t>本招标项目是否采用电子招标投标方式：是。</w:t>
      </w:r>
    </w:p>
    <w:p>
      <w:pPr>
        <w:pStyle w:val="5"/>
        <w:rPr>
          <w:color w:val="auto"/>
          <w:highlight w:val="none"/>
        </w:rPr>
      </w:pPr>
      <w:r>
        <w:rPr>
          <w:color w:val="auto"/>
          <w:highlight w:val="none"/>
        </w:rPr>
        <w:t xml:space="preserve">10. </w:t>
      </w:r>
      <w:r>
        <w:rPr>
          <w:rFonts w:hint="eastAsia"/>
          <w:color w:val="auto"/>
          <w:highlight w:val="none"/>
        </w:rPr>
        <w:t>需要补充的其他内容</w:t>
      </w:r>
    </w:p>
    <w:p>
      <w:pPr>
        <w:pStyle w:val="21"/>
        <w:kinsoku w:val="0"/>
        <w:overflowPunct w:val="0"/>
        <w:spacing w:line="360" w:lineRule="auto"/>
        <w:ind w:firstLine="480" w:firstLineChars="200"/>
        <w:rPr>
          <w:rFonts w:hint="eastAsia"/>
          <w:color w:val="auto"/>
          <w:highlight w:val="none"/>
        </w:rPr>
      </w:pPr>
      <w:r>
        <w:rPr>
          <w:rFonts w:hint="eastAsia"/>
          <w:color w:val="auto"/>
          <w:highlight w:val="none"/>
        </w:rPr>
        <w:t>需要补充的其他内容：见投标人须知前附表。</w:t>
      </w:r>
    </w:p>
    <w:bookmarkEnd w:id="324"/>
    <w:bookmarkEnd w:id="325"/>
    <w:bookmarkEnd w:id="326"/>
    <w:p>
      <w:pPr>
        <w:rPr>
          <w:rFonts w:ascii="Arial" w:hAnsi="Arial" w:eastAsia="黑体"/>
          <w:bCs/>
          <w:color w:val="auto"/>
          <w:kern w:val="0"/>
          <w:sz w:val="24"/>
          <w:highlight w:val="none"/>
        </w:rPr>
      </w:pPr>
      <w:bookmarkStart w:id="327" w:name="_Toc523921646"/>
      <w:bookmarkStart w:id="328" w:name="_Toc234382644"/>
      <w:r>
        <w:rPr>
          <w:rFonts w:ascii="Arial" w:hAnsi="Arial" w:eastAsia="黑体"/>
          <w:bCs/>
          <w:color w:val="auto"/>
          <w:kern w:val="0"/>
          <w:sz w:val="24"/>
          <w:highlight w:val="none"/>
        </w:rPr>
        <w:br w:type="page"/>
      </w:r>
    </w:p>
    <w:p>
      <w:pPr>
        <w:pStyle w:val="5"/>
        <w:rPr>
          <w:b w:val="0"/>
          <w:bCs w:val="0"/>
          <w:color w:val="auto"/>
          <w:highlight w:val="none"/>
        </w:rPr>
      </w:pPr>
      <w:r>
        <w:rPr>
          <w:rFonts w:hint="eastAsia"/>
          <w:b w:val="0"/>
          <w:bCs w:val="0"/>
          <w:color w:val="auto"/>
          <w:highlight w:val="none"/>
        </w:rPr>
        <w:t>附件一</w:t>
      </w:r>
      <w:r>
        <w:rPr>
          <w:b w:val="0"/>
          <w:bCs w:val="0"/>
          <w:color w:val="auto"/>
          <w:highlight w:val="none"/>
        </w:rPr>
        <w:t xml:space="preserve">  </w:t>
      </w:r>
      <w:r>
        <w:rPr>
          <w:rFonts w:hint="eastAsia"/>
          <w:b w:val="0"/>
          <w:bCs w:val="0"/>
          <w:color w:val="auto"/>
          <w:highlight w:val="none"/>
        </w:rPr>
        <w:t>开标记录表</w:t>
      </w:r>
      <w:bookmarkEnd w:id="327"/>
      <w:bookmarkEnd w:id="328"/>
    </w:p>
    <w:p>
      <w:pPr>
        <w:pStyle w:val="276"/>
        <w:spacing w:line="360" w:lineRule="auto"/>
        <w:jc w:val="center"/>
        <w:rPr>
          <w:rFonts w:hint="eastAsia" w:ascii="黑体" w:hAnsi="黑体" w:eastAsia="黑体" w:cs="宋体"/>
          <w:color w:val="auto"/>
          <w:sz w:val="28"/>
          <w:szCs w:val="28"/>
          <w:highlight w:val="none"/>
        </w:rPr>
      </w:pPr>
      <w:bookmarkStart w:id="329" w:name="_Toc519601470"/>
      <w:bookmarkStart w:id="330" w:name="_Toc513555569"/>
      <w:bookmarkStart w:id="331" w:name="_Toc513555813"/>
      <w:bookmarkStart w:id="332" w:name="_Toc513556646"/>
      <w:bookmarkStart w:id="333" w:name="_Toc234382645"/>
      <w:bookmarkStart w:id="334" w:name="_Toc509828634"/>
      <w:r>
        <w:rPr>
          <w:rFonts w:hint="eastAsia" w:ascii="黑体" w:hAnsi="黑体" w:eastAsia="黑体" w:cs="黑体"/>
          <w:color w:val="auto"/>
          <w:sz w:val="28"/>
          <w:szCs w:val="28"/>
          <w:highlight w:val="none"/>
        </w:rPr>
        <w:t>__________（招标项目名称）施工监理_____标段</w:t>
      </w:r>
      <w:r>
        <w:rPr>
          <w:rFonts w:hint="eastAsia" w:ascii="黑体" w:hAnsi="黑体" w:eastAsia="黑体" w:cs="宋体"/>
          <w:color w:val="auto"/>
          <w:sz w:val="28"/>
          <w:szCs w:val="28"/>
          <w:highlight w:val="none"/>
        </w:rPr>
        <w:t>第一个信封（商务及技术文件）</w:t>
      </w:r>
      <w:bookmarkEnd w:id="329"/>
      <w:bookmarkEnd w:id="330"/>
      <w:bookmarkEnd w:id="331"/>
      <w:bookmarkEnd w:id="332"/>
    </w:p>
    <w:p>
      <w:pPr>
        <w:pStyle w:val="276"/>
        <w:spacing w:line="360" w:lineRule="auto"/>
        <w:jc w:val="center"/>
        <w:rPr>
          <w:rFonts w:hint="eastAsia" w:ascii="黑体" w:hAnsi="黑体" w:eastAsia="黑体" w:cs="宋体"/>
          <w:color w:val="auto"/>
          <w:sz w:val="28"/>
          <w:szCs w:val="28"/>
          <w:highlight w:val="none"/>
        </w:rPr>
      </w:pPr>
      <w:bookmarkStart w:id="335" w:name="_Toc519601471"/>
      <w:bookmarkStart w:id="336" w:name="_Toc513555570"/>
      <w:bookmarkStart w:id="337" w:name="_Toc513555814"/>
      <w:bookmarkStart w:id="338" w:name="_Toc513556647"/>
      <w:r>
        <w:rPr>
          <w:rFonts w:hint="eastAsia" w:ascii="黑体" w:hAnsi="黑体" w:eastAsia="黑体" w:cs="宋体"/>
          <w:color w:val="auto"/>
          <w:sz w:val="28"/>
          <w:szCs w:val="28"/>
          <w:highlight w:val="none"/>
        </w:rPr>
        <w:t>开标记录表</w:t>
      </w:r>
      <w:bookmarkEnd w:id="333"/>
      <w:bookmarkEnd w:id="334"/>
      <w:bookmarkEnd w:id="335"/>
      <w:bookmarkEnd w:id="336"/>
      <w:bookmarkEnd w:id="337"/>
      <w:bookmarkEnd w:id="338"/>
    </w:p>
    <w:p>
      <w:pPr>
        <w:pStyle w:val="276"/>
        <w:spacing w:line="360" w:lineRule="auto"/>
        <w:jc w:val="left"/>
        <w:rPr>
          <w:rFonts w:hint="eastAsia" w:ascii="宋体" w:hAnsi="宋体" w:cs="宋体"/>
          <w:color w:val="auto"/>
          <w:sz w:val="24"/>
          <w:highlight w:val="none"/>
        </w:rPr>
      </w:pPr>
    </w:p>
    <w:p>
      <w:pPr>
        <w:pStyle w:val="276"/>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开标时间：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分</w:t>
      </w:r>
    </w:p>
    <w:tbl>
      <w:tblPr>
        <w:tblStyle w:val="48"/>
        <w:tblW w:w="0" w:type="auto"/>
        <w:tblInd w:w="5" w:type="dxa"/>
        <w:tblLayout w:type="fixed"/>
        <w:tblCellMar>
          <w:top w:w="0" w:type="dxa"/>
          <w:left w:w="0" w:type="dxa"/>
          <w:bottom w:w="0" w:type="dxa"/>
          <w:right w:w="0" w:type="dxa"/>
        </w:tblCellMar>
      </w:tblPr>
      <w:tblGrid>
        <w:gridCol w:w="717"/>
        <w:gridCol w:w="2285"/>
        <w:gridCol w:w="1405"/>
        <w:gridCol w:w="1380"/>
        <w:gridCol w:w="1907"/>
        <w:gridCol w:w="943"/>
      </w:tblGrid>
      <w:tr>
        <w:tblPrEx>
          <w:tblCellMar>
            <w:top w:w="0" w:type="dxa"/>
            <w:left w:w="0" w:type="dxa"/>
            <w:bottom w:w="0" w:type="dxa"/>
            <w:right w:w="0" w:type="dxa"/>
          </w:tblCellMar>
        </w:tblPrEx>
        <w:trPr>
          <w:trHeight w:val="861"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投标人名称</w:t>
            </w: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w:t>
            </w:r>
          </w:p>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提交情况</w:t>
            </w: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监理服务期限</w:t>
            </w:r>
          </w:p>
        </w:tc>
        <w:tc>
          <w:tcPr>
            <w:tcW w:w="1907"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总监理工程师姓名/证书编号</w:t>
            </w: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CellMar>
            <w:top w:w="0" w:type="dxa"/>
            <w:left w:w="0" w:type="dxa"/>
            <w:bottom w:w="0" w:type="dxa"/>
            <w:right w:w="0" w:type="dxa"/>
          </w:tblCellMar>
        </w:tblPrEx>
        <w:trPr>
          <w:trHeight w:val="617"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907"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17"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907"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17"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907"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17"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907"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17"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907"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17"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907"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17"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907"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17"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907"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17"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907"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17" w:hRule="atLeast"/>
        </w:trPr>
        <w:tc>
          <w:tcPr>
            <w:tcW w:w="71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8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380"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907"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943"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bl>
    <w:p>
      <w:pPr>
        <w:pStyle w:val="276"/>
        <w:spacing w:line="360" w:lineRule="auto"/>
        <w:jc w:val="left"/>
        <w:rPr>
          <w:rFonts w:hint="eastAsia" w:ascii="宋体" w:hAnsi="宋体" w:cs="宋体"/>
          <w:color w:val="auto"/>
          <w:sz w:val="24"/>
          <w:highlight w:val="none"/>
        </w:rPr>
      </w:pPr>
    </w:p>
    <w:p>
      <w:pPr>
        <w:pStyle w:val="276"/>
        <w:rPr>
          <w:rFonts w:hint="eastAsia" w:ascii="宋体" w:hAnsi="宋体" w:cs="宋体"/>
          <w:color w:val="auto"/>
          <w:highlight w:val="none"/>
        </w:rPr>
      </w:pPr>
    </w:p>
    <w:p>
      <w:pPr>
        <w:pStyle w:val="276"/>
        <w:rPr>
          <w:rFonts w:hint="eastAsia" w:ascii="宋体" w:hAnsi="宋体" w:cs="宋体"/>
          <w:color w:val="auto"/>
          <w:sz w:val="24"/>
          <w:highlight w:val="none"/>
        </w:rPr>
      </w:pPr>
    </w:p>
    <w:p>
      <w:pPr>
        <w:pStyle w:val="276"/>
        <w:rPr>
          <w:rFonts w:hint="eastAsia" w:ascii="宋体" w:hAnsi="宋体" w:cs="宋体"/>
          <w:color w:val="auto"/>
          <w:sz w:val="24"/>
          <w:highlight w:val="none"/>
        </w:rPr>
      </w:pPr>
      <w:r>
        <w:rPr>
          <w:rFonts w:hint="eastAsia" w:ascii="宋体" w:hAnsi="宋体" w:cs="宋体"/>
          <w:color w:val="auto"/>
          <w:sz w:val="24"/>
          <w:highlight w:val="none"/>
        </w:rPr>
        <w:t>招标人</w:t>
      </w:r>
      <w:bookmarkStart w:id="339" w:name="_Hlk94034535"/>
      <w:r>
        <w:rPr>
          <w:rFonts w:hint="eastAsia" w:ascii="宋体" w:hAnsi="宋体" w:cs="宋体"/>
          <w:color w:val="auto"/>
          <w:sz w:val="24"/>
          <w:highlight w:val="none"/>
        </w:rPr>
        <w:t>或招标代理机构</w:t>
      </w:r>
      <w:bookmarkEnd w:id="339"/>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olor w:val="000000"/>
          <w:sz w:val="24"/>
          <w:highlight w:val="none"/>
        </w:rPr>
        <w:t>（</w:t>
      </w:r>
      <w:r>
        <w:rPr>
          <w:rFonts w:hint="eastAsia"/>
          <w:color w:val="000000"/>
          <w:sz w:val="24"/>
          <w:highlight w:val="none"/>
        </w:rPr>
        <w:t>盖单位电子印章</w:t>
      </w:r>
      <w:r>
        <w:rPr>
          <w:rFonts w:hint="eastAsia" w:ascii="宋体" w:hAnsi="宋体"/>
          <w:color w:val="000000"/>
          <w:sz w:val="24"/>
          <w:highlight w:val="none"/>
        </w:rPr>
        <w:t>）</w:t>
      </w:r>
      <w:r>
        <w:rPr>
          <w:rFonts w:hint="eastAsia" w:ascii="宋体" w:hAnsi="宋体" w:cs="宋体"/>
          <w:color w:val="auto"/>
          <w:sz w:val="24"/>
          <w:highlight w:val="none"/>
        </w:rPr>
        <w:t xml:space="preserve">                        </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br w:type="page"/>
      </w:r>
    </w:p>
    <w:p>
      <w:pPr>
        <w:pStyle w:val="276"/>
        <w:spacing w:line="360" w:lineRule="auto"/>
        <w:jc w:val="center"/>
        <w:rPr>
          <w:rFonts w:hint="eastAsia" w:ascii="黑体" w:hAnsi="黑体" w:eastAsia="黑体" w:cs="宋体"/>
          <w:color w:val="auto"/>
          <w:sz w:val="28"/>
          <w:szCs w:val="28"/>
          <w:highlight w:val="none"/>
        </w:rPr>
      </w:pPr>
      <w:bookmarkStart w:id="340" w:name="_Toc513556648"/>
      <w:bookmarkStart w:id="341" w:name="_Toc513555571"/>
      <w:bookmarkStart w:id="342" w:name="_Toc513555815"/>
      <w:bookmarkStart w:id="343" w:name="_Toc519601472"/>
      <w:r>
        <w:rPr>
          <w:rFonts w:hint="eastAsia" w:ascii="黑体" w:hAnsi="黑体" w:eastAsia="黑体" w:cs="宋体"/>
          <w:color w:val="auto"/>
          <w:sz w:val="28"/>
          <w:szCs w:val="28"/>
          <w:highlight w:val="none"/>
        </w:rPr>
        <w:t xml:space="preserve"> </w:t>
      </w:r>
      <w:r>
        <w:rPr>
          <w:rFonts w:hint="eastAsia" w:ascii="黑体" w:hAnsi="黑体" w:eastAsia="黑体" w:cs="黑体"/>
          <w:color w:val="auto"/>
          <w:sz w:val="28"/>
          <w:szCs w:val="28"/>
          <w:highlight w:val="none"/>
        </w:rPr>
        <w:t>__________（招标项目名称）施工监理_____标段</w:t>
      </w:r>
      <w:r>
        <w:rPr>
          <w:rFonts w:hint="eastAsia" w:ascii="黑体" w:hAnsi="黑体" w:eastAsia="黑体" w:cs="宋体"/>
          <w:color w:val="auto"/>
          <w:sz w:val="28"/>
          <w:szCs w:val="28"/>
          <w:highlight w:val="none"/>
        </w:rPr>
        <w:t>第二个信封（报价文件）</w:t>
      </w:r>
      <w:bookmarkEnd w:id="340"/>
      <w:bookmarkEnd w:id="341"/>
      <w:bookmarkEnd w:id="342"/>
      <w:bookmarkEnd w:id="343"/>
    </w:p>
    <w:p>
      <w:pPr>
        <w:pStyle w:val="276"/>
        <w:spacing w:line="360" w:lineRule="auto"/>
        <w:jc w:val="center"/>
        <w:rPr>
          <w:rFonts w:hint="eastAsia" w:ascii="黑体" w:hAnsi="黑体" w:eastAsia="黑体" w:cs="宋体"/>
          <w:color w:val="auto"/>
          <w:sz w:val="28"/>
          <w:szCs w:val="28"/>
          <w:highlight w:val="none"/>
        </w:rPr>
      </w:pPr>
      <w:bookmarkStart w:id="344" w:name="_Toc509828636"/>
      <w:bookmarkStart w:id="345" w:name="_Toc513555572"/>
      <w:bookmarkStart w:id="346" w:name="_Toc519601473"/>
      <w:bookmarkStart w:id="347" w:name="_Toc513556649"/>
      <w:bookmarkStart w:id="348" w:name="_Toc513555816"/>
      <w:r>
        <w:rPr>
          <w:rFonts w:hint="eastAsia" w:ascii="黑体" w:hAnsi="黑体" w:eastAsia="黑体" w:cs="宋体"/>
          <w:color w:val="auto"/>
          <w:sz w:val="28"/>
          <w:szCs w:val="28"/>
          <w:highlight w:val="none"/>
        </w:rPr>
        <w:t>开标记录表</w:t>
      </w:r>
      <w:bookmarkEnd w:id="344"/>
      <w:bookmarkEnd w:id="345"/>
      <w:bookmarkEnd w:id="346"/>
      <w:bookmarkEnd w:id="347"/>
      <w:bookmarkEnd w:id="348"/>
    </w:p>
    <w:p>
      <w:pPr>
        <w:pStyle w:val="276"/>
        <w:spacing w:line="360" w:lineRule="auto"/>
        <w:rPr>
          <w:rFonts w:hint="eastAsia" w:ascii="宋体" w:hAnsi="宋体" w:cs="宋体"/>
          <w:color w:val="auto"/>
          <w:sz w:val="28"/>
          <w:szCs w:val="28"/>
          <w:highlight w:val="none"/>
        </w:rPr>
      </w:pP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rPr>
        <w:t>开标时间：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分</w:t>
      </w:r>
    </w:p>
    <w:tbl>
      <w:tblPr>
        <w:tblStyle w:val="48"/>
        <w:tblW w:w="0" w:type="auto"/>
        <w:tblInd w:w="0" w:type="dxa"/>
        <w:tblLayout w:type="fixed"/>
        <w:tblCellMar>
          <w:top w:w="0" w:type="dxa"/>
          <w:left w:w="0" w:type="dxa"/>
          <w:bottom w:w="0" w:type="dxa"/>
          <w:right w:w="0" w:type="dxa"/>
        </w:tblCellMar>
      </w:tblPr>
      <w:tblGrid>
        <w:gridCol w:w="684"/>
        <w:gridCol w:w="2720"/>
        <w:gridCol w:w="1887"/>
        <w:gridCol w:w="2407"/>
        <w:gridCol w:w="1046"/>
      </w:tblGrid>
      <w:tr>
        <w:tblPrEx>
          <w:tblCellMar>
            <w:top w:w="0" w:type="dxa"/>
            <w:left w:w="0" w:type="dxa"/>
            <w:bottom w:w="0" w:type="dxa"/>
            <w:right w:w="0" w:type="dxa"/>
          </w:tblCellMar>
        </w:tblPrEx>
        <w:trPr>
          <w:trHeight w:val="811" w:hRule="atLeast"/>
        </w:trPr>
        <w:tc>
          <w:tcPr>
            <w:tcW w:w="68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2720"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投标人名称</w:t>
            </w:r>
          </w:p>
        </w:tc>
        <w:tc>
          <w:tcPr>
            <w:tcW w:w="188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投标报价（元）</w:t>
            </w:r>
          </w:p>
        </w:tc>
        <w:tc>
          <w:tcPr>
            <w:tcW w:w="240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是否超过最高投标限价</w:t>
            </w: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720"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88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40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720"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88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40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720"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88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40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720"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88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40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720"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88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40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720"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88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40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bl>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48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招标人或招标代理机构：</w:t>
      </w:r>
      <w:r>
        <w:rPr>
          <w:rFonts w:hint="eastAsia" w:ascii="宋体" w:hAnsi="宋体" w:cs="宋体"/>
          <w:color w:val="auto"/>
          <w:sz w:val="24"/>
          <w:highlight w:val="none"/>
          <w:u w:val="single"/>
        </w:rPr>
        <w:t xml:space="preserve">               </w:t>
      </w:r>
      <w:r>
        <w:rPr>
          <w:rFonts w:hint="eastAsia" w:ascii="宋体" w:hAnsi="宋体"/>
          <w:color w:val="000000"/>
          <w:sz w:val="24"/>
          <w:highlight w:val="none"/>
        </w:rPr>
        <w:t>（</w:t>
      </w:r>
      <w:r>
        <w:rPr>
          <w:rFonts w:hint="eastAsia"/>
          <w:color w:val="000000"/>
          <w:sz w:val="24"/>
          <w:highlight w:val="none"/>
        </w:rPr>
        <w:t>盖单位电子印章</w:t>
      </w:r>
      <w:r>
        <w:rPr>
          <w:rFonts w:hint="eastAsia" w:ascii="宋体" w:hAnsi="宋体"/>
          <w:color w:val="000000"/>
          <w:sz w:val="24"/>
          <w:highlight w:val="none"/>
        </w:rPr>
        <w:t>）</w:t>
      </w:r>
      <w:r>
        <w:rPr>
          <w:rFonts w:hint="eastAsia" w:ascii="宋体" w:hAnsi="宋体" w:cs="宋体"/>
          <w:color w:val="auto"/>
          <w:sz w:val="24"/>
          <w:highlight w:val="none"/>
        </w:rPr>
        <w:t xml:space="preserve">                        </w:t>
      </w:r>
    </w:p>
    <w:p>
      <w:pPr>
        <w:pStyle w:val="276"/>
        <w:spacing w:line="480" w:lineRule="exact"/>
        <w:ind w:firstLine="420" w:firstLineChars="200"/>
        <w:rPr>
          <w:rFonts w:hint="eastAsia" w:ascii="宋体" w:hAnsi="宋体" w:cs="宋体"/>
          <w:color w:val="auto"/>
          <w:szCs w:val="21"/>
          <w:highlight w:val="none"/>
        </w:rPr>
      </w:pP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注：第二个信封（报价文件）开标过程中，若投标文件出现以下任一情况，经监督人确认后当场在开标记录表备注栏中予以记录：</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1 \* GB3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①</w:t>
      </w:r>
      <w:r>
        <w:rPr>
          <w:rFonts w:hint="eastAsia" w:ascii="宋体" w:hAnsi="宋体" w:cs="宋体"/>
          <w:color w:val="auto"/>
          <w:szCs w:val="21"/>
          <w:highlight w:val="none"/>
        </w:rPr>
        <w:fldChar w:fldCharType="end"/>
      </w:r>
      <w:r>
        <w:rPr>
          <w:rFonts w:hint="eastAsia" w:ascii="宋体" w:hAnsi="宋体" w:cs="宋体"/>
          <w:color w:val="auto"/>
          <w:szCs w:val="21"/>
          <w:highlight w:val="none"/>
        </w:rPr>
        <w:t>投标函（第二个信封）未填写投标报价；</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2 \* GB3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②</w:t>
      </w:r>
      <w:r>
        <w:rPr>
          <w:rFonts w:hint="eastAsia" w:ascii="宋体" w:hAnsi="宋体" w:cs="宋体"/>
          <w:color w:val="auto"/>
          <w:szCs w:val="21"/>
          <w:highlight w:val="none"/>
        </w:rPr>
        <w:fldChar w:fldCharType="end"/>
      </w:r>
      <w:r>
        <w:rPr>
          <w:rFonts w:hint="eastAsia" w:ascii="宋体" w:hAnsi="宋体" w:cs="宋体"/>
          <w:color w:val="auto"/>
          <w:szCs w:val="21"/>
          <w:highlight w:val="none"/>
        </w:rPr>
        <w:t>投标报价超过招标人公布的限价；</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3 \* GB3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③</w:t>
      </w:r>
      <w:r>
        <w:rPr>
          <w:rFonts w:hint="eastAsia" w:ascii="宋体" w:hAnsi="宋体" w:cs="宋体"/>
          <w:color w:val="auto"/>
          <w:szCs w:val="21"/>
          <w:highlight w:val="none"/>
        </w:rPr>
        <w:fldChar w:fldCharType="end"/>
      </w:r>
      <w:r>
        <w:rPr>
          <w:rFonts w:hint="eastAsia" w:ascii="宋体" w:hAnsi="宋体" w:cs="宋体"/>
          <w:color w:val="auto"/>
          <w:szCs w:val="21"/>
          <w:highlight w:val="none"/>
        </w:rPr>
        <w:t>投标报价的大写金额无法确定具体数值；</w:t>
      </w:r>
    </w:p>
    <w:p>
      <w:pPr>
        <w:spacing w:line="360"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fldChar w:fldCharType="begin"/>
      </w:r>
      <w:r>
        <w:rPr>
          <w:rFonts w:hint="eastAsia" w:ascii="宋体" w:hAnsi="宋体" w:cs="宋体"/>
          <w:color w:val="auto"/>
          <w:szCs w:val="21"/>
          <w:highlight w:val="none"/>
        </w:rPr>
        <w:instrText xml:space="preserve"> = 4 \* GB3 </w:instrText>
      </w:r>
      <w:r>
        <w:rPr>
          <w:rFonts w:ascii="宋体" w:hAnsi="宋体" w:cs="宋体"/>
          <w:color w:val="auto"/>
          <w:szCs w:val="21"/>
          <w:highlight w:val="none"/>
        </w:rPr>
        <w:fldChar w:fldCharType="separate"/>
      </w:r>
      <w:r>
        <w:rPr>
          <w:rFonts w:hint="eastAsia" w:ascii="宋体" w:hAnsi="宋体" w:cs="宋体"/>
          <w:color w:val="auto"/>
          <w:szCs w:val="21"/>
          <w:highlight w:val="none"/>
        </w:rPr>
        <w:t>④</w:t>
      </w:r>
      <w:r>
        <w:rPr>
          <w:rFonts w:ascii="宋体" w:hAnsi="宋体" w:cs="宋体"/>
          <w:color w:val="auto"/>
          <w:szCs w:val="21"/>
          <w:highlight w:val="none"/>
        </w:rPr>
        <w:fldChar w:fldCharType="end"/>
      </w:r>
      <w:r>
        <w:rPr>
          <w:rFonts w:hint="eastAsia" w:ascii="宋体" w:hAnsi="宋体" w:cs="宋体"/>
          <w:color w:val="auto"/>
          <w:szCs w:val="21"/>
          <w:highlight w:val="none"/>
        </w:rPr>
        <w:t>第二个信封（报价文件）电子文档（因投标文件错误或内容缺失等源文件原因）不能成功导入。</w:t>
      </w: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pStyle w:val="5"/>
        <w:spacing w:before="240" w:after="240"/>
        <w:rPr>
          <w:rFonts w:hint="eastAsia" w:ascii="宋体" w:hAnsi="宋体"/>
          <w:color w:val="auto"/>
          <w:sz w:val="24"/>
          <w:szCs w:val="24"/>
          <w:highlight w:val="none"/>
        </w:rPr>
      </w:pPr>
      <w:bookmarkStart w:id="349" w:name="_Toc256000056"/>
      <w:bookmarkStart w:id="350" w:name="_Toc234382646"/>
      <w:r>
        <w:rPr>
          <w:rFonts w:hint="eastAsia" w:ascii="宋体" w:hAnsi="宋体"/>
          <w:color w:val="auto"/>
          <w:sz w:val="24"/>
          <w:szCs w:val="24"/>
          <w:highlight w:val="none"/>
        </w:rPr>
        <w:t>附表二：问题澄清通知</w:t>
      </w:r>
      <w:bookmarkEnd w:id="349"/>
    </w:p>
    <w:p>
      <w:pPr>
        <w:spacing w:line="360" w:lineRule="auto"/>
        <w:rPr>
          <w:rFonts w:hint="eastAsia" w:ascii="宋体" w:hAnsi="宋体"/>
          <w:color w:val="auto"/>
          <w:sz w:val="24"/>
          <w:highlight w:val="none"/>
        </w:rPr>
      </w:pPr>
    </w:p>
    <w:p>
      <w:pPr>
        <w:widowControl/>
        <w:spacing w:line="360" w:lineRule="auto"/>
        <w:jc w:val="center"/>
        <w:rPr>
          <w:rFonts w:eastAsia="Calibri" w:cs="Arial"/>
          <w:color w:val="auto"/>
          <w:kern w:val="0"/>
          <w:sz w:val="20"/>
          <w:szCs w:val="20"/>
          <w:highlight w:val="none"/>
        </w:rPr>
      </w:pPr>
      <w:bookmarkStart w:id="351" w:name="_Toc26844_WPSOffice_Level1"/>
      <w:r>
        <w:rPr>
          <w:rFonts w:hint="eastAsia" w:ascii="宋体" w:hAnsi="宋体" w:cs="Arial"/>
          <w:b/>
          <w:color w:val="auto"/>
          <w:kern w:val="0"/>
          <w:sz w:val="24"/>
          <w:highlight w:val="none"/>
        </w:rPr>
        <w:t>问题澄清通知</w:t>
      </w:r>
      <w:bookmarkEnd w:id="351"/>
      <w:r>
        <w:rPr>
          <w:rFonts w:eastAsia="Calibri" w:cs="Arial"/>
          <w:color w:val="auto"/>
          <w:kern w:val="0"/>
          <w:sz w:val="20"/>
          <w:szCs w:val="20"/>
          <w:highlight w:val="none"/>
        </w:rPr>
        <w:t xml:space="preserve">  </w:t>
      </w:r>
    </w:p>
    <w:p>
      <w:pPr>
        <w:widowControl/>
        <w:spacing w:line="360" w:lineRule="auto"/>
        <w:jc w:val="center"/>
        <w:rPr>
          <w:rFonts w:eastAsia="Calibri" w:cs="Arial"/>
          <w:color w:val="auto"/>
          <w:kern w:val="0"/>
          <w:sz w:val="20"/>
          <w:szCs w:val="20"/>
          <w:highlight w:val="none"/>
        </w:rPr>
      </w:pPr>
    </w:p>
    <w:p>
      <w:pPr>
        <w:widowControl/>
        <w:spacing w:line="360" w:lineRule="auto"/>
        <w:jc w:val="right"/>
        <w:rPr>
          <w:rFonts w:hint="eastAsia" w:ascii="宋体" w:hAnsi="宋体" w:cs="Arial"/>
          <w:color w:val="auto"/>
          <w:kern w:val="0"/>
          <w:sz w:val="24"/>
          <w:highlight w:val="none"/>
        </w:rPr>
      </w:pPr>
      <w:r>
        <w:rPr>
          <w:rFonts w:hint="eastAsia" w:ascii="宋体" w:hAnsi="宋体" w:cs="Arial"/>
          <w:color w:val="auto"/>
          <w:kern w:val="0"/>
          <w:sz w:val="24"/>
          <w:highlight w:val="none"/>
        </w:rPr>
        <w:t>编号：</w:t>
      </w:r>
      <w:r>
        <w:rPr>
          <w:rFonts w:eastAsia="Calibri" w:cs="Arial"/>
          <w:color w:val="auto"/>
          <w:kern w:val="0"/>
          <w:sz w:val="24"/>
          <w:highlight w:val="none"/>
        </w:rPr>
        <w:t xml:space="preserve"> </w:t>
      </w:r>
      <w:r>
        <w:rPr>
          <w:rFonts w:hint="eastAsia" w:ascii="宋体" w:hAnsi="宋体" w:cs="Arial"/>
          <w:color w:val="auto"/>
          <w:kern w:val="0"/>
          <w:sz w:val="24"/>
          <w:highlight w:val="none"/>
        </w:rPr>
        <w:t>_______</w:t>
      </w:r>
    </w:p>
    <w:p>
      <w:pPr>
        <w:widowControl/>
        <w:spacing w:line="360" w:lineRule="auto"/>
        <w:jc w:val="left"/>
        <w:rPr>
          <w:rFonts w:hint="eastAsia" w:ascii="宋体" w:hAnsi="宋体" w:cs="Arial"/>
          <w:color w:val="auto"/>
          <w:kern w:val="0"/>
          <w:sz w:val="24"/>
          <w:highlight w:val="none"/>
        </w:rPr>
      </w:pPr>
      <w:r>
        <w:rPr>
          <w:rFonts w:cs="Arial"/>
          <w:color w:val="auto"/>
          <w:kern w:val="0"/>
          <w:sz w:val="24"/>
          <w:highlight w:val="none"/>
          <w:u w:val="single"/>
        </w:rPr>
        <w:t xml:space="preserve">       </w:t>
      </w:r>
      <w:r>
        <w:rPr>
          <w:rFonts w:hint="eastAsia" w:cs="Arial"/>
          <w:color w:val="auto"/>
          <w:kern w:val="0"/>
          <w:sz w:val="24"/>
          <w:highlight w:val="none"/>
        </w:rPr>
        <w:t>（投标人名称）：</w:t>
      </w:r>
    </w:p>
    <w:p>
      <w:pPr>
        <w:widowControl/>
        <w:spacing w:line="360" w:lineRule="auto"/>
        <w:jc w:val="left"/>
        <w:rPr>
          <w:rFonts w:cs="Arial"/>
          <w:color w:val="auto"/>
          <w:kern w:val="0"/>
          <w:sz w:val="24"/>
          <w:highlight w:val="none"/>
          <w:u w:val="single"/>
        </w:rPr>
      </w:pPr>
      <w:r>
        <w:rPr>
          <w:rFonts w:eastAsia="Calibri" w:cs="Arial"/>
          <w:color w:val="auto"/>
          <w:kern w:val="0"/>
          <w:sz w:val="24"/>
          <w:highlight w:val="none"/>
        </w:rPr>
        <w:t xml:space="preserve">   </w:t>
      </w:r>
      <w:r>
        <w:rPr>
          <w:rFonts w:cs="Arial"/>
          <w:color w:val="auto"/>
          <w:kern w:val="0"/>
          <w:sz w:val="24"/>
          <w:highlight w:val="none"/>
        </w:rPr>
        <w:t xml:space="preserve">  </w:t>
      </w:r>
      <w:r>
        <w:rPr>
          <w:rFonts w:hint="eastAsia" w:ascii="宋体" w:hAnsi="宋体" w:cs="Arial"/>
          <w:color w:val="auto"/>
          <w:kern w:val="0"/>
          <w:sz w:val="24"/>
          <w:highlight w:val="none"/>
        </w:rPr>
        <w:t>______（招标项目名称）施工监理_______标段招标的评标委员会，对你方的投标文件进行了仔细的审查，现需你方对下列问题以书面形式予以澄清、说明或补正：</w:t>
      </w:r>
      <w:r>
        <w:rPr>
          <w:rFonts w:cs="Arial"/>
          <w:color w:val="auto"/>
          <w:kern w:val="0"/>
          <w:sz w:val="24"/>
          <w:highlight w:val="none"/>
          <w:u w:val="single"/>
        </w:rPr>
        <w:t xml:space="preserve">           </w:t>
      </w:r>
    </w:p>
    <w:p>
      <w:pPr>
        <w:widowControl/>
        <w:spacing w:line="360" w:lineRule="auto"/>
        <w:jc w:val="left"/>
        <w:rPr>
          <w:rFonts w:cs="Arial"/>
          <w:color w:val="auto"/>
          <w:kern w:val="0"/>
          <w:sz w:val="24"/>
          <w:highlight w:val="none"/>
          <w:u w:val="single"/>
        </w:rPr>
      </w:pPr>
      <w:r>
        <w:rPr>
          <w:rFonts w:cs="Arial"/>
          <w:color w:val="auto"/>
          <w:kern w:val="0"/>
          <w:sz w:val="24"/>
          <w:highlight w:val="none"/>
          <w:u w:val="single"/>
        </w:rPr>
        <w:t xml:space="preserve">                                                                           </w:t>
      </w: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rPr>
      </w:pPr>
    </w:p>
    <w:p>
      <w:pPr>
        <w:widowControl/>
        <w:spacing w:line="360" w:lineRule="auto"/>
        <w:jc w:val="left"/>
        <w:rPr>
          <w:rFonts w:cs="Arial"/>
          <w:color w:val="auto"/>
          <w:kern w:val="0"/>
          <w:sz w:val="24"/>
          <w:highlight w:val="none"/>
        </w:rPr>
      </w:pPr>
    </w:p>
    <w:p>
      <w:pPr>
        <w:widowControl/>
        <w:spacing w:line="360" w:lineRule="auto"/>
        <w:jc w:val="left"/>
        <w:rPr>
          <w:rFonts w:hint="eastAsia" w:ascii="宋体" w:hAnsi="宋体" w:cs="Arial"/>
          <w:color w:val="auto"/>
          <w:kern w:val="0"/>
          <w:sz w:val="24"/>
          <w:highlight w:val="none"/>
        </w:rPr>
      </w:pPr>
    </w:p>
    <w:p>
      <w:pPr>
        <w:widowControl/>
        <w:spacing w:line="360" w:lineRule="auto"/>
        <w:ind w:firstLine="480"/>
        <w:jc w:val="left"/>
        <w:rPr>
          <w:rFonts w:hint="eastAsia" w:ascii="宋体" w:hAnsi="宋体" w:cs="Arial"/>
          <w:color w:val="auto"/>
          <w:kern w:val="0"/>
          <w:sz w:val="24"/>
          <w:highlight w:val="none"/>
        </w:rPr>
      </w:pPr>
      <w:r>
        <w:rPr>
          <w:rFonts w:hint="eastAsia" w:ascii="宋体" w:hAnsi="宋体" w:cs="Arial"/>
          <w:color w:val="auto"/>
          <w:kern w:val="0"/>
          <w:sz w:val="24"/>
          <w:highlight w:val="none"/>
        </w:rPr>
        <w:t>请将上述问题的澄清、说明或补正于接到通知</w:t>
      </w:r>
      <w:r>
        <w:rPr>
          <w:rFonts w:hint="eastAsia" w:ascii="宋体" w:hAnsi="宋体" w:cs="Arial"/>
          <w:color w:val="auto"/>
          <w:kern w:val="0"/>
          <w:sz w:val="24"/>
          <w:highlight w:val="none"/>
          <w:u w:val="single"/>
        </w:rPr>
        <w:t xml:space="preserve">    </w:t>
      </w:r>
      <w:r>
        <w:rPr>
          <w:rFonts w:hint="eastAsia" w:ascii="宋体" w:hAnsi="宋体" w:cs="Arial"/>
          <w:color w:val="auto"/>
          <w:kern w:val="0"/>
          <w:sz w:val="24"/>
          <w:highlight w:val="none"/>
        </w:rPr>
        <w:t>分钟内通过在线形式递交至评标委员会。</w:t>
      </w:r>
    </w:p>
    <w:p>
      <w:pPr>
        <w:widowControl/>
        <w:spacing w:line="360" w:lineRule="auto"/>
        <w:jc w:val="left"/>
        <w:rPr>
          <w:rFonts w:hint="eastAsia" w:ascii="宋体" w:hAnsi="宋体" w:cs="Arial"/>
          <w:color w:val="auto"/>
          <w:kern w:val="0"/>
          <w:sz w:val="24"/>
          <w:highlight w:val="none"/>
        </w:rPr>
      </w:pPr>
      <w:r>
        <w:rPr>
          <w:rFonts w:hint="eastAsia" w:ascii="宋体" w:hAnsi="宋体" w:cs="Arial"/>
          <w:color w:val="auto"/>
          <w:kern w:val="0"/>
          <w:sz w:val="24"/>
          <w:highlight w:val="none"/>
        </w:rPr>
        <w:t>评标委员会成员签字：</w:t>
      </w:r>
      <w:r>
        <w:rPr>
          <w:rFonts w:hint="eastAsia" w:ascii="宋体" w:hAnsi="宋体" w:cs="Arial"/>
          <w:color w:val="auto"/>
          <w:kern w:val="0"/>
          <w:sz w:val="24"/>
          <w:highlight w:val="none"/>
          <w:u w:val="single"/>
        </w:rPr>
        <w:t xml:space="preserve">                         </w:t>
      </w:r>
    </w:p>
    <w:p>
      <w:pPr>
        <w:widowControl/>
        <w:spacing w:line="360" w:lineRule="auto"/>
        <w:jc w:val="center"/>
        <w:rPr>
          <w:rFonts w:eastAsia="Calibri" w:cs="Arial"/>
          <w:color w:val="auto"/>
          <w:kern w:val="0"/>
          <w:sz w:val="24"/>
          <w:highlight w:val="none"/>
        </w:rPr>
      </w:pPr>
    </w:p>
    <w:p>
      <w:pPr>
        <w:widowControl/>
        <w:spacing w:line="360" w:lineRule="auto"/>
        <w:jc w:val="center"/>
        <w:rPr>
          <w:rFonts w:hint="eastAsia" w:ascii="宋体" w:hAnsi="宋体" w:cs="Arial"/>
          <w:color w:val="auto"/>
          <w:kern w:val="0"/>
          <w:sz w:val="24"/>
          <w:highlight w:val="none"/>
        </w:rPr>
      </w:pPr>
      <w:r>
        <w:rPr>
          <w:rFonts w:eastAsia="Calibri" w:cs="Arial"/>
          <w:color w:val="auto"/>
          <w:kern w:val="0"/>
          <w:sz w:val="24"/>
          <w:highlight w:val="none"/>
        </w:rPr>
        <w:t xml:space="preserve">  </w:t>
      </w:r>
      <w:r>
        <w:rPr>
          <w:rFonts w:cs="Arial"/>
          <w:color w:val="auto"/>
          <w:kern w:val="0"/>
          <w:sz w:val="24"/>
          <w:highlight w:val="none"/>
        </w:rPr>
        <w:t xml:space="preserve">          </w:t>
      </w:r>
      <w:r>
        <w:rPr>
          <w:rFonts w:eastAsia="Calibri" w:cs="Arial"/>
          <w:color w:val="auto"/>
          <w:kern w:val="0"/>
          <w:sz w:val="24"/>
          <w:highlight w:val="none"/>
        </w:rPr>
        <w:t xml:space="preserve">     </w:t>
      </w:r>
      <w:r>
        <w:rPr>
          <w:rFonts w:hint="eastAsia" w:ascii="宋体" w:hAnsi="宋体" w:cs="Arial"/>
          <w:color w:val="auto"/>
          <w:kern w:val="0"/>
          <w:sz w:val="24"/>
          <w:highlight w:val="none"/>
        </w:rPr>
        <w:t>_______年_______月_______日</w:t>
      </w:r>
    </w:p>
    <w:p>
      <w:pPr>
        <w:widowControl/>
        <w:spacing w:line="360" w:lineRule="auto"/>
        <w:jc w:val="left"/>
        <w:rPr>
          <w:rFonts w:hint="eastAsia" w:ascii="宋体" w:hAnsi="宋体" w:cs="Arial"/>
          <w:color w:val="auto"/>
          <w:kern w:val="0"/>
          <w:sz w:val="24"/>
          <w:highlight w:val="none"/>
        </w:rPr>
      </w:pPr>
      <w:r>
        <w:rPr>
          <w:rFonts w:eastAsia="Calibri" w:cs="Arial"/>
          <w:color w:val="auto"/>
          <w:kern w:val="0"/>
          <w:sz w:val="24"/>
          <w:highlight w:val="non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注：评标委员会在评标过程中，如要求投标人澄清或说明的，评标委员会要求投标人在线澄清或说明的时间距投标人收到评标委员会通知的时间不得少于 60分钟。</w:t>
      </w:r>
    </w:p>
    <w:p>
      <w:pPr>
        <w:spacing w:line="360" w:lineRule="auto"/>
        <w:rPr>
          <w:rFonts w:hint="eastAsia" w:ascii="宋体" w:hAnsi="宋体"/>
          <w:color w:val="auto"/>
          <w:sz w:val="24"/>
          <w:highlight w:val="none"/>
        </w:rPr>
      </w:pPr>
      <w:r>
        <w:rPr>
          <w:color w:val="auto"/>
          <w:highlight w:val="none"/>
        </w:rPr>
        <w:t xml:space="preserve">    </w:t>
      </w:r>
      <w:r>
        <w:rPr>
          <w:rFonts w:hint="eastAsia" w:ascii="宋体" w:hAnsi="宋体"/>
          <w:color w:val="auto"/>
          <w:sz w:val="24"/>
          <w:highlight w:val="none"/>
        </w:rPr>
        <w:t>评标委员会认为投标人的澄清或说明不够明确，应再次要求投标人对不明确的内容进行澄清或说明，评标委员会要求投标人再次在线澄清或说明的时间距投标人收到评标委员会通知的时间不得少于 30 分钟。</w:t>
      </w:r>
    </w:p>
    <w:p>
      <w:pPr>
        <w:widowControl/>
        <w:spacing w:line="360" w:lineRule="auto"/>
        <w:rPr>
          <w:rFonts w:hint="eastAsia" w:ascii="宋体" w:hAnsi="宋体" w:cs="Arial"/>
          <w:color w:val="auto"/>
          <w:kern w:val="0"/>
          <w:sz w:val="24"/>
          <w:highlight w:val="none"/>
        </w:rPr>
      </w:pPr>
      <w:r>
        <w:rPr>
          <w:color w:val="auto"/>
          <w:highlight w:val="none"/>
        </w:rPr>
        <w:t xml:space="preserve">    </w:t>
      </w:r>
      <w:r>
        <w:rPr>
          <w:rFonts w:hint="eastAsia" w:ascii="宋体" w:hAnsi="宋体"/>
          <w:color w:val="auto"/>
          <w:sz w:val="24"/>
          <w:highlight w:val="none"/>
        </w:rPr>
        <w:t>投标人未在规定时间内作出澄清或说明的，或者评标委员会认为该投标人的两次澄清或说明都不符合评标委员会要求的，作否决投标处理。</w:t>
      </w:r>
    </w:p>
    <w:p>
      <w:pPr>
        <w:widowControl/>
        <w:spacing w:line="360" w:lineRule="auto"/>
        <w:jc w:val="center"/>
        <w:rPr>
          <w:rFonts w:hint="eastAsia" w:ascii="宋体" w:hAnsi="宋体" w:cs="Arial"/>
          <w:color w:val="auto"/>
          <w:kern w:val="0"/>
          <w:sz w:val="24"/>
          <w:highlight w:val="none"/>
        </w:rPr>
      </w:pPr>
    </w:p>
    <w:p>
      <w:pPr>
        <w:pStyle w:val="5"/>
        <w:spacing w:before="240" w:after="240"/>
        <w:rPr>
          <w:rFonts w:hint="eastAsia" w:ascii="宋体" w:hAnsi="宋体"/>
          <w:color w:val="auto"/>
          <w:sz w:val="24"/>
          <w:szCs w:val="24"/>
          <w:highlight w:val="none"/>
        </w:rPr>
      </w:pPr>
      <w:bookmarkStart w:id="352" w:name="_Toc256000057"/>
      <w:r>
        <w:rPr>
          <w:rFonts w:hint="eastAsia" w:ascii="宋体" w:hAnsi="宋体"/>
          <w:color w:val="auto"/>
          <w:sz w:val="24"/>
          <w:szCs w:val="24"/>
          <w:highlight w:val="none"/>
        </w:rPr>
        <w:t>附表三：问题的澄清</w:t>
      </w:r>
      <w:bookmarkEnd w:id="352"/>
    </w:p>
    <w:p>
      <w:pPr>
        <w:spacing w:line="360" w:lineRule="auto"/>
        <w:rPr>
          <w:rFonts w:hint="eastAsia" w:ascii="宋体" w:hAnsi="宋体"/>
          <w:color w:val="auto"/>
          <w:sz w:val="24"/>
          <w:highlight w:val="none"/>
        </w:rPr>
      </w:pPr>
    </w:p>
    <w:p>
      <w:pPr>
        <w:spacing w:line="360" w:lineRule="auto"/>
        <w:jc w:val="center"/>
        <w:rPr>
          <w:rFonts w:hint="eastAsia" w:ascii="宋体" w:hAnsi="宋体"/>
          <w:b/>
          <w:color w:val="auto"/>
          <w:sz w:val="24"/>
          <w:highlight w:val="none"/>
        </w:rPr>
      </w:pPr>
      <w:bookmarkStart w:id="353" w:name="_Toc29092_WPSOffice_Level1"/>
      <w:r>
        <w:rPr>
          <w:rFonts w:hint="eastAsia" w:ascii="宋体" w:hAnsi="宋体"/>
          <w:b/>
          <w:color w:val="auto"/>
          <w:sz w:val="24"/>
          <w:highlight w:val="none"/>
        </w:rPr>
        <w:t>问题的澄清</w:t>
      </w:r>
      <w:bookmarkEnd w:id="353"/>
    </w:p>
    <w:p>
      <w:pPr>
        <w:spacing w:line="360" w:lineRule="auto"/>
        <w:jc w:val="right"/>
        <w:rPr>
          <w:rFonts w:hint="eastAsia" w:ascii="宋体" w:hAnsi="宋体"/>
          <w:color w:val="auto"/>
          <w:sz w:val="24"/>
          <w:highlight w:val="none"/>
        </w:rPr>
      </w:pPr>
      <w:r>
        <w:rPr>
          <w:rFonts w:hint="eastAsia" w:ascii="宋体" w:hAnsi="宋体"/>
          <w:color w:val="auto"/>
          <w:sz w:val="24"/>
          <w:highlight w:val="none"/>
        </w:rPr>
        <w:t>编号：</w:t>
      </w:r>
      <w:r>
        <w:rPr>
          <w:color w:val="auto"/>
          <w:sz w:val="24"/>
          <w:highlight w:val="none"/>
        </w:rPr>
        <w:t xml:space="preserve"> </w:t>
      </w:r>
      <w:r>
        <w:rPr>
          <w:rFonts w:hint="eastAsia" w:ascii="宋体" w:hAnsi="宋体"/>
          <w:color w:val="auto"/>
          <w:sz w:val="24"/>
          <w:highlight w:val="none"/>
        </w:rPr>
        <w:t>_______</w:t>
      </w:r>
    </w:p>
    <w:p>
      <w:pPr>
        <w:spacing w:line="360" w:lineRule="auto"/>
        <w:rPr>
          <w:rFonts w:hint="eastAsia" w:ascii="宋体" w:hAnsi="宋体"/>
          <w:color w:val="auto"/>
          <w:sz w:val="24"/>
          <w:highlight w:val="none"/>
        </w:rPr>
      </w:pPr>
      <w:r>
        <w:rPr>
          <w:rFonts w:hint="eastAsia" w:ascii="宋体" w:hAnsi="宋体"/>
          <w:color w:val="auto"/>
          <w:sz w:val="24"/>
          <w:highlight w:val="none"/>
        </w:rPr>
        <w:t>评标委员会：</w:t>
      </w:r>
    </w:p>
    <w:p>
      <w:pPr>
        <w:spacing w:line="360" w:lineRule="auto"/>
        <w:rPr>
          <w:color w:val="auto"/>
          <w:sz w:val="24"/>
          <w:highlight w:val="none"/>
          <w:u w:val="single"/>
        </w:rPr>
      </w:pPr>
      <w:r>
        <w:rPr>
          <w:color w:val="auto"/>
          <w:sz w:val="24"/>
          <w:highlight w:val="none"/>
        </w:rPr>
        <w:t xml:space="preserve">    </w:t>
      </w:r>
      <w:r>
        <w:rPr>
          <w:rFonts w:hint="eastAsia" w:ascii="宋体" w:hAnsi="宋体"/>
          <w:color w:val="auto"/>
          <w:sz w:val="24"/>
          <w:highlight w:val="none"/>
        </w:rPr>
        <w:t>问题澄清通知（编号：_______）已收悉，现澄清、说明或补正如下：</w:t>
      </w:r>
      <w:r>
        <w:rPr>
          <w:color w:val="auto"/>
          <w:sz w:val="24"/>
          <w:highlight w:val="none"/>
          <w:u w:val="single"/>
        </w:rPr>
        <w:t xml:space="preserve">                           </w:t>
      </w: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rFonts w:hint="eastAsia" w:ascii="宋体" w:hAnsi="宋体"/>
          <w:color w:val="auto"/>
          <w:sz w:val="24"/>
          <w:highlight w:val="none"/>
        </w:rPr>
      </w:pPr>
      <w:r>
        <w:rPr>
          <w:color w:val="auto"/>
          <w:sz w:val="24"/>
          <w:highlight w:val="none"/>
        </w:rPr>
        <w:t xml:space="preserve">    </w:t>
      </w:r>
      <w:r>
        <w:rPr>
          <w:rFonts w:hint="eastAsia"/>
          <w:color w:val="auto"/>
          <w:sz w:val="24"/>
          <w:highlight w:val="none"/>
        </w:rPr>
        <w:t>（投标人可另行附页）</w:t>
      </w:r>
    </w:p>
    <w:p>
      <w:pPr>
        <w:spacing w:line="360" w:lineRule="auto"/>
        <w:ind w:firstLine="480"/>
        <w:rPr>
          <w:rFonts w:hint="eastAsia" w:ascii="宋体" w:hAnsi="宋体"/>
          <w:color w:val="auto"/>
          <w:sz w:val="24"/>
          <w:highlight w:val="none"/>
        </w:rPr>
      </w:pPr>
      <w:r>
        <w:rPr>
          <w:rFonts w:hint="eastAsia"/>
          <w:color w:val="auto"/>
          <w:sz w:val="24"/>
          <w:highlight w:val="none"/>
        </w:rPr>
        <w:t>上述问题</w:t>
      </w:r>
      <w:r>
        <w:rPr>
          <w:rFonts w:hint="eastAsia" w:ascii="宋体" w:hAnsi="宋体"/>
          <w:color w:val="auto"/>
          <w:sz w:val="24"/>
          <w:highlight w:val="none"/>
        </w:rPr>
        <w:t>澄清、说明或补正，不改变我方投标文件的实质性内容，构成我方投标文件的组成部分</w:t>
      </w:r>
    </w:p>
    <w:p>
      <w:pPr>
        <w:spacing w:line="360" w:lineRule="auto"/>
        <w:ind w:firstLine="480"/>
        <w:rPr>
          <w:rFonts w:hint="eastAsia" w:ascii="宋体" w:hAnsi="宋体"/>
          <w:color w:val="auto"/>
          <w:sz w:val="24"/>
          <w:highlight w:val="none"/>
        </w:rPr>
      </w:pPr>
    </w:p>
    <w:p>
      <w:pPr>
        <w:spacing w:line="360" w:lineRule="auto"/>
        <w:ind w:firstLine="480"/>
        <w:jc w:val="right"/>
        <w:rPr>
          <w:rFonts w:hint="eastAsia" w:ascii="宋体" w:hAnsi="宋体"/>
          <w:color w:val="auto"/>
          <w:sz w:val="24"/>
          <w:highlight w:val="none"/>
        </w:rPr>
      </w:pPr>
      <w:r>
        <w:rPr>
          <w:rFonts w:hint="eastAsia" w:ascii="宋体" w:hAnsi="宋体"/>
          <w:color w:val="auto"/>
          <w:sz w:val="24"/>
          <w:highlight w:val="none"/>
        </w:rPr>
        <w:t>法定代表人或其委托代理人：_______（盖单位电子印章或法定代表人或其委托代人个人电子签名章或个人电子印章）</w:t>
      </w:r>
    </w:p>
    <w:p>
      <w:pPr>
        <w:spacing w:line="360" w:lineRule="auto"/>
        <w:jc w:val="right"/>
        <w:rPr>
          <w:rFonts w:hint="eastAsia" w:ascii="宋体" w:hAnsi="宋体"/>
          <w:color w:val="auto"/>
          <w:sz w:val="24"/>
          <w:highlight w:val="none"/>
        </w:rPr>
      </w:pPr>
      <w:r>
        <w:rPr>
          <w:color w:val="auto"/>
          <w:sz w:val="24"/>
          <w:highlight w:val="none"/>
        </w:rPr>
        <w:t xml:space="preserve">    </w:t>
      </w:r>
    </w:p>
    <w:p>
      <w:pPr>
        <w:wordWrap w:val="0"/>
        <w:spacing w:line="360" w:lineRule="auto"/>
        <w:jc w:val="right"/>
        <w:rPr>
          <w:rFonts w:hint="eastAsia" w:ascii="宋体" w:hAnsi="宋体"/>
          <w:color w:val="auto"/>
          <w:sz w:val="24"/>
          <w:highlight w:val="none"/>
        </w:rPr>
      </w:pPr>
      <w:r>
        <w:rPr>
          <w:color w:val="auto"/>
          <w:sz w:val="24"/>
          <w:highlight w:val="none"/>
        </w:rPr>
        <w:t xml:space="preserve">                          </w:t>
      </w:r>
      <w:r>
        <w:rPr>
          <w:rFonts w:hint="eastAsia" w:ascii="宋体" w:hAnsi="宋体"/>
          <w:color w:val="auto"/>
          <w:sz w:val="24"/>
          <w:highlight w:val="none"/>
        </w:rPr>
        <w:t>_______年_______月_______日</w:t>
      </w:r>
      <w:r>
        <w:rPr>
          <w:rFonts w:hint="eastAsia" w:ascii="宋体" w:hAnsi="宋体"/>
          <w:color w:val="auto"/>
          <w:sz w:val="24"/>
          <w:highlight w:val="none"/>
          <w:u w:val="single"/>
        </w:rPr>
        <w:t xml:space="preserve">     </w:t>
      </w:r>
      <w:r>
        <w:rPr>
          <w:rFonts w:hint="eastAsia" w:ascii="宋体" w:hAnsi="宋体"/>
          <w:color w:val="auto"/>
          <w:sz w:val="24"/>
          <w:highlight w:val="none"/>
        </w:rPr>
        <w:t>时</w:t>
      </w:r>
      <w:r>
        <w:rPr>
          <w:rFonts w:hint="eastAsia" w:ascii="宋体" w:hAnsi="宋体"/>
          <w:color w:val="auto"/>
          <w:sz w:val="24"/>
          <w:highlight w:val="none"/>
          <w:u w:val="single"/>
        </w:rPr>
        <w:t xml:space="preserve">    </w:t>
      </w:r>
      <w:r>
        <w:rPr>
          <w:rFonts w:hint="eastAsia" w:ascii="宋体" w:hAnsi="宋体"/>
          <w:color w:val="auto"/>
          <w:sz w:val="24"/>
          <w:highlight w:val="none"/>
        </w:rPr>
        <w:t>分</w:t>
      </w:r>
    </w:p>
    <w:p>
      <w:pPr>
        <w:spacing w:line="360" w:lineRule="auto"/>
        <w:ind w:firstLine="480"/>
        <w:rPr>
          <w:color w:val="auto"/>
          <w:sz w:val="24"/>
          <w:highlight w:val="none"/>
        </w:rPr>
      </w:pPr>
    </w:p>
    <w:p>
      <w:pPr>
        <w:spacing w:line="360" w:lineRule="auto"/>
        <w:ind w:firstLine="480"/>
        <w:rPr>
          <w:color w:val="auto"/>
          <w:sz w:val="24"/>
          <w:highlight w:val="none"/>
        </w:rPr>
      </w:pPr>
    </w:p>
    <w:p>
      <w:pPr>
        <w:spacing w:line="360" w:lineRule="auto"/>
        <w:ind w:firstLine="480"/>
        <w:rPr>
          <w:color w:val="auto"/>
          <w:sz w:val="24"/>
          <w:highlight w:val="none"/>
        </w:rPr>
      </w:pPr>
      <w:r>
        <w:rPr>
          <w:rFonts w:hint="eastAsia"/>
          <w:color w:val="auto"/>
          <w:sz w:val="24"/>
          <w:highlight w:val="none"/>
        </w:rPr>
        <w:t>评标委员会意见：</w:t>
      </w:r>
      <w:r>
        <w:rPr>
          <w:rFonts w:hint="eastAsia" w:ascii="宋体" w:hAnsi="宋体"/>
          <w:color w:val="auto"/>
          <w:sz w:val="24"/>
          <w:highlight w:val="none"/>
        </w:rPr>
        <w:t>___________________________________</w:t>
      </w:r>
    </w:p>
    <w:bookmarkEnd w:id="350"/>
    <w:p>
      <w:pPr>
        <w:pStyle w:val="276"/>
        <w:rPr>
          <w:rFonts w:hint="eastAsia" w:ascii="宋体" w:hAnsi="宋体" w:cs="宋体"/>
          <w:color w:val="auto"/>
          <w:sz w:val="24"/>
          <w:highlight w:val="none"/>
        </w:rPr>
      </w:pPr>
    </w:p>
    <w:p>
      <w:pPr>
        <w:outlineLvl w:val="1"/>
        <w:rPr>
          <w:rFonts w:ascii="Arial" w:hAnsi="Arial" w:eastAsia="黑体"/>
          <w:bCs/>
          <w:color w:val="auto"/>
          <w:kern w:val="0"/>
          <w:sz w:val="24"/>
          <w:highlight w:val="none"/>
        </w:rPr>
      </w:pPr>
      <w:r>
        <w:rPr>
          <w:rFonts w:hint="eastAsia" w:ascii="宋体" w:hAnsi="宋体" w:cs="宋体"/>
          <w:color w:val="auto"/>
          <w:highlight w:val="none"/>
        </w:rPr>
        <w:br w:type="page"/>
      </w:r>
      <w:bookmarkStart w:id="354" w:name="_Toc523921648"/>
      <w:bookmarkStart w:id="355" w:name="_Toc234382648"/>
      <w:r>
        <w:rPr>
          <w:rStyle w:val="146"/>
          <w:rFonts w:hint="eastAsia"/>
          <w:b w:val="0"/>
          <w:bCs w:val="0"/>
          <w:color w:val="auto"/>
          <w:highlight w:val="none"/>
        </w:rPr>
        <w:t>附件四</w:t>
      </w:r>
      <w:r>
        <w:rPr>
          <w:rStyle w:val="146"/>
          <w:b w:val="0"/>
          <w:bCs w:val="0"/>
          <w:color w:val="auto"/>
          <w:highlight w:val="none"/>
        </w:rPr>
        <w:t xml:space="preserve">  </w:t>
      </w:r>
      <w:r>
        <w:rPr>
          <w:rStyle w:val="146"/>
          <w:rFonts w:hint="eastAsia"/>
          <w:b w:val="0"/>
          <w:bCs w:val="0"/>
          <w:color w:val="auto"/>
          <w:highlight w:val="none"/>
        </w:rPr>
        <w:t>中标通知书</w:t>
      </w:r>
      <w:bookmarkEnd w:id="354"/>
      <w:bookmarkEnd w:id="355"/>
    </w:p>
    <w:p>
      <w:pPr>
        <w:spacing w:line="360" w:lineRule="auto"/>
        <w:jc w:val="center"/>
        <w:rPr>
          <w:rFonts w:hint="eastAsia" w:ascii="黑体" w:hAnsi="黑体" w:eastAsia="黑体"/>
          <w:bCs/>
          <w:color w:val="auto"/>
          <w:kern w:val="44"/>
          <w:sz w:val="28"/>
          <w:szCs w:val="28"/>
          <w:highlight w:val="none"/>
        </w:rPr>
      </w:pPr>
      <w:r>
        <w:rPr>
          <w:rFonts w:hint="eastAsia" w:ascii="黑体" w:hAnsi="黑体" w:eastAsia="黑体"/>
          <w:bCs/>
          <w:color w:val="auto"/>
          <w:kern w:val="44"/>
          <w:sz w:val="28"/>
          <w:szCs w:val="28"/>
          <w:highlight w:val="none"/>
        </w:rPr>
        <w:t>中标通知书</w:t>
      </w:r>
    </w:p>
    <w:p>
      <w:pPr>
        <w:pStyle w:val="276"/>
        <w:spacing w:line="360" w:lineRule="auto"/>
        <w:rPr>
          <w:rFonts w:hint="eastAsia" w:ascii="宋体" w:hAnsi="宋体" w:cs="宋体"/>
          <w:color w:val="auto"/>
          <w:sz w:val="24"/>
          <w:highlight w:val="none"/>
          <w:u w:val="single"/>
        </w:rPr>
      </w:pP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（中标人名称）：</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你方于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（投标日期）所递交的</w:t>
      </w:r>
      <w:r>
        <w:rPr>
          <w:rFonts w:hint="eastAsia" w:ascii="宋体" w:hAnsi="宋体"/>
          <w:color w:val="auto"/>
          <w:sz w:val="24"/>
          <w:highlight w:val="none"/>
        </w:rPr>
        <w:t>__________（招标项目名称）施工监理_____标段</w:t>
      </w:r>
      <w:r>
        <w:rPr>
          <w:rFonts w:hint="eastAsia" w:ascii="宋体" w:hAnsi="宋体" w:cs="宋体"/>
          <w:color w:val="auto"/>
          <w:sz w:val="24"/>
          <w:highlight w:val="none"/>
        </w:rPr>
        <w:t>投标文件已被我方接受，被确定为中标人。</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中 标 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监理服务期限：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质量要求：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安全目标：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总监理工程师：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w:t>
      </w:r>
    </w:p>
    <w:p>
      <w:pPr>
        <w:pStyle w:val="276"/>
        <w:spacing w:line="360" w:lineRule="auto"/>
        <w:ind w:firstLine="481"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副总监理工程师：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w:t>
      </w:r>
    </w:p>
    <w:p>
      <w:pPr>
        <w:pStyle w:val="276"/>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驻地监理工程师：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w:t>
      </w:r>
    </w:p>
    <w:p>
      <w:pPr>
        <w:pStyle w:val="276"/>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b/>
          <w:bCs/>
          <w:color w:val="auto"/>
          <w:sz w:val="30"/>
          <w:szCs w:val="30"/>
          <w:highlight w:val="none"/>
        </w:rPr>
        <w:t xml:space="preserve"> </w:t>
      </w:r>
      <w:r>
        <w:rPr>
          <w:rFonts w:hint="eastAsia" w:ascii="宋体" w:hAnsi="宋体" w:cs="宋体"/>
          <w:color w:val="auto"/>
          <w:sz w:val="24"/>
          <w:highlight w:val="none"/>
        </w:rPr>
        <w:t>试验室主任：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请你方在本通知书发出后的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日内</w:t>
      </w:r>
      <w:r>
        <w:rPr>
          <w:rFonts w:hint="eastAsia" w:ascii="宋体" w:hAnsi="宋体"/>
          <w:color w:val="auto"/>
          <w:sz w:val="24"/>
          <w:highlight w:val="none"/>
        </w:rPr>
        <w:t>与我方以招标文件第二章“投标人须知”前附表第7.8.1项约定的方式</w:t>
      </w:r>
      <w:r>
        <w:rPr>
          <w:rFonts w:hint="eastAsia" w:ascii="宋体" w:hAnsi="宋体" w:cs="宋体"/>
          <w:color w:val="auto"/>
          <w:sz w:val="24"/>
          <w:highlight w:val="none"/>
        </w:rPr>
        <w:t>签订施工监理合同，在此之前按招标文件第二章“投标人须知”前附表第7.7.1项规定向我方提交履约保证金。</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特此通知。</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招标人：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（盖单位电子印章／盖单位章） </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 招标代理机构：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（盖单位电子印章／盖单位章）</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日   </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outlineLvl w:val="1"/>
        <w:rPr>
          <w:rFonts w:ascii="Arial" w:hAnsi="Arial" w:eastAsia="黑体"/>
          <w:bCs/>
          <w:color w:val="auto"/>
          <w:kern w:val="0"/>
          <w:sz w:val="24"/>
          <w:highlight w:val="none"/>
        </w:rPr>
      </w:pPr>
      <w:r>
        <w:rPr>
          <w:rFonts w:hint="eastAsia" w:ascii="宋体" w:hAnsi="宋体" w:cs="宋体"/>
          <w:color w:val="auto"/>
          <w:highlight w:val="none"/>
        </w:rPr>
        <w:br w:type="page"/>
      </w:r>
      <w:bookmarkStart w:id="356" w:name="_Toc523921649"/>
      <w:r>
        <w:rPr>
          <w:rStyle w:val="146"/>
          <w:rFonts w:hint="eastAsia"/>
          <w:b w:val="0"/>
          <w:bCs w:val="0"/>
          <w:color w:val="auto"/>
          <w:highlight w:val="none"/>
        </w:rPr>
        <w:t>附件五</w:t>
      </w:r>
      <w:r>
        <w:rPr>
          <w:rStyle w:val="146"/>
          <w:b w:val="0"/>
          <w:bCs w:val="0"/>
          <w:color w:val="auto"/>
          <w:highlight w:val="none"/>
        </w:rPr>
        <w:t xml:space="preserve">  </w:t>
      </w:r>
      <w:r>
        <w:rPr>
          <w:rStyle w:val="146"/>
          <w:rFonts w:hint="eastAsia"/>
          <w:b w:val="0"/>
          <w:bCs w:val="0"/>
          <w:color w:val="auto"/>
          <w:highlight w:val="none"/>
        </w:rPr>
        <w:t>中标结果通知书</w:t>
      </w:r>
      <w:bookmarkEnd w:id="356"/>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中标结果通知书</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（未中标人名称）：</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我方已接受</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（中标人名称）于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（投标日期）所递交的</w:t>
      </w:r>
      <w:r>
        <w:rPr>
          <w:color w:val="auto"/>
          <w:sz w:val="24"/>
          <w:highlight w:val="none"/>
        </w:rPr>
        <w:t>__________</w:t>
      </w:r>
      <w:r>
        <w:rPr>
          <w:rFonts w:hint="eastAsia"/>
          <w:color w:val="auto"/>
          <w:sz w:val="24"/>
          <w:highlight w:val="none"/>
        </w:rPr>
        <w:t>（招标项目名称）施工监理</w:t>
      </w:r>
      <w:r>
        <w:rPr>
          <w:color w:val="auto"/>
          <w:sz w:val="24"/>
          <w:highlight w:val="none"/>
        </w:rPr>
        <w:t>_____</w:t>
      </w:r>
      <w:r>
        <w:rPr>
          <w:rFonts w:hint="eastAsia"/>
          <w:color w:val="auto"/>
          <w:sz w:val="24"/>
          <w:highlight w:val="none"/>
        </w:rPr>
        <w:t>标段</w:t>
      </w:r>
      <w:r>
        <w:rPr>
          <w:rFonts w:hint="eastAsia" w:ascii="宋体" w:hAnsi="宋体" w:cs="宋体"/>
          <w:color w:val="auto"/>
          <w:sz w:val="24"/>
          <w:highlight w:val="none"/>
        </w:rPr>
        <w:t>投标文件，确定</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（中标人名称）为中标人。</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感谢你单位对我们工作的大力支持！</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招标人：</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（盖单位电子印章／盖单位章）</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 招标代理机构：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（盖单位电子印章／盖单位章）</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rPr>
          <w:rFonts w:ascii="Arial" w:hAnsi="Arial" w:eastAsia="黑体"/>
          <w:bCs/>
          <w:color w:val="auto"/>
          <w:kern w:val="0"/>
          <w:sz w:val="24"/>
          <w:highlight w:val="none"/>
        </w:rPr>
      </w:pPr>
      <w:bookmarkStart w:id="357" w:name="_Toc523921650"/>
      <w:r>
        <w:rPr>
          <w:rFonts w:ascii="Arial" w:hAnsi="Arial" w:eastAsia="黑体"/>
          <w:bCs/>
          <w:color w:val="auto"/>
          <w:kern w:val="0"/>
          <w:sz w:val="24"/>
          <w:highlight w:val="none"/>
        </w:rPr>
        <w:br w:type="page"/>
      </w:r>
    </w:p>
    <w:p>
      <w:pPr>
        <w:pStyle w:val="5"/>
        <w:rPr>
          <w:color w:val="auto"/>
          <w:highlight w:val="none"/>
        </w:rPr>
      </w:pPr>
      <w:r>
        <w:rPr>
          <w:rFonts w:hint="eastAsia"/>
          <w:b w:val="0"/>
          <w:bCs w:val="0"/>
          <w:color w:val="auto"/>
          <w:highlight w:val="none"/>
        </w:rPr>
        <w:t>附件六</w:t>
      </w:r>
      <w:r>
        <w:rPr>
          <w:b w:val="0"/>
          <w:bCs w:val="0"/>
          <w:color w:val="auto"/>
          <w:highlight w:val="none"/>
        </w:rPr>
        <w:t xml:space="preserve">  </w:t>
      </w:r>
      <w:r>
        <w:rPr>
          <w:rFonts w:hint="eastAsia"/>
          <w:b w:val="0"/>
          <w:bCs w:val="0"/>
          <w:color w:val="auto"/>
          <w:highlight w:val="none"/>
        </w:rPr>
        <w:t>确认通知</w:t>
      </w:r>
      <w:bookmarkEnd w:id="357"/>
    </w:p>
    <w:p>
      <w:pPr>
        <w:pStyle w:val="276"/>
        <w:rPr>
          <w:rFonts w:hint="eastAsia" w:ascii="宋体" w:hAnsi="宋体" w:cs="宋体"/>
          <w:color w:val="auto"/>
          <w:highlight w:val="none"/>
        </w:rPr>
      </w:pPr>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确 认 通 知</w:t>
      </w:r>
    </w:p>
    <w:p>
      <w:pPr>
        <w:pStyle w:val="276"/>
        <w:rPr>
          <w:rFonts w:hint="eastAsia" w:ascii="宋体" w:hAnsi="宋体" w:cs="宋体"/>
          <w:color w:val="auto"/>
          <w:highlight w:val="none"/>
        </w:rPr>
      </w:pP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（招标人名称）：</w:t>
      </w:r>
    </w:p>
    <w:p>
      <w:pPr>
        <w:pStyle w:val="276"/>
        <w:spacing w:line="360" w:lineRule="auto"/>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你方</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日发出的</w:t>
      </w:r>
      <w:r>
        <w:rPr>
          <w:color w:val="auto"/>
          <w:sz w:val="24"/>
          <w:highlight w:val="none"/>
        </w:rPr>
        <w:t>__________</w:t>
      </w:r>
      <w:r>
        <w:rPr>
          <w:rFonts w:hint="eastAsia"/>
          <w:color w:val="auto"/>
          <w:sz w:val="24"/>
          <w:highlight w:val="none"/>
        </w:rPr>
        <w:t>（招标项目名称）施工监理</w:t>
      </w:r>
      <w:r>
        <w:rPr>
          <w:color w:val="auto"/>
          <w:sz w:val="24"/>
          <w:highlight w:val="none"/>
        </w:rPr>
        <w:t>_____</w:t>
      </w:r>
      <w:r>
        <w:rPr>
          <w:rFonts w:hint="eastAsia"/>
          <w:color w:val="auto"/>
          <w:sz w:val="24"/>
          <w:highlight w:val="none"/>
        </w:rPr>
        <w:t>标段</w:t>
      </w:r>
      <w:r>
        <w:rPr>
          <w:rFonts w:hint="eastAsia" w:ascii="宋体" w:hAnsi="宋体" w:cs="宋体"/>
          <w:color w:val="auto"/>
          <w:sz w:val="24"/>
          <w:highlight w:val="none"/>
        </w:rPr>
        <w:t>关于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的通知，我方已于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日收到。</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特此确认。</w:t>
      </w:r>
    </w:p>
    <w:p>
      <w:pPr>
        <w:pStyle w:val="276"/>
        <w:spacing w:line="360" w:lineRule="auto"/>
        <w:rPr>
          <w:rFonts w:hint="eastAsia" w:ascii="宋体" w:hAnsi="宋体" w:cs="宋体"/>
          <w:color w:val="auto"/>
          <w:sz w:val="24"/>
          <w:highlight w:val="none"/>
        </w:rPr>
      </w:pPr>
    </w:p>
    <w:p>
      <w:pPr>
        <w:pStyle w:val="276"/>
        <w:spacing w:line="360" w:lineRule="auto"/>
        <w:rPr>
          <w:rFonts w:hint="eastAsia" w:ascii="宋体" w:hAnsi="宋体" w:cs="宋体"/>
          <w:color w:val="auto"/>
          <w:sz w:val="24"/>
          <w:highlight w:val="none"/>
        </w:rPr>
      </w:pPr>
    </w:p>
    <w:p>
      <w:pPr>
        <w:pStyle w:val="276"/>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（盖单位电子印章／盖单位章）</w:t>
      </w: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outlineLvl w:val="1"/>
        <w:rPr>
          <w:rFonts w:ascii="Arial" w:hAnsi="Arial" w:eastAsia="黑体"/>
          <w:bCs/>
          <w:color w:val="auto"/>
          <w:kern w:val="0"/>
          <w:sz w:val="24"/>
          <w:highlight w:val="none"/>
        </w:rPr>
      </w:pPr>
      <w:bookmarkStart w:id="358" w:name="_Toc523921651"/>
      <w:r>
        <w:rPr>
          <w:rFonts w:hint="eastAsia" w:ascii="宋体" w:hAnsi="宋体" w:cs="宋体"/>
          <w:color w:val="auto"/>
          <w:highlight w:val="none"/>
        </w:rPr>
        <w:br w:type="page"/>
      </w:r>
      <w:r>
        <w:rPr>
          <w:rStyle w:val="146"/>
          <w:rFonts w:hint="eastAsia"/>
          <w:b w:val="0"/>
          <w:bCs w:val="0"/>
          <w:color w:val="auto"/>
          <w:highlight w:val="none"/>
        </w:rPr>
        <w:t>附件七</w:t>
      </w:r>
      <w:r>
        <w:rPr>
          <w:rStyle w:val="146"/>
          <w:b w:val="0"/>
          <w:bCs w:val="0"/>
          <w:color w:val="auto"/>
          <w:highlight w:val="none"/>
        </w:rPr>
        <w:t xml:space="preserve">  </w:t>
      </w:r>
      <w:r>
        <w:rPr>
          <w:rStyle w:val="146"/>
          <w:rFonts w:hint="eastAsia"/>
          <w:b w:val="0"/>
          <w:bCs w:val="0"/>
          <w:color w:val="auto"/>
          <w:highlight w:val="none"/>
        </w:rPr>
        <w:t>异议书</w:t>
      </w:r>
      <w:bookmarkEnd w:id="358"/>
    </w:p>
    <w:p>
      <w:pPr>
        <w:pStyle w:val="276"/>
        <w:spacing w:line="360" w:lineRule="auto"/>
        <w:ind w:firstLine="1680" w:firstLineChars="6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__________（招标项目名称）施工监理_____标段</w:t>
      </w:r>
    </w:p>
    <w:p>
      <w:pPr>
        <w:pStyle w:val="276"/>
        <w:spacing w:line="360" w:lineRule="auto"/>
        <w:ind w:firstLine="3500" w:firstLineChars="125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异 议 书</w:t>
      </w:r>
    </w:p>
    <w:p>
      <w:pPr>
        <w:spacing w:line="360" w:lineRule="auto"/>
        <w:jc w:val="left"/>
        <w:rPr>
          <w:color w:val="auto"/>
          <w:sz w:val="24"/>
          <w:highlight w:val="none"/>
        </w:rPr>
      </w:pPr>
    </w:p>
    <w:p>
      <w:pPr>
        <w:spacing w:line="360" w:lineRule="auto"/>
        <w:jc w:val="left"/>
        <w:rPr>
          <w:color w:val="auto"/>
          <w:sz w:val="24"/>
          <w:highlight w:val="none"/>
        </w:rPr>
      </w:pPr>
      <w:r>
        <w:rPr>
          <w:rFonts w:hint="eastAsia"/>
          <w:color w:val="auto"/>
          <w:sz w:val="24"/>
          <w:highlight w:val="none"/>
        </w:rPr>
        <w:t>异</w:t>
      </w:r>
      <w:r>
        <w:rPr>
          <w:color w:val="auto"/>
          <w:sz w:val="24"/>
          <w:highlight w:val="none"/>
        </w:rPr>
        <w:t xml:space="preserve"> </w:t>
      </w:r>
      <w:r>
        <w:rPr>
          <w:rFonts w:hint="eastAsia"/>
          <w:color w:val="auto"/>
          <w:sz w:val="24"/>
          <w:highlight w:val="none"/>
        </w:rPr>
        <w:t>议</w:t>
      </w:r>
      <w:r>
        <w:rPr>
          <w:color w:val="auto"/>
          <w:sz w:val="24"/>
          <w:highlight w:val="none"/>
        </w:rPr>
        <w:t xml:space="preserve"> </w:t>
      </w:r>
      <w:r>
        <w:rPr>
          <w:rFonts w:hint="eastAsia"/>
          <w:color w:val="auto"/>
          <w:sz w:val="24"/>
          <w:highlight w:val="none"/>
        </w:rPr>
        <w:t>人：</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住</w:t>
      </w:r>
      <w:r>
        <w:rPr>
          <w:color w:val="auto"/>
          <w:sz w:val="24"/>
          <w:highlight w:val="none"/>
        </w:rPr>
        <w:t xml:space="preserve"> </w:t>
      </w:r>
      <w:r>
        <w:rPr>
          <w:rFonts w:hint="eastAsia"/>
          <w:color w:val="auto"/>
          <w:sz w:val="24"/>
          <w:highlight w:val="none"/>
        </w:rPr>
        <w:t>所</w:t>
      </w:r>
      <w:r>
        <w:rPr>
          <w:color w:val="auto"/>
          <w:sz w:val="24"/>
          <w:highlight w:val="none"/>
        </w:rPr>
        <w:t xml:space="preserve"> </w:t>
      </w:r>
      <w:r>
        <w:rPr>
          <w:rFonts w:hint="eastAsia"/>
          <w:color w:val="auto"/>
          <w:sz w:val="24"/>
          <w:highlight w:val="none"/>
        </w:rPr>
        <w:t>地：</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邮</w:t>
      </w:r>
      <w:r>
        <w:rPr>
          <w:color w:val="auto"/>
          <w:sz w:val="24"/>
          <w:highlight w:val="none"/>
        </w:rPr>
        <w:t xml:space="preserve">    </w:t>
      </w:r>
      <w:r>
        <w:rPr>
          <w:rFonts w:hint="eastAsia"/>
          <w:color w:val="auto"/>
          <w:sz w:val="24"/>
          <w:highlight w:val="none"/>
        </w:rPr>
        <w:t>编：</w:t>
      </w:r>
      <w:r>
        <w:rPr>
          <w:color w:val="auto"/>
          <w:sz w:val="24"/>
          <w:highlight w:val="none"/>
        </w:rPr>
        <w:t xml:space="preserve"> </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法定代表人：</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联系电话：</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异议人授权代表：</w:t>
      </w:r>
      <w:r>
        <w:rPr>
          <w:color w:val="auto"/>
          <w:sz w:val="24"/>
          <w:highlight w:val="none"/>
          <w:u w:val="single"/>
        </w:rPr>
        <w:t>               </w:t>
      </w:r>
      <w:r>
        <w:rPr>
          <w:rFonts w:hint="eastAsia"/>
          <w:color w:val="auto"/>
          <w:sz w:val="24"/>
          <w:highlight w:val="none"/>
          <w:u w:val="single"/>
        </w:rPr>
        <w:t>　　　　　　　　</w:t>
      </w:r>
      <w:r>
        <w:rPr>
          <w:color w:val="auto"/>
          <w:sz w:val="24"/>
          <w:highlight w:val="none"/>
        </w:rPr>
        <w:t>   </w:t>
      </w:r>
    </w:p>
    <w:p>
      <w:pPr>
        <w:spacing w:line="360" w:lineRule="auto"/>
        <w:jc w:val="left"/>
        <w:rPr>
          <w:color w:val="auto"/>
          <w:sz w:val="24"/>
          <w:highlight w:val="none"/>
        </w:rPr>
      </w:pPr>
      <w:r>
        <w:rPr>
          <w:rFonts w:hint="eastAsia"/>
          <w:color w:val="auto"/>
          <w:sz w:val="24"/>
          <w:highlight w:val="none"/>
        </w:rPr>
        <w:t>性</w:t>
      </w:r>
      <w:r>
        <w:rPr>
          <w:color w:val="auto"/>
          <w:sz w:val="24"/>
          <w:highlight w:val="none"/>
        </w:rPr>
        <w:t xml:space="preserve">    </w:t>
      </w:r>
      <w:r>
        <w:rPr>
          <w:rFonts w:hint="eastAsia"/>
          <w:color w:val="auto"/>
          <w:sz w:val="24"/>
          <w:highlight w:val="none"/>
        </w:rPr>
        <w:t>别：</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年</w:t>
      </w:r>
      <w:r>
        <w:rPr>
          <w:color w:val="auto"/>
          <w:sz w:val="24"/>
          <w:highlight w:val="none"/>
        </w:rPr>
        <w:t xml:space="preserve">    </w:t>
      </w:r>
      <w:r>
        <w:rPr>
          <w:rFonts w:hint="eastAsia"/>
          <w:color w:val="auto"/>
          <w:sz w:val="24"/>
          <w:highlight w:val="none"/>
        </w:rPr>
        <w:t>龄：</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住</w:t>
      </w:r>
      <w:r>
        <w:rPr>
          <w:color w:val="auto"/>
          <w:sz w:val="24"/>
          <w:highlight w:val="none"/>
        </w:rPr>
        <w:t xml:space="preserve">    </w:t>
      </w:r>
      <w:r>
        <w:rPr>
          <w:rFonts w:hint="eastAsia"/>
          <w:color w:val="auto"/>
          <w:sz w:val="24"/>
          <w:highlight w:val="none"/>
        </w:rPr>
        <w:t>址：</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联系电话：</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u w:val="single"/>
        </w:rPr>
      </w:pPr>
      <w:r>
        <w:rPr>
          <w:rFonts w:hint="eastAsia"/>
          <w:color w:val="auto"/>
          <w:sz w:val="24"/>
          <w:highlight w:val="none"/>
        </w:rPr>
        <w:t>提起异议事项的基本事实：</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p>
    <w:p>
      <w:pPr>
        <w:spacing w:line="360" w:lineRule="auto"/>
        <w:jc w:val="left"/>
        <w:rPr>
          <w:color w:val="auto"/>
          <w:sz w:val="24"/>
          <w:highlight w:val="none"/>
        </w:rPr>
      </w:pPr>
      <w:r>
        <w:rPr>
          <w:color w:val="auto"/>
          <w:sz w:val="24"/>
          <w:highlight w:val="none"/>
          <w:u w:val="single"/>
        </w:rPr>
        <w:t>                                                                                          </w:t>
      </w:r>
      <w:r>
        <w:rPr>
          <w:rFonts w:hint="eastAsia"/>
          <w:color w:val="auto"/>
          <w:sz w:val="24"/>
          <w:highlight w:val="none"/>
        </w:rPr>
        <w:t>。</w:t>
      </w:r>
    </w:p>
    <w:p>
      <w:pPr>
        <w:spacing w:line="360" w:lineRule="auto"/>
        <w:jc w:val="left"/>
        <w:rPr>
          <w:color w:val="auto"/>
          <w:sz w:val="24"/>
          <w:highlight w:val="none"/>
          <w:u w:val="single"/>
        </w:rPr>
      </w:pPr>
      <w:r>
        <w:rPr>
          <w:rFonts w:hint="eastAsia"/>
          <w:color w:val="auto"/>
          <w:sz w:val="24"/>
          <w:highlight w:val="none"/>
        </w:rPr>
        <w:t>相关请求及主张：</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p>
    <w:p>
      <w:pPr>
        <w:spacing w:line="360" w:lineRule="auto"/>
        <w:jc w:val="left"/>
        <w:rPr>
          <w:color w:val="auto"/>
          <w:sz w:val="24"/>
          <w:highlight w:val="none"/>
          <w:u w:val="single"/>
        </w:rPr>
      </w:pP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rPr>
        <w:t>。</w:t>
      </w:r>
    </w:p>
    <w:p>
      <w:pPr>
        <w:spacing w:line="360" w:lineRule="auto"/>
        <w:jc w:val="left"/>
        <w:rPr>
          <w:color w:val="auto"/>
          <w:sz w:val="24"/>
          <w:highlight w:val="none"/>
        </w:rPr>
      </w:pPr>
      <w:r>
        <w:rPr>
          <w:rFonts w:hint="eastAsia"/>
          <w:color w:val="auto"/>
          <w:sz w:val="24"/>
          <w:highlight w:val="none"/>
        </w:rPr>
        <w:t>有效线索和相关证明材料</w:t>
      </w:r>
      <w:r>
        <w:rPr>
          <w:rFonts w:hint="eastAsia"/>
          <w:color w:val="auto"/>
          <w:sz w:val="24"/>
          <w:highlight w:val="none"/>
          <w:u w:val="single"/>
        </w:rPr>
        <w:t>：</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rPr>
        <w:t>。</w:t>
      </w:r>
    </w:p>
    <w:p>
      <w:pPr>
        <w:spacing w:line="360" w:lineRule="auto"/>
        <w:jc w:val="left"/>
        <w:rPr>
          <w:color w:val="auto"/>
          <w:sz w:val="24"/>
          <w:highlight w:val="none"/>
        </w:rPr>
      </w:pPr>
      <w:r>
        <w:rPr>
          <w:rFonts w:hint="eastAsia"/>
          <w:color w:val="auto"/>
          <w:sz w:val="24"/>
          <w:highlight w:val="none"/>
        </w:rPr>
        <w:t>异议人与提起项目有利害关系的证明材料</w:t>
      </w:r>
      <w:r>
        <w:rPr>
          <w:rFonts w:hint="eastAsia"/>
          <w:color w:val="auto"/>
          <w:sz w:val="24"/>
          <w:highlight w:val="none"/>
          <w:u w:val="single"/>
        </w:rPr>
        <w:t>：</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rPr>
        <w:t>。</w:t>
      </w:r>
    </w:p>
    <w:p>
      <w:pPr>
        <w:pStyle w:val="19"/>
        <w:spacing w:line="360" w:lineRule="auto"/>
        <w:jc w:val="left"/>
        <w:rPr>
          <w:color w:val="auto"/>
          <w:sz w:val="24"/>
          <w:highlight w:val="none"/>
        </w:rPr>
      </w:pPr>
    </w:p>
    <w:p>
      <w:pPr>
        <w:pStyle w:val="19"/>
        <w:adjustRightInd w:val="0"/>
        <w:snapToGrid w:val="0"/>
        <w:spacing w:line="360" w:lineRule="auto"/>
        <w:jc w:val="left"/>
        <w:rPr>
          <w:color w:val="auto"/>
          <w:sz w:val="24"/>
          <w:highlight w:val="none"/>
        </w:rPr>
      </w:pPr>
      <w:r>
        <w:rPr>
          <w:rFonts w:hint="eastAsia"/>
          <w:color w:val="auto"/>
          <w:sz w:val="24"/>
          <w:highlight w:val="none"/>
        </w:rPr>
        <w:t>此致</w:t>
      </w:r>
    </w:p>
    <w:p>
      <w:pPr>
        <w:adjustRightInd w:val="0"/>
        <w:snapToGrid w:val="0"/>
        <w:spacing w:line="360" w:lineRule="auto"/>
        <w:jc w:val="left"/>
        <w:rPr>
          <w:color w:val="auto"/>
          <w:sz w:val="24"/>
          <w:highlight w:val="none"/>
          <w:u w:val="single"/>
        </w:rPr>
      </w:pPr>
      <w:r>
        <w:rPr>
          <w:color w:val="auto"/>
          <w:sz w:val="24"/>
          <w:highlight w:val="none"/>
        </w:rPr>
        <w:t xml:space="preserve">  </w:t>
      </w:r>
      <w:r>
        <w:rPr>
          <w:color w:val="auto"/>
          <w:sz w:val="24"/>
          <w:highlight w:val="none"/>
          <w:u w:val="single"/>
        </w:rPr>
        <w:t xml:space="preserve">    </w:t>
      </w:r>
      <w:r>
        <w:rPr>
          <w:rFonts w:hint="eastAsia"/>
          <w:color w:val="auto"/>
          <w:sz w:val="24"/>
          <w:highlight w:val="none"/>
          <w:u w:val="single"/>
        </w:rPr>
        <w:t>（招标人）</w:t>
      </w:r>
      <w:r>
        <w:rPr>
          <w:color w:val="auto"/>
          <w:sz w:val="24"/>
          <w:highlight w:val="none"/>
          <w:u w:val="single"/>
        </w:rPr>
        <w:t xml:space="preserve">     </w:t>
      </w:r>
    </w:p>
    <w:p>
      <w:pPr>
        <w:pStyle w:val="21"/>
        <w:tabs>
          <w:tab w:val="left" w:pos="6270"/>
        </w:tabs>
        <w:spacing w:line="360" w:lineRule="auto"/>
        <w:ind w:right="103"/>
        <w:rPr>
          <w:rFonts w:hint="eastAsia"/>
          <w:color w:val="auto"/>
          <w:highlight w:val="none"/>
        </w:rPr>
      </w:pPr>
      <w:r>
        <w:rPr>
          <w:rFonts w:hint="eastAsia"/>
          <w:color w:val="auto"/>
          <w:highlight w:val="none"/>
        </w:rPr>
        <w:t xml:space="preserve">                          </w:t>
      </w:r>
    </w:p>
    <w:p>
      <w:pPr>
        <w:pStyle w:val="21"/>
        <w:tabs>
          <w:tab w:val="left" w:pos="6270"/>
        </w:tabs>
        <w:spacing w:line="360" w:lineRule="auto"/>
        <w:ind w:right="103" w:firstLine="4080" w:firstLineChars="1700"/>
        <w:rPr>
          <w:rFonts w:hint="eastAsia"/>
          <w:color w:val="auto"/>
          <w:highlight w:val="none"/>
          <w:u w:val="single"/>
        </w:rPr>
      </w:pPr>
      <w:r>
        <w:rPr>
          <w:rFonts w:hint="eastAsia" w:cs="Tahoma"/>
          <w:color w:val="auto"/>
          <w:kern w:val="0"/>
          <w:highlight w:val="none"/>
        </w:rPr>
        <w:t>异议人（盖单位章）</w:t>
      </w:r>
      <w:r>
        <w:rPr>
          <w:rFonts w:hint="eastAsia"/>
          <w:color w:val="auto"/>
          <w:highlight w:val="none"/>
        </w:rPr>
        <w:t>：</w:t>
      </w:r>
      <w:r>
        <w:rPr>
          <w:rFonts w:hint="eastAsia"/>
          <w:color w:val="auto"/>
          <w:highlight w:val="none"/>
          <w:u w:val="single"/>
        </w:rPr>
        <w:t xml:space="preserve">                </w:t>
      </w:r>
    </w:p>
    <w:p>
      <w:pPr>
        <w:pStyle w:val="276"/>
        <w:spacing w:line="360" w:lineRule="auto"/>
        <w:ind w:firstLine="2640" w:firstLineChars="1100"/>
        <w:jc w:val="center"/>
        <w:rPr>
          <w:rFonts w:hint="eastAsia" w:ascii="宋体" w:hAnsi="宋体" w:cs="宋体"/>
          <w:color w:val="auto"/>
          <w:sz w:val="24"/>
          <w:highlight w:val="none"/>
        </w:rPr>
      </w:pPr>
      <w:r>
        <w:rPr>
          <w:rFonts w:hint="eastAsia" w:ascii="宋体" w:hAnsi="宋体" w:cs="Tahoma"/>
          <w:color w:val="auto"/>
          <w:kern w:val="0"/>
          <w:sz w:val="24"/>
          <w:highlight w:val="none"/>
        </w:rPr>
        <w:t>法定代表人或授权代表</w:t>
      </w:r>
      <w:r>
        <w:rPr>
          <w:rFonts w:hint="eastAsia" w:hAnsi="宋体"/>
          <w:color w:val="auto"/>
          <w:sz w:val="24"/>
          <w:highlight w:val="none"/>
        </w:rPr>
        <w:t>（</w:t>
      </w:r>
      <w:r>
        <w:rPr>
          <w:rFonts w:hint="eastAsia"/>
          <w:color w:val="auto"/>
          <w:sz w:val="24"/>
          <w:highlight w:val="none"/>
        </w:rPr>
        <w:t>签字</w:t>
      </w:r>
      <w:r>
        <w:rPr>
          <w:rFonts w:hint="eastAsia" w:hAnsi="宋体"/>
          <w:color w:val="auto"/>
          <w:sz w:val="24"/>
          <w:highlight w:val="none"/>
        </w:rPr>
        <w:t>）</w:t>
      </w:r>
      <w:r>
        <w:rPr>
          <w:rFonts w:hint="eastAsia" w:ascii="宋体" w:hAnsi="宋体" w:cs="Tahoma"/>
          <w:color w:val="auto"/>
          <w:kern w:val="0"/>
          <w:sz w:val="24"/>
          <w:highlight w:val="none"/>
        </w:rPr>
        <w:t>：</w:t>
      </w:r>
      <w:r>
        <w:rPr>
          <w:rFonts w:hint="eastAsia" w:ascii="宋体" w:hAnsi="宋体" w:cs="Tahoma"/>
          <w:color w:val="auto"/>
          <w:kern w:val="0"/>
          <w:sz w:val="24"/>
          <w:highlight w:val="none"/>
          <w:u w:val="single"/>
        </w:rPr>
        <w:t> 　 　　　   </w:t>
      </w:r>
    </w:p>
    <w:p>
      <w:pPr>
        <w:pStyle w:val="276"/>
        <w:wordWrap w:val="0"/>
        <w:spacing w:line="360" w:lineRule="auto"/>
        <w:ind w:right="480"/>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w:t>
      </w:r>
      <w:r>
        <w:rPr>
          <w:rFonts w:hint="eastAsia" w:ascii="宋体" w:hAnsi="宋体" w:cs="宋体"/>
          <w:color w:val="auto"/>
          <w:sz w:val="24"/>
          <w:highlight w:val="none"/>
        </w:rPr>
        <w:t>日</w:t>
      </w:r>
    </w:p>
    <w:p>
      <w:pPr>
        <w:pStyle w:val="276"/>
        <w:rPr>
          <w:rFonts w:hint="eastAsia" w:ascii="宋体" w:hAnsi="宋体" w:cs="宋体"/>
          <w:color w:val="auto"/>
          <w:highlight w:val="none"/>
        </w:rPr>
      </w:pPr>
    </w:p>
    <w:p>
      <w:pPr>
        <w:outlineLvl w:val="1"/>
        <w:rPr>
          <w:rFonts w:ascii="Arial" w:hAnsi="Arial" w:eastAsia="黑体"/>
          <w:bCs/>
          <w:color w:val="auto"/>
          <w:kern w:val="0"/>
          <w:sz w:val="24"/>
          <w:highlight w:val="none"/>
        </w:rPr>
      </w:pPr>
      <w:bookmarkStart w:id="359" w:name="_Toc523921652"/>
      <w:r>
        <w:rPr>
          <w:rFonts w:hint="eastAsia" w:ascii="宋体" w:hAnsi="宋体" w:cs="宋体"/>
          <w:color w:val="auto"/>
          <w:highlight w:val="none"/>
        </w:rPr>
        <w:br w:type="page"/>
      </w:r>
      <w:r>
        <w:rPr>
          <w:rStyle w:val="146"/>
          <w:rFonts w:hint="eastAsia"/>
          <w:b w:val="0"/>
          <w:bCs w:val="0"/>
          <w:color w:val="auto"/>
          <w:highlight w:val="none"/>
        </w:rPr>
        <w:t>附件八</w:t>
      </w:r>
      <w:r>
        <w:rPr>
          <w:rStyle w:val="146"/>
          <w:b w:val="0"/>
          <w:bCs w:val="0"/>
          <w:color w:val="auto"/>
          <w:highlight w:val="none"/>
        </w:rPr>
        <w:t xml:space="preserve">  </w:t>
      </w:r>
      <w:r>
        <w:rPr>
          <w:rStyle w:val="146"/>
          <w:rFonts w:hint="eastAsia"/>
          <w:b w:val="0"/>
          <w:bCs w:val="0"/>
          <w:color w:val="auto"/>
          <w:highlight w:val="none"/>
        </w:rPr>
        <w:t>投诉书</w:t>
      </w:r>
      <w:bookmarkEnd w:id="359"/>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投 诉 书</w:t>
      </w:r>
    </w:p>
    <w:p>
      <w:pPr>
        <w:spacing w:line="360" w:lineRule="auto"/>
        <w:ind w:firstLine="480" w:firstLineChars="200"/>
        <w:jc w:val="left"/>
        <w:rPr>
          <w:rFonts w:hint="eastAsia" w:ascii="宋体" w:hAnsi="宋体" w:cs="宋体"/>
          <w:color w:val="auto"/>
          <w:sz w:val="24"/>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就所投诉事项，投诉人已于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日向招标人提出异议，并于</w:t>
      </w:r>
      <w:r>
        <w:rPr>
          <w:rFonts w:hint="eastAsia" w:ascii="宋体" w:hAnsi="宋体" w:cs="宋体"/>
          <w:color w:val="auto"/>
          <w:sz w:val="24"/>
          <w:highlight w:val="none"/>
          <w:u w:val="single"/>
        </w:rPr>
        <w:t>   </w:t>
      </w:r>
      <w:r>
        <w:rPr>
          <w:rFonts w:hint="eastAsia" w:ascii="宋体" w:hAnsi="宋体" w:cs="宋体"/>
          <w:color w:val="auto"/>
          <w:sz w:val="24"/>
          <w:highlight w:val="none"/>
        </w:rPr>
        <w:t>年</w:t>
      </w:r>
    </w:p>
    <w:p>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日收到招标人书面答复（后附异议及答复材料）。</w:t>
      </w:r>
    </w:p>
    <w:p>
      <w:pPr>
        <w:pStyle w:val="276"/>
        <w:spacing w:line="360" w:lineRule="auto"/>
        <w:ind w:firstLine="480" w:firstLineChars="200"/>
        <w:jc w:val="left"/>
        <w:rPr>
          <w:rFonts w:hint="eastAsia" w:ascii="宋体" w:hAnsi="宋体" w:cs="宋体"/>
          <w:color w:val="auto"/>
          <w:sz w:val="24"/>
          <w:highlight w:val="none"/>
        </w:rPr>
      </w:pP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 诉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所 地：</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邮   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投诉人授权代表：</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性    别：</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76"/>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年    龄：</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被投诉人：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所 地：</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邮    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投诉事项的基本事实：</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76"/>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相关请求及主张：</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有效线索和相关证明材料：</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投诉人与投诉项目有利害关系的证明材料：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此致</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w:t>
      </w:r>
      <w:r>
        <w:rPr>
          <w:rFonts w:hint="eastAsia" w:ascii="宋体" w:hAnsi="宋体" w:cs="宋体"/>
          <w:color w:val="auto"/>
          <w:sz w:val="24"/>
          <w:highlight w:val="none"/>
          <w:u w:val="single"/>
        </w:rPr>
        <w:t>　（投诉受理机关）　</w:t>
      </w:r>
    </w:p>
    <w:p>
      <w:pPr>
        <w:pStyle w:val="276"/>
        <w:spacing w:line="360" w:lineRule="auto"/>
        <w:ind w:firstLine="4080" w:firstLineChars="1700"/>
        <w:jc w:val="left"/>
        <w:rPr>
          <w:rFonts w:hint="eastAsia" w:ascii="宋体" w:hAnsi="宋体" w:cs="宋体"/>
          <w:color w:val="auto"/>
          <w:sz w:val="24"/>
          <w:highlight w:val="none"/>
          <w:u w:val="single"/>
        </w:rPr>
      </w:pPr>
      <w:r>
        <w:rPr>
          <w:rFonts w:hint="eastAsia" w:ascii="宋体" w:hAnsi="宋体" w:cs="宋体"/>
          <w:color w:val="auto"/>
          <w:sz w:val="24"/>
          <w:highlight w:val="none"/>
        </w:rPr>
        <w:t>投诉人（盖单位章）：</w:t>
      </w:r>
      <w:r>
        <w:rPr>
          <w:rFonts w:hint="eastAsia" w:ascii="宋体" w:hAnsi="宋体" w:cs="宋体"/>
          <w:color w:val="auto"/>
          <w:sz w:val="24"/>
          <w:highlight w:val="none"/>
          <w:u w:val="single"/>
        </w:rPr>
        <w:t xml:space="preserve">      　　    </w:t>
      </w:r>
    </w:p>
    <w:p>
      <w:pPr>
        <w:pStyle w:val="276"/>
        <w:spacing w:line="360" w:lineRule="auto"/>
        <w:ind w:firstLine="2880" w:firstLineChars="1200"/>
        <w:jc w:val="left"/>
        <w:rPr>
          <w:rFonts w:hint="eastAsia" w:ascii="宋体" w:hAnsi="宋体" w:cs="宋体"/>
          <w:color w:val="auto"/>
          <w:sz w:val="24"/>
          <w:highlight w:val="none"/>
          <w:u w:val="single"/>
        </w:rPr>
      </w:pPr>
      <w:r>
        <w:rPr>
          <w:rFonts w:hint="eastAsia" w:ascii="宋体" w:hAnsi="宋体" w:cs="宋体"/>
          <w:color w:val="auto"/>
          <w:sz w:val="24"/>
          <w:highlight w:val="none"/>
        </w:rPr>
        <w:t>法定代表人或授权代表（签字）：</w:t>
      </w:r>
      <w:r>
        <w:rPr>
          <w:rFonts w:hint="eastAsia" w:ascii="宋体" w:hAnsi="宋体" w:cs="宋体"/>
          <w:color w:val="auto"/>
          <w:sz w:val="24"/>
          <w:highlight w:val="none"/>
          <w:u w:val="single"/>
        </w:rPr>
        <w:t>   　　　　    </w:t>
      </w:r>
    </w:p>
    <w:p>
      <w:pPr>
        <w:pStyle w:val="276"/>
        <w:ind w:firstLine="6480" w:firstLineChars="2700"/>
        <w:rPr>
          <w:rFonts w:hint="eastAsia" w:ascii="宋体" w:hAnsi="宋体" w:cs="宋体"/>
          <w:color w:val="auto"/>
          <w:highlight w:val="none"/>
        </w:rPr>
      </w:pPr>
      <w:r>
        <w:rPr>
          <w:rFonts w:hint="eastAsia" w:ascii="宋体" w:hAnsi="宋体" w:cs="宋体"/>
          <w:color w:val="auto"/>
          <w:sz w:val="24"/>
          <w:highlight w:val="none"/>
          <w:u w:val="single"/>
        </w:rPr>
        <w:t>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widowControl/>
        <w:jc w:val="left"/>
        <w:rPr>
          <w:rFonts w:hint="eastAsia" w:ascii="宋体" w:hAnsi="宋体" w:cs="宋体"/>
          <w:color w:val="auto"/>
          <w:highlight w:val="none"/>
        </w:rPr>
      </w:pPr>
    </w:p>
    <w:p>
      <w:pPr>
        <w:pStyle w:val="276"/>
        <w:rPr>
          <w:rFonts w:hint="eastAsia" w:ascii="宋体" w:hAnsi="宋体" w:cs="宋体"/>
          <w:color w:val="auto"/>
          <w:highlight w:val="none"/>
        </w:rPr>
      </w:pPr>
    </w:p>
    <w:p>
      <w:pPr>
        <w:spacing w:line="360" w:lineRule="auto"/>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0"/>
        <w:rPr>
          <w:rFonts w:hint="eastAsia" w:ascii="黑体" w:hAnsi="黑体" w:cs="黑体"/>
          <w:color w:val="auto"/>
          <w:szCs w:val="52"/>
          <w:highlight w:val="none"/>
        </w:rPr>
      </w:pPr>
      <w:bookmarkStart w:id="360" w:name="_Toc28187725"/>
      <w:r>
        <w:rPr>
          <w:rFonts w:hint="eastAsia"/>
          <w:bCs/>
          <w:color w:val="auto"/>
          <w:szCs w:val="44"/>
          <w:highlight w:val="none"/>
        </w:rPr>
        <w:t>第三章</w:t>
      </w:r>
      <w:r>
        <w:rPr>
          <w:bCs/>
          <w:color w:val="auto"/>
          <w:szCs w:val="44"/>
          <w:highlight w:val="none"/>
        </w:rPr>
        <w:t xml:space="preserve">  </w:t>
      </w:r>
      <w:r>
        <w:rPr>
          <w:rFonts w:hint="eastAsia"/>
          <w:bCs/>
          <w:color w:val="auto"/>
          <w:szCs w:val="44"/>
          <w:highlight w:val="none"/>
        </w:rPr>
        <w:t>评标办法</w:t>
      </w:r>
      <w:bookmarkEnd w:id="360"/>
    </w:p>
    <w:p>
      <w:pPr>
        <w:pStyle w:val="20"/>
        <w:rPr>
          <w:bCs/>
          <w:color w:val="auto"/>
          <w:szCs w:val="44"/>
          <w:highlight w:val="none"/>
        </w:rPr>
      </w:pPr>
    </w:p>
    <w:p>
      <w:pPr>
        <w:pStyle w:val="20"/>
        <w:rPr>
          <w:bCs/>
          <w:color w:val="auto"/>
          <w:szCs w:val="44"/>
          <w:highlight w:val="none"/>
        </w:rPr>
      </w:pPr>
    </w:p>
    <w:p>
      <w:pPr>
        <w:pStyle w:val="276"/>
        <w:rPr>
          <w:rFonts w:hint="eastAsia" w:ascii="宋体" w:hAnsi="宋体" w:cs="宋体"/>
          <w:color w:val="auto"/>
          <w:highlight w:val="none"/>
        </w:rPr>
        <w:sectPr>
          <w:headerReference r:id="rId12" w:type="default"/>
          <w:footerReference r:id="rId13" w:type="default"/>
          <w:footerReference r:id="rId14" w:type="even"/>
          <w:footnotePr>
            <w:numFmt w:val="decimalEnclosedCircleChinese"/>
            <w:numRestart w:val="eachPage"/>
          </w:footnotePr>
          <w:type w:val="continuous"/>
          <w:pgSz w:w="11900" w:h="16840"/>
          <w:pgMar w:top="1418" w:right="1418" w:bottom="1418" w:left="1701" w:header="885" w:footer="839" w:gutter="0"/>
          <w:cols w:space="720" w:num="1"/>
          <w:docGrid w:linePitch="286" w:charSpace="0"/>
        </w:sectPr>
      </w:pPr>
    </w:p>
    <w:p>
      <w:pPr>
        <w:pStyle w:val="4"/>
        <w:rPr>
          <w:color w:val="auto"/>
          <w:highlight w:val="none"/>
        </w:rPr>
      </w:pPr>
      <w:bookmarkStart w:id="361" w:name="_Toc28187726"/>
      <w:bookmarkStart w:id="362" w:name="_Toc523921670"/>
      <w:r>
        <w:rPr>
          <w:rFonts w:hint="eastAsia"/>
          <w:b w:val="0"/>
          <w:bCs w:val="0"/>
          <w:color w:val="auto"/>
          <w:highlight w:val="none"/>
        </w:rPr>
        <w:t>第三章</w:t>
      </w:r>
      <w:r>
        <w:rPr>
          <w:b w:val="0"/>
          <w:bCs w:val="0"/>
          <w:color w:val="auto"/>
          <w:highlight w:val="none"/>
        </w:rPr>
        <w:t xml:space="preserve">  </w:t>
      </w:r>
      <w:r>
        <w:rPr>
          <w:rFonts w:hint="eastAsia"/>
          <w:b w:val="0"/>
          <w:bCs w:val="0"/>
          <w:color w:val="auto"/>
          <w:highlight w:val="none"/>
        </w:rPr>
        <w:t>评标办法（综合评估法）</w:t>
      </w:r>
    </w:p>
    <w:p>
      <w:pPr>
        <w:pStyle w:val="5"/>
        <w:rPr>
          <w:rFonts w:hint="eastAsia" w:ascii="黑体" w:hAnsi="黑体" w:cs="黑体"/>
          <w:color w:val="auto"/>
          <w:szCs w:val="28"/>
          <w:highlight w:val="none"/>
        </w:rPr>
      </w:pPr>
      <w:r>
        <w:rPr>
          <w:rFonts w:hint="eastAsia" w:ascii="黑体" w:hAnsi="黑体" w:cs="黑体"/>
          <w:color w:val="auto"/>
          <w:szCs w:val="28"/>
          <w:highlight w:val="none"/>
        </w:rPr>
        <w:t>评标办法前附表</w:t>
      </w:r>
      <w:bookmarkEnd w:id="361"/>
      <w:bookmarkEnd w:id="362"/>
    </w:p>
    <w:p>
      <w:pPr>
        <w:pStyle w:val="276"/>
        <w:spacing w:line="360" w:lineRule="auto"/>
        <w:ind w:firstLine="480" w:firstLineChars="200"/>
        <w:rPr>
          <w:rFonts w:hint="eastAsia" w:ascii="宋体" w:hAnsi="宋体" w:cs="宋体"/>
          <w:color w:val="auto"/>
          <w:sz w:val="24"/>
          <w:highlight w:val="none"/>
        </w:rPr>
      </w:pPr>
      <w:r>
        <w:rPr>
          <w:rFonts w:hint="eastAsia"/>
          <w:color w:val="auto"/>
          <w:sz w:val="24"/>
          <w:highlight w:val="none"/>
        </w:rPr>
        <w:t>“评标办法前附表”用于进一步明确正文中评标的方法、因素、标准、程序。招标人根据本项目具体特点和实际需要详细列明并补充全部评审因素、标准。“评标办法前附表”内容与正文不一致的，以“评标办法前附表”内容为准。</w:t>
      </w:r>
      <w:bookmarkStart w:id="363" w:name="_Hlk94176270"/>
      <w:r>
        <w:rPr>
          <w:rFonts w:hint="eastAsia"/>
          <w:color w:val="auto"/>
          <w:sz w:val="24"/>
          <w:highlight w:val="none"/>
        </w:rPr>
        <w:t>“评标办法前附表”</w:t>
      </w:r>
      <w:bookmarkEnd w:id="363"/>
      <w:r>
        <w:rPr>
          <w:rFonts w:hint="eastAsia"/>
          <w:color w:val="auto"/>
          <w:sz w:val="24"/>
          <w:highlight w:val="none"/>
        </w:rPr>
        <w:t>及正文没有规定的方法、评审因素、标准，不得作为评标的依据</w:t>
      </w:r>
      <w:r>
        <w:rPr>
          <w:rFonts w:hint="eastAsia" w:ascii="宋体" w:hAnsi="宋体" w:cs="宋体"/>
          <w:color w:val="auto"/>
          <w:sz w:val="24"/>
          <w:highlight w:val="none"/>
        </w:rPr>
        <w: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906"/>
        <w:gridCol w:w="1964"/>
        <w:gridCol w:w="5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blHeader/>
          <w:jc w:val="center"/>
        </w:trPr>
        <w:tc>
          <w:tcPr>
            <w:tcW w:w="1671" w:type="dxa"/>
            <w:gridSpan w:val="2"/>
            <w:tcBorders>
              <w:bottom w:val="single" w:color="auto" w:sz="4" w:space="0"/>
            </w:tcBorders>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7100" w:type="dxa"/>
            <w:gridSpan w:val="2"/>
            <w:tcBorders>
              <w:bottom w:val="single" w:color="auto" w:sz="4" w:space="0"/>
            </w:tcBorders>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90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方法</w:t>
            </w:r>
          </w:p>
        </w:tc>
        <w:tc>
          <w:tcPr>
            <w:tcW w:w="7100" w:type="dxa"/>
            <w:gridSpan w:val="2"/>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1.本次评标采用综合评估法，推荐中标候选人具体原则为：</w:t>
            </w:r>
            <w:r>
              <w:rPr>
                <w:rFonts w:hint="eastAsia" w:ascii="宋体" w:hAnsi="宋体" w:cs="宋体"/>
                <w:color w:val="auto"/>
                <w:szCs w:val="21"/>
                <w:highlight w:val="none"/>
              </w:rPr>
              <w:t xml:space="preserve"> </w:t>
            </w:r>
          </w:p>
          <w:p>
            <w:pPr>
              <w:pStyle w:val="276"/>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 允许中1个标段时适用</w:t>
            </w:r>
          </w:p>
          <w:p>
            <w:pPr>
              <w:widowControl/>
              <w:adjustRightInd w:val="0"/>
              <w:snapToGrid w:val="0"/>
              <w:spacing w:line="38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（1）评标委员会对通过第一个信封（商务及技术文件）和第二个信封（报价文件）评审的所有投标人，按照综合得分由高到低进行排序。若多个投标人综合得分相同时，评标委员会依次按照以下原则排序：</w:t>
            </w:r>
          </w:p>
          <w:p>
            <w:pPr>
              <w:widowControl/>
              <w:adjustRightInd w:val="0"/>
              <w:snapToGrid w:val="0"/>
              <w:spacing w:line="380" w:lineRule="exact"/>
              <w:ind w:firstLine="420" w:firstLineChars="200"/>
              <w:rPr>
                <w:rFonts w:hint="eastAsia" w:ascii="宋体" w:hAnsi="宋体"/>
                <w:color w:val="auto"/>
                <w:szCs w:val="21"/>
                <w:highlight w:val="none"/>
              </w:rPr>
            </w:pPr>
            <w:r>
              <w:rPr>
                <w:rFonts w:ascii="宋体" w:hAnsi="宋体"/>
                <w:color w:val="auto"/>
                <w:kern w:val="0"/>
                <w:szCs w:val="21"/>
                <w:highlight w:val="none"/>
              </w:rPr>
              <w:fldChar w:fldCharType="begin"/>
            </w:r>
            <w:r>
              <w:rPr>
                <w:rFonts w:hint="eastAsia"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olor w:val="auto"/>
                <w:kern w:val="0"/>
                <w:szCs w:val="21"/>
                <w:highlight w:val="none"/>
              </w:rPr>
              <w:t>①</w:t>
            </w:r>
            <w:r>
              <w:rPr>
                <w:rFonts w:ascii="宋体" w:hAnsi="宋体"/>
                <w:color w:val="auto"/>
                <w:kern w:val="0"/>
                <w:szCs w:val="21"/>
                <w:highlight w:val="none"/>
              </w:rPr>
              <w:fldChar w:fldCharType="end"/>
            </w:r>
            <w:r>
              <w:rPr>
                <w:rFonts w:hint="eastAsia" w:ascii="宋体" w:hAnsi="宋体"/>
                <w:color w:val="auto"/>
                <w:szCs w:val="21"/>
                <w:highlight w:val="none"/>
              </w:rPr>
              <w:t>评标价低的投标人优先；</w:t>
            </w:r>
          </w:p>
          <w:p>
            <w:pPr>
              <w:widowControl/>
              <w:adjustRightInd w:val="0"/>
              <w:snapToGrid w:val="0"/>
              <w:spacing w:line="380" w:lineRule="exact"/>
              <w:ind w:left="210" w:leftChars="100" w:firstLine="210" w:firstLineChars="100"/>
              <w:rPr>
                <w:rFonts w:hint="eastAsia" w:asciiTheme="minorEastAsia" w:hAnsiTheme="minorEastAsia" w:eastAsiaTheme="minorEastAsia"/>
                <w:color w:val="auto"/>
                <w:kern w:val="0"/>
                <w:szCs w:val="21"/>
                <w:highlight w:val="none"/>
              </w:rPr>
            </w:pPr>
            <w:r>
              <w:rPr>
                <w:rFonts w:ascii="宋体" w:hAnsi="宋体"/>
                <w:color w:val="auto"/>
                <w:szCs w:val="21"/>
                <w:highlight w:val="none"/>
              </w:rPr>
              <w:fldChar w:fldCharType="begin"/>
            </w:r>
            <w:r>
              <w:rPr>
                <w:rFonts w:hint="eastAsia" w:ascii="宋体" w:hAnsi="宋体"/>
                <w:color w:val="auto"/>
                <w:szCs w:val="21"/>
                <w:highlight w:val="none"/>
              </w:rPr>
              <w:instrText xml:space="preserve"> = 2 \* GB3 </w:instrText>
            </w:r>
            <w:r>
              <w:rPr>
                <w:rFonts w:ascii="宋体" w:hAnsi="宋体"/>
                <w:color w:val="auto"/>
                <w:szCs w:val="21"/>
                <w:highlight w:val="none"/>
              </w:rPr>
              <w:fldChar w:fldCharType="separate"/>
            </w:r>
            <w:r>
              <w:rPr>
                <w:rFonts w:hint="eastAsia" w:ascii="宋体" w:hAnsi="宋体"/>
                <w:color w:val="auto"/>
                <w:szCs w:val="21"/>
                <w:highlight w:val="none"/>
              </w:rPr>
              <w:t>②</w:t>
            </w:r>
            <w:r>
              <w:rPr>
                <w:rFonts w:ascii="宋体" w:hAnsi="宋体"/>
                <w:color w:val="auto"/>
                <w:szCs w:val="21"/>
                <w:highlight w:val="none"/>
              </w:rPr>
              <w:fldChar w:fldCharType="end"/>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Theme="minorEastAsia" w:hAnsiTheme="minorEastAsia" w:eastAsiaTheme="minorEastAsia"/>
                <w:color w:val="auto"/>
                <w:kern w:val="0"/>
                <w:szCs w:val="21"/>
                <w:highlight w:val="none"/>
              </w:rPr>
              <w:t>四川省重点公路建设从业单位信用评价等级高的优先；</w:t>
            </w:r>
          </w:p>
          <w:p>
            <w:pPr>
              <w:widowControl/>
              <w:adjustRightInd w:val="0"/>
              <w:snapToGrid w:val="0"/>
              <w:spacing w:line="380" w:lineRule="exact"/>
              <w:ind w:left="210" w:leftChars="100" w:firstLine="420" w:firstLineChars="200"/>
              <w:rPr>
                <w:rFonts w:hint="eastAsia" w:ascii="宋体" w:hAnsi="宋体"/>
                <w:color w:val="auto"/>
                <w:kern w:val="0"/>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w:t>
            </w:r>
            <w:r>
              <w:rPr>
                <w:rFonts w:hint="eastAsia" w:asciiTheme="minorEastAsia" w:hAnsiTheme="minorEastAsia" w:eastAsiaTheme="minorEastAsia"/>
                <w:color w:val="auto"/>
                <w:kern w:val="0"/>
                <w:szCs w:val="21"/>
                <w:highlight w:val="none"/>
              </w:rPr>
              <w:t>信用评价等级高的优先</w:t>
            </w:r>
            <w:r>
              <w:rPr>
                <w:rFonts w:hint="eastAsia" w:ascii="宋体" w:hAnsi="宋体"/>
                <w:color w:val="auto"/>
                <w:kern w:val="0"/>
                <w:szCs w:val="21"/>
                <w:highlight w:val="none"/>
              </w:rPr>
              <w:t>；</w:t>
            </w:r>
          </w:p>
          <w:p>
            <w:pPr>
              <w:widowControl/>
              <w:adjustRightInd w:val="0"/>
              <w:snapToGrid w:val="0"/>
              <w:spacing w:line="380" w:lineRule="exact"/>
              <w:ind w:left="210" w:leftChars="100" w:firstLine="210" w:firstLineChars="100"/>
              <w:rPr>
                <w:rFonts w:hint="eastAsia" w:ascii="宋体" w:hAnsi="宋体"/>
                <w:color w:val="auto"/>
                <w:kern w:val="0"/>
                <w:szCs w:val="21"/>
                <w:highlight w:val="none"/>
              </w:rPr>
            </w:pPr>
            <w:r>
              <w:rPr>
                <w:rFonts w:ascii="宋体" w:hAnsi="宋体"/>
                <w:color w:val="auto"/>
                <w:kern w:val="0"/>
                <w:szCs w:val="21"/>
                <w:highlight w:val="none"/>
              </w:rPr>
              <w:fldChar w:fldCharType="begin"/>
            </w:r>
            <w:r>
              <w:rPr>
                <w:rFonts w:hint="eastAsia" w:ascii="宋体" w:hAnsi="宋体"/>
                <w:color w:val="auto"/>
                <w:kern w:val="0"/>
                <w:szCs w:val="21"/>
                <w:highlight w:val="none"/>
              </w:rPr>
              <w:instrText xml:space="preserve"> = 3 \* GB3 </w:instrText>
            </w:r>
            <w:r>
              <w:rPr>
                <w:rFonts w:ascii="宋体" w:hAnsi="宋体"/>
                <w:color w:val="auto"/>
                <w:kern w:val="0"/>
                <w:szCs w:val="21"/>
                <w:highlight w:val="none"/>
              </w:rPr>
              <w:fldChar w:fldCharType="separate"/>
            </w:r>
            <w:r>
              <w:rPr>
                <w:rFonts w:hint="eastAsia" w:ascii="宋体" w:hAnsi="宋体"/>
                <w:color w:val="auto"/>
                <w:kern w:val="0"/>
                <w:szCs w:val="21"/>
                <w:highlight w:val="none"/>
              </w:rPr>
              <w:t>③</w:t>
            </w:r>
            <w:r>
              <w:rPr>
                <w:rFonts w:ascii="宋体" w:hAnsi="宋体"/>
                <w:color w:val="auto"/>
                <w:kern w:val="0"/>
                <w:szCs w:val="21"/>
                <w:highlight w:val="none"/>
              </w:rPr>
              <w:fldChar w:fldCharType="end"/>
            </w:r>
            <w:r>
              <w:rPr>
                <w:rFonts w:hint="eastAsia" w:ascii="宋体" w:hAnsi="宋体"/>
                <w:color w:val="auto"/>
                <w:szCs w:val="21"/>
                <w:highlight w:val="none"/>
              </w:rPr>
              <w:t>若上述情况都相同时，则排序按照：</w:t>
            </w:r>
            <w:r>
              <w:rPr>
                <w:rFonts w:hint="eastAsia" w:ascii="宋体" w:hAnsi="宋体"/>
                <w:color w:val="auto"/>
                <w:szCs w:val="21"/>
                <w:highlight w:val="none"/>
                <w:u w:val="single"/>
              </w:rPr>
              <w:t xml:space="preserve">        </w:t>
            </w:r>
            <w:r>
              <w:rPr>
                <w:rFonts w:hint="eastAsia" w:ascii="宋体" w:hAnsi="宋体"/>
                <w:color w:val="auto"/>
                <w:kern w:val="0"/>
                <w:szCs w:val="21"/>
                <w:highlight w:val="none"/>
              </w:rPr>
              <w:t>。</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bCs/>
                <w:color w:val="auto"/>
                <w:kern w:val="0"/>
                <w:szCs w:val="21"/>
                <w:highlight w:val="none"/>
              </w:rPr>
              <w:sym w:font="Wingdings 2" w:char="00A3"/>
            </w:r>
            <w:r>
              <w:rPr>
                <w:rFonts w:hint="eastAsia" w:ascii="宋体" w:hAnsi="宋体" w:cs="宋体"/>
                <w:color w:val="auto"/>
                <w:szCs w:val="21"/>
                <w:highlight w:val="none"/>
              </w:rPr>
              <w:t>（2）</w:t>
            </w:r>
            <w:r>
              <w:rPr>
                <w:rFonts w:hint="eastAsia"/>
                <w:color w:val="auto"/>
                <w:highlight w:val="none"/>
              </w:rPr>
              <w:t>若同一投标人</w:t>
            </w:r>
            <w:r>
              <w:rPr>
                <w:rFonts w:hint="eastAsia" w:ascii="宋体" w:hAnsi="宋体" w:cs="宋体"/>
                <w:color w:val="auto"/>
                <w:highlight w:val="none"/>
              </w:rPr>
              <w:t>在2个及</w:t>
            </w:r>
            <w:r>
              <w:rPr>
                <w:rFonts w:hint="eastAsia"/>
                <w:color w:val="auto"/>
                <w:highlight w:val="none"/>
              </w:rPr>
              <w:t>以上标段排序均为第一，按以下原则依次排序</w:t>
            </w:r>
            <w:r>
              <w:rPr>
                <w:rFonts w:hint="eastAsia" w:ascii="宋体" w:hAnsi="宋体" w:cs="宋体"/>
                <w:color w:val="auto"/>
                <w:szCs w:val="21"/>
                <w:highlight w:val="none"/>
              </w:rPr>
              <w:t>：</w:t>
            </w:r>
          </w:p>
          <w:p>
            <w:pPr>
              <w:pStyle w:val="276"/>
              <w:adjustRightInd w:val="0"/>
              <w:snapToGrid w:val="0"/>
              <w:spacing w:line="38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w:t>
            </w:r>
            <w:r>
              <w:rPr>
                <w:rFonts w:hint="eastAsia" w:ascii="宋体" w:hAnsi="宋体"/>
                <w:color w:val="auto"/>
                <w:kern w:val="0"/>
                <w:szCs w:val="21"/>
                <w:highlight w:val="none"/>
              </w:rPr>
              <w:t xml:space="preserve"> </w:t>
            </w:r>
            <w:r>
              <w:rPr>
                <w:rFonts w:hint="eastAsia" w:ascii="宋体" w:hAnsi="宋体" w:cs="宋体"/>
                <w:color w:val="auto"/>
                <w:szCs w:val="21"/>
                <w:highlight w:val="none"/>
              </w:rPr>
              <w:t>保留该投标人评标价高的标段的第一排名，取消其在评标价低的标</w:t>
            </w:r>
          </w:p>
          <w:p>
            <w:pPr>
              <w:pStyle w:val="276"/>
              <w:adjustRightInd w:val="0"/>
              <w:snapToGrid w:val="0"/>
              <w:spacing w:line="380" w:lineRule="exact"/>
              <w:ind w:firstLine="420" w:firstLineChars="200"/>
              <w:rPr>
                <w:rFonts w:hint="eastAsia" w:ascii="宋体" w:hAnsi="宋体"/>
                <w:color w:val="auto"/>
                <w:kern w:val="0"/>
                <w:szCs w:val="21"/>
                <w:highlight w:val="none"/>
              </w:rPr>
            </w:pPr>
            <w:r>
              <w:rPr>
                <w:rFonts w:hint="eastAsia" w:ascii="宋体" w:hAnsi="宋体" w:cs="宋体"/>
                <w:color w:val="auto"/>
                <w:szCs w:val="21"/>
                <w:highlight w:val="none"/>
              </w:rPr>
              <w:t>段的排名，其余投标人按综合得分由高到低重新排序。</w:t>
            </w:r>
            <w:r>
              <w:rPr>
                <w:rFonts w:hint="eastAsia" w:ascii="宋体" w:hAnsi="宋体"/>
                <w:color w:val="auto"/>
                <w:kern w:val="0"/>
                <w:szCs w:val="21"/>
                <w:highlight w:val="none"/>
              </w:rPr>
              <w:t>评标价也相同</w:t>
            </w:r>
          </w:p>
          <w:p>
            <w:pPr>
              <w:pStyle w:val="276"/>
              <w:adjustRightInd w:val="0"/>
              <w:snapToGrid w:val="0"/>
              <w:spacing w:line="38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时，则排序按照：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widowControl/>
              <w:adjustRightInd w:val="0"/>
              <w:snapToGrid w:val="0"/>
              <w:spacing w:line="380" w:lineRule="exact"/>
              <w:ind w:firstLine="420" w:firstLineChars="200"/>
              <w:rPr>
                <w:rFonts w:hint="eastAsia" w:asciiTheme="minorEastAsia" w:hAnsiTheme="minorEastAsia" w:eastAsiaTheme="minorEastAsia"/>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宋体" w:hAnsi="宋体" w:cs="宋体"/>
                <w:bCs/>
                <w:color w:val="auto"/>
                <w:kern w:val="0"/>
                <w:szCs w:val="21"/>
                <w:highlight w:val="none"/>
              </w:rPr>
              <w:t xml:space="preserve"> 排序方式为：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widowControl/>
              <w:adjustRightInd w:val="0"/>
              <w:snapToGrid w:val="0"/>
              <w:spacing w:line="380" w:lineRule="exact"/>
              <w:ind w:firstLine="210" w:firstLineChars="100"/>
              <w:rPr>
                <w:rFonts w:hint="eastAsia" w:ascii="宋体" w:hAnsi="宋体"/>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宋体" w:hAnsi="宋体"/>
                <w:color w:val="auto"/>
                <w:kern w:val="0"/>
                <w:szCs w:val="21"/>
                <w:highlight w:val="none"/>
              </w:rPr>
              <w:t>（3）若同一投标人参与2个及以上标段的投标，在其中一个标段已经推荐为第一中标候选人，则在其他标段不再作为中标候选人推荐，其余投标人按综合得分由高到低重新排序。</w:t>
            </w:r>
          </w:p>
          <w:p>
            <w:pPr>
              <w:pStyle w:val="276"/>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（4）评标委员会按最终排序推荐前3名中标候选人（若不足3名，则按相应数量推荐）。</w:t>
            </w:r>
          </w:p>
          <w:p>
            <w:pPr>
              <w:pStyle w:val="276"/>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 允许中2个及以上标段适用</w:t>
            </w:r>
          </w:p>
          <w:p>
            <w:pPr>
              <w:pStyle w:val="276"/>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b/>
                <w:color w:val="auto"/>
                <w:szCs w:val="21"/>
                <w:highlight w:val="none"/>
              </w:rPr>
              <w:t>2.</w:t>
            </w:r>
            <w:r>
              <w:rPr>
                <w:rFonts w:hint="eastAsia"/>
                <w:color w:val="auto"/>
                <w:szCs w:val="21"/>
                <w:highlight w:val="none"/>
              </w:rPr>
              <w:t>在评标过程中，如有效投标不足</w:t>
            </w:r>
            <w:r>
              <w:rPr>
                <w:color w:val="auto"/>
                <w:szCs w:val="21"/>
                <w:highlight w:val="none"/>
              </w:rPr>
              <w:t>3</w:t>
            </w:r>
            <w:r>
              <w:rPr>
                <w:rFonts w:hint="eastAsia"/>
                <w:color w:val="auto"/>
                <w:szCs w:val="21"/>
                <w:highlight w:val="none"/>
              </w:rPr>
              <w:t>个，评标委员会应当对有效投标是否仍具有竞争性进行评审。评标委员会一致认为有效投标仍具有竞争性的，应当继续推荐中标候选人，并在评标报告中予以说明。评标委员会对有效投标是否仍具有竞争性无法达成一致意见的，应当否决全部投标，并在评标报告中作出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3" w:hRule="atLeast"/>
          <w:jc w:val="center"/>
        </w:trPr>
        <w:tc>
          <w:tcPr>
            <w:tcW w:w="76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90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方法</w:t>
            </w:r>
          </w:p>
        </w:tc>
        <w:tc>
          <w:tcPr>
            <w:tcW w:w="7100"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3.协助评标</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招标人按照</w:t>
            </w:r>
            <w:r>
              <w:rPr>
                <w:rFonts w:hint="eastAsia" w:ascii="宋体" w:hAnsi="宋体" w:cs="宋体"/>
                <w:color w:val="auto"/>
                <w:szCs w:val="21"/>
                <w:highlight w:val="none"/>
                <w:u w:val="single"/>
              </w:rPr>
              <w:t>《公路工程建设项目招标投标管理办法》（交通运输部令2015年第24号）、《公路工程建设项目评标工作细则》（交公路规〔2022〕8号）、《四川省公路工程建设项目招标投标管理实施细则》（川交规〔2024〕7号）</w:t>
            </w:r>
            <w:r>
              <w:rPr>
                <w:rFonts w:hint="eastAsia" w:ascii="宋体" w:hAnsi="宋体" w:cs="宋体"/>
                <w:color w:val="auto"/>
                <w:szCs w:val="21"/>
                <w:highlight w:val="none"/>
              </w:rPr>
              <w:t>规定，协助评标委员会工作并提供相关信息：</w:t>
            </w:r>
          </w:p>
          <w:p>
            <w:pPr>
              <w:pStyle w:val="276"/>
              <w:adjustRightInd w:val="0"/>
              <w:snapToGrid w:val="0"/>
              <w:spacing w:line="400" w:lineRule="exact"/>
              <w:ind w:left="210"/>
              <w:rPr>
                <w:rFonts w:hint="eastAsia" w:ascii="宋体" w:hAnsi="宋体" w:cs="宋体"/>
                <w:color w:val="auto"/>
                <w:szCs w:val="21"/>
                <w:highlight w:val="none"/>
              </w:rPr>
            </w:pPr>
            <w:r>
              <w:rPr>
                <w:rFonts w:hint="eastAsia" w:ascii="宋体" w:hAnsi="宋体" w:cs="宋体"/>
                <w:color w:val="auto"/>
                <w:szCs w:val="21"/>
                <w:highlight w:val="none"/>
              </w:rPr>
              <w:t>（1）根据招标文件，编制评标使用的相应表格；</w:t>
            </w:r>
          </w:p>
          <w:p>
            <w:pPr>
              <w:pStyle w:val="276"/>
              <w:adjustRightInd w:val="0"/>
              <w:snapToGrid w:val="0"/>
              <w:spacing w:line="400" w:lineRule="exact"/>
              <w:ind w:firstLine="210" w:firstLineChars="100"/>
              <w:rPr>
                <w:color w:val="auto"/>
                <w:szCs w:val="21"/>
                <w:highlight w:val="none"/>
              </w:rPr>
            </w:pPr>
            <w:r>
              <w:rPr>
                <w:rFonts w:hint="eastAsia" w:ascii="宋体" w:hAnsi="宋体" w:cs="宋体"/>
                <w:color w:val="auto"/>
                <w:szCs w:val="21"/>
                <w:highlight w:val="none"/>
              </w:rPr>
              <w:t>（2）对投标人的</w:t>
            </w:r>
            <w:r>
              <w:rPr>
                <w:rFonts w:hint="eastAsia" w:ascii="宋体" w:hAnsi="宋体" w:cs="宋体"/>
                <w:color w:val="auto"/>
                <w:szCs w:val="21"/>
                <w:highlight w:val="none"/>
                <w:u w:val="single"/>
              </w:rPr>
              <w:t>资质、业绩、信誉和从业人员</w:t>
            </w:r>
            <w:r>
              <w:rPr>
                <w:rFonts w:hint="eastAsia"/>
                <w:color w:val="auto"/>
                <w:highlight w:val="none"/>
                <w:u w:val="single"/>
              </w:rPr>
              <w:t>各类注册资格证书</w:t>
            </w:r>
            <w:r>
              <w:rPr>
                <w:rFonts w:hint="eastAsia"/>
                <w:color w:val="auto"/>
                <w:highlight w:val="none"/>
              </w:rPr>
              <w:t>等信息</w:t>
            </w:r>
            <w:r>
              <w:rPr>
                <w:rFonts w:hint="eastAsia" w:ascii="宋体" w:hAnsi="宋体" w:cs="宋体"/>
                <w:color w:val="auto"/>
                <w:szCs w:val="21"/>
                <w:highlight w:val="none"/>
              </w:rPr>
              <w:t>进行核实；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76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初步评审标准      （第一个信封）</w:t>
            </w:r>
          </w:p>
        </w:tc>
        <w:tc>
          <w:tcPr>
            <w:tcW w:w="906"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形式评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审标准</w:t>
            </w:r>
          </w:p>
        </w:tc>
        <w:tc>
          <w:tcPr>
            <w:tcW w:w="1964"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1.投标文件格式按照招标文件规定的格式、内容填写</w:t>
            </w:r>
          </w:p>
        </w:tc>
        <w:tc>
          <w:tcPr>
            <w:tcW w:w="5136"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（1）投标函按照招标文件的规定填报了招标项目名称、标段号、监理服务期限。</w:t>
            </w:r>
          </w:p>
          <w:p>
            <w:pPr>
              <w:pStyle w:val="276"/>
              <w:adjustRightInd w:val="0"/>
              <w:snapToGrid w:val="0"/>
              <w:spacing w:line="400" w:lineRule="exact"/>
              <w:rPr>
                <w:color w:val="auto"/>
                <w:szCs w:val="21"/>
                <w:highlight w:val="none"/>
              </w:rPr>
            </w:pPr>
            <w:r>
              <w:rPr>
                <w:rFonts w:hint="eastAsia" w:ascii="宋体" w:hAnsi="宋体" w:cs="宋体"/>
                <w:color w:val="auto"/>
                <w:szCs w:val="21"/>
                <w:highlight w:val="none"/>
              </w:rPr>
              <w:t>（2）投标文件组成齐全完整、内容均按规定填写。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64"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2．投标文件上法定代表人或其委托代理人的个人电子签名章或个人电子印章、投标人的单位电子印章盖章齐全，符合招标文件规定</w:t>
            </w:r>
          </w:p>
        </w:tc>
        <w:tc>
          <w:tcPr>
            <w:tcW w:w="5136"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（1）投标函</w:t>
            </w:r>
            <w:r>
              <w:rPr>
                <w:rFonts w:hint="eastAsia" w:ascii="宋体" w:hAnsi="宋体"/>
                <w:color w:val="auto"/>
                <w:szCs w:val="21"/>
                <w:highlight w:val="none"/>
              </w:rPr>
              <w:t>及投标文件格式</w:t>
            </w:r>
            <w:r>
              <w:rPr>
                <w:rFonts w:hint="eastAsia" w:ascii="宋体" w:hAnsi="宋体" w:cs="宋体"/>
                <w:color w:val="auto"/>
                <w:szCs w:val="21"/>
                <w:highlight w:val="none"/>
              </w:rPr>
              <w:t>中要求盖单位电子印章之处，投标人均应使用单位CA数字证书加盖投标人的单位电子印章；投标函</w:t>
            </w:r>
            <w:r>
              <w:rPr>
                <w:rFonts w:hint="eastAsia" w:ascii="宋体" w:hAnsi="宋体"/>
                <w:color w:val="auto"/>
                <w:szCs w:val="21"/>
                <w:highlight w:val="none"/>
              </w:rPr>
              <w:t>及投标文件格式</w:t>
            </w:r>
            <w:r>
              <w:rPr>
                <w:rFonts w:hint="eastAsia" w:ascii="宋体" w:hAnsi="宋体" w:cs="宋体"/>
                <w:color w:val="auto"/>
                <w:szCs w:val="21"/>
                <w:highlight w:val="none"/>
              </w:rPr>
              <w:t>中要求签字之处，投标人均应使用个人CA数字证书加盖法定代表人或其委托代理人的个人电子签名章或个人电子印章。</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（2）以联合体形式投标的，由联合体牵头人按上述规定完成签字、盖章。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64"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3．投标人按照招标文件规定的金额、形式、时效、内容提供了投标保证金</w:t>
            </w:r>
          </w:p>
        </w:tc>
        <w:tc>
          <w:tcPr>
            <w:tcW w:w="5136"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（1）投标保证金金额符合第二章“投标人须知”前附表第3.4.1项要求，且投标保证金有效期不少于投标有效期。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（2）采用现金或支票形式担保，投标保证金由投标人的基本账户（或基本存款账户）汇出，并在规定的时间到达招标人指定账户。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（3）采用银行保函，银行保函的格式、开具保函的银行级别、银行保函有效期及银行保函提交均满足第二章“投标人须知”前附表第3.4.1项要求，且其提交的银行保函内容不得作出降低担保效力的实质性修改。</w:t>
            </w:r>
          </w:p>
          <w:p>
            <w:pPr>
              <w:pStyle w:val="276"/>
              <w:adjustRightInd w:val="0"/>
              <w:snapToGrid w:val="0"/>
              <w:spacing w:line="400" w:lineRule="exact"/>
              <w:jc w:val="lef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（4）若采用上述情形以外的形式提交投标保证金的，应符合的要求：</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（5）以联合体形式投标的，投标保证金应由联合体牵头人提交。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初步评审标准      （第一个信封）</w:t>
            </w:r>
          </w:p>
        </w:tc>
        <w:tc>
          <w:tcPr>
            <w:tcW w:w="906"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形式评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审标准</w:t>
            </w:r>
          </w:p>
        </w:tc>
        <w:tc>
          <w:tcPr>
            <w:tcW w:w="1964"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4．如由投标人法定代表人的委托代理人签署投标文件的，提供的相关证明材料符合招标文件要求（</w:t>
            </w:r>
            <w:r>
              <w:rPr>
                <w:rFonts w:hint="eastAsia"/>
                <w:color w:val="auto"/>
                <w:szCs w:val="21"/>
                <w:highlight w:val="none"/>
              </w:rPr>
              <w:t>本目适用于如果投标文件由投标人法定代表人的委托代理人签署的情形</w:t>
            </w:r>
            <w:r>
              <w:rPr>
                <w:rFonts w:hint="eastAsia" w:ascii="宋体" w:hAnsi="宋体" w:cs="宋体"/>
                <w:color w:val="auto"/>
                <w:szCs w:val="21"/>
                <w:highlight w:val="none"/>
              </w:rPr>
              <w:t>）</w:t>
            </w:r>
          </w:p>
        </w:tc>
        <w:tc>
          <w:tcPr>
            <w:tcW w:w="5136"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（1）提交了授权委托书。</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授权委托书上要求盖单位电子印章之处，投标人均应使用单位CA数字证书加盖投标人的单位电子印章；要求法定代表人签字之处，投标人均应使用个人CA数字证书加盖投标人法定代表人的个人电子签名章或个人电子印章；要求委托代理人签字之处，</w:t>
            </w:r>
            <w:r>
              <w:rPr>
                <w:rFonts w:hint="eastAsia" w:asciiTheme="minorEastAsia" w:hAnsiTheme="minorEastAsia" w:eastAsiaTheme="minorEastAsia"/>
                <w:color w:val="auto"/>
                <w:szCs w:val="21"/>
                <w:highlight w:val="none"/>
              </w:rPr>
              <w:t>投标人均应使用个人CA数字证书</w:t>
            </w:r>
            <w:r>
              <w:rPr>
                <w:rFonts w:hint="eastAsia" w:ascii="宋体" w:hAnsi="宋体" w:cs="宋体"/>
                <w:color w:val="auto"/>
                <w:szCs w:val="21"/>
                <w:highlight w:val="none"/>
              </w:rPr>
              <w:t>加盖委托代理人个人电子签名章或个人电子印章。</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（3）授权委托书中委托代理人只能是一个人，且不能再授予他人。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（4）授权委托书后应附法定代表人和委托代理人身份证原件原色扫描件，且身份证原件原色扫描件应清晰、有效。</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（5）以联合体形式投标的，其授权委托书应由联合体牵头人按上述规定出具。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64" w:type="dxa"/>
            <w:tcBorders>
              <w:bottom w:val="single" w:color="auto" w:sz="4" w:space="0"/>
            </w:tcBorders>
            <w:vAlign w:val="center"/>
          </w:tcPr>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5．投标人法定代表人若亲自签署投标文件的，提供的相关证明材料符合招标文件要求（</w:t>
            </w:r>
            <w:r>
              <w:rPr>
                <w:rFonts w:hint="eastAsia"/>
                <w:color w:val="auto"/>
                <w:szCs w:val="21"/>
                <w:highlight w:val="none"/>
              </w:rPr>
              <w:t>本目适用于如果投标文件由投标人法定代表人签署的情形</w:t>
            </w:r>
            <w:r>
              <w:rPr>
                <w:rFonts w:hint="eastAsia" w:ascii="宋体" w:hAnsi="宋体" w:cs="宋体"/>
                <w:color w:val="auto"/>
                <w:szCs w:val="21"/>
                <w:highlight w:val="none"/>
              </w:rPr>
              <w:t>）</w:t>
            </w:r>
          </w:p>
        </w:tc>
        <w:tc>
          <w:tcPr>
            <w:tcW w:w="5136"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（1）提供了法定代表人身份证明。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2）法定代表人身份证明上要求盖单位电子印章之处，投标人均应使用单位CA数字证书加盖投标人的单位电子印章；要求法定代表人签字之处，投标人均应使用个人CA数字证书加盖投标人法定代表人的个人电子签名章或个人电子印章。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（3）法定代表人身份证明后应附法定代表人身份证原件原色扫描件，且身份证原件原色扫描件应清晰、有效。</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（4）以联合体形式投标的，应由联合体牵头人按上述规定出具。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64"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b/>
                <w:color w:val="auto"/>
                <w:szCs w:val="21"/>
                <w:highlight w:val="none"/>
              </w:rPr>
              <w:t>□</w:t>
            </w:r>
            <w:r>
              <w:rPr>
                <w:color w:val="auto"/>
                <w:szCs w:val="21"/>
                <w:highlight w:val="none"/>
              </w:rPr>
              <w:t xml:space="preserve"> </w:t>
            </w:r>
            <w:r>
              <w:rPr>
                <w:rFonts w:hint="eastAsia" w:ascii="宋体" w:hAnsi="宋体"/>
                <w:color w:val="auto"/>
                <w:kern w:val="0"/>
                <w:szCs w:val="21"/>
                <w:highlight w:val="none"/>
              </w:rPr>
              <w:t>6．投标人以联合体形式投标时，联合体协议书满足招标文件的要求</w:t>
            </w:r>
          </w:p>
        </w:tc>
        <w:tc>
          <w:tcPr>
            <w:tcW w:w="5136"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（1）按招标文件提供的格式和要求签订联合体协议书，且联合体协议书中的签字、盖章符合第七章“投标文件格式”要求。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2" w:hRule="atLeast"/>
          <w:jc w:val="center"/>
        </w:trPr>
        <w:tc>
          <w:tcPr>
            <w:tcW w:w="76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64"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7．投标文件应符合的其他规定</w:t>
            </w:r>
          </w:p>
        </w:tc>
        <w:tc>
          <w:tcPr>
            <w:tcW w:w="5136" w:type="dxa"/>
            <w:tcBorders>
              <w:bottom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（1）第一个信封（商务及技术文件）投标文件中未出现有关投标报价的内容。</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（2）同一投标人对同一标段未提交两个以上不同的投标文件</w:t>
            </w:r>
            <w:r>
              <w:rPr>
                <w:rFonts w:hint="eastAsia"/>
                <w:color w:val="auto"/>
                <w:highlight w:val="none"/>
              </w:rPr>
              <w:t>，但招标文件要求提交备选投标方案的除外</w:t>
            </w:r>
            <w:r>
              <w:rPr>
                <w:rFonts w:hint="eastAsia" w:ascii="宋体" w:hAnsi="宋体"/>
                <w:color w:val="auto"/>
                <w:kern w:val="0"/>
                <w:szCs w:val="21"/>
                <w:highlight w:val="none"/>
              </w:rPr>
              <w:t>。</w:t>
            </w:r>
          </w:p>
          <w:p>
            <w:pPr>
              <w:pStyle w:val="276"/>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s="宋体"/>
                <w:color w:val="auto"/>
                <w:szCs w:val="21"/>
                <w:highlight w:val="none"/>
              </w:rPr>
              <w:t>投标人投标标段数量超过允许投标人投标标段数量时，相关投标均无效。</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olor w:val="auto"/>
                <w:kern w:val="0"/>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atLeast"/>
          <w:jc w:val="center"/>
        </w:trPr>
        <w:tc>
          <w:tcPr>
            <w:tcW w:w="76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初步评审标准      （第一个信封）</w:t>
            </w:r>
          </w:p>
        </w:tc>
        <w:tc>
          <w:tcPr>
            <w:tcW w:w="906"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2.1.2</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审标准</w:t>
            </w:r>
          </w:p>
        </w:tc>
        <w:tc>
          <w:tcPr>
            <w:tcW w:w="1964"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1．投标人具备有效的营业执照、资质证书、</w:t>
            </w:r>
            <w:r>
              <w:rPr>
                <w:rFonts w:hint="eastAsia" w:cs="宋体" w:asciiTheme="minorEastAsia" w:hAnsiTheme="minorEastAsia" w:eastAsiaTheme="minorEastAsia"/>
                <w:color w:val="auto"/>
                <w:szCs w:val="21"/>
                <w:highlight w:val="none"/>
              </w:rPr>
              <w:t>开户许可证（基本账户或基本存款账户）</w:t>
            </w:r>
            <w:r>
              <w:rPr>
                <w:rFonts w:hint="eastAsia" w:ascii="宋体" w:hAnsi="宋体" w:cs="宋体"/>
                <w:color w:val="auto"/>
                <w:szCs w:val="21"/>
                <w:highlight w:val="none"/>
              </w:rPr>
              <w:t>或基本存款账户信息表</w:t>
            </w:r>
          </w:p>
        </w:tc>
        <w:tc>
          <w:tcPr>
            <w:tcW w:w="5136" w:type="dxa"/>
            <w:tcBorders>
              <w:bottom w:val="single" w:color="auto" w:sz="4" w:space="0"/>
            </w:tcBorders>
            <w:vAlign w:val="center"/>
          </w:tcPr>
          <w:p>
            <w:pPr>
              <w:pStyle w:val="276"/>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w:t>
            </w:r>
            <w:r>
              <w:rPr>
                <w:rFonts w:hint="eastAsia" w:ascii="宋体" w:hAnsi="宋体" w:cs="宋体"/>
                <w:color w:val="auto"/>
                <w:szCs w:val="21"/>
                <w:highlight w:val="none"/>
              </w:rPr>
              <w:t>投标人的营业执照、资质证书、</w:t>
            </w:r>
            <w:r>
              <w:rPr>
                <w:rFonts w:hint="eastAsia" w:cs="宋体" w:asciiTheme="minorEastAsia" w:hAnsiTheme="minorEastAsia" w:eastAsiaTheme="minorEastAsia"/>
                <w:color w:val="auto"/>
                <w:szCs w:val="21"/>
                <w:highlight w:val="none"/>
              </w:rPr>
              <w:t>开户许可证（基本账户或基本存款账户）</w:t>
            </w:r>
            <w:r>
              <w:rPr>
                <w:rFonts w:hint="eastAsia" w:ascii="宋体" w:hAnsi="宋体" w:cs="宋体"/>
                <w:color w:val="auto"/>
                <w:szCs w:val="21"/>
                <w:highlight w:val="none"/>
              </w:rPr>
              <w:t>或基本存款账户信息表有效。</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olor w:val="auto"/>
                <w:kern w:val="0"/>
                <w:szCs w:val="21"/>
                <w:highlight w:val="none"/>
              </w:rPr>
              <w:t>（2）提供的证明材料符合第七章“投标文件格式”资格审查资料“（一）投标人基本情况表”的附件要求</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76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64"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2．投标人的资质等级符合第二章“投标人须知”前附表第1.4.1项规定</w:t>
            </w:r>
          </w:p>
        </w:tc>
        <w:tc>
          <w:tcPr>
            <w:tcW w:w="5136"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（1）投标人的资质等级符合第二章“投标人须知”前附表第1.4.1项规定。</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（2）提供的证明材料符合第七章“投标文件格式”要求。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76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64"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3．投标人的类似项目业绩符合第二章“投标人须知”前附表第1.4.1项规定</w:t>
            </w:r>
          </w:p>
        </w:tc>
        <w:tc>
          <w:tcPr>
            <w:tcW w:w="5136"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（1）投标人的类似项目业绩符合第二章“投标人须知”前附表第1.4.1项规定。</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（2）提供的证明材料符合第七章“投标文件格式”要求。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6" w:hRule="atLeast"/>
          <w:jc w:val="center"/>
        </w:trPr>
        <w:tc>
          <w:tcPr>
            <w:tcW w:w="76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64"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4．投标人的信誉符合第二章“投标人须知”前附表第1.4.1项规定</w:t>
            </w:r>
          </w:p>
        </w:tc>
        <w:tc>
          <w:tcPr>
            <w:tcW w:w="5136"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（1）投标人的信誉符合第二章“投标人须知”前附表第1.4.1项规定。</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（2）提供的证明材料符合第七章“投标文件格式”要求。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64"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5．投标人的主要人员符合第二章“投标人须知”前附表第1.4.1项规定</w:t>
            </w:r>
          </w:p>
        </w:tc>
        <w:tc>
          <w:tcPr>
            <w:tcW w:w="5136"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（1）投标人的主要人员符合第二章“投标人须知”前附表第1.4.1项规定。</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（2）提供的证明材料符合第七章“投标文件格式”要求。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5" w:type="dxa"/>
            <w:vMerge w:val="restart"/>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初步评审标准      （第一个信封）</w:t>
            </w:r>
          </w:p>
        </w:tc>
        <w:tc>
          <w:tcPr>
            <w:tcW w:w="906" w:type="dxa"/>
            <w:vMerge w:val="restart"/>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2.1.2</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资格评</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审标准</w:t>
            </w:r>
          </w:p>
        </w:tc>
        <w:tc>
          <w:tcPr>
            <w:tcW w:w="1964" w:type="dxa"/>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6．投标人的其他要求符合第二章“投标人须知”前附表第1.4.1项规定</w:t>
            </w:r>
          </w:p>
        </w:tc>
        <w:tc>
          <w:tcPr>
            <w:tcW w:w="5136" w:type="dxa"/>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（1）投标人的其他要求（其他主要监理人员）符合第二章“投标人须知”前附表第1.4.1项规定。</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（2）提供的证明材料符合第七章“投标文件格式”要求。</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对于特别复杂的特大桥和特长隧道项目主体工程以及其他有特殊要求的工程，还可对其他主要监理人员进行资格评审。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0" w:hRule="atLeast"/>
          <w:jc w:val="center"/>
        </w:trPr>
        <w:tc>
          <w:tcPr>
            <w:tcW w:w="765"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1964" w:type="dxa"/>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7．投标人还应符合的其他规定</w:t>
            </w:r>
          </w:p>
        </w:tc>
        <w:tc>
          <w:tcPr>
            <w:tcW w:w="5136" w:type="dxa"/>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（1）投标人不存在第二章“投标人须知”第1.4.3项或第1.4.4项规定的任何一种情形（按本项资格评审标准第4目信誉要求已评审的，此处不再评审）。</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（2）以联合体形式投标的，联合体各方均未再以自己名义单独或参加其他联合体在同一标段中投标；独立投标的，投标人未同时参加联合体在同一标段中投标。</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olor w:val="auto"/>
                <w:kern w:val="0"/>
                <w:szCs w:val="21"/>
                <w:highlight w:val="non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65"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06" w:type="dxa"/>
            <w:vMerge w:val="restart"/>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2.1.3</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响应性评审标准</w:t>
            </w:r>
          </w:p>
        </w:tc>
        <w:tc>
          <w:tcPr>
            <w:tcW w:w="1964"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1.投标文件载明的招标项目完成期限符合招标文件规定。</w:t>
            </w:r>
          </w:p>
        </w:tc>
        <w:tc>
          <w:tcPr>
            <w:tcW w:w="5136"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投标文件载明的招标项目完成期限符合招标文件规定。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765"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1964"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2. 投标文件对招标文件的实质性要求和条件在投标函作出响应。</w:t>
            </w:r>
          </w:p>
        </w:tc>
        <w:tc>
          <w:tcPr>
            <w:tcW w:w="5136"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投标文件对招标文件的实质性要求和条件在投标函作出响应。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65"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1964"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3.合同权利义务按招标文件的规定在投标函作出承诺。</w:t>
            </w:r>
          </w:p>
        </w:tc>
        <w:tc>
          <w:tcPr>
            <w:tcW w:w="5136"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合同权利义务按招标文件的规定在投标函作出承诺。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restart"/>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初步评审标准</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w:t>
            </w:r>
          </w:p>
        </w:tc>
        <w:tc>
          <w:tcPr>
            <w:tcW w:w="906" w:type="dxa"/>
            <w:vMerge w:val="restart"/>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2.1.1</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形式评审标准</w:t>
            </w:r>
          </w:p>
        </w:tc>
        <w:tc>
          <w:tcPr>
            <w:tcW w:w="1964" w:type="dxa"/>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1．投标文件中的重要内容按照招标文件规定的格式、内容填写，字迹、印章清晰可辨</w:t>
            </w:r>
          </w:p>
        </w:tc>
        <w:tc>
          <w:tcPr>
            <w:tcW w:w="5136" w:type="dxa"/>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（1）投标函（第二个信封）符合第七章“投标文件格式”要求。</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（2）已标价监理服务费用清单说明与招标文件规定一致，未进行实质性修改和删减。</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（3）投标文件组成齐全完整，内容均按规定填写。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6" w:hRule="atLeast"/>
          <w:jc w:val="center"/>
        </w:trPr>
        <w:tc>
          <w:tcPr>
            <w:tcW w:w="765"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06"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196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380" w:lineRule="exact"/>
              <w:rPr>
                <w:rFonts w:hint="eastAsia" w:ascii="宋体" w:hAnsi="宋体" w:cs="宋体"/>
                <w:color w:val="auto"/>
                <w:kern w:val="0"/>
                <w:szCs w:val="21"/>
                <w:highlight w:val="none"/>
              </w:rPr>
            </w:pPr>
            <w:r>
              <w:rPr>
                <w:rFonts w:hint="eastAsia" w:ascii="宋体" w:hAnsi="宋体" w:cs="宋体"/>
                <w:color w:val="auto"/>
                <w:szCs w:val="21"/>
                <w:highlight w:val="none"/>
              </w:rPr>
              <w:t>2．投标文件上法定代表人或其委托代理人的个人电子签名章或个人电子印章、投标人的单位电子印章盖章齐全，符合招标文件规定</w:t>
            </w:r>
          </w:p>
        </w:tc>
        <w:tc>
          <w:tcPr>
            <w:tcW w:w="5136" w:type="dxa"/>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函（第二个信封）中要求盖单位电子印章之处，投标人均应使用单位CA数字证书加盖投标人的单位电子印章；投标函（第二个信封）中要求签字之处，投标人均应使用个人CA数字证书加盖法定代表人或其委托代理人的个人电子签名章或个人电子印章。</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（2）以联合体形式投标的，投标函（第二个信封）由联合体牵头人按上述规定完成签字、盖章。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06" w:type="dxa"/>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2.1.3</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响应性评审标准</w:t>
            </w:r>
          </w:p>
        </w:tc>
        <w:tc>
          <w:tcPr>
            <w:tcW w:w="1964"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1.投标文件应符合的其他规定</w:t>
            </w:r>
          </w:p>
        </w:tc>
        <w:tc>
          <w:tcPr>
            <w:tcW w:w="5136"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（1）投标报价未超过招标文件设定的最高投标限价（如有）。</w:t>
            </w:r>
          </w:p>
          <w:p>
            <w:pPr>
              <w:widowControl/>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（2）投标报价的大写金额能够确定具体数值。</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（3）同一投标人未提交两个及以上投标报价，但招标文件要求提交备选投标方案的除外。</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w:t>
            </w:r>
          </w:p>
        </w:tc>
      </w:tr>
    </w:tbl>
    <w:p>
      <w:pPr>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1081"/>
        <w:gridCol w:w="6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blHeader/>
          <w:jc w:val="center"/>
        </w:trPr>
        <w:tc>
          <w:tcPr>
            <w:tcW w:w="100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bCs/>
                <w:color w:val="auto"/>
                <w:kern w:val="0"/>
                <w:szCs w:val="21"/>
                <w:highlight w:val="none"/>
              </w:rPr>
              <w:t>条款号</w:t>
            </w:r>
          </w:p>
        </w:tc>
        <w:tc>
          <w:tcPr>
            <w:tcW w:w="1081"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kern w:val="0"/>
                <w:szCs w:val="21"/>
                <w:highlight w:val="none"/>
              </w:rPr>
              <w:t>条款内容</w:t>
            </w:r>
          </w:p>
        </w:tc>
        <w:tc>
          <w:tcPr>
            <w:tcW w:w="6685" w:type="dxa"/>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b/>
                <w:bCs/>
                <w:color w:val="auto"/>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100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2.2.1</w:t>
            </w:r>
          </w:p>
        </w:tc>
        <w:tc>
          <w:tcPr>
            <w:tcW w:w="108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分值</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（总分100分）</w:t>
            </w:r>
          </w:p>
        </w:tc>
        <w:tc>
          <w:tcPr>
            <w:tcW w:w="6685" w:type="dxa"/>
            <w:vAlign w:val="center"/>
          </w:tcPr>
          <w:p>
            <w:pPr>
              <w:pStyle w:val="276"/>
              <w:adjustRightInd w:val="0"/>
              <w:snapToGrid w:val="0"/>
              <w:spacing w:line="400" w:lineRule="exact"/>
              <w:ind w:firstLine="315" w:firstLineChars="150"/>
              <w:rPr>
                <w:rFonts w:hint="eastAsia" w:ascii="黑体" w:hAnsi="黑体" w:eastAsia="黑体" w:cs="黑体"/>
                <w:color w:val="auto"/>
                <w:szCs w:val="21"/>
                <w:highlight w:val="none"/>
              </w:rPr>
            </w:pPr>
            <w:r>
              <w:rPr>
                <w:rFonts w:hint="eastAsia" w:ascii="黑体" w:hAnsi="黑体" w:eastAsia="黑体" w:cs="黑体"/>
                <w:color w:val="auto"/>
                <w:szCs w:val="21"/>
                <w:highlight w:val="none"/>
              </w:rPr>
              <w:t>第一个信封（商务及技术文件）评分分值构成：</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技术建议书：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主要人员：</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其他因素：</w:t>
            </w:r>
          </w:p>
          <w:p>
            <w:pPr>
              <w:pStyle w:val="276"/>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业    绩：</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技术能力：</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履约信誉：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其    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黑体" w:hAnsi="黑体" w:eastAsia="黑体" w:cs="黑体"/>
                <w:color w:val="auto"/>
                <w:szCs w:val="21"/>
                <w:highlight w:val="none"/>
              </w:rPr>
              <w:t>第二个信封（报价文件）评分分值构成：</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评标价：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37"/>
              <w:ind w:left="420" w:hanging="420" w:hangingChars="200"/>
              <w:rPr>
                <w:rFonts w:hint="eastAsia" w:ascii="宋体" w:hAnsi="宋体" w:cs="宋体"/>
                <w:color w:val="auto"/>
                <w:sz w:val="21"/>
                <w:szCs w:val="21"/>
                <w:highlight w:val="none"/>
              </w:rPr>
            </w:pPr>
            <w:r>
              <w:rPr>
                <w:rFonts w:hint="eastAsia" w:ascii="宋体" w:hAnsi="宋体" w:cs="宋体"/>
                <w:color w:val="auto"/>
                <w:sz w:val="21"/>
                <w:szCs w:val="21"/>
                <w:highlight w:val="none"/>
              </w:rPr>
              <w:t>注：1.各评分因素权重范围如下：技术建议书25～35分；主要人员25～40分。其他因素包括：技术能力0～5分；业绩10～25分；履约信誉0～5分，其它允许0分。各评分因素权重分值（含评标价）合计应为100分。</w:t>
            </w:r>
          </w:p>
          <w:p>
            <w:pPr>
              <w:pStyle w:val="37"/>
              <w:ind w:left="420" w:leftChars="200" w:firstLine="69" w:firstLineChars="33"/>
              <w:rPr>
                <w:rFonts w:hint="eastAsia" w:ascii="宋体" w:hAnsi="宋体" w:cs="宋体"/>
                <w:color w:val="auto"/>
                <w:sz w:val="21"/>
                <w:szCs w:val="21"/>
                <w:highlight w:val="none"/>
              </w:rPr>
            </w:pPr>
            <w:r>
              <w:rPr>
                <w:rFonts w:hint="eastAsia" w:ascii="宋体" w:hAnsi="宋体" w:cs="宋体"/>
                <w:color w:val="auto"/>
                <w:sz w:val="21"/>
                <w:szCs w:val="21"/>
                <w:highlight w:val="none"/>
              </w:rPr>
              <w:t>2.技术能力指投标人的科研开发和技术创新能力，招标人可结合招标项目的具体情况提出相关要求，包括投标人获得的与工程咨询管理（包括勘察设计、监理等工程咨询工作）有关的专利（发明专利或实用新型专利）、国家或省级科学技术进步奖，主编或参编过的国家、行业或地方标准等。根据项目具体情况，若存在有特别复杂的情形或特殊结构，需要增加特殊要求时，可对技术能力设置评分要求，但不得设置过高的条件。</w:t>
            </w:r>
          </w:p>
          <w:p>
            <w:pPr>
              <w:pStyle w:val="276"/>
              <w:adjustRightInd w:val="0"/>
              <w:snapToGrid w:val="0"/>
              <w:spacing w:line="400" w:lineRule="exact"/>
              <w:ind w:firstLine="489" w:firstLineChars="233"/>
              <w:rPr>
                <w:rFonts w:hint="eastAsia" w:ascii="宋体" w:hAnsi="宋体" w:cs="宋体"/>
                <w:color w:val="auto"/>
                <w:szCs w:val="21"/>
                <w:highlight w:val="none"/>
              </w:rPr>
            </w:pPr>
            <w:r>
              <w:rPr>
                <w:rFonts w:hint="eastAsia" w:ascii="宋体" w:hAnsi="宋体" w:cs="宋体"/>
                <w:color w:val="auto"/>
                <w:szCs w:val="21"/>
                <w:highlight w:val="none"/>
              </w:rPr>
              <w:t>3.评标价权重分值不宜超过10分。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108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评标基准价计算方法</w:t>
            </w:r>
          </w:p>
        </w:tc>
        <w:tc>
          <w:tcPr>
            <w:tcW w:w="6685" w:type="dxa"/>
            <w:vAlign w:val="center"/>
          </w:tcPr>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评标基准价的计算：</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在开标现场，招标人将当场计算并宣布评标基准价。</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color w:val="auto"/>
                <w:highlight w:val="none"/>
              </w:rPr>
              <w:t>评标基准价计算结果应“四舍五入”取整到元。</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（1）评标价的确定：</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w:t>
            </w:r>
            <w:r>
              <w:rPr>
                <w:rFonts w:hint="eastAsia" w:ascii="宋体" w:hAnsi="宋体" w:cs="宋体"/>
                <w:color w:val="auto"/>
                <w:szCs w:val="21"/>
                <w:highlight w:val="none"/>
                <w:u w:val="single"/>
              </w:rPr>
              <w:t>通过第一个信封（商务及技术文件）评审的投标人投标函（第二个信封）中投标总报价大写金额</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（2）评标价不参加评标基准价计算的情形：</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①未在投标函（第二个信封）上填写投标总价；</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②投标报价超出招标人公布的最高投标限价；</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③投标报价的大写金额无法确定具体数值；</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4 \* GB3 \* MERGEFORMAT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④</w:t>
            </w:r>
            <w:r>
              <w:rPr>
                <w:rFonts w:hint="eastAsia" w:ascii="宋体" w:hAnsi="宋体" w:cs="宋体"/>
                <w:color w:val="auto"/>
                <w:szCs w:val="21"/>
                <w:highlight w:val="none"/>
              </w:rPr>
              <w:fldChar w:fldCharType="end"/>
            </w:r>
            <w:r>
              <w:rPr>
                <w:rFonts w:hint="eastAsia" w:ascii="宋体" w:hAnsi="宋体" w:cs="宋体"/>
                <w:color w:val="auto"/>
                <w:szCs w:val="21"/>
                <w:highlight w:val="none"/>
              </w:rPr>
              <w:t>投标报价低于招标人公布的最高投标限价的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76"/>
              <w:adjustRightInd w:val="0"/>
              <w:snapToGrid w:val="0"/>
              <w:spacing w:line="400" w:lineRule="exact"/>
              <w:ind w:left="489" w:leftChars="233" w:firstLine="1"/>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招标人可在招标文件中约定低于投标最高限价一定范围值的投标报价（</w:t>
            </w:r>
            <w:r>
              <w:rPr>
                <w:rFonts w:hint="eastAsia" w:ascii="宋体" w:hAnsi="宋体"/>
                <w:color w:val="auto"/>
                <w:kern w:val="0"/>
                <w:highlight w:val="none"/>
              </w:rPr>
              <w:t>该范围值R的取值区间为85%≤R≤95%</w:t>
            </w:r>
            <w:r>
              <w:rPr>
                <w:rFonts w:hint="eastAsia" w:ascii="宋体" w:hAnsi="宋体" w:cs="宋体"/>
                <w:color w:val="auto"/>
                <w:highlight w:val="none"/>
              </w:rPr>
              <w:t>）不参与评标基准价的计算。</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sym w:font="Wingdings 2" w:char="00A3"/>
            </w:r>
            <w:r>
              <w:rPr>
                <w:rFonts w:hint="eastAsia" w:ascii="宋体" w:hAnsi="宋体" w:cs="宋体"/>
                <w:b/>
                <w:color w:val="auto"/>
                <w:szCs w:val="21"/>
                <w:highlight w:val="none"/>
              </w:rPr>
              <w:t xml:space="preserve"> </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5 \* GB3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⑤</w:t>
            </w:r>
            <w:r>
              <w:rPr>
                <w:rFonts w:hint="eastAsia" w:ascii="宋体" w:hAnsi="宋体" w:cs="宋体"/>
                <w:color w:val="auto"/>
                <w:szCs w:val="21"/>
                <w:highlight w:val="none"/>
              </w:rPr>
              <w:fldChar w:fldCharType="end"/>
            </w:r>
            <w:r>
              <w:rPr>
                <w:rFonts w:hint="eastAsia" w:ascii="宋体" w:hAnsi="宋体" w:cs="宋体"/>
                <w:color w:val="auto"/>
                <w:szCs w:val="21"/>
                <w:highlight w:val="none"/>
              </w:rPr>
              <w:t>其他情形：</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108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评标基准价计算方法</w:t>
            </w:r>
          </w:p>
        </w:tc>
        <w:tc>
          <w:tcPr>
            <w:tcW w:w="668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olor w:val="auto"/>
                <w:szCs w:val="21"/>
                <w:highlight w:val="none"/>
              </w:rPr>
              <w:t>解密成功的投标文件，若在投标截止期后撤销的，应按程序对投标文件第一个信封</w:t>
            </w:r>
            <w:r>
              <w:rPr>
                <w:rFonts w:hint="eastAsia" w:ascii="宋体" w:hAnsi="宋体"/>
                <w:color w:val="auto"/>
                <w:kern w:val="0"/>
                <w:szCs w:val="21"/>
                <w:highlight w:val="none"/>
              </w:rPr>
              <w:t>（商务及技术文件）</w:t>
            </w:r>
            <w:r>
              <w:rPr>
                <w:rFonts w:hint="eastAsia" w:ascii="宋体" w:hAnsi="宋体"/>
                <w:color w:val="auto"/>
                <w:szCs w:val="21"/>
                <w:highlight w:val="none"/>
              </w:rPr>
              <w:t>进行评审，若该投标文件通过第一个信封</w:t>
            </w:r>
            <w:r>
              <w:rPr>
                <w:rFonts w:hint="eastAsia" w:ascii="宋体" w:hAnsi="宋体"/>
                <w:color w:val="auto"/>
                <w:kern w:val="0"/>
                <w:szCs w:val="21"/>
                <w:highlight w:val="none"/>
              </w:rPr>
              <w:t>（商务及技术文件）</w:t>
            </w:r>
            <w:r>
              <w:rPr>
                <w:rFonts w:hint="eastAsia" w:ascii="宋体" w:hAnsi="宋体"/>
                <w:color w:val="auto"/>
                <w:szCs w:val="21"/>
                <w:highlight w:val="none"/>
              </w:rPr>
              <w:t>评审，则其第二个信封（报价文件）也应开启；若该投标文件投标报价不属于本项第（2）目情形的，将参与评标基准价计算，但其第二个信封（报价文件）不再进行评审。</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（4）评标基准价的确定：</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当评标基准价计算涉及随机抽取参数时，均应由招标人或监督人或随机选定的投标人代表（现场开标时）随机抽取，</w:t>
            </w:r>
            <w:r>
              <w:rPr>
                <w:rFonts w:hint="eastAsia" w:ascii="宋体" w:hAnsi="宋体" w:cs="宋体"/>
                <w:color w:val="auto"/>
                <w:szCs w:val="21"/>
                <w:highlight w:val="none"/>
              </w:rPr>
              <w:t>且抽取过程</w:t>
            </w:r>
            <w:r>
              <w:rPr>
                <w:rFonts w:hint="eastAsia" w:cs="宋体" w:asciiTheme="minorEastAsia" w:hAnsiTheme="minorEastAsia" w:eastAsiaTheme="minorEastAsia"/>
                <w:color w:val="auto"/>
                <w:szCs w:val="21"/>
                <w:highlight w:val="none"/>
              </w:rPr>
              <w:t>须</w:t>
            </w:r>
            <w:r>
              <w:rPr>
                <w:rFonts w:hint="eastAsia" w:ascii="宋体" w:hAnsi="宋体" w:cs="宋体"/>
                <w:color w:val="auto"/>
                <w:szCs w:val="21"/>
                <w:highlight w:val="none"/>
              </w:rPr>
              <w:t>经公证机构现场公证。</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color w:val="000000"/>
                <w:szCs w:val="21"/>
                <w:highlight w:val="none"/>
              </w:rPr>
              <w:t>当所有投标报价低于招标人公布的最高投标限价</w:t>
            </w:r>
            <w:r>
              <w:rPr>
                <w:color w:val="000000"/>
                <w:szCs w:val="21"/>
                <w:highlight w:val="none"/>
                <w:u w:val="single"/>
              </w:rPr>
              <w:t xml:space="preserve">    </w:t>
            </w:r>
            <w:r>
              <w:rPr>
                <w:color w:val="000000"/>
                <w:szCs w:val="21"/>
                <w:highlight w:val="none"/>
              </w:rPr>
              <w:t>%</w:t>
            </w:r>
            <w:r>
              <w:rPr>
                <w:rFonts w:hint="eastAsia"/>
                <w:color w:val="000000"/>
                <w:szCs w:val="21"/>
                <w:highlight w:val="none"/>
              </w:rPr>
              <w:t>时，以招标人公布的最高投标限价的</w:t>
            </w:r>
            <w:r>
              <w:rPr>
                <w:color w:val="000000"/>
                <w:szCs w:val="21"/>
                <w:highlight w:val="none"/>
                <w:u w:val="single"/>
              </w:rPr>
              <w:t xml:space="preserve">    </w:t>
            </w:r>
            <w:r>
              <w:rPr>
                <w:color w:val="000000"/>
                <w:szCs w:val="21"/>
                <w:highlight w:val="none"/>
              </w:rPr>
              <w:t>%</w:t>
            </w:r>
            <w:r>
              <w:rPr>
                <w:rFonts w:hint="eastAsia"/>
                <w:color w:val="000000"/>
                <w:szCs w:val="21"/>
                <w:highlight w:val="none"/>
              </w:rPr>
              <w:t>作为评标基准价。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方法一（二次平均法）</w:t>
            </w:r>
            <w:r>
              <w:rPr>
                <w:rFonts w:hint="eastAsia" w:ascii="宋体" w:hAnsi="宋体" w:cs="宋体"/>
                <w:color w:val="auto"/>
                <w:szCs w:val="21"/>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第一次平均：按本项规定应进入</w:t>
            </w:r>
            <w:r>
              <w:rPr>
                <w:rFonts w:hint="eastAsia" w:ascii="宋体" w:hAnsi="宋体"/>
                <w:color w:val="auto"/>
                <w:szCs w:val="21"/>
                <w:highlight w:val="none"/>
              </w:rPr>
              <w:t>评标基准价计算的评标价的</w:t>
            </w:r>
            <w:r>
              <w:rPr>
                <w:rFonts w:hint="eastAsia" w:ascii="宋体" w:hAnsi="宋体" w:cs="宋体"/>
                <w:color w:val="auto"/>
                <w:szCs w:val="21"/>
                <w:highlight w:val="none"/>
              </w:rPr>
              <w:t>算术</w:t>
            </w:r>
            <w:r>
              <w:rPr>
                <w:rFonts w:hint="eastAsia" w:ascii="宋体" w:hAnsi="宋体"/>
                <w:color w:val="auto"/>
                <w:szCs w:val="21"/>
                <w:highlight w:val="none"/>
              </w:rPr>
              <w:t>平均值</w:t>
            </w:r>
            <w:r>
              <w:rPr>
                <w:rFonts w:hint="eastAsia" w:ascii="宋体" w:hAnsi="宋体" w:cs="宋体"/>
                <w:color w:val="auto"/>
                <w:szCs w:val="21"/>
                <w:highlight w:val="none"/>
              </w:rPr>
              <w:t>（若参与计算的评标价个数≤10家时，直接取算术平均值；若参与计算的评标价个数＞n×10家时，去掉其中的n个最高评标价和n个最低评标价后取算术平均值，n为</w:t>
            </w:r>
            <w:r>
              <w:rPr>
                <w:rFonts w:hint="eastAsia" w:ascii="微软雅黑" w:hAnsi="微软雅黑" w:eastAsia="微软雅黑" w:cs="微软雅黑"/>
                <w:color w:val="auto"/>
                <w:szCs w:val="21"/>
                <w:highlight w:val="none"/>
              </w:rPr>
              <w:t>≥</w:t>
            </w:r>
            <w:r>
              <w:rPr>
                <w:rFonts w:hint="eastAsia" w:ascii="宋体" w:hAnsi="宋体" w:cs="宋体"/>
                <w:color w:val="auto"/>
                <w:szCs w:val="21"/>
                <w:highlight w:val="none"/>
              </w:rPr>
              <w:t>1的自然数）。</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第二次平均：对所有小于或等于第一次评标价算术平均值的评标价（不含第一次平均已去掉的最低价）的二次算术平均值后即为评标基准价。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方法二（随机低价法）</w:t>
            </w:r>
            <w:r>
              <w:rPr>
                <w:rFonts w:hint="eastAsia" w:ascii="宋体" w:hAnsi="宋体" w:cs="宋体"/>
                <w:color w:val="auto"/>
                <w:szCs w:val="21"/>
                <w:highlight w:val="none"/>
              </w:rPr>
              <w:t>：</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评标基准价＝去掉n个最低评标价后的最低评标价。</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n在第二个信封（报价文件）开标现场随机抽取，n的取值范围为按本项规定参与</w:t>
            </w:r>
            <w:r>
              <w:rPr>
                <w:rFonts w:hint="eastAsia" w:ascii="宋体" w:hAnsi="宋体"/>
                <w:color w:val="auto"/>
                <w:szCs w:val="21"/>
                <w:highlight w:val="none"/>
              </w:rPr>
              <w:t>评标基准价计算的评标价</w:t>
            </w:r>
            <w:r>
              <w:rPr>
                <w:rFonts w:hint="eastAsia" w:ascii="宋体" w:hAnsi="宋体" w:cs="宋体"/>
                <w:color w:val="auto"/>
                <w:szCs w:val="21"/>
                <w:highlight w:val="none"/>
              </w:rPr>
              <w:t>数量的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（0.2～0.7倍）向下取整后的所有整数。</w:t>
            </w:r>
          </w:p>
          <w:p>
            <w:pPr>
              <w:pStyle w:val="276"/>
              <w:adjustRightInd w:val="0"/>
              <w:snapToGrid w:val="0"/>
              <w:spacing w:line="400" w:lineRule="exact"/>
              <w:ind w:firstLine="346" w:firstLineChars="165"/>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招标人根据项目情况在取值范围中设定。</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方法三（最低价法）</w:t>
            </w:r>
            <w:r>
              <w:rPr>
                <w:rFonts w:hint="eastAsia" w:ascii="宋体" w:hAnsi="宋体" w:cs="宋体"/>
                <w:color w:val="auto"/>
                <w:szCs w:val="21"/>
                <w:highlight w:val="none"/>
              </w:rPr>
              <w:t>：</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按本项规定参与</w:t>
            </w:r>
            <w:r>
              <w:rPr>
                <w:rFonts w:hint="eastAsia" w:ascii="宋体" w:hAnsi="宋体"/>
                <w:color w:val="auto"/>
                <w:szCs w:val="21"/>
                <w:highlight w:val="none"/>
              </w:rPr>
              <w:t>评标基准价计算的评标价</w:t>
            </w:r>
            <w:r>
              <w:rPr>
                <w:rFonts w:hint="eastAsia" w:ascii="宋体" w:hAnsi="宋体" w:cs="宋体"/>
                <w:color w:val="auto"/>
                <w:szCs w:val="21"/>
                <w:highlight w:val="none"/>
              </w:rPr>
              <w:t>中的最低评标价为评标基准价。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方法四（随机下浮系数法）</w:t>
            </w:r>
            <w:r>
              <w:rPr>
                <w:rFonts w:hint="eastAsia" w:ascii="宋体" w:hAnsi="宋体" w:cs="宋体"/>
                <w:color w:val="auto"/>
                <w:szCs w:val="21"/>
                <w:highlight w:val="none"/>
              </w:rPr>
              <w:t>：</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以最高投标限价下浮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%作为评标基准价。</w:t>
            </w:r>
          </w:p>
          <w:tbl>
            <w:tblPr>
              <w:tblStyle w:val="48"/>
              <w:tblW w:w="65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5"/>
              <w:gridCol w:w="793"/>
              <w:gridCol w:w="1020"/>
              <w:gridCol w:w="846"/>
              <w:gridCol w:w="1329"/>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695"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抽取号码值</w:t>
                  </w:r>
                </w:p>
              </w:tc>
              <w:tc>
                <w:tcPr>
                  <w:tcW w:w="793"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1020"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846"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329"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914" w:type="dxa"/>
                  <w:vAlign w:val="center"/>
                </w:tcPr>
                <w:p>
                  <w:pPr>
                    <w:widowControl/>
                    <w:adjustRightInd w:val="0"/>
                    <w:snapToGrid w:val="0"/>
                    <w:spacing w:line="400" w:lineRule="exact"/>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695"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对应下浮系数</w:t>
                  </w:r>
                </w:p>
              </w:tc>
              <w:tc>
                <w:tcPr>
                  <w:tcW w:w="793"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85%</w:t>
                  </w:r>
                </w:p>
              </w:tc>
              <w:tc>
                <w:tcPr>
                  <w:tcW w:w="1020"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846"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329"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914"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95%</w:t>
                  </w:r>
                </w:p>
              </w:tc>
            </w:tr>
          </w:tbl>
          <w:p>
            <w:pPr>
              <w:pStyle w:val="276"/>
              <w:adjustRightInd w:val="0"/>
              <w:snapToGrid w:val="0"/>
              <w:spacing w:line="400" w:lineRule="exact"/>
              <w:ind w:left="206" w:leftChars="98"/>
              <w:rPr>
                <w:color w:val="auto"/>
                <w:highlight w:val="none"/>
              </w:rPr>
            </w:pPr>
            <w:r>
              <w:rPr>
                <w:rFonts w:hint="eastAsia" w:ascii="宋体" w:hAnsi="宋体" w:cs="宋体"/>
                <w:color w:val="auto"/>
                <w:szCs w:val="21"/>
                <w:highlight w:val="none"/>
              </w:rPr>
              <w:t>注：</w:t>
            </w:r>
            <w:r>
              <w:rPr>
                <w:rStyle w:val="58"/>
                <w:rFonts w:hint="eastAsia" w:ascii="宋体" w:hAnsi="宋体" w:cs="宋体"/>
                <w:color w:val="auto"/>
                <w:highlight w:val="none"/>
                <w:vertAlign w:val="baseline"/>
              </w:rPr>
              <w:t>招标人根据项目情况在取值范围中设定随机下浮系数</w:t>
            </w:r>
            <w:r>
              <w:rPr>
                <w:rFonts w:hint="eastAsia" w:ascii="宋体" w:hAnsi="宋体" w:cs="宋体"/>
                <w:color w:val="auto"/>
                <w:highlight w:val="none"/>
              </w:rPr>
              <w:t>，该系数</w:t>
            </w:r>
            <w:r>
              <w:rPr>
                <w:rStyle w:val="58"/>
                <w:rFonts w:hint="eastAsia" w:ascii="宋体" w:hAnsi="宋体" w:cs="宋体"/>
                <w:color w:val="auto"/>
                <w:highlight w:val="none"/>
                <w:vertAlign w:val="baseline"/>
              </w:rPr>
              <w:t>的取值范围为85%～95%，在第二</w:t>
            </w:r>
            <w:r>
              <w:rPr>
                <w:rFonts w:hint="eastAsia" w:ascii="宋体" w:hAnsi="宋体" w:cs="宋体"/>
                <w:color w:val="auto"/>
                <w:highlight w:val="none"/>
              </w:rPr>
              <w:t>个</w:t>
            </w:r>
            <w:r>
              <w:rPr>
                <w:rStyle w:val="58"/>
                <w:rFonts w:hint="eastAsia" w:ascii="宋体" w:hAnsi="宋体" w:cs="宋体"/>
                <w:color w:val="auto"/>
                <w:highlight w:val="none"/>
                <w:vertAlign w:val="baseline"/>
              </w:rPr>
              <w:t>信封</w:t>
            </w:r>
            <w:r>
              <w:rPr>
                <w:rFonts w:hint="eastAsia" w:ascii="宋体" w:hAnsi="宋体" w:cs="宋体"/>
                <w:color w:val="auto"/>
                <w:highlight w:val="none"/>
              </w:rPr>
              <w:t>（报价文件）</w:t>
            </w:r>
            <w:r>
              <w:rPr>
                <w:rStyle w:val="58"/>
                <w:rFonts w:hint="eastAsia" w:ascii="宋体" w:hAnsi="宋体" w:cs="宋体"/>
                <w:color w:val="auto"/>
                <w:highlight w:val="none"/>
                <w:vertAlign w:val="baseline"/>
              </w:rPr>
              <w:t>开标现场随机抽取确定三个数，三个数的算术平均值即为随机下浮系数，其取值的步长不大于0.5%。</w:t>
            </w:r>
          </w:p>
          <w:p>
            <w:pPr>
              <w:pStyle w:val="276"/>
              <w:adjustRightInd w:val="0"/>
              <w:snapToGrid w:val="0"/>
              <w:spacing w:line="400" w:lineRule="exact"/>
              <w:rPr>
                <w:b/>
                <w:color w:val="auto"/>
                <w:szCs w:val="21"/>
                <w:highlight w:val="none"/>
              </w:rPr>
            </w:pPr>
            <w:r>
              <w:rPr>
                <w:rFonts w:hint="eastAsia" w:ascii="宋体" w:hAnsi="宋体" w:cs="宋体"/>
                <w:b/>
                <w:color w:val="auto"/>
                <w:szCs w:val="21"/>
                <w:highlight w:val="none"/>
              </w:rPr>
              <w:t>□</w:t>
            </w:r>
            <w:r>
              <w:rPr>
                <w:rFonts w:ascii="宋体" w:hAnsi="宋体" w:cs="宋体"/>
                <w:b/>
                <w:color w:val="auto"/>
                <w:szCs w:val="21"/>
                <w:highlight w:val="none"/>
              </w:rPr>
              <w:t xml:space="preserve"> </w:t>
            </w:r>
            <w:r>
              <w:rPr>
                <w:rFonts w:hint="eastAsia"/>
                <w:b/>
                <w:color w:val="auto"/>
                <w:szCs w:val="21"/>
                <w:highlight w:val="none"/>
              </w:rPr>
              <w:t>方法</w:t>
            </w:r>
            <w:r>
              <w:rPr>
                <w:rFonts w:hint="eastAsia" w:ascii="宋体" w:hAnsi="宋体" w:cs="宋体"/>
                <w:b/>
                <w:color w:val="auto"/>
                <w:szCs w:val="21"/>
                <w:highlight w:val="none"/>
              </w:rPr>
              <w:t>五</w:t>
            </w:r>
            <w:r>
              <w:rPr>
                <w:rFonts w:hint="eastAsia"/>
                <w:b/>
                <w:color w:val="auto"/>
                <w:szCs w:val="21"/>
                <w:highlight w:val="none"/>
              </w:rPr>
              <w:t>（直接平均法）：</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color w:val="auto"/>
                <w:szCs w:val="21"/>
                <w:highlight w:val="none"/>
              </w:rPr>
              <w:t>按第一个信封（商务及技术文件）评审得分由高到低的顺序选取前N</w:t>
            </w:r>
            <w:r>
              <w:rPr>
                <w:rFonts w:hint="eastAsia" w:ascii="宋体" w:hAnsi="宋体" w:cs="宋体"/>
                <w:color w:val="auto"/>
                <w:szCs w:val="21"/>
                <w:highlight w:val="none"/>
              </w:rPr>
              <w:t>（N=____）</w:t>
            </w:r>
            <w:r>
              <w:rPr>
                <w:rFonts w:hint="eastAsia"/>
                <w:color w:val="auto"/>
                <w:szCs w:val="21"/>
                <w:highlight w:val="none"/>
              </w:rPr>
              <w:t>名（5≤N≤8，若不足N名，则选取相应数量，N为整数），对其第二个信封（报价文件）的评标价作算数平均（按规定在开标现场被宣布为不进入评标基准价计算的投标报价除外），将该平均值直接作为评标基准价。</w:t>
            </w:r>
          </w:p>
          <w:p>
            <w:pPr>
              <w:pStyle w:val="276"/>
              <w:adjustRightInd w:val="0"/>
              <w:snapToGrid w:val="0"/>
              <w:spacing w:line="400" w:lineRule="exact"/>
              <w:ind w:left="206" w:leftChars="98"/>
              <w:rPr>
                <w:rFonts w:hint="eastAsia" w:ascii="宋体" w:hAnsi="宋体" w:cs="宋体"/>
                <w:color w:val="auto"/>
                <w:szCs w:val="21"/>
                <w:highlight w:val="none"/>
              </w:rPr>
            </w:pP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（5）评标基准价确定场合：</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评标基准价按以上规则计算后在第二个信封（报价文件）开标现场公布，如果投标人认为评标基准价计算有误，有权在开标现场提出，经监督人当场核实确认后，可重新计算和宣布评标基准价。</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在评标过程中，评标委员会应对招标人开标时计算的评标基准价进行复核，存在计算错误的应予以修正并在评标报告中作出说明。除开标时计算错误外，确认后的评标基准价不因第二个信封（报价文件）评审否决投标而改变，也不因招投标当事人异议、投诉以及其他任何情形而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2.2.3</w:t>
            </w:r>
          </w:p>
        </w:tc>
        <w:tc>
          <w:tcPr>
            <w:tcW w:w="108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评标价的偏差率计算公式</w:t>
            </w:r>
          </w:p>
        </w:tc>
        <w:tc>
          <w:tcPr>
            <w:tcW w:w="668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偏差率＝</w:t>
            </w:r>
            <w:r>
              <w:rPr>
                <w:rFonts w:hint="eastAsia" w:ascii="宋体" w:hAnsi="宋体" w:cs="宋体"/>
                <w:color w:val="auto"/>
                <w:spacing w:val="-2"/>
                <w:szCs w:val="21"/>
                <w:highlight w:val="none"/>
              </w:rPr>
              <w:t>|100%×（投标人评标价－评标基准价）／评标基准价|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偏差率保留</w:t>
            </w:r>
            <w:r>
              <w:rPr>
                <w:rFonts w:hint="eastAsia" w:ascii="宋体" w:hAnsi="宋体" w:cs="宋体"/>
                <w:color w:val="auto"/>
                <w:szCs w:val="21"/>
                <w:highlight w:val="none"/>
                <w:u w:val="single"/>
              </w:rPr>
              <w:t xml:space="preserve">   两位   </w:t>
            </w:r>
            <w:r>
              <w:rPr>
                <w:rFonts w:hint="eastAsia" w:ascii="宋体" w:hAnsi="宋体" w:cs="宋体"/>
                <w:color w:val="auto"/>
                <w:szCs w:val="21"/>
                <w:highlight w:val="none"/>
              </w:rPr>
              <w:t>位小数</w:t>
            </w:r>
            <w:r>
              <w:rPr>
                <w:rFonts w:hint="eastAsia" w:ascii="宋体" w:hAnsi="宋体"/>
                <w:color w:val="auto"/>
                <w:szCs w:val="21"/>
                <w:highlight w:val="none"/>
              </w:rPr>
              <w:t>（“%”前数值的位数）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00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tc>
        <w:tc>
          <w:tcPr>
            <w:tcW w:w="108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评分标准</w:t>
            </w:r>
          </w:p>
        </w:tc>
        <w:tc>
          <w:tcPr>
            <w:tcW w:w="668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见“评分因素与权重分值”。</w:t>
            </w:r>
          </w:p>
        </w:tc>
      </w:tr>
    </w:tbl>
    <w:p>
      <w:pPr>
        <w:rPr>
          <w:color w:val="auto"/>
          <w:highlight w:val="none"/>
        </w:rPr>
      </w:pPr>
    </w:p>
    <w:p>
      <w:pPr>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1241"/>
        <w:gridCol w:w="6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46" w:type="dxa"/>
            <w:gridSpan w:val="2"/>
            <w:vAlign w:val="center"/>
          </w:tcPr>
          <w:p>
            <w:pPr>
              <w:pStyle w:val="276"/>
              <w:adjustRightInd w:val="0"/>
              <w:snapToGrid w:val="0"/>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条款号</w:t>
            </w:r>
          </w:p>
        </w:tc>
        <w:tc>
          <w:tcPr>
            <w:tcW w:w="6525" w:type="dxa"/>
            <w:vAlign w:val="center"/>
          </w:tcPr>
          <w:p>
            <w:pPr>
              <w:pStyle w:val="276"/>
              <w:numPr>
                <w:ilvl w:val="255"/>
                <w:numId w:val="0"/>
              </w:numPr>
              <w:adjustRightInd w:val="0"/>
              <w:snapToGrid w:val="0"/>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第一个信封初步评审</w:t>
            </w: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3.1.1</w:t>
            </w:r>
          </w:p>
        </w:tc>
        <w:tc>
          <w:tcPr>
            <w:tcW w:w="6525" w:type="dxa"/>
            <w:vAlign w:val="center"/>
          </w:tcPr>
          <w:p>
            <w:pPr>
              <w:pStyle w:val="276"/>
              <w:numPr>
                <w:ilvl w:val="0"/>
                <w:numId w:val="1"/>
              </w:num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评标委员会依据本章第2.1.1项、第2.1.2项、第2.1.3项规定的标准对投标文件第一个信封（商务及技术文件）进行初步评审。有一项不符合评审标准的，评标委员会应否决其投标。</w:t>
            </w:r>
          </w:p>
          <w:p>
            <w:pPr>
              <w:pStyle w:val="276"/>
              <w:numPr>
                <w:ilvl w:val="0"/>
                <w:numId w:val="1"/>
              </w:numPr>
              <w:adjustRightInd w:val="0"/>
              <w:snapToGrid w:val="0"/>
              <w:spacing w:line="400" w:lineRule="exact"/>
              <w:rPr>
                <w:rFonts w:hint="eastAsia" w:ascii="宋体" w:hAnsi="宋体" w:cs="宋体"/>
                <w:color w:val="auto"/>
                <w:szCs w:val="21"/>
                <w:highlight w:val="none"/>
              </w:rPr>
            </w:pPr>
            <w:r>
              <w:rPr>
                <w:rFonts w:hint="eastAsia"/>
                <w:color w:val="auto"/>
                <w:highlight w:val="none"/>
              </w:rPr>
              <w:t>通过第一个信封（商务及技术文件）评审的投标人仅有</w:t>
            </w:r>
            <w:r>
              <w:rPr>
                <w:color w:val="auto"/>
                <w:highlight w:val="none"/>
              </w:rPr>
              <w:t>2</w:t>
            </w:r>
            <w:r>
              <w:rPr>
                <w:rFonts w:hint="eastAsia"/>
                <w:color w:val="auto"/>
                <w:highlight w:val="none"/>
              </w:rPr>
              <w:t>家的，评标委员会可以否决全部投标；未否决全部投标的，评标委员会应当在评标报告中阐明理由，招标人应当按照第二章“投标人须知”前附表</w:t>
            </w:r>
            <w:r>
              <w:rPr>
                <w:rFonts w:hint="eastAsia" w:ascii="宋体" w:hAnsi="宋体"/>
                <w:color w:val="auto"/>
                <w:highlight w:val="none"/>
              </w:rPr>
              <w:t>第5.2.3项</w:t>
            </w:r>
            <w:r>
              <w:rPr>
                <w:rFonts w:hint="eastAsia"/>
                <w:color w:val="auto"/>
                <w:highlight w:val="none"/>
              </w:rPr>
              <w:t>规定的程序进行第二个信封（报价文件）开标，但评标委员会在进行第二个信封（报价文件）评审时仍有权否决全部投标；评标委员会未在第二个信封（报价文件）评审时否决全部投标的，应当在评标报告中阐明理由并推荐中标候选人。</w:t>
            </w:r>
          </w:p>
          <w:p>
            <w:pPr>
              <w:pStyle w:val="276"/>
              <w:numPr>
                <w:ilvl w:val="0"/>
                <w:numId w:val="1"/>
              </w:num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当通过第一个信封</w:t>
            </w:r>
            <w:r>
              <w:rPr>
                <w:rFonts w:hint="eastAsia" w:asciiTheme="minorEastAsia" w:hAnsiTheme="minorEastAsia" w:eastAsiaTheme="minorEastAsia" w:cstheme="minorEastAsia"/>
                <w:color w:val="auto"/>
                <w:highlight w:val="none"/>
              </w:rPr>
              <w:t>（商务及技术文件）</w:t>
            </w:r>
            <w:r>
              <w:rPr>
                <w:rFonts w:hint="eastAsia" w:ascii="宋体" w:hAnsi="宋体" w:cs="宋体"/>
                <w:color w:val="auto"/>
                <w:szCs w:val="21"/>
                <w:highlight w:val="none"/>
              </w:rPr>
              <w:t>评审的投标人仅有1家时，评标委员会应否决其投标。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第一个信封详细评审</w:t>
            </w: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3.2.1</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（1）按本章第2.2.4项（1）目规定的评审因素和分值对技术建议书部分计算出得分A；</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（2）按本章第2.2.4项（2）目规定的评审因素和分值对主要人员部分计算出得分B；</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（3）按本章第2.2.4项（4）目规定的评审因素和分值对其他部分计算出得分D。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3.2.2</w:t>
            </w:r>
          </w:p>
        </w:tc>
        <w:tc>
          <w:tcPr>
            <w:tcW w:w="6525" w:type="dxa"/>
            <w:vAlign w:val="center"/>
          </w:tcPr>
          <w:p>
            <w:pPr>
              <w:pStyle w:val="276"/>
              <w:adjustRightInd w:val="0"/>
              <w:snapToGrid w:val="0"/>
              <w:spacing w:line="400" w:lineRule="exact"/>
              <w:jc w:val="left"/>
              <w:rPr>
                <w:color w:val="auto"/>
                <w:szCs w:val="21"/>
                <w:highlight w:val="none"/>
              </w:rPr>
            </w:pPr>
            <w:r>
              <w:rPr>
                <w:rFonts w:hint="eastAsia" w:ascii="宋体" w:hAnsi="宋体" w:cs="宋体"/>
                <w:color w:val="auto"/>
                <w:szCs w:val="21"/>
                <w:highlight w:val="none"/>
              </w:rPr>
              <w:t>投标人的商务和技术得分分值计算</w:t>
            </w:r>
            <w:r>
              <w:rPr>
                <w:rFonts w:hint="eastAsia" w:asciiTheme="minorEastAsia" w:hAnsiTheme="minorEastAsia" w:eastAsiaTheme="minorEastAsia"/>
                <w:color w:val="auto"/>
                <w:szCs w:val="21"/>
                <w:highlight w:val="none"/>
              </w:rPr>
              <w:t>“四舍五入”</w:t>
            </w:r>
            <w:r>
              <w:rPr>
                <w:rFonts w:hint="eastAsia"/>
                <w:color w:val="auto"/>
                <w:szCs w:val="21"/>
                <w:highlight w:val="none"/>
              </w:rPr>
              <w:t>至少保留小数点后</w:t>
            </w:r>
          </w:p>
          <w:p>
            <w:pPr>
              <w:pStyle w:val="276"/>
              <w:adjustRightInd w:val="0"/>
              <w:snapToGrid w:val="0"/>
              <w:spacing w:line="400" w:lineRule="exact"/>
              <w:jc w:val="lef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u w:val="single"/>
              </w:rPr>
              <w:t xml:space="preserve">   两  </w:t>
            </w:r>
            <w:r>
              <w:rPr>
                <w:rFonts w:hint="eastAsia"/>
                <w:color w:val="auto"/>
                <w:szCs w:val="21"/>
                <w:highlight w:val="none"/>
              </w:rPr>
              <w:t>位</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0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3.2.3</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投标人的商务和技术得分=A＋B＋D。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第二个信封初步评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审</w:t>
            </w: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3.4.1</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评标委员会按本章第2.1.1项、第2.1.3项规定的评审标准对投标文件第二个信封（报价文件）进行初步评审，有一项不符合评审标准的，评标委员会应否决其投标。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3.4.2</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对投标人投标报价进行算术性修正的原则：</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方式一：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（1）投标函（第二个信封）中的投标总报价大写金额与小写金额不一致的，以大写金额为准。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（2）清单汇总表投标报价金额与投标函（第二个信封）中的投标总报价大写金额不一致的，以</w:t>
            </w:r>
            <w:r>
              <w:rPr>
                <w:rFonts w:hint="eastAsia" w:ascii="宋体" w:hAnsi="宋体" w:cs="宋体"/>
                <w:color w:val="000000" w:themeColor="text1"/>
                <w:kern w:val="0"/>
                <w:szCs w:val="21"/>
                <w:highlight w:val="none"/>
                <w14:textFill>
                  <w14:solidFill>
                    <w14:schemeClr w14:val="tx1"/>
                  </w14:solidFill>
                </w14:textFill>
              </w:rPr>
              <w:t>投标函（第二个信封）中投标总报价</w:t>
            </w:r>
            <w:r>
              <w:rPr>
                <w:rFonts w:hint="eastAsia" w:ascii="宋体" w:hAnsi="宋体" w:cs="宋体"/>
                <w:color w:val="auto"/>
                <w:szCs w:val="21"/>
                <w:highlight w:val="none"/>
              </w:rPr>
              <w:t>大写金额为准。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（3）监理服务费用清单中的投标报价有其他错误的，评标阶段不作修正，在签订合同时以投标函（第二个信封）中</w:t>
            </w:r>
            <w:r>
              <w:rPr>
                <w:rFonts w:hint="eastAsia" w:ascii="宋体" w:hAnsi="宋体" w:cs="宋体"/>
                <w:color w:val="auto"/>
                <w:kern w:val="0"/>
                <w:szCs w:val="21"/>
                <w:highlight w:val="none"/>
              </w:rPr>
              <w:t>投标总报价</w:t>
            </w:r>
            <w:r>
              <w:rPr>
                <w:rFonts w:hint="eastAsia" w:ascii="宋体" w:hAnsi="宋体" w:cs="宋体"/>
                <w:color w:val="auto"/>
                <w:szCs w:val="21"/>
                <w:highlight w:val="none"/>
              </w:rPr>
              <w:t>大写金额为准，按第二章“投标人须知”前附表第7.8.3项修正。</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方式二： </w:t>
            </w:r>
          </w:p>
          <w:p>
            <w:pPr>
              <w:pStyle w:val="276"/>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3.4.3</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投标人的投标报价若超过最高投标限价（如有），评标委员会应否决其投标。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第二个信封详细评审</w:t>
            </w: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3.5.1</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按本章第2.2.4项（3）目规定的评审因素和分值对评标价计算出得分F，评标价得分分值计算 </w:t>
            </w:r>
            <w:r>
              <w:rPr>
                <w:rFonts w:hint="eastAsia" w:asciiTheme="minorEastAsia" w:hAnsiTheme="minorEastAsia" w:eastAsiaTheme="minorEastAsia"/>
                <w:color w:val="auto"/>
                <w:szCs w:val="21"/>
                <w:highlight w:val="none"/>
              </w:rPr>
              <w:t>“四舍五入”</w:t>
            </w:r>
            <w:r>
              <w:rPr>
                <w:rFonts w:hint="eastAsia"/>
                <w:color w:val="auto"/>
                <w:szCs w:val="21"/>
                <w:highlight w:val="none"/>
              </w:rPr>
              <w:t>至少保留小数点后</w:t>
            </w:r>
            <w:r>
              <w:rPr>
                <w:rFonts w:hint="eastAsia" w:asciiTheme="minorEastAsia" w:hAnsiTheme="minorEastAsia" w:eastAsiaTheme="minorEastAsia"/>
                <w:color w:val="auto"/>
                <w:szCs w:val="21"/>
                <w:highlight w:val="none"/>
                <w:u w:val="single"/>
              </w:rPr>
              <w:t xml:space="preserve"> 两  </w:t>
            </w:r>
            <w:r>
              <w:rPr>
                <w:rFonts w:hint="eastAsia"/>
                <w:color w:val="auto"/>
                <w:szCs w:val="21"/>
                <w:highlight w:val="none"/>
              </w:rPr>
              <w:t>位</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0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3.5.2</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投标人综合得分＝投标人的商务和技术得分＋F。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0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3.5.3</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评标委员会认定投标人以低于成本报价的，其投标将予以否决。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3.6投标文件相关信息的核查</w:t>
            </w: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3.6.1</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经核实评标委员会认定投标人按招标文件第七章“投标文件格式”要求在投标文件中提供的信息与</w:t>
            </w:r>
            <w:r>
              <w:rPr>
                <w:rFonts w:hint="eastAsia" w:ascii="宋体" w:hAnsi="宋体"/>
                <w:color w:val="auto"/>
                <w:szCs w:val="21"/>
                <w:highlight w:val="none"/>
              </w:rPr>
              <w:t>交通运输主管部门“</w:t>
            </w:r>
            <w:r>
              <w:rPr>
                <w:rFonts w:hint="eastAsia" w:ascii="宋体" w:hAnsi="宋体" w:cs="宋体"/>
                <w:color w:val="auto"/>
                <w:szCs w:val="21"/>
                <w:highlight w:val="none"/>
              </w:rPr>
              <w:t>全国公路建设市场监督管理系统</w:t>
            </w:r>
            <w:r>
              <w:rPr>
                <w:rFonts w:hint="eastAsia" w:ascii="宋体" w:hAnsi="宋体"/>
                <w:color w:val="auto"/>
                <w:szCs w:val="21"/>
                <w:highlight w:val="none"/>
              </w:rPr>
              <w:t>”（</w:t>
            </w:r>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）以及“信用交通·四川”等相关网站发布的信息不符</w:t>
            </w:r>
            <w:r>
              <w:rPr>
                <w:rFonts w:hint="eastAsia" w:ascii="宋体" w:hAnsi="宋体" w:cs="宋体"/>
                <w:color w:val="auto"/>
                <w:szCs w:val="21"/>
                <w:highlight w:val="none"/>
              </w:rPr>
              <w:t>，使得投标人的资格条件不符合招标文件规定的，评标委员会应否决其投标。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3.6.2</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评标委员会在评标过程中发现投标人存在串通投标、虚假作假、行贿等违法行为情形的，评标委员会应否决其投标。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投标文件的澄清和说明</w:t>
            </w:r>
          </w:p>
        </w:tc>
        <w:tc>
          <w:tcPr>
            <w:tcW w:w="124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3.7.1</w:t>
            </w:r>
          </w:p>
        </w:tc>
        <w:tc>
          <w:tcPr>
            <w:tcW w:w="652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本项细化为：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（1）在评标过程中，评标委员会通过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要求投标人对投标文件中含义不明确的内容、明显文字或计算错误进行澄清或说明。评标委员会不接受投标人主动提出的澄清、说明。</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（2）投标人收到问题澄清通知后必须在规定时间内通过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给予澄清，投标人的澄清必须加盖投标人单位电子印章或法定代表人或其委托代理人的个人电子签名章或个人电子印章。</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（3）投标人不按评标委员会要求澄清或说明的，评标委员会应否决其投标。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1" w:type="dxa"/>
            <w:gridSpan w:val="3"/>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tc>
      </w:tr>
    </w:tbl>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黑体" w:hAnsi="黑体" w:eastAsia="黑体" w:cs="宋体"/>
          <w:color w:val="auto"/>
          <w:sz w:val="28"/>
          <w:szCs w:val="28"/>
          <w:highlight w:val="none"/>
          <w:u w:val="single"/>
        </w:rPr>
      </w:pPr>
      <w:r>
        <w:rPr>
          <w:rFonts w:hint="eastAsia" w:ascii="黑体" w:hAnsi="黑体" w:eastAsia="黑体" w:cs="宋体"/>
          <w:color w:val="auto"/>
          <w:sz w:val="28"/>
          <w:szCs w:val="28"/>
          <w:highlight w:val="none"/>
          <w:u w:val="single"/>
        </w:rPr>
        <w:br w:type="page"/>
      </w:r>
    </w:p>
    <w:p>
      <w:pPr>
        <w:ind w:firstLine="2800" w:firstLineChars="10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评分因素与权重分值</w:t>
      </w:r>
    </w:p>
    <w:p>
      <w:pPr>
        <w:rPr>
          <w:rFonts w:hint="eastAsia" w:ascii="宋体" w:hAnsi="宋体" w:cs="宋体"/>
          <w:color w:val="auto"/>
          <w:highlight w:val="none"/>
        </w:rPr>
      </w:pPr>
    </w:p>
    <w:tbl>
      <w:tblPr>
        <w:tblStyle w:val="48"/>
        <w:tblW w:w="8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876"/>
        <w:gridCol w:w="1276"/>
        <w:gridCol w:w="1985"/>
        <w:gridCol w:w="794"/>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89" w:type="dxa"/>
            <w:vMerge w:val="restart"/>
            <w:vAlign w:val="center"/>
          </w:tcPr>
          <w:p>
            <w:pPr>
              <w:pStyle w:val="276"/>
              <w:adjustRightInd w:val="0"/>
              <w:snapToGrid w:val="0"/>
              <w:spacing w:line="400" w:lineRule="exact"/>
              <w:jc w:val="center"/>
              <w:rPr>
                <w:rFonts w:hint="eastAsia" w:ascii="宋体" w:hAnsi="宋体" w:cs="宋体"/>
                <w:b/>
                <w:color w:val="auto"/>
                <w:szCs w:val="21"/>
                <w:highlight w:val="none"/>
              </w:rPr>
            </w:pPr>
            <w:bookmarkStart w:id="364" w:name="_Toc523921671"/>
            <w:r>
              <w:rPr>
                <w:rFonts w:hint="eastAsia" w:ascii="宋体" w:hAnsi="宋体" w:cs="宋体"/>
                <w:b/>
                <w:color w:val="auto"/>
                <w:szCs w:val="21"/>
                <w:highlight w:val="none"/>
              </w:rPr>
              <w:t>条款号</w:t>
            </w:r>
          </w:p>
        </w:tc>
        <w:tc>
          <w:tcPr>
            <w:tcW w:w="7681" w:type="dxa"/>
            <w:gridSpan w:val="5"/>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评分因素与权重分值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89" w:type="dxa"/>
            <w:vMerge w:val="continue"/>
            <w:vAlign w:val="center"/>
          </w:tcPr>
          <w:p>
            <w:pPr>
              <w:pStyle w:val="276"/>
              <w:adjustRightInd w:val="0"/>
              <w:snapToGrid w:val="0"/>
              <w:spacing w:line="400" w:lineRule="exact"/>
              <w:jc w:val="center"/>
              <w:rPr>
                <w:rFonts w:hint="eastAsia" w:ascii="宋体" w:hAnsi="宋体" w:cs="宋体"/>
                <w:b/>
                <w:color w:val="auto"/>
                <w:szCs w:val="21"/>
                <w:highlight w:val="none"/>
              </w:rPr>
            </w:pPr>
          </w:p>
        </w:tc>
        <w:tc>
          <w:tcPr>
            <w:tcW w:w="1876" w:type="dxa"/>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评分因素</w:t>
            </w:r>
          </w:p>
        </w:tc>
        <w:tc>
          <w:tcPr>
            <w:tcW w:w="1276" w:type="dxa"/>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评分因素权重分值</w:t>
            </w:r>
          </w:p>
        </w:tc>
        <w:tc>
          <w:tcPr>
            <w:tcW w:w="1985" w:type="dxa"/>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各评分因素</w:t>
            </w:r>
          </w:p>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细分项</w:t>
            </w:r>
          </w:p>
        </w:tc>
        <w:tc>
          <w:tcPr>
            <w:tcW w:w="794" w:type="dxa"/>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分值</w:t>
            </w:r>
          </w:p>
        </w:tc>
        <w:tc>
          <w:tcPr>
            <w:tcW w:w="1750" w:type="dxa"/>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2.2.4（1）</w:t>
            </w:r>
          </w:p>
        </w:tc>
        <w:tc>
          <w:tcPr>
            <w:tcW w:w="1876"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技术建议书A</w:t>
            </w:r>
          </w:p>
        </w:tc>
        <w:tc>
          <w:tcPr>
            <w:tcW w:w="1276"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分 </w:t>
            </w:r>
          </w:p>
        </w:tc>
        <w:tc>
          <w:tcPr>
            <w:tcW w:w="198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监理大纲和措施A</w:t>
            </w:r>
            <w:r>
              <w:rPr>
                <w:rFonts w:hint="eastAsia" w:ascii="宋体" w:hAnsi="宋体" w:cs="宋体"/>
                <w:color w:val="auto"/>
                <w:szCs w:val="21"/>
                <w:highlight w:val="none"/>
                <w:vertAlign w:val="subscript"/>
              </w:rPr>
              <w:t>1</w:t>
            </w:r>
          </w:p>
        </w:tc>
        <w:tc>
          <w:tcPr>
            <w:tcW w:w="794"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750"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87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6" w:type="dxa"/>
            <w:vMerge w:val="continue"/>
            <w:vAlign w:val="center"/>
          </w:tcPr>
          <w:p>
            <w:pPr>
              <w:pStyle w:val="276"/>
              <w:adjustRightInd w:val="0"/>
              <w:snapToGrid w:val="0"/>
              <w:spacing w:line="400" w:lineRule="exact"/>
              <w:rPr>
                <w:rFonts w:hint="eastAsia" w:ascii="宋体" w:hAnsi="宋体" w:cs="宋体"/>
                <w:color w:val="auto"/>
                <w:szCs w:val="21"/>
                <w:highlight w:val="none"/>
              </w:rPr>
            </w:pPr>
          </w:p>
        </w:tc>
        <w:tc>
          <w:tcPr>
            <w:tcW w:w="198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本工程监理工作的重点与难点分析A</w:t>
            </w:r>
            <w:r>
              <w:rPr>
                <w:rFonts w:hint="eastAsia" w:ascii="宋体" w:hAnsi="宋体" w:cs="宋体"/>
                <w:color w:val="auto"/>
                <w:szCs w:val="21"/>
                <w:highlight w:val="none"/>
                <w:vertAlign w:val="subscript"/>
              </w:rPr>
              <w:t>2</w:t>
            </w:r>
          </w:p>
        </w:tc>
        <w:tc>
          <w:tcPr>
            <w:tcW w:w="794"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750"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87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6" w:type="dxa"/>
            <w:vMerge w:val="continue"/>
            <w:vAlign w:val="center"/>
          </w:tcPr>
          <w:p>
            <w:pPr>
              <w:pStyle w:val="276"/>
              <w:adjustRightInd w:val="0"/>
              <w:snapToGrid w:val="0"/>
              <w:spacing w:line="400" w:lineRule="exact"/>
              <w:rPr>
                <w:rFonts w:hint="eastAsia" w:ascii="宋体" w:hAnsi="宋体" w:cs="宋体"/>
                <w:color w:val="auto"/>
                <w:szCs w:val="21"/>
                <w:highlight w:val="none"/>
              </w:rPr>
            </w:pPr>
          </w:p>
        </w:tc>
        <w:tc>
          <w:tcPr>
            <w:tcW w:w="198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对本工程的建议A</w:t>
            </w:r>
            <w:r>
              <w:rPr>
                <w:rFonts w:hint="eastAsia" w:ascii="宋体" w:hAnsi="宋体" w:cs="宋体"/>
                <w:color w:val="auto"/>
                <w:szCs w:val="21"/>
                <w:highlight w:val="none"/>
                <w:vertAlign w:val="subscript"/>
              </w:rPr>
              <w:t>3</w:t>
            </w:r>
          </w:p>
        </w:tc>
        <w:tc>
          <w:tcPr>
            <w:tcW w:w="794"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750"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87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6" w:type="dxa"/>
            <w:vMerge w:val="continue"/>
            <w:vAlign w:val="center"/>
          </w:tcPr>
          <w:p>
            <w:pPr>
              <w:pStyle w:val="276"/>
              <w:adjustRightInd w:val="0"/>
              <w:snapToGrid w:val="0"/>
              <w:spacing w:line="400" w:lineRule="exact"/>
              <w:rPr>
                <w:rFonts w:hint="eastAsia" w:ascii="宋体" w:hAnsi="宋体" w:cs="宋体"/>
                <w:color w:val="auto"/>
                <w:szCs w:val="21"/>
                <w:highlight w:val="none"/>
              </w:rPr>
            </w:pPr>
          </w:p>
        </w:tc>
        <w:tc>
          <w:tcPr>
            <w:tcW w:w="198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tc>
        <w:tc>
          <w:tcPr>
            <w:tcW w:w="794"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750"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876"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6" w:type="dxa"/>
            <w:vMerge w:val="continue"/>
            <w:vAlign w:val="center"/>
          </w:tcPr>
          <w:p>
            <w:pPr>
              <w:pStyle w:val="276"/>
              <w:adjustRightInd w:val="0"/>
              <w:snapToGrid w:val="0"/>
              <w:spacing w:line="400" w:lineRule="exact"/>
              <w:rPr>
                <w:rFonts w:hint="eastAsia" w:ascii="宋体" w:hAnsi="宋体" w:cs="宋体"/>
                <w:color w:val="auto"/>
                <w:szCs w:val="21"/>
                <w:highlight w:val="none"/>
              </w:rPr>
            </w:pPr>
          </w:p>
        </w:tc>
        <w:tc>
          <w:tcPr>
            <w:tcW w:w="4529" w:type="dxa"/>
            <w:gridSpan w:val="3"/>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p>
          <w:p>
            <w:pPr>
              <w:pStyle w:val="276"/>
              <w:adjustRightInd w:val="0"/>
              <w:snapToGrid w:val="0"/>
              <w:spacing w:line="400" w:lineRule="exact"/>
              <w:rPr>
                <w:color w:val="auto"/>
                <w:highlight w:val="none"/>
              </w:rPr>
            </w:pPr>
            <w:r>
              <w:rPr>
                <w:rFonts w:hint="eastAsia" w:ascii="宋体" w:hAnsi="宋体" w:cs="宋体"/>
                <w:color w:val="auto"/>
                <w:szCs w:val="21"/>
                <w:highlight w:val="none"/>
              </w:rPr>
              <w:t>（1）</w:t>
            </w:r>
            <w:r>
              <w:rPr>
                <w:rFonts w:hint="eastAsia"/>
                <w:color w:val="auto"/>
                <w:highlight w:val="none"/>
              </w:rPr>
              <w:t>招标人应根据项目具体情况确定各评分因素及评分因素权重分值，并对各评分因素进行细分（如有）、确定各评分因素细分项的分值，各评分因素权重分值合计应为本项评分因素权重分值满分。各评分因素得分均不应低于其权重分值的</w:t>
            </w:r>
            <w:r>
              <w:rPr>
                <w:color w:val="auto"/>
                <w:highlight w:val="none"/>
              </w:rPr>
              <w:t>60%</w:t>
            </w:r>
            <w:r>
              <w:rPr>
                <w:rFonts w:hint="eastAsia"/>
                <w:color w:val="auto"/>
                <w:highlight w:val="none"/>
              </w:rPr>
              <w:t>，评标委员会成员对某一项评分因素的评分低于权重分值</w:t>
            </w:r>
            <w:r>
              <w:rPr>
                <w:color w:val="auto"/>
                <w:highlight w:val="none"/>
              </w:rPr>
              <w:t>60%</w:t>
            </w:r>
            <w:r>
              <w:rPr>
                <w:rFonts w:hint="eastAsia"/>
                <w:color w:val="auto"/>
                <w:highlight w:val="none"/>
              </w:rPr>
              <w:t>的，应在评标报告中作出说明。</w:t>
            </w:r>
          </w:p>
          <w:p>
            <w:pPr>
              <w:pStyle w:val="276"/>
              <w:adjustRightInd w:val="0"/>
              <w:snapToGrid w:val="0"/>
              <w:spacing w:line="400" w:lineRule="exact"/>
              <w:rPr>
                <w:color w:val="auto"/>
                <w:highlight w:val="none"/>
              </w:rPr>
            </w:pPr>
            <w:r>
              <w:rPr>
                <w:rFonts w:hint="eastAsia"/>
                <w:color w:val="auto"/>
                <w:highlight w:val="none"/>
              </w:rPr>
              <w:t>（</w:t>
            </w:r>
            <w:r>
              <w:rPr>
                <w:color w:val="auto"/>
                <w:highlight w:val="none"/>
              </w:rPr>
              <w:t>2</w:t>
            </w:r>
            <w:r>
              <w:rPr>
                <w:rFonts w:hint="eastAsia"/>
                <w:color w:val="auto"/>
                <w:highlight w:val="none"/>
              </w:rPr>
              <w:t>）各评分因素细分项得分计算方式：</w:t>
            </w:r>
            <w:r>
              <w:rPr>
                <w:color w:val="auto"/>
                <w:highlight w:val="none"/>
              </w:rPr>
              <w:t xml:space="preserve">  </w:t>
            </w:r>
          </w:p>
          <w:p>
            <w:pPr>
              <w:pStyle w:val="276"/>
              <w:adjustRightInd w:val="0"/>
              <w:snapToGrid w:val="0"/>
              <w:spacing w:before="120" w:line="400" w:lineRule="exact"/>
              <w:ind w:firstLine="210" w:firstLineChars="100"/>
              <w:rPr>
                <w:color w:val="auto"/>
                <w:highlight w:val="none"/>
              </w:rPr>
            </w:pPr>
            <w:r>
              <w:rPr>
                <w:color w:val="000000"/>
                <w:szCs w:val="21"/>
                <w:highlight w:val="none"/>
              </w:rPr>
              <w:sym w:font="Wingdings 2" w:char="00A3"/>
            </w:r>
            <w:r>
              <w:rPr>
                <w:color w:val="000000"/>
                <w:szCs w:val="21"/>
                <w:highlight w:val="none"/>
              </w:rPr>
              <w:t xml:space="preserve"> </w:t>
            </w:r>
            <w:r>
              <w:rPr>
                <w:rFonts w:hint="eastAsia"/>
                <w:color w:val="000000"/>
                <w:szCs w:val="21"/>
                <w:highlight w:val="none"/>
              </w:rPr>
              <w:t>方式一：</w:t>
            </w:r>
            <w:r>
              <w:rPr>
                <w:rFonts w:hint="eastAsia"/>
                <w:color w:val="auto"/>
                <w:highlight w:val="none"/>
              </w:rPr>
              <w:t>各评分因素细分项得分应以评标委员会各成员的打分平均值确定。</w:t>
            </w:r>
          </w:p>
          <w:p>
            <w:pPr>
              <w:pStyle w:val="276"/>
              <w:adjustRightInd w:val="0"/>
              <w:snapToGrid w:val="0"/>
              <w:spacing w:before="120" w:line="400" w:lineRule="exact"/>
              <w:ind w:firstLine="210" w:firstLineChars="100"/>
              <w:rPr>
                <w:color w:val="000000"/>
                <w:szCs w:val="21"/>
                <w:highlight w:val="none"/>
              </w:rPr>
            </w:pPr>
            <w:r>
              <w:rPr>
                <w:color w:val="000000"/>
                <w:szCs w:val="21"/>
                <w:highlight w:val="none"/>
              </w:rPr>
              <w:sym w:font="Wingdings 2" w:char="00A3"/>
            </w:r>
            <w:r>
              <w:rPr>
                <w:color w:val="000000"/>
                <w:szCs w:val="21"/>
                <w:highlight w:val="none"/>
              </w:rPr>
              <w:t xml:space="preserve"> </w:t>
            </w:r>
            <w:r>
              <w:rPr>
                <w:rFonts w:hint="eastAsia"/>
                <w:color w:val="000000"/>
                <w:szCs w:val="21"/>
                <w:highlight w:val="none"/>
              </w:rPr>
              <w:t>方式二：</w:t>
            </w:r>
            <w:r>
              <w:rPr>
                <w:rFonts w:hint="eastAsia"/>
                <w:color w:val="auto"/>
                <w:highlight w:val="none"/>
              </w:rPr>
              <w:t>评标委员会成员总数为</w:t>
            </w:r>
            <w:r>
              <w:rPr>
                <w:color w:val="auto"/>
                <w:highlight w:val="none"/>
              </w:rPr>
              <w:t>7</w:t>
            </w:r>
            <w:r>
              <w:rPr>
                <w:rFonts w:hint="eastAsia"/>
                <w:color w:val="auto"/>
                <w:highlight w:val="none"/>
              </w:rPr>
              <w:t>人（含</w:t>
            </w:r>
            <w:r>
              <w:rPr>
                <w:color w:val="auto"/>
                <w:highlight w:val="none"/>
              </w:rPr>
              <w:t>7</w:t>
            </w:r>
            <w:r>
              <w:rPr>
                <w:rFonts w:hint="eastAsia"/>
                <w:color w:val="auto"/>
                <w:highlight w:val="none"/>
              </w:rPr>
              <w:t>人）以上时，该平均值以去掉一个最高和一个最低分后计算。</w:t>
            </w:r>
          </w:p>
          <w:p>
            <w:pPr>
              <w:pStyle w:val="276"/>
              <w:adjustRightInd w:val="0"/>
              <w:snapToGrid w:val="0"/>
              <w:spacing w:before="120" w:line="400" w:lineRule="exact"/>
              <w:ind w:firstLine="210" w:firstLineChars="100"/>
              <w:rPr>
                <w:color w:val="auto"/>
                <w:highlight w:val="none"/>
              </w:rPr>
            </w:pPr>
            <w:r>
              <w:rPr>
                <w:rFonts w:hint="eastAsia" w:ascii="宋体" w:hAnsi="宋体" w:cs="宋体"/>
                <w:color w:val="000000"/>
                <w:szCs w:val="21"/>
                <w:highlight w:val="none"/>
              </w:rPr>
              <w:t>□</w:t>
            </w:r>
            <w:r>
              <w:rPr>
                <w:color w:val="000000"/>
                <w:szCs w:val="21"/>
                <w:highlight w:val="none"/>
              </w:rPr>
              <w:t xml:space="preserve"> </w:t>
            </w:r>
            <w:r>
              <w:rPr>
                <w:rFonts w:hint="eastAsia"/>
                <w:color w:val="000000"/>
                <w:szCs w:val="21"/>
                <w:highlight w:val="none"/>
              </w:rPr>
              <w:t>方式三：</w:t>
            </w:r>
            <w:r>
              <w:rPr>
                <w:rFonts w:hint="eastAsia"/>
                <w:color w:val="auto"/>
                <w:highlight w:val="none"/>
              </w:rPr>
              <w:t>各评分因素细分项得分计算步骤如下：</w:t>
            </w:r>
          </w:p>
          <w:p>
            <w:pPr>
              <w:pStyle w:val="276"/>
              <w:numPr>
                <w:ilvl w:val="255"/>
                <w:numId w:val="0"/>
              </w:numPr>
              <w:adjustRightInd w:val="0"/>
              <w:snapToGrid w:val="0"/>
              <w:spacing w:before="120" w:line="400" w:lineRule="exact"/>
              <w:ind w:firstLine="420" w:firstLineChars="200"/>
              <w:rPr>
                <w:color w:val="auto"/>
                <w:highlight w:val="none"/>
              </w:rPr>
            </w:pPr>
            <w:r>
              <w:rPr>
                <w:rFonts w:hint="eastAsia"/>
                <w:color w:val="auto"/>
                <w:highlight w:val="none"/>
              </w:rPr>
              <w:fldChar w:fldCharType="begin"/>
            </w:r>
            <w:r>
              <w:rPr>
                <w:color w:val="auto"/>
                <w:highlight w:val="none"/>
              </w:rPr>
              <w:instrText xml:space="preserve"> = 1 \* GB3 \* MERGEFORMAT </w:instrText>
            </w:r>
            <w:r>
              <w:rPr>
                <w:rFonts w:hint="eastAsia"/>
                <w:color w:val="auto"/>
                <w:highlight w:val="none"/>
              </w:rPr>
              <w:fldChar w:fldCharType="separate"/>
            </w:r>
            <w:r>
              <w:rPr>
                <w:rFonts w:hint="eastAsia"/>
                <w:color w:val="auto"/>
                <w:highlight w:val="none"/>
              </w:rPr>
              <w:t>①</w:t>
            </w:r>
            <w:r>
              <w:rPr>
                <w:rFonts w:hint="eastAsia"/>
                <w:color w:val="auto"/>
                <w:highlight w:val="none"/>
              </w:rPr>
              <w:fldChar w:fldCharType="end"/>
            </w:r>
            <w:r>
              <w:rPr>
                <w:rFonts w:hint="eastAsia"/>
                <w:color w:val="auto"/>
                <w:highlight w:val="none"/>
              </w:rPr>
              <w:t>计算各专家对所有投标人评分因素细分项最高评分与最低评分的差值（简称“分差值”），确定分差值最大专家的个数。</w:t>
            </w:r>
          </w:p>
          <w:p>
            <w:pPr>
              <w:pStyle w:val="276"/>
              <w:numPr>
                <w:ilvl w:val="255"/>
                <w:numId w:val="0"/>
              </w:numPr>
              <w:adjustRightInd w:val="0"/>
              <w:snapToGrid w:val="0"/>
              <w:spacing w:before="120" w:line="400" w:lineRule="exact"/>
              <w:ind w:firstLine="420" w:firstLineChars="200"/>
              <w:rPr>
                <w:color w:val="auto"/>
                <w:highlight w:val="none"/>
              </w:rPr>
            </w:pPr>
            <w:r>
              <w:rPr>
                <w:rFonts w:hint="eastAsia"/>
                <w:color w:val="auto"/>
                <w:highlight w:val="none"/>
              </w:rPr>
              <w:fldChar w:fldCharType="begin"/>
            </w:r>
            <w:r>
              <w:rPr>
                <w:color w:val="auto"/>
                <w:highlight w:val="none"/>
              </w:rPr>
              <w:instrText xml:space="preserve"> = 2 \* GB3 \* MERGEFORMAT </w:instrText>
            </w:r>
            <w:r>
              <w:rPr>
                <w:rFonts w:hint="eastAsia"/>
                <w:color w:val="auto"/>
                <w:highlight w:val="none"/>
              </w:rPr>
              <w:fldChar w:fldCharType="separate"/>
            </w:r>
            <w:r>
              <w:rPr>
                <w:rFonts w:hint="eastAsia"/>
                <w:color w:val="auto"/>
                <w:highlight w:val="none"/>
              </w:rPr>
              <w:t>②</w:t>
            </w:r>
            <w:r>
              <w:rPr>
                <w:rFonts w:hint="eastAsia"/>
                <w:color w:val="auto"/>
                <w:highlight w:val="none"/>
              </w:rPr>
              <w:fldChar w:fldCharType="end"/>
            </w:r>
            <w:r>
              <w:rPr>
                <w:rFonts w:hint="eastAsia"/>
                <w:color w:val="auto"/>
                <w:highlight w:val="none"/>
              </w:rPr>
              <w:t>同一细分项，若分差值最大的专家个数≤</w:t>
            </w:r>
            <w:r>
              <w:rPr>
                <w:color w:val="auto"/>
                <w:highlight w:val="none"/>
              </w:rPr>
              <w:t>2</w:t>
            </w:r>
            <w:r>
              <w:rPr>
                <w:rFonts w:hint="eastAsia"/>
                <w:color w:val="auto"/>
                <w:highlight w:val="none"/>
              </w:rPr>
              <w:t>名，则去掉分差值最大的专家该细分项评分；若分差值最大的专家个数≥</w:t>
            </w:r>
            <w:r>
              <w:rPr>
                <w:color w:val="auto"/>
                <w:highlight w:val="none"/>
              </w:rPr>
              <w:t>3</w:t>
            </w:r>
            <w:r>
              <w:rPr>
                <w:rFonts w:hint="eastAsia"/>
                <w:color w:val="auto"/>
                <w:highlight w:val="none"/>
              </w:rPr>
              <w:t>名，则保留所有专家细分项评分。</w:t>
            </w:r>
          </w:p>
          <w:p>
            <w:pPr>
              <w:pStyle w:val="276"/>
              <w:adjustRightInd w:val="0"/>
              <w:snapToGrid w:val="0"/>
              <w:spacing w:line="400" w:lineRule="exact"/>
              <w:rPr>
                <w:color w:val="auto"/>
                <w:highlight w:val="none"/>
              </w:rPr>
            </w:pPr>
            <w:r>
              <w:rPr>
                <w:rFonts w:hint="eastAsia"/>
                <w:color w:val="auto"/>
                <w:highlight w:val="none"/>
              </w:rPr>
              <w:fldChar w:fldCharType="begin"/>
            </w:r>
            <w:r>
              <w:rPr>
                <w:color w:val="auto"/>
                <w:highlight w:val="none"/>
              </w:rPr>
              <w:instrText xml:space="preserve"> = 3 \* GB3 \* MERGEFORMAT </w:instrText>
            </w:r>
            <w:r>
              <w:rPr>
                <w:rFonts w:hint="eastAsia"/>
                <w:color w:val="auto"/>
                <w:highlight w:val="none"/>
              </w:rPr>
              <w:fldChar w:fldCharType="separate"/>
            </w:r>
            <w:r>
              <w:rPr>
                <w:rFonts w:hint="eastAsia"/>
                <w:color w:val="auto"/>
                <w:highlight w:val="none"/>
              </w:rPr>
              <w:t>③</w:t>
            </w:r>
            <w:r>
              <w:rPr>
                <w:rFonts w:hint="eastAsia"/>
                <w:color w:val="auto"/>
                <w:highlight w:val="none"/>
              </w:rPr>
              <w:fldChar w:fldCharType="end"/>
            </w:r>
            <w:r>
              <w:rPr>
                <w:rFonts w:hint="eastAsia"/>
                <w:color w:val="auto"/>
                <w:highlight w:val="none"/>
              </w:rPr>
              <w:t>各评分因素细分项最终得分应以完成上述</w:t>
            </w:r>
            <w:r>
              <w:rPr>
                <w:rFonts w:hint="eastAsia" w:ascii="宋体" w:hAnsi="宋体" w:cs="宋体"/>
                <w:color w:val="auto"/>
                <w:highlight w:val="none"/>
              </w:rPr>
              <w:fldChar w:fldCharType="begin"/>
            </w:r>
            <w:r>
              <w:rPr>
                <w:rFonts w:hint="eastAsia" w:ascii="宋体" w:hAnsi="宋体" w:cs="宋体"/>
                <w:color w:val="auto"/>
                <w:highlight w:val="none"/>
              </w:rPr>
              <w:instrText xml:space="preserve"> = 1 \* GB3 \* MERGEFORMAT </w:instrText>
            </w:r>
            <w:r>
              <w:rPr>
                <w:rFonts w:hint="eastAsia" w:ascii="宋体" w:hAnsi="宋体" w:cs="宋体"/>
                <w:color w:val="auto"/>
                <w:highlight w:val="none"/>
              </w:rPr>
              <w:fldChar w:fldCharType="separate"/>
            </w:r>
            <w:r>
              <w:rPr>
                <w:rFonts w:hint="eastAsia" w:ascii="宋体" w:hAnsi="宋体" w:cs="宋体"/>
                <w:color w:val="auto"/>
                <w:highlight w:val="none"/>
              </w:rPr>
              <w:t>①</w:t>
            </w:r>
            <w:r>
              <w:rPr>
                <w:rFonts w:hint="eastAsia" w:ascii="宋体" w:hAnsi="宋体" w:cs="宋体"/>
                <w:color w:val="auto"/>
                <w:highlight w:val="none"/>
              </w:rPr>
              <w:fldChar w:fldCharType="end"/>
            </w:r>
            <w:r>
              <w:rPr>
                <w:rFonts w:hint="eastAsia" w:ascii="宋体" w:hAnsi="宋体" w:cs="宋体"/>
                <w:color w:val="auto"/>
                <w:highlight w:val="none"/>
              </w:rPr>
              <w:fldChar w:fldCharType="begin"/>
            </w:r>
            <w:r>
              <w:rPr>
                <w:rFonts w:hint="eastAsia" w:ascii="宋体" w:hAnsi="宋体" w:cs="宋体"/>
                <w:color w:val="auto"/>
                <w:highlight w:val="none"/>
              </w:rPr>
              <w:instrText xml:space="preserve"> = 2 \* GB3 \* MERGEFORMAT </w:instrText>
            </w:r>
            <w:r>
              <w:rPr>
                <w:rFonts w:hint="eastAsia" w:ascii="宋体" w:hAnsi="宋体" w:cs="宋体"/>
                <w:color w:val="auto"/>
                <w:highlight w:val="none"/>
              </w:rPr>
              <w:fldChar w:fldCharType="separate"/>
            </w:r>
            <w:r>
              <w:rPr>
                <w:rFonts w:hint="eastAsia" w:ascii="宋体" w:hAnsi="宋体" w:cs="宋体"/>
                <w:color w:val="auto"/>
                <w:highlight w:val="none"/>
              </w:rPr>
              <w:t>②</w:t>
            </w:r>
            <w:r>
              <w:rPr>
                <w:rFonts w:hint="eastAsia" w:ascii="宋体" w:hAnsi="宋体" w:cs="宋体"/>
                <w:color w:val="auto"/>
                <w:highlight w:val="none"/>
              </w:rPr>
              <w:fldChar w:fldCharType="end"/>
            </w:r>
            <w:r>
              <w:rPr>
                <w:rFonts w:hint="eastAsia" w:ascii="宋体" w:hAnsi="宋体" w:cs="宋体"/>
                <w:color w:val="auto"/>
                <w:highlight w:val="none"/>
              </w:rPr>
              <w:t>步</w:t>
            </w:r>
            <w:r>
              <w:rPr>
                <w:rFonts w:hint="eastAsia"/>
                <w:color w:val="auto"/>
                <w:highlight w:val="none"/>
              </w:rPr>
              <w:t>骤后，再对仍保留的专家细分项评分去掉一个最高和一个最低分后计算平均值。（</w:t>
            </w:r>
            <w:r>
              <w:rPr>
                <w:color w:val="auto"/>
                <w:highlight w:val="none"/>
              </w:rPr>
              <w:t>3</w:t>
            </w:r>
            <w:r>
              <w:rPr>
                <w:rFonts w:hint="eastAsia"/>
                <w:color w:val="auto"/>
                <w:highlight w:val="none"/>
              </w:rPr>
              <w:t>）投标人投标文件中技术建议书各评分因素细分项无内容的得</w:t>
            </w:r>
            <w:r>
              <w:rPr>
                <w:color w:val="auto"/>
                <w:highlight w:val="none"/>
              </w:rPr>
              <w:t>0</w:t>
            </w:r>
            <w:r>
              <w:rPr>
                <w:rFonts w:hint="eastAsia"/>
                <w:color w:val="auto"/>
                <w:highlight w:val="none"/>
              </w:rPr>
              <w:t>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color w:val="auto"/>
                <w:highlight w:val="none"/>
              </w:rPr>
              <w:t>（</w:t>
            </w:r>
            <w:r>
              <w:rPr>
                <w:rFonts w:hint="eastAsia" w:ascii="宋体" w:hAnsi="宋体" w:cs="宋体"/>
                <w:color w:val="auto"/>
                <w:highlight w:val="none"/>
              </w:rPr>
              <w:t>4）</w:t>
            </w:r>
            <w:r>
              <w:rPr>
                <w:rFonts w:hint="eastAsia"/>
                <w:color w:val="auto"/>
                <w:highlight w:val="none"/>
              </w:rPr>
              <w:t>招标人对技术建议书评审采用暗标方式的，投标人技术建议书</w:t>
            </w:r>
            <w:r>
              <w:rPr>
                <w:rFonts w:hint="eastAsia" w:ascii="宋体" w:hAnsi="宋体"/>
                <w:color w:val="auto"/>
                <w:kern w:val="0"/>
                <w:highlight w:val="none"/>
              </w:rPr>
              <w:t>中出现投标人的名称和其他可识别投标人身份的文字、符号、标识等时，其技术建议书评审得分为</w:t>
            </w:r>
            <w:r>
              <w:rPr>
                <w:rFonts w:hint="eastAsia" w:ascii="宋体" w:hAnsi="宋体"/>
                <w:color w:val="auto"/>
                <w:kern w:val="0"/>
                <w:highlight w:val="none"/>
                <w:u w:val="single"/>
              </w:rPr>
              <w:t xml:space="preserve"> 0 </w:t>
            </w:r>
            <w:r>
              <w:rPr>
                <w:rFonts w:hint="eastAsia" w:ascii="宋体" w:hAnsi="宋体"/>
                <w:color w:val="auto"/>
                <w:kern w:val="0"/>
                <w:highlight w:val="none"/>
              </w:rPr>
              <w:t>分。</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70" w:type="dxa"/>
            <w:gridSpan w:val="6"/>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tbl>
    <w:p>
      <w:pPr>
        <w:jc w:val="left"/>
        <w:rPr>
          <w:rFonts w:hint="eastAsia" w:ascii="宋体" w:hAnsi="宋体" w:cs="宋体"/>
          <w:color w:val="auto"/>
          <w:highlight w:val="none"/>
        </w:rPr>
      </w:pPr>
      <w:r>
        <w:rPr>
          <w:rFonts w:hint="eastAsia" w:ascii="宋体" w:hAnsi="宋体" w:cs="宋体"/>
          <w:color w:val="auto"/>
          <w:highlight w:val="none"/>
        </w:rPr>
        <w:br w:type="page"/>
      </w:r>
    </w:p>
    <w:tbl>
      <w:tblPr>
        <w:tblStyle w:val="4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277"/>
        <w:gridCol w:w="992"/>
        <w:gridCol w:w="1276"/>
        <w:gridCol w:w="70"/>
        <w:gridCol w:w="709"/>
        <w:gridCol w:w="71"/>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8081"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ind w:firstLine="316" w:firstLineChars="150"/>
              <w:jc w:val="center"/>
              <w:rPr>
                <w:rFonts w:hint="eastAsia" w:ascii="宋体" w:hAnsi="宋体" w:cs="宋体"/>
                <w:b/>
                <w:color w:val="auto"/>
                <w:szCs w:val="21"/>
                <w:highlight w:val="none"/>
              </w:rPr>
            </w:pPr>
            <w:r>
              <w:rPr>
                <w:rFonts w:hint="eastAsia" w:ascii="宋体" w:hAnsi="宋体" w:cs="宋体"/>
                <w:b/>
                <w:color w:val="auto"/>
                <w:szCs w:val="21"/>
                <w:highlight w:val="none"/>
              </w:rPr>
              <w:t>评分因素与权重分值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5" w:type="dxa"/>
            <w:vMerge w:val="continue"/>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360" w:lineRule="exact"/>
              <w:jc w:val="center"/>
              <w:rPr>
                <w:rFonts w:hint="eastAsia" w:ascii="宋体" w:hAnsi="宋体" w:cs="宋体"/>
                <w:b/>
                <w:color w:val="auto"/>
                <w:szCs w:val="21"/>
                <w:highlight w:val="none"/>
              </w:rPr>
            </w:pPr>
          </w:p>
        </w:tc>
        <w:tc>
          <w:tcPr>
            <w:tcW w:w="1277"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评分</w:t>
            </w:r>
          </w:p>
          <w:p>
            <w:pPr>
              <w:pStyle w:val="276"/>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因素</w:t>
            </w:r>
          </w:p>
        </w:tc>
        <w:tc>
          <w:tcPr>
            <w:tcW w:w="992"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360" w:lineRule="exact"/>
              <w:jc w:val="center"/>
              <w:rPr>
                <w:rFonts w:hint="eastAsia" w:ascii="宋体" w:hAnsi="宋体" w:cs="宋体"/>
                <w:b/>
                <w:color w:val="auto"/>
                <w:sz w:val="18"/>
                <w:szCs w:val="18"/>
                <w:highlight w:val="none"/>
              </w:rPr>
            </w:pPr>
            <w:r>
              <w:rPr>
                <w:rFonts w:hint="eastAsia" w:ascii="宋体" w:hAnsi="宋体" w:cs="宋体"/>
                <w:b/>
                <w:color w:val="auto"/>
                <w:sz w:val="18"/>
                <w:szCs w:val="18"/>
                <w:highlight w:val="none"/>
              </w:rPr>
              <w:t>评分因素权重分值</w:t>
            </w: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各评分因素细分项</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分值</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360" w:lineRule="exact"/>
              <w:ind w:firstLine="316" w:firstLineChars="150"/>
              <w:jc w:val="center"/>
              <w:rPr>
                <w:rFonts w:hint="eastAsia" w:ascii="宋体" w:hAnsi="宋体" w:cs="宋体"/>
                <w:b/>
                <w:color w:val="auto"/>
                <w:szCs w:val="21"/>
                <w:highlight w:val="none"/>
              </w:rPr>
            </w:pPr>
            <w:r>
              <w:rPr>
                <w:rFonts w:hint="eastAsia" w:ascii="宋体" w:hAnsi="宋体" w:cs="宋体"/>
                <w:b/>
                <w:color w:val="auto"/>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bottom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2.2.4（2）</w:t>
            </w:r>
          </w:p>
        </w:tc>
        <w:tc>
          <w:tcPr>
            <w:tcW w:w="1277" w:type="dxa"/>
            <w:tcBorders>
              <w:top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人员</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992" w:type="dxa"/>
            <w:tcBorders>
              <w:top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46" w:type="dxa"/>
            <w:gridSpan w:val="2"/>
            <w:tcBorders>
              <w:top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总监理工程师任职资格与业绩B</w:t>
            </w:r>
            <w:r>
              <w:rPr>
                <w:rFonts w:hint="eastAsia" w:ascii="宋体" w:hAnsi="宋体" w:cs="宋体"/>
                <w:color w:val="auto"/>
                <w:szCs w:val="21"/>
                <w:highlight w:val="none"/>
                <w:vertAlign w:val="subscript"/>
              </w:rPr>
              <w:t>1</w:t>
            </w:r>
          </w:p>
        </w:tc>
        <w:tc>
          <w:tcPr>
            <w:tcW w:w="709" w:type="dxa"/>
            <w:tcBorders>
              <w:top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（1）满足资格审查条件最低要求得</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2"/>
              <w:ind w:left="243" w:leftChars="116" w:firstLine="2" w:firstLineChars="0"/>
              <w:rPr>
                <w:color w:val="auto"/>
                <w:highlight w:val="none"/>
              </w:rPr>
            </w:pPr>
            <w:r>
              <w:rPr>
                <w:rFonts w:hint="eastAsia"/>
                <w:color w:val="auto"/>
                <w:highlight w:val="none"/>
              </w:rPr>
              <w:t>注：</w:t>
            </w:r>
            <w:r>
              <w:rPr>
                <w:rFonts w:hint="eastAsia" w:ascii="宋体" w:hAnsi="宋体" w:cs="宋体"/>
                <w:color w:val="auto"/>
                <w:highlight w:val="none"/>
              </w:rPr>
              <w:t>资格条件最低要求为工程师时，最多按升高2级考虑，即最多加分至正（教授级或研究员级）高级工程师。下同。</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（3）扣除满足资格条件最低要求的业绩数量后：</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级及以上公路路基土建工程施工监理资格审查要求职务业绩加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2"/>
              <w:ind w:left="243" w:leftChars="116" w:firstLine="2" w:firstLineChars="0"/>
              <w:rPr>
                <w:color w:val="auto"/>
                <w:highlight w:val="none"/>
              </w:rPr>
            </w:pPr>
            <w:r>
              <w:rPr>
                <w:rFonts w:hint="eastAsia"/>
                <w:color w:val="auto"/>
                <w:highlight w:val="none"/>
              </w:rPr>
              <w:t>注：路基土建工程指须至少包含“路基工程”的项目。下同。</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rPr>
              <w:t>座国内新建或改扩建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公路特大桥</w:t>
            </w:r>
            <w:r>
              <w:rPr>
                <w:rFonts w:hint="eastAsia" w:ascii="宋体" w:hAnsi="宋体" w:cs="宋体"/>
                <w:color w:val="auto"/>
                <w:kern w:val="0"/>
                <w:szCs w:val="21"/>
                <w:highlight w:val="none"/>
              </w:rPr>
              <w:t>施工监理资格审查要求职务业绩加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kern w:val="0"/>
                <w:szCs w:val="21"/>
                <w:highlight w:val="none"/>
                <w:u w:val="single"/>
              </w:rPr>
              <w:t>1</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r>
              <w:rPr>
                <w:rFonts w:hint="eastAsia" w:ascii="宋体" w:hAnsi="宋体" w:cs="宋体"/>
                <w:color w:val="auto"/>
                <w:kern w:val="0"/>
                <w:szCs w:val="21"/>
                <w:highlight w:val="none"/>
              </w:rPr>
              <w:sym w:font="Wingdings 2" w:char="00A3"/>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2"/>
              <w:ind w:left="243" w:leftChars="116" w:firstLine="2" w:firstLineChars="0"/>
              <w:rPr>
                <w:color w:val="auto"/>
                <w:highlight w:val="none"/>
              </w:rPr>
            </w:pPr>
            <w:r>
              <w:rPr>
                <w:rFonts w:hint="eastAsia"/>
                <w:color w:val="auto"/>
                <w:highlight w:val="none"/>
              </w:rPr>
              <w:t>注：</w:t>
            </w:r>
            <w:r>
              <w:rPr>
                <w:color w:val="auto"/>
                <w:highlight w:val="none"/>
              </w:rPr>
              <w:t>1.</w:t>
            </w:r>
            <w:r>
              <w:rPr>
                <w:rFonts w:hint="eastAsia" w:ascii="宋体" w:hAnsi="宋体" w:cs="宋体"/>
                <w:color w:val="auto"/>
                <w:szCs w:val="21"/>
                <w:highlight w:val="none"/>
              </w:rPr>
              <w:t>公路特大桥</w:t>
            </w:r>
            <w:r>
              <w:rPr>
                <w:rFonts w:hint="eastAsia"/>
                <w:color w:val="auto"/>
                <w:highlight w:val="none"/>
              </w:rPr>
              <w:t>桥梁工程可为路基土建工程中包含的内容或者单独桥梁工程合同的项目。下同。</w:t>
            </w:r>
          </w:p>
          <w:p>
            <w:pPr>
              <w:pStyle w:val="2"/>
              <w:ind w:left="243" w:leftChars="116" w:firstLine="428" w:firstLineChars="0"/>
              <w:rPr>
                <w:color w:val="auto"/>
                <w:highlight w:val="none"/>
              </w:rPr>
            </w:pPr>
            <w:r>
              <w:rPr>
                <w:color w:val="auto"/>
                <w:highlight w:val="none"/>
              </w:rPr>
              <w:t>2.</w:t>
            </w:r>
            <w:r>
              <w:rPr>
                <w:rFonts w:hint="eastAsia"/>
                <w:color w:val="auto"/>
                <w:highlight w:val="none"/>
              </w:rPr>
              <w:t>编号“</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color w:val="auto"/>
                <w:highlight w:val="none"/>
              </w:rPr>
              <w:t>”为资格审查条件中招标人作了桥型要求的桥梁类型顺序编号，按照设置前后顺序编列。原则上建议桥梁类型不超过</w:t>
            </w:r>
            <w:r>
              <w:rPr>
                <w:color w:val="auto"/>
                <w:highlight w:val="none"/>
              </w:rPr>
              <w:t>2</w:t>
            </w:r>
            <w:r>
              <w:rPr>
                <w:rFonts w:hint="eastAsia"/>
                <w:color w:val="auto"/>
                <w:highlight w:val="none"/>
              </w:rPr>
              <w:t>种。下同。</w:t>
            </w:r>
          </w:p>
          <w:p>
            <w:pPr>
              <w:widowControl/>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rPr>
              <w:t>座国内新建或改扩建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rPr>
              <w:t>及以上</w:t>
            </w:r>
            <w:r>
              <w:rPr>
                <w:rFonts w:hint="eastAsia" w:ascii="宋体" w:hAnsi="宋体" w:cs="宋体"/>
                <w:color w:val="auto"/>
                <w:szCs w:val="21"/>
                <w:highlight w:val="none"/>
              </w:rPr>
              <w:t>公路（□中隧道及以上；□长隧道及以上；□特长隧道；□单洞长度</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米及以上特长隧道）施工监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6" w:hRule="atLeast"/>
          <w:jc w:val="center"/>
        </w:trPr>
        <w:tc>
          <w:tcPr>
            <w:tcW w:w="845" w:type="dxa"/>
            <w:vMerge w:val="restart"/>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2.2.4（2）</w:t>
            </w:r>
          </w:p>
        </w:tc>
        <w:tc>
          <w:tcPr>
            <w:tcW w:w="1277" w:type="dxa"/>
            <w:vMerge w:val="restart"/>
            <w:tcBorders>
              <w:lef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人员</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992" w:type="dxa"/>
            <w:vMerge w:val="restart"/>
            <w:vAlign w:val="center"/>
          </w:tcPr>
          <w:p>
            <w:pPr>
              <w:pStyle w:val="276"/>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46"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总监理工程师任职资格与业绩B</w:t>
            </w:r>
            <w:r>
              <w:rPr>
                <w:rFonts w:hint="eastAsia" w:ascii="宋体" w:hAnsi="宋体" w:cs="宋体"/>
                <w:color w:val="auto"/>
                <w:szCs w:val="21"/>
                <w:highlight w:val="none"/>
                <w:vertAlign w:val="subscript"/>
              </w:rPr>
              <w:t>1</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vAlign w:val="center"/>
          </w:tcPr>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szCs w:val="21"/>
                <w:highlight w:val="none"/>
              </w:rPr>
              <w:t>理项目</w:t>
            </w:r>
            <w:r>
              <w:rPr>
                <w:rFonts w:hint="eastAsia" w:ascii="宋体" w:hAnsi="宋体" w:cs="宋体"/>
                <w:color w:val="auto"/>
                <w:kern w:val="0"/>
                <w:szCs w:val="21"/>
                <w:highlight w:val="none"/>
              </w:rPr>
              <w:t>资格审查要求职务业绩加</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2"/>
              <w:ind w:left="243" w:leftChars="116" w:firstLine="2" w:firstLineChars="0"/>
              <w:rPr>
                <w:color w:val="auto"/>
                <w:highlight w:val="none"/>
              </w:rPr>
            </w:pPr>
            <w:r>
              <w:rPr>
                <w:rFonts w:hint="eastAsia"/>
                <w:color w:val="auto"/>
                <w:highlight w:val="none"/>
              </w:rPr>
              <w:t>注：</w:t>
            </w:r>
            <w:r>
              <w:rPr>
                <w:color w:val="auto"/>
                <w:highlight w:val="none"/>
              </w:rPr>
              <w:t>1.</w:t>
            </w:r>
            <w:r>
              <w:rPr>
                <w:rFonts w:hint="eastAsia" w:ascii="宋体" w:hAnsi="宋体" w:cs="宋体"/>
                <w:color w:val="auto"/>
                <w:szCs w:val="21"/>
                <w:highlight w:val="none"/>
              </w:rPr>
              <w:t xml:space="preserve"> 单洞长度，</w:t>
            </w:r>
            <w:r>
              <w:rPr>
                <w:rFonts w:hint="eastAsia"/>
                <w:color w:val="auto"/>
                <w:highlight w:val="none"/>
              </w:rPr>
              <w:t>对于具有双洞的隧道，其承担隧道长度以左右线隧道长度较长的为准；若只有单洞的，则以承担单洞隧道长度数据为准。隧道单洞长度不含斜井、竖井、支洞。下同。</w:t>
            </w:r>
          </w:p>
          <w:p>
            <w:pPr>
              <w:pStyle w:val="2"/>
              <w:ind w:left="243" w:leftChars="116" w:firstLine="428" w:firstLineChars="0"/>
              <w:rPr>
                <w:color w:val="auto"/>
                <w:highlight w:val="none"/>
              </w:rPr>
            </w:pPr>
            <w:r>
              <w:rPr>
                <w:color w:val="auto"/>
                <w:highlight w:val="none"/>
              </w:rPr>
              <w:t>2.</w:t>
            </w:r>
            <w:r>
              <w:rPr>
                <w:rFonts w:hint="eastAsia"/>
                <w:color w:val="auto"/>
                <w:highlight w:val="none"/>
              </w:rPr>
              <w:t>本项“</w:t>
            </w:r>
            <w:r>
              <w:rPr>
                <w:rFonts w:hint="eastAsia" w:ascii="宋体" w:hAnsi="宋体" w:cs="宋体"/>
                <w:color w:val="auto"/>
                <w:szCs w:val="21"/>
                <w:highlight w:val="none"/>
              </w:rPr>
              <w:t>□中隧道及以上；□长隧道及以上；□特长隧道；□单洞长度</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米及以上特长隧道</w:t>
            </w:r>
            <w:r>
              <w:rPr>
                <w:rFonts w:hint="eastAsia"/>
                <w:color w:val="auto"/>
                <w:highlight w:val="none"/>
              </w:rPr>
              <w:t>”为单选项，该隧道工程可为路基土建工程中包含的内容或者单独隧道工程合同的项目。下同。</w:t>
            </w:r>
          </w:p>
          <w:p>
            <w:pPr>
              <w:widowControl/>
              <w:adjustRightInd w:val="0"/>
              <w:snapToGrid w:val="0"/>
              <w:spacing w:line="400" w:lineRule="exact"/>
              <w:ind w:left="211" w:hanging="210" w:hanging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rPr>
              <w:t>个国内新建或改扩建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公路路面工程施工监理项目</w:t>
            </w:r>
          </w:p>
          <w:p>
            <w:pPr>
              <w:widowControl/>
              <w:adjustRightInd w:val="0"/>
              <w:snapToGrid w:val="0"/>
              <w:spacing w:line="400" w:lineRule="exact"/>
              <w:ind w:firstLine="210" w:firstLineChars="100"/>
              <w:rPr>
                <w:rFonts w:hint="eastAsia" w:ascii="宋体" w:hAnsi="宋体" w:cs="宋体"/>
                <w:color w:val="auto"/>
                <w:kern w:val="0"/>
                <w:szCs w:val="21"/>
                <w:highlight w:val="none"/>
              </w:rPr>
            </w:pPr>
            <w:r>
              <w:rPr>
                <w:rFonts w:hint="eastAsia" w:ascii="宋体" w:hAnsi="宋体" w:cs="宋体"/>
                <w:color w:val="auto"/>
                <w:szCs w:val="21"/>
                <w:highlight w:val="none"/>
              </w:rPr>
              <w:t>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p>
          <w:p>
            <w:pPr>
              <w:widowControl/>
              <w:adjustRightInd w:val="0"/>
              <w:snapToGrid w:val="0"/>
              <w:spacing w:line="40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rPr>
              <w:t>个国内新建或改扩建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公路机电工程施工监理项目中担任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座单洞长度不小于</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公路隧道机电施工监理项目中担任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w:t>
            </w:r>
            <w:r>
              <w:rPr>
                <w:rFonts w:hint="eastAsia" w:ascii="宋体" w:hAnsi="宋体"/>
                <w:color w:val="auto"/>
                <w:szCs w:val="21"/>
                <w:highlight w:val="none"/>
              </w:rPr>
              <w:t>国内房建工程施工监理项目中担任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 、（3）合计得分最多至满分为止。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1" w:hRule="atLeast"/>
          <w:jc w:val="center"/>
        </w:trPr>
        <w:tc>
          <w:tcPr>
            <w:tcW w:w="845" w:type="dxa"/>
            <w:vMerge w:val="continue"/>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副总监理工程师任职资格与业绩B</w:t>
            </w:r>
            <w:r>
              <w:rPr>
                <w:rFonts w:hint="eastAsia" w:ascii="宋体" w:hAnsi="宋体" w:cs="宋体"/>
                <w:color w:val="auto"/>
                <w:szCs w:val="21"/>
                <w:highlight w:val="none"/>
                <w:vertAlign w:val="subscript"/>
              </w:rPr>
              <w:t>2</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vAlign w:val="center"/>
          </w:tcPr>
          <w:p>
            <w:pPr>
              <w:widowControl/>
              <w:adjustRightInd w:val="0"/>
              <w:snapToGrid w:val="0"/>
              <w:spacing w:line="40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（1）满足资格审查条件最低要求得</w:t>
            </w:r>
          </w:p>
          <w:p>
            <w:pPr>
              <w:widowControl/>
              <w:adjustRightInd w:val="0"/>
              <w:snapToGrid w:val="0"/>
              <w:spacing w:line="400" w:lineRule="exact"/>
              <w:ind w:left="210" w:hanging="210" w:hangingChars="100"/>
              <w:rPr>
                <w:color w:val="auto"/>
                <w:highlight w:val="none"/>
              </w:rPr>
            </w:pPr>
            <w:r>
              <w:rPr>
                <w:color w:val="auto"/>
                <w:highlight w:val="none"/>
                <w:u w:val="single"/>
              </w:rPr>
              <w:t xml:space="preserve">   </w:t>
            </w:r>
            <w:r>
              <w:rPr>
                <w:rFonts w:hint="eastAsia"/>
                <w:color w:val="auto"/>
                <w:highlight w:val="none"/>
              </w:rPr>
              <w:t>分；</w:t>
            </w:r>
          </w:p>
          <w:p>
            <w:pPr>
              <w:widowControl/>
              <w:adjustRightInd w:val="0"/>
              <w:snapToGrid w:val="0"/>
              <w:spacing w:line="40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（3）扣除满足资格条件最低要求的业绩数量后：</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级及以上公路路基土建工程施工监理资格审查要求职务业绩加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restart"/>
            <w:tcBorders>
              <w:top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2.2.4（2）</w:t>
            </w:r>
          </w:p>
        </w:tc>
        <w:tc>
          <w:tcPr>
            <w:tcW w:w="1277"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人员</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992" w:type="dxa"/>
            <w:vMerge w:val="restart"/>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46"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副总监理工程师任职资格与业绩B</w:t>
            </w:r>
            <w:r>
              <w:rPr>
                <w:rFonts w:hint="eastAsia" w:ascii="宋体" w:hAnsi="宋体" w:cs="宋体"/>
                <w:color w:val="auto"/>
                <w:szCs w:val="21"/>
                <w:highlight w:val="none"/>
                <w:vertAlign w:val="subscript"/>
              </w:rPr>
              <w:t>2</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vAlign w:val="center"/>
          </w:tcPr>
          <w:p>
            <w:pPr>
              <w:widowControl/>
              <w:adjustRightInd w:val="0"/>
              <w:snapToGrid w:val="0"/>
              <w:spacing w:line="39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rPr>
              <w:t>座国内新建或改扩建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公路特大桥</w:t>
            </w:r>
            <w:r>
              <w:rPr>
                <w:rFonts w:hint="eastAsia" w:ascii="宋体" w:hAnsi="宋体" w:cs="宋体"/>
                <w:color w:val="auto"/>
                <w:kern w:val="0"/>
                <w:szCs w:val="21"/>
                <w:highlight w:val="none"/>
              </w:rPr>
              <w:t>施工监理资格审查要求职务业绩加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p>
          <w:p>
            <w:pPr>
              <w:widowControl/>
              <w:adjustRightInd w:val="0"/>
              <w:snapToGrid w:val="0"/>
              <w:spacing w:line="390" w:lineRule="exact"/>
              <w:ind w:left="199" w:leftChars="95"/>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p>
          <w:p>
            <w:pPr>
              <w:widowControl/>
              <w:adjustRightInd w:val="0"/>
              <w:snapToGrid w:val="0"/>
              <w:spacing w:line="39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390" w:lineRule="exact"/>
              <w:rPr>
                <w:rFonts w:hint="eastAsia" w:ascii="宋体" w:hAnsi="宋体" w:cs="宋体"/>
                <w:color w:val="auto"/>
                <w:kern w:val="0"/>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rPr>
              <w:t>座国内新建或改扩建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w:t>
            </w:r>
          </w:p>
          <w:p>
            <w:pPr>
              <w:widowControl/>
              <w:adjustRightInd w:val="0"/>
              <w:snapToGrid w:val="0"/>
              <w:spacing w:line="390" w:lineRule="exact"/>
              <w:ind w:firstLine="210" w:firstLineChars="100"/>
              <w:rPr>
                <w:rFonts w:hint="eastAsia" w:ascii="宋体" w:hAnsi="宋体" w:cs="宋体"/>
                <w:color w:val="auto"/>
                <w:szCs w:val="21"/>
                <w:highlight w:val="none"/>
              </w:rPr>
            </w:pPr>
            <w:r>
              <w:rPr>
                <w:rFonts w:hint="eastAsia" w:ascii="宋体" w:hAnsi="宋体" w:cs="宋体"/>
                <w:color w:val="auto"/>
                <w:kern w:val="0"/>
                <w:szCs w:val="21"/>
                <w:highlight w:val="none"/>
              </w:rPr>
              <w:t>及以上</w:t>
            </w:r>
            <w:r>
              <w:rPr>
                <w:rFonts w:hint="eastAsia" w:ascii="宋体" w:hAnsi="宋体" w:cs="宋体"/>
                <w:color w:val="auto"/>
                <w:szCs w:val="21"/>
                <w:highlight w:val="none"/>
              </w:rPr>
              <w:t>公路（□中隧道及以上；□长</w:t>
            </w:r>
          </w:p>
          <w:p>
            <w:pPr>
              <w:widowControl/>
              <w:adjustRightInd w:val="0"/>
              <w:snapToGrid w:val="0"/>
              <w:spacing w:line="39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隧道及以上；□特长隧道；□单洞长</w:t>
            </w:r>
          </w:p>
          <w:p>
            <w:pPr>
              <w:widowControl/>
              <w:adjustRightInd w:val="0"/>
              <w:snapToGrid w:val="0"/>
              <w:spacing w:line="39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度</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米及以上特长隧道）施工监</w:t>
            </w:r>
          </w:p>
          <w:p>
            <w:pPr>
              <w:widowControl/>
              <w:adjustRightInd w:val="0"/>
              <w:snapToGrid w:val="0"/>
              <w:spacing w:line="390" w:lineRule="exact"/>
              <w:ind w:firstLine="210" w:firstLineChars="100"/>
              <w:rPr>
                <w:rFonts w:hint="eastAsia" w:ascii="宋体" w:hAnsi="宋体" w:cs="宋体"/>
                <w:color w:val="auto"/>
                <w:kern w:val="0"/>
                <w:szCs w:val="21"/>
                <w:highlight w:val="none"/>
              </w:rPr>
            </w:pPr>
            <w:r>
              <w:rPr>
                <w:rFonts w:hint="eastAsia" w:ascii="宋体" w:hAnsi="宋体" w:cs="宋体"/>
                <w:color w:val="auto"/>
                <w:szCs w:val="21"/>
                <w:highlight w:val="none"/>
              </w:rPr>
              <w:t>理项目</w:t>
            </w:r>
            <w:r>
              <w:rPr>
                <w:rFonts w:hint="eastAsia" w:ascii="宋体" w:hAnsi="宋体" w:cs="宋体"/>
                <w:color w:val="auto"/>
                <w:kern w:val="0"/>
                <w:szCs w:val="21"/>
                <w:highlight w:val="none"/>
              </w:rPr>
              <w:t>资格审查要求职务业绩加</w:t>
            </w:r>
          </w:p>
          <w:p>
            <w:pPr>
              <w:widowControl/>
              <w:adjustRightInd w:val="0"/>
              <w:snapToGrid w:val="0"/>
              <w:spacing w:line="39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39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rPr>
              <w:t>个国内新建或改扩建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公路路面工程施工监理项目中担任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p>
          <w:p>
            <w:pPr>
              <w:widowControl/>
              <w:adjustRightInd w:val="0"/>
              <w:snapToGrid w:val="0"/>
              <w:spacing w:line="39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39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rPr>
              <w:t>个国内新建或改扩建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公路机电工程施工监理项目中担任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p>
          <w:p>
            <w:pPr>
              <w:widowControl/>
              <w:adjustRightInd w:val="0"/>
              <w:snapToGrid w:val="0"/>
              <w:spacing w:line="39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39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座单洞长度不小于</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公路隧道机电施工监理项目中担任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39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w:t>
            </w:r>
            <w:r>
              <w:rPr>
                <w:rFonts w:hint="eastAsia" w:ascii="宋体" w:hAnsi="宋体"/>
                <w:color w:val="auto"/>
                <w:szCs w:val="21"/>
                <w:highlight w:val="none"/>
              </w:rPr>
              <w:t>国内房建工程施工监理项目中担任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390" w:lineRule="exac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widowControl/>
              <w:numPr>
                <w:ilvl w:val="255"/>
                <w:numId w:val="0"/>
              </w:numPr>
              <w:adjustRightInd w:val="0"/>
              <w:snapToGrid w:val="0"/>
              <w:spacing w:line="39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 、（3）合计得分最多至满分为止。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驻地监理工程师任职资格与业绩B</w:t>
            </w:r>
            <w:r>
              <w:rPr>
                <w:rFonts w:hint="eastAsia" w:ascii="宋体" w:hAnsi="宋体" w:cs="宋体"/>
                <w:color w:val="auto"/>
                <w:szCs w:val="21"/>
                <w:highlight w:val="none"/>
                <w:vertAlign w:val="subscript"/>
              </w:rPr>
              <w:t>3</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 满足资格审查条件最低要求得</w:t>
            </w:r>
          </w:p>
          <w:p>
            <w:pPr>
              <w:widowControl/>
              <w:adjustRightInd w:val="0"/>
              <w:snapToGrid w:val="0"/>
              <w:spacing w:line="400" w:lineRule="exact"/>
              <w:ind w:left="210" w:leftChars="100"/>
              <w:rPr>
                <w:color w:val="auto"/>
                <w:highlight w:val="none"/>
              </w:rPr>
            </w:pPr>
            <w:r>
              <w:rPr>
                <w:color w:val="auto"/>
                <w:highlight w:val="none"/>
                <w:u w:val="single"/>
              </w:rPr>
              <w:t xml:space="preserve">   </w:t>
            </w:r>
            <w:r>
              <w:rPr>
                <w:rFonts w:hint="eastAsia"/>
                <w:color w:val="auto"/>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（3）扣除满足资格条件最低要求的业绩数量后：</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级及以上公路路基土建工程施工监理资格审查要求职务业绩加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rPr>
              <w:t>座国内新建或改扩建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公路特大桥</w:t>
            </w:r>
            <w:r>
              <w:rPr>
                <w:rFonts w:hint="eastAsia" w:ascii="宋体" w:hAnsi="宋体" w:cs="宋体"/>
                <w:color w:val="auto"/>
                <w:kern w:val="0"/>
                <w:szCs w:val="21"/>
                <w:highlight w:val="none"/>
              </w:rPr>
              <w:t>施工监理资格审查要求职务业绩加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rPr>
              <w:t>分；□每增加</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rPr>
              <w:t>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rPr>
              <w:t>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rPr>
              <w:t>座国内新建或改扩建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w:t>
            </w:r>
          </w:p>
          <w:p>
            <w:pPr>
              <w:widowControl/>
              <w:adjustRightInd w:val="0"/>
              <w:snapToGrid w:val="0"/>
              <w:spacing w:line="400" w:lineRule="exact"/>
              <w:ind w:left="210" w:leftChars="100"/>
              <w:rPr>
                <w:rFonts w:hint="eastAsia" w:ascii="宋体" w:hAnsi="宋体" w:cs="宋体"/>
                <w:color w:val="auto"/>
                <w:szCs w:val="21"/>
                <w:highlight w:val="none"/>
              </w:rPr>
            </w:pPr>
            <w:r>
              <w:rPr>
                <w:rFonts w:hint="eastAsia" w:ascii="宋体" w:hAnsi="宋体" w:cs="宋体"/>
                <w:color w:val="auto"/>
                <w:kern w:val="0"/>
                <w:szCs w:val="21"/>
                <w:highlight w:val="none"/>
              </w:rPr>
              <w:t>及以上</w:t>
            </w:r>
            <w:r>
              <w:rPr>
                <w:rFonts w:hint="eastAsia" w:ascii="宋体" w:hAnsi="宋体" w:cs="宋体"/>
                <w:color w:val="auto"/>
                <w:szCs w:val="21"/>
                <w:highlight w:val="none"/>
              </w:rPr>
              <w:t>公路（□中隧道及以上；□长</w:t>
            </w:r>
          </w:p>
          <w:p>
            <w:pPr>
              <w:widowControl/>
              <w:adjustRightInd w:val="0"/>
              <w:snapToGrid w:val="0"/>
              <w:spacing w:line="400" w:lineRule="exact"/>
              <w:ind w:left="210" w:leftChars="100"/>
              <w:rPr>
                <w:rFonts w:hint="eastAsia" w:ascii="宋体" w:hAnsi="宋体" w:cs="宋体"/>
                <w:color w:val="auto"/>
                <w:szCs w:val="21"/>
                <w:highlight w:val="none"/>
              </w:rPr>
            </w:pPr>
            <w:r>
              <w:rPr>
                <w:rFonts w:hint="eastAsia" w:ascii="宋体" w:hAnsi="宋体" w:cs="宋体"/>
                <w:color w:val="auto"/>
                <w:szCs w:val="21"/>
                <w:highlight w:val="none"/>
              </w:rPr>
              <w:t>隧道及以上；□特长隧道；□单洞长</w:t>
            </w:r>
          </w:p>
          <w:p>
            <w:pPr>
              <w:widowControl/>
              <w:adjustRightInd w:val="0"/>
              <w:snapToGrid w:val="0"/>
              <w:spacing w:line="400" w:lineRule="exact"/>
              <w:ind w:left="210" w:leftChars="100"/>
              <w:rPr>
                <w:rFonts w:hint="eastAsia" w:ascii="宋体" w:hAnsi="宋体" w:cs="宋体"/>
                <w:color w:val="auto"/>
                <w:szCs w:val="21"/>
                <w:highlight w:val="none"/>
              </w:rPr>
            </w:pPr>
            <w:r>
              <w:rPr>
                <w:rFonts w:hint="eastAsia" w:ascii="宋体" w:hAnsi="宋体" w:cs="宋体"/>
                <w:color w:val="auto"/>
                <w:szCs w:val="21"/>
                <w:highlight w:val="none"/>
              </w:rPr>
              <w:t>度</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米及以上特长隧道）施工监</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szCs w:val="21"/>
                <w:highlight w:val="none"/>
              </w:rPr>
              <w:t>理项目</w:t>
            </w:r>
            <w:r>
              <w:rPr>
                <w:rFonts w:hint="eastAsia" w:ascii="宋体" w:hAnsi="宋体" w:cs="宋体"/>
                <w:color w:val="auto"/>
                <w:kern w:val="0"/>
                <w:szCs w:val="21"/>
                <w:highlight w:val="none"/>
              </w:rPr>
              <w:t>资格审查要求职务业绩加</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公路路面工程施工监理项目中担任</w:t>
            </w:r>
            <w:r>
              <w:rPr>
                <w:rFonts w:hint="eastAsia" w:ascii="宋体" w:hAnsi="宋体" w:cs="宋体"/>
                <w:color w:val="auto"/>
                <w:kern w:val="0"/>
                <w:szCs w:val="21"/>
                <w:highlight w:val="none"/>
              </w:rPr>
              <w:t>资格审查要求职务业绩加</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公路机电工程施工监理项目中担任</w:t>
            </w:r>
            <w:r>
              <w:rPr>
                <w:rFonts w:hint="eastAsia" w:ascii="宋体" w:hAnsi="宋体" w:cs="宋体"/>
                <w:color w:val="auto"/>
                <w:kern w:val="0"/>
                <w:szCs w:val="21"/>
                <w:highlight w:val="none"/>
              </w:rPr>
              <w:t>资格审查要求职务业绩加</w:t>
            </w:r>
          </w:p>
          <w:p>
            <w:pPr>
              <w:widowControl/>
              <w:adjustRightInd w:val="0"/>
              <w:snapToGrid w:val="0"/>
              <w:spacing w:line="400" w:lineRule="exact"/>
              <w:ind w:left="210" w:leftChars="100"/>
              <w:rPr>
                <w:rFonts w:hint="eastAsia" w:ascii="宋体" w:hAnsi="宋体" w:cs="宋体"/>
                <w:color w:val="auto"/>
                <w:kern w:val="0"/>
                <w:szCs w:val="21"/>
                <w:highlight w:val="none"/>
                <w:u w:val="single"/>
              </w:rPr>
            </w:pPr>
            <w:r>
              <w:rPr>
                <w:rFonts w:hint="eastAsia" w:ascii="宋体" w:hAnsi="宋体" w:cs="宋体"/>
                <w:b/>
                <w:color w:val="auto"/>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2.2.4（2）</w:t>
            </w:r>
          </w:p>
        </w:tc>
        <w:tc>
          <w:tcPr>
            <w:tcW w:w="1277"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人员</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992" w:type="dxa"/>
            <w:vMerge w:val="restart"/>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46"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驻地监理工程师任职资格与业绩B</w:t>
            </w:r>
            <w:r>
              <w:rPr>
                <w:rFonts w:hint="eastAsia" w:ascii="宋体" w:hAnsi="宋体" w:cs="宋体"/>
                <w:color w:val="auto"/>
                <w:szCs w:val="21"/>
                <w:highlight w:val="none"/>
                <w:vertAlign w:val="subscript"/>
              </w:rPr>
              <w:t>3</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vAlign w:val="center"/>
          </w:tcPr>
          <w:p>
            <w:pPr>
              <w:widowControl/>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座单洞长度不小于</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公路隧道机电施工监理项目中担任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w:t>
            </w:r>
            <w:r>
              <w:rPr>
                <w:rFonts w:hint="eastAsia" w:ascii="宋体" w:hAnsi="宋体"/>
                <w:color w:val="auto"/>
                <w:szCs w:val="21"/>
                <w:highlight w:val="none"/>
              </w:rPr>
              <w:t>国内房建工程施工监理项目中担任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 、（3）合计得分最多至满分为止。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试验室主任任职资格与业绩B</w:t>
            </w:r>
            <w:r>
              <w:rPr>
                <w:rFonts w:hint="eastAsia" w:ascii="宋体" w:hAnsi="宋体" w:cs="宋体"/>
                <w:color w:val="auto"/>
                <w:szCs w:val="21"/>
                <w:highlight w:val="none"/>
                <w:vertAlign w:val="subscript"/>
              </w:rPr>
              <w:t>4</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（1）满足资格审查条件最低要求得</w:t>
            </w:r>
          </w:p>
          <w:p>
            <w:pPr>
              <w:widowControl/>
              <w:spacing w:line="400" w:lineRule="exact"/>
              <w:rPr>
                <w:color w:val="auto"/>
                <w:highlight w:val="none"/>
              </w:rPr>
            </w:pPr>
            <w:r>
              <w:rPr>
                <w:color w:val="auto"/>
                <w:highlight w:val="none"/>
                <w:u w:val="single"/>
              </w:rPr>
              <w:t xml:space="preserve">   </w:t>
            </w:r>
            <w:r>
              <w:rPr>
                <w:rFonts w:hint="eastAsia"/>
                <w:color w:val="auto"/>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（3）扣除满足资格条件最低要求的业绩数量后根据项目要求设置对应职务的要求：</w:t>
            </w:r>
          </w:p>
          <w:p>
            <w:pPr>
              <w:pStyle w:val="276"/>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个新建或改扩建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级及以上公路工程</w:t>
            </w:r>
            <w:r>
              <w:rPr>
                <w:rFonts w:hint="eastAsia" w:ascii="宋体" w:hAnsi="宋体" w:cs="宋体"/>
                <w:color w:val="auto"/>
                <w:szCs w:val="21"/>
                <w:highlight w:val="none"/>
              </w:rPr>
              <w:t>项目中担任过</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 、（3）</w:t>
            </w:r>
            <w:r>
              <w:rPr>
                <w:rFonts w:hint="eastAsia" w:ascii="宋体" w:hAnsi="宋体" w:cs="宋体"/>
                <w:color w:val="auto"/>
                <w:szCs w:val="21"/>
                <w:highlight w:val="none"/>
              </w:rPr>
              <w:t>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vAlign w:val="center"/>
          </w:tcPr>
          <w:p>
            <w:pPr>
              <w:pStyle w:val="276"/>
              <w:adjustRightInd w:val="0"/>
              <w:snapToGrid w:val="0"/>
              <w:spacing w:line="400" w:lineRule="exact"/>
              <w:jc w:val="left"/>
              <w:rPr>
                <w:rFonts w:hint="eastAsia" w:ascii="宋体" w:hAnsi="宋体" w:cs="宋体"/>
                <w:b/>
                <w:color w:val="auto"/>
                <w:szCs w:val="21"/>
                <w:highlight w:val="none"/>
              </w:rPr>
            </w:pPr>
            <w:r>
              <w:rPr>
                <w:rFonts w:hint="eastAsia" w:ascii="宋体" w:hAnsi="宋体" w:cs="宋体"/>
                <w:color w:val="auto"/>
                <w:szCs w:val="21"/>
                <w:highlight w:val="none"/>
              </w:rPr>
              <w:t>□桥梁专业监理工程师任职资格与业绩B</w:t>
            </w:r>
            <w:r>
              <w:rPr>
                <w:rFonts w:hint="eastAsia" w:ascii="宋体" w:hAnsi="宋体" w:cs="宋体"/>
                <w:color w:val="auto"/>
                <w:szCs w:val="21"/>
                <w:highlight w:val="none"/>
                <w:vertAlign w:val="subscript"/>
              </w:rPr>
              <w:t>5.1</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（1）满足资格审查条件最低要求得</w:t>
            </w:r>
          </w:p>
          <w:p>
            <w:pPr>
              <w:spacing w:line="400" w:lineRule="exact"/>
              <w:rPr>
                <w:color w:val="auto"/>
                <w:highlight w:val="none"/>
              </w:rPr>
            </w:pPr>
            <w:r>
              <w:rPr>
                <w:color w:val="auto"/>
                <w:highlight w:val="none"/>
                <w:u w:val="single"/>
              </w:rPr>
              <w:t xml:space="preserve">   </w:t>
            </w:r>
            <w:r>
              <w:rPr>
                <w:rFonts w:hint="eastAsia"/>
                <w:color w:val="auto"/>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（3）扣除满足资格审查条件最低要求的业绩数量后根据项目要求设置对应专业监理工程师的要求：</w:t>
            </w:r>
          </w:p>
          <w:p>
            <w:pPr>
              <w:pStyle w:val="276"/>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级及以上公路</w:t>
            </w:r>
            <w:r>
              <w:rPr>
                <w:rFonts w:hint="eastAsia" w:ascii="宋体" w:hAnsi="宋体" w:cs="宋体"/>
                <w:color w:val="auto"/>
                <w:szCs w:val="21"/>
                <w:highlight w:val="none"/>
              </w:rPr>
              <w:t>（□大桥及以上；□特大桥）施工监理项目</w:t>
            </w:r>
            <w:r>
              <w:rPr>
                <w:rFonts w:hint="eastAsia" w:ascii="宋体" w:hAnsi="宋体" w:cs="宋体"/>
                <w:color w:val="auto"/>
                <w:szCs w:val="21"/>
                <w:highlight w:val="none"/>
                <w:u w:val="single"/>
              </w:rPr>
              <w:t>桥梁</w:t>
            </w:r>
            <w:r>
              <w:rPr>
                <w:rFonts w:hint="eastAsia" w:ascii="宋体" w:hAnsi="宋体" w:cs="宋体"/>
                <w:color w:val="auto"/>
                <w:szCs w:val="21"/>
                <w:highlight w:val="none"/>
              </w:rPr>
              <w:t>专业监理工程师</w:t>
            </w:r>
            <w:r>
              <w:rPr>
                <w:rFonts w:hint="eastAsia" w:ascii="宋体" w:hAnsi="宋体" w:cs="宋体"/>
                <w:color w:val="auto"/>
                <w:kern w:val="0"/>
                <w:szCs w:val="21"/>
                <w:highlight w:val="none"/>
              </w:rPr>
              <w:t>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（2）、（3）</w:t>
            </w:r>
            <w:r>
              <w:rPr>
                <w:rFonts w:hint="eastAsia" w:ascii="宋体" w:hAnsi="宋体" w:cs="宋体"/>
                <w:color w:val="auto"/>
                <w:szCs w:val="21"/>
                <w:highlight w:val="none"/>
              </w:rPr>
              <w:t>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□隧道专业监理工程师任职资格与业绩B</w:t>
            </w:r>
            <w:r>
              <w:rPr>
                <w:rFonts w:hint="eastAsia" w:ascii="宋体" w:hAnsi="宋体" w:cs="宋体"/>
                <w:color w:val="auto"/>
                <w:szCs w:val="21"/>
                <w:highlight w:val="none"/>
                <w:vertAlign w:val="subscript"/>
              </w:rPr>
              <w:t>5.2</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vAlign w:val="center"/>
          </w:tcPr>
          <w:p>
            <w:pPr>
              <w:widowControl/>
              <w:adjustRightInd w:val="0"/>
              <w:snapToGrid w:val="0"/>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（1）满足资格审查条件最低要求得</w:t>
            </w:r>
          </w:p>
          <w:p>
            <w:pPr>
              <w:spacing w:line="380" w:lineRule="exact"/>
              <w:rPr>
                <w:color w:val="auto"/>
                <w:highlight w:val="none"/>
              </w:rPr>
            </w:pPr>
            <w:r>
              <w:rPr>
                <w:color w:val="auto"/>
                <w:highlight w:val="none"/>
                <w:u w:val="single"/>
              </w:rPr>
              <w:t xml:space="preserve">   </w:t>
            </w:r>
            <w:r>
              <w:rPr>
                <w:rFonts w:hint="eastAsia"/>
                <w:color w:val="auto"/>
                <w:highlight w:val="none"/>
              </w:rPr>
              <w:t>分；</w:t>
            </w:r>
          </w:p>
          <w:p>
            <w:pPr>
              <w:widowControl/>
              <w:adjustRightInd w:val="0"/>
              <w:snapToGrid w:val="0"/>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（3）扣除满足资格审查条件最低要求的业绩数量后根据项目要求设置对应专业监理工程师的要求：</w:t>
            </w:r>
          </w:p>
          <w:p>
            <w:pPr>
              <w:pStyle w:val="276"/>
              <w:adjustRightInd w:val="0"/>
              <w:snapToGrid w:val="0"/>
              <w:spacing w:line="38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级及以上公路</w:t>
            </w:r>
            <w:r>
              <w:rPr>
                <w:rFonts w:hint="eastAsia" w:ascii="宋体" w:hAnsi="宋体" w:cs="宋体"/>
                <w:color w:val="auto"/>
                <w:szCs w:val="21"/>
                <w:highlight w:val="none"/>
              </w:rPr>
              <w:t>（□中隧道及以上；□长隧道及以上；□特长隧道）施工监理项目隧道专业监理工程师</w:t>
            </w:r>
            <w:r>
              <w:rPr>
                <w:rFonts w:hint="eastAsia" w:ascii="宋体" w:hAnsi="宋体" w:cs="宋体"/>
                <w:color w:val="auto"/>
                <w:kern w:val="0"/>
                <w:szCs w:val="21"/>
                <w:highlight w:val="none"/>
              </w:rPr>
              <w:t>职务业绩加</w:t>
            </w:r>
          </w:p>
          <w:p>
            <w:pPr>
              <w:pStyle w:val="276"/>
              <w:adjustRightInd w:val="0"/>
              <w:snapToGrid w:val="0"/>
              <w:spacing w:line="38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 、（3）</w:t>
            </w:r>
            <w:r>
              <w:rPr>
                <w:rFonts w:hint="eastAsia" w:ascii="宋体" w:hAnsi="宋体" w:cs="宋体"/>
                <w:color w:val="auto"/>
                <w:szCs w:val="21"/>
                <w:highlight w:val="none"/>
              </w:rPr>
              <w:t>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vAlign w:val="center"/>
          </w:tcPr>
          <w:p>
            <w:pPr>
              <w:pStyle w:val="276"/>
              <w:adjustRightInd w:val="0"/>
              <w:snapToGrid w:val="0"/>
              <w:spacing w:line="380" w:lineRule="exact"/>
              <w:jc w:val="left"/>
              <w:rPr>
                <w:rFonts w:hint="eastAsia" w:ascii="宋体" w:hAnsi="宋体" w:cs="宋体"/>
                <w:color w:val="auto"/>
                <w:szCs w:val="21"/>
                <w:highlight w:val="none"/>
              </w:rPr>
            </w:pP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专业监理工程师任职资格与业绩B</w:t>
            </w:r>
            <w:r>
              <w:rPr>
                <w:rFonts w:hint="eastAsia" w:ascii="宋体" w:hAnsi="宋体" w:cs="宋体"/>
                <w:color w:val="auto"/>
                <w:szCs w:val="21"/>
                <w:highlight w:val="none"/>
                <w:vertAlign w:val="subscript"/>
              </w:rPr>
              <w:t>5.3</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84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5812" w:type="dxa"/>
            <w:gridSpan w:val="5"/>
            <w:vAlign w:val="center"/>
          </w:tcPr>
          <w:p>
            <w:pPr>
              <w:pStyle w:val="276"/>
              <w:adjustRightInd w:val="0"/>
              <w:snapToGrid w:val="0"/>
              <w:spacing w:line="400" w:lineRule="exact"/>
              <w:jc w:val="left"/>
              <w:rPr>
                <w:rFonts w:hint="eastAsia" w:ascii="宋体" w:hAnsi="宋体" w:cs="宋体"/>
                <w:color w:val="auto"/>
                <w:highlight w:val="none"/>
              </w:rPr>
            </w:pPr>
            <w:r>
              <w:rPr>
                <w:rFonts w:hint="eastAsia" w:ascii="宋体" w:hAnsi="宋体" w:cs="宋体"/>
                <w:color w:val="auto"/>
                <w:highlight w:val="none"/>
              </w:rPr>
              <w:t>本项仅适用于特别复杂的特大桥和特长隧道项目主体工程以及其他有特殊要求的工程。对附录5资格审查条件（其他主要监理人员最低要求）所列人员的资格条件内容进行详细评审综合打分。其他主要人员得分为各专业监理工程师人员得分合计，即：B</w:t>
            </w:r>
            <w:r>
              <w:rPr>
                <w:rFonts w:hint="eastAsia" w:ascii="宋体" w:hAnsi="宋体" w:cs="宋体"/>
                <w:color w:val="auto"/>
                <w:highlight w:val="none"/>
                <w:vertAlign w:val="subscript"/>
              </w:rPr>
              <w:t>5</w:t>
            </w:r>
            <w:r>
              <w:rPr>
                <w:rFonts w:hint="eastAsia" w:ascii="宋体" w:hAnsi="宋体" w:cs="宋体"/>
                <w:color w:val="auto"/>
                <w:highlight w:val="none"/>
              </w:rPr>
              <w:t>=B</w:t>
            </w:r>
            <w:r>
              <w:rPr>
                <w:rFonts w:hint="eastAsia" w:ascii="宋体" w:hAnsi="宋体" w:cs="宋体"/>
                <w:color w:val="auto"/>
                <w:highlight w:val="none"/>
                <w:vertAlign w:val="subscript"/>
              </w:rPr>
              <w:t>5.1</w:t>
            </w:r>
            <w:r>
              <w:rPr>
                <w:rFonts w:hint="eastAsia" w:ascii="宋体" w:hAnsi="宋体" w:cs="宋体"/>
                <w:color w:val="auto"/>
                <w:highlight w:val="none"/>
              </w:rPr>
              <w:t>+B</w:t>
            </w:r>
            <w:r>
              <w:rPr>
                <w:rFonts w:hint="eastAsia" w:ascii="宋体" w:hAnsi="宋体" w:cs="宋体"/>
                <w:color w:val="auto"/>
                <w:highlight w:val="none"/>
                <w:vertAlign w:val="subscript"/>
              </w:rPr>
              <w:t>5.2</w:t>
            </w:r>
            <w:r>
              <w:rPr>
                <w:rFonts w:hint="eastAsia" w:ascii="宋体" w:hAnsi="宋体" w:cs="宋体"/>
                <w:color w:val="auto"/>
                <w:highlight w:val="none"/>
              </w:rPr>
              <w:t>+…。</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highlight w:val="none"/>
              </w:rPr>
              <w:t>其他主要人员包括：</w:t>
            </w:r>
            <w:r>
              <w:rPr>
                <w:rFonts w:hint="eastAsia" w:ascii="宋体" w:hAnsi="宋体" w:cs="宋体"/>
                <w:color w:val="auto"/>
                <w:szCs w:val="21"/>
                <w:highlight w:val="none"/>
              </w:rPr>
              <w:t>桥梁专业监理工程师、隧道专业监理工程师、其他专业监理工程师。</w:t>
            </w:r>
          </w:p>
          <w:p>
            <w:pPr>
              <w:pStyle w:val="276"/>
              <w:adjustRightInd w:val="0"/>
              <w:snapToGrid w:val="0"/>
              <w:spacing w:line="400" w:lineRule="exact"/>
              <w:rPr>
                <w:rFonts w:hint="eastAsia" w:ascii="宋体" w:hAnsi="宋体" w:cs="宋体"/>
                <w:color w:val="auto"/>
                <w:szCs w:val="21"/>
                <w:highlight w:val="none"/>
                <w:u w:val="single"/>
              </w:rPr>
            </w:pPr>
          </w:p>
          <w:p>
            <w:pPr>
              <w:widowControl/>
              <w:adjustRightInd w:val="0"/>
              <w:snapToGrid w:val="0"/>
              <w:spacing w:line="400" w:lineRule="exact"/>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2.2.4（2）</w:t>
            </w:r>
          </w:p>
        </w:tc>
        <w:tc>
          <w:tcPr>
            <w:tcW w:w="8081" w:type="dxa"/>
            <w:gridSpan w:val="7"/>
            <w:vAlign w:val="center"/>
          </w:tcPr>
          <w:p>
            <w:pPr>
              <w:widowControl/>
              <w:adjustRightInd w:val="0"/>
              <w:snapToGrid w:val="0"/>
              <w:spacing w:line="380" w:lineRule="exact"/>
              <w:rPr>
                <w:rFonts w:hint="eastAsia" w:ascii="宋体" w:hAnsi="宋体" w:cs="宋体"/>
                <w:color w:val="auto"/>
                <w:kern w:val="0"/>
                <w:szCs w:val="21"/>
                <w:highlight w:val="none"/>
              </w:rPr>
            </w:pPr>
            <w:r>
              <w:rPr>
                <w:rFonts w:hint="eastAsia" w:ascii="宋体" w:hAnsi="宋体" w:cs="宋体"/>
                <w:color w:val="auto"/>
                <w:highlight w:val="none"/>
              </w:rPr>
              <w:t>注：主要人员得分为各人员得分合计，即：B=B</w:t>
            </w:r>
            <w:r>
              <w:rPr>
                <w:rFonts w:hint="eastAsia" w:ascii="宋体" w:hAnsi="宋体" w:cs="宋体"/>
                <w:color w:val="auto"/>
                <w:highlight w:val="none"/>
                <w:vertAlign w:val="subscript"/>
              </w:rPr>
              <w:t>1</w:t>
            </w:r>
            <w:r>
              <w:rPr>
                <w:rFonts w:hint="eastAsia" w:ascii="宋体" w:hAnsi="宋体" w:cs="宋体"/>
                <w:color w:val="auto"/>
                <w:highlight w:val="none"/>
              </w:rPr>
              <w:t>+B</w:t>
            </w:r>
            <w:r>
              <w:rPr>
                <w:rFonts w:hint="eastAsia" w:ascii="宋体" w:hAnsi="宋体" w:cs="宋体"/>
                <w:color w:val="auto"/>
                <w:highlight w:val="none"/>
                <w:vertAlign w:val="subscript"/>
              </w:rPr>
              <w:t>2</w:t>
            </w:r>
            <w:r>
              <w:rPr>
                <w:rFonts w:hint="eastAsia" w:ascii="宋体" w:hAnsi="宋体" w:cs="宋体"/>
                <w:color w:val="auto"/>
                <w:highlight w:val="none"/>
              </w:rPr>
              <w:t>+B</w:t>
            </w:r>
            <w:r>
              <w:rPr>
                <w:rFonts w:hint="eastAsia" w:ascii="宋体" w:hAnsi="宋体" w:cs="宋体"/>
                <w:color w:val="auto"/>
                <w:highlight w:val="none"/>
                <w:vertAlign w:val="subscript"/>
              </w:rPr>
              <w:t>3</w:t>
            </w:r>
            <w:r>
              <w:rPr>
                <w:rFonts w:hint="eastAsia" w:ascii="宋体" w:hAnsi="宋体" w:cs="宋体"/>
                <w:color w:val="auto"/>
                <w:highlight w:val="none"/>
              </w:rPr>
              <w:t>+B</w:t>
            </w:r>
            <w:r>
              <w:rPr>
                <w:rFonts w:hint="eastAsia" w:ascii="宋体" w:hAnsi="宋体" w:cs="宋体"/>
                <w:color w:val="auto"/>
                <w:highlight w:val="none"/>
                <w:vertAlign w:val="subscript"/>
              </w:rPr>
              <w:t>4</w:t>
            </w:r>
            <w:r>
              <w:rPr>
                <w:rFonts w:hint="eastAsia" w:ascii="宋体" w:hAnsi="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2.2.4（3）</w:t>
            </w:r>
          </w:p>
        </w:tc>
        <w:tc>
          <w:tcPr>
            <w:tcW w:w="127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评标价F</w:t>
            </w:r>
          </w:p>
        </w:tc>
        <w:tc>
          <w:tcPr>
            <w:tcW w:w="992"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5812" w:type="dxa"/>
            <w:gridSpan w:val="5"/>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评标价得分F计算公式：</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b/>
                <w:bCs/>
                <w:color w:val="auto"/>
                <w:szCs w:val="21"/>
                <w:highlight w:val="none"/>
              </w:rPr>
              <w:t>□ 方式一</w:t>
            </w:r>
            <w:r>
              <w:rPr>
                <w:rFonts w:hint="eastAsia" w:ascii="宋体" w:hAnsi="宋体" w:cs="宋体"/>
                <w:color w:val="auto"/>
                <w:szCs w:val="21"/>
                <w:highlight w:val="none"/>
              </w:rPr>
              <w:t>：</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（1）如果投标人的评标价＞评标基准价，则</w:t>
            </w:r>
          </w:p>
          <w:p>
            <w:pPr>
              <w:pStyle w:val="276"/>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评标价得分F＝F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－偏差率×100×E</w:t>
            </w:r>
            <w:r>
              <w:rPr>
                <w:rFonts w:hint="eastAsia" w:ascii="宋体" w:hAnsi="宋体" w:cs="宋体"/>
                <w:color w:val="auto"/>
                <w:szCs w:val="21"/>
                <w:highlight w:val="none"/>
                <w:vertAlign w:val="subscript"/>
              </w:rPr>
              <w:t>1</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（2）如果投标人的评标价≤评标基准价，则</w:t>
            </w:r>
          </w:p>
          <w:p>
            <w:pPr>
              <w:pStyle w:val="276"/>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评标价得分F＝F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－偏差率×100×E</w:t>
            </w:r>
            <w:r>
              <w:rPr>
                <w:rFonts w:hint="eastAsia" w:ascii="宋体" w:hAnsi="宋体" w:cs="宋体"/>
                <w:color w:val="auto"/>
                <w:szCs w:val="21"/>
                <w:highlight w:val="none"/>
                <w:vertAlign w:val="subscript"/>
              </w:rPr>
              <w:t>2</w:t>
            </w:r>
          </w:p>
          <w:p>
            <w:pPr>
              <w:pStyle w:val="276"/>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其中：F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为评标价所占的权重分值；E</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为评标价每高于评标基准价一个百分点的扣分值； E</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为评标价每低于评标基准价一个百分点的扣分值。投标人评标价得分最低为0分。</w:t>
            </w:r>
          </w:p>
          <w:p>
            <w:pPr>
              <w:pStyle w:val="276"/>
              <w:adjustRightInd w:val="0"/>
              <w:snapToGrid w:val="0"/>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本次招标 E</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p>
            <w:pPr>
              <w:pStyle w:val="276"/>
              <w:adjustRightInd w:val="0"/>
              <w:snapToGrid w:val="0"/>
              <w:spacing w:line="380" w:lineRule="exact"/>
              <w:ind w:firstLine="1365" w:firstLineChars="650"/>
              <w:rPr>
                <w:rFonts w:hint="eastAsia" w:ascii="宋体" w:hAnsi="宋体" w:cs="宋体"/>
                <w:color w:val="auto"/>
                <w:szCs w:val="21"/>
                <w:highlight w:val="none"/>
              </w:rPr>
            </w:pPr>
            <w:r>
              <w:rPr>
                <w:rFonts w:hint="eastAsia" w:ascii="宋体" w:hAnsi="宋体" w:cs="宋体"/>
                <w:color w:val="auto"/>
                <w:szCs w:val="21"/>
                <w:highlight w:val="none"/>
              </w:rPr>
              <w:t>E</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pStyle w:val="276"/>
              <w:adjustRightInd w:val="0"/>
              <w:snapToGrid w:val="0"/>
              <w:spacing w:line="380" w:lineRule="exact"/>
              <w:ind w:left="176" w:leftChars="84" w:firstLine="2"/>
              <w:rPr>
                <w:rFonts w:hint="eastAsia" w:ascii="宋体" w:hAnsi="宋体" w:cs="宋体"/>
                <w:color w:val="auto"/>
                <w:szCs w:val="21"/>
                <w:highlight w:val="none"/>
                <w:u w:val="single"/>
              </w:rPr>
            </w:pPr>
            <w:r>
              <w:rPr>
                <w:rFonts w:hint="eastAsia" w:ascii="宋体" w:hAnsi="宋体" w:cs="宋体"/>
                <w:color w:val="auto"/>
                <w:szCs w:val="21"/>
                <w:highlight w:val="none"/>
              </w:rPr>
              <w:t>注：</w:t>
            </w:r>
            <w:r>
              <w:rPr>
                <w:rFonts w:hint="eastAsia" w:ascii="宋体" w:hAnsi="宋体" w:cs="宋体"/>
                <w:color w:val="auto"/>
                <w:highlight w:val="none"/>
              </w:rPr>
              <w:t>招标人可以结合招标项目具体特点和实际需要设置E</w:t>
            </w:r>
            <w:r>
              <w:rPr>
                <w:rFonts w:hint="eastAsia" w:ascii="宋体" w:hAnsi="宋体" w:cs="宋体"/>
                <w:color w:val="auto"/>
                <w:highlight w:val="none"/>
                <w:vertAlign w:val="subscript"/>
              </w:rPr>
              <w:t>1</w:t>
            </w:r>
            <w:r>
              <w:rPr>
                <w:rFonts w:hint="eastAsia" w:ascii="宋体" w:hAnsi="宋体" w:cs="宋体"/>
                <w:color w:val="auto"/>
                <w:highlight w:val="none"/>
              </w:rPr>
              <w:t>、E</w:t>
            </w:r>
            <w:r>
              <w:rPr>
                <w:rFonts w:hint="eastAsia" w:ascii="宋体" w:hAnsi="宋体" w:cs="宋体"/>
                <w:color w:val="auto"/>
                <w:highlight w:val="none"/>
                <w:vertAlign w:val="subscript"/>
              </w:rPr>
              <w:t>2</w:t>
            </w:r>
            <w:r>
              <w:rPr>
                <w:rFonts w:hint="eastAsia" w:ascii="宋体" w:hAnsi="宋体" w:cs="宋体"/>
                <w:color w:val="auto"/>
                <w:highlight w:val="none"/>
              </w:rPr>
              <w:t>，E</w:t>
            </w:r>
            <w:r>
              <w:rPr>
                <w:rFonts w:hint="eastAsia" w:ascii="宋体" w:hAnsi="宋体" w:cs="宋体"/>
                <w:color w:val="auto"/>
                <w:highlight w:val="none"/>
                <w:vertAlign w:val="subscript"/>
              </w:rPr>
              <w:t>2</w:t>
            </w:r>
            <w:r>
              <w:rPr>
                <w:rFonts w:hint="eastAsia" w:ascii="宋体" w:hAnsi="宋体" w:cs="宋体"/>
                <w:color w:val="auto"/>
                <w:highlight w:val="none"/>
              </w:rPr>
              <w:t>值取值不得低于0.5（含本数），E</w:t>
            </w:r>
            <w:r>
              <w:rPr>
                <w:rFonts w:hint="eastAsia" w:ascii="宋体" w:hAnsi="宋体" w:cs="宋体"/>
                <w:color w:val="auto"/>
                <w:highlight w:val="none"/>
                <w:vertAlign w:val="subscript"/>
              </w:rPr>
              <w:t>1</w:t>
            </w:r>
            <w:r>
              <w:rPr>
                <w:rFonts w:hint="eastAsia" w:ascii="宋体" w:hAnsi="宋体" w:cs="宋体"/>
                <w:color w:val="auto"/>
                <w:highlight w:val="none"/>
              </w:rPr>
              <w:t>值应大于E</w:t>
            </w:r>
            <w:r>
              <w:rPr>
                <w:rFonts w:hint="eastAsia" w:ascii="宋体" w:hAnsi="宋体" w:cs="宋体"/>
                <w:color w:val="auto"/>
                <w:highlight w:val="none"/>
                <w:vertAlign w:val="subscript"/>
              </w:rPr>
              <w:t>2</w:t>
            </w:r>
            <w:r>
              <w:rPr>
                <w:rFonts w:hint="eastAsia" w:ascii="宋体" w:hAnsi="宋体" w:cs="宋体"/>
                <w:color w:val="auto"/>
                <w:highlight w:val="none"/>
              </w:rPr>
              <w:t>值。</w:t>
            </w:r>
          </w:p>
          <w:p>
            <w:pPr>
              <w:pStyle w:val="276"/>
              <w:adjustRightInd w:val="0"/>
              <w:snapToGrid w:val="0"/>
              <w:spacing w:line="380" w:lineRule="exact"/>
              <w:rPr>
                <w:rFonts w:hint="eastAsia" w:ascii="宋体" w:hAnsi="宋体" w:cs="宋体"/>
                <w:b/>
                <w:bCs/>
                <w:color w:val="auto"/>
                <w:szCs w:val="21"/>
                <w:highlight w:val="none"/>
              </w:rPr>
            </w:pPr>
            <w:r>
              <w:rPr>
                <w:rFonts w:hint="eastAsia" w:ascii="宋体" w:hAnsi="宋体" w:cs="宋体"/>
                <w:b/>
                <w:bCs/>
                <w:color w:val="auto"/>
                <w:szCs w:val="21"/>
                <w:highlight w:val="none"/>
              </w:rPr>
              <w:t>□ 方式二：</w:t>
            </w:r>
          </w:p>
          <w:p>
            <w:pPr>
              <w:pStyle w:val="276"/>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评标价得分F＝（评标基准价／投标人的评标价）×评标价权重分</w:t>
            </w:r>
          </w:p>
          <w:p>
            <w:pPr>
              <w:widowControl/>
              <w:adjustRightInd w:val="0"/>
              <w:snapToGrid w:val="0"/>
              <w:spacing w:line="380" w:lineRule="exact"/>
              <w:ind w:left="176" w:leftChars="84" w:firstLine="2"/>
              <w:rPr>
                <w:rFonts w:hint="eastAsia" w:ascii="宋体" w:hAnsi="宋体" w:cs="宋体"/>
                <w:color w:val="auto"/>
                <w:kern w:val="0"/>
                <w:szCs w:val="21"/>
                <w:highlight w:val="none"/>
              </w:rPr>
            </w:pPr>
            <w:r>
              <w:rPr>
                <w:rFonts w:hint="eastAsia" w:ascii="宋体" w:hAnsi="宋体" w:cs="宋体"/>
                <w:color w:val="auto"/>
                <w:szCs w:val="21"/>
                <w:highlight w:val="none"/>
              </w:rPr>
              <w:t>注：仅适用于以有效投标文件的最低投标报价为评标基准价的情形。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5" w:type="dxa"/>
            <w:vMerge w:val="restart"/>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2.2.4（4）</w:t>
            </w:r>
          </w:p>
        </w:tc>
        <w:tc>
          <w:tcPr>
            <w:tcW w:w="1277" w:type="dxa"/>
            <w:vMerge w:val="restart"/>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□技术能力 G</w:t>
            </w:r>
          </w:p>
        </w:tc>
        <w:tc>
          <w:tcPr>
            <w:tcW w:w="992" w:type="dxa"/>
            <w:vMerge w:val="restart"/>
            <w:tcBorders>
              <w:top w:val="single" w:color="auto" w:sz="4" w:space="0"/>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restart"/>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业绩C</w:t>
            </w:r>
          </w:p>
        </w:tc>
        <w:tc>
          <w:tcPr>
            <w:tcW w:w="992" w:type="dxa"/>
            <w:vMerge w:val="restart"/>
            <w:tcBorders>
              <w:top w:val="single" w:color="auto" w:sz="4" w:space="0"/>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（1）业绩基本要求C</w:t>
            </w:r>
            <w:r>
              <w:rPr>
                <w:rFonts w:hint="eastAsia" w:ascii="宋体" w:hAnsi="宋体" w:cs="宋体"/>
                <w:b/>
                <w:color w:val="auto"/>
                <w:szCs w:val="21"/>
                <w:highlight w:val="none"/>
                <w:vertAlign w:val="subscript"/>
              </w:rPr>
              <w:t>0</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（1）满足资格审查条件最低要求得</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（2）新建或改扩建公路路基土建施工监理业绩C</w:t>
            </w:r>
            <w:r>
              <w:rPr>
                <w:rFonts w:hint="eastAsia" w:ascii="宋体" w:hAnsi="宋体" w:cs="宋体"/>
                <w:color w:val="auto"/>
                <w:szCs w:val="21"/>
                <w:highlight w:val="none"/>
                <w:vertAlign w:val="subscript"/>
              </w:rPr>
              <w:t>1</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38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（2）扣除满足资格审查条件完成数量后：</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个标段长度</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公里及以上国内新建或改扩建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级及以上公路路基土建工程施工监理项目加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（3）新建或改扩建公路桥梁施工监理业绩C</w:t>
            </w:r>
            <w:r>
              <w:rPr>
                <w:rFonts w:hint="eastAsia" w:ascii="宋体" w:hAnsi="宋体" w:cs="宋体"/>
                <w:color w:val="auto"/>
                <w:szCs w:val="21"/>
                <w:highlight w:val="none"/>
                <w:vertAlign w:val="subscript"/>
              </w:rPr>
              <w:t>2</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38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（3）扣除满足资格审查条件完成数量后：</w:t>
            </w:r>
          </w:p>
          <w:p>
            <w:pPr>
              <w:pStyle w:val="276"/>
              <w:adjustRightInd w:val="0"/>
              <w:snapToGrid w:val="0"/>
              <w:spacing w:line="380" w:lineRule="exact"/>
              <w:ind w:left="211" w:hanging="210" w:hanging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座</w:t>
            </w:r>
            <w:r>
              <w:rPr>
                <w:rFonts w:hint="eastAsia" w:ascii="宋体" w:hAnsi="宋体" w:cs="宋体"/>
                <w:color w:val="auto"/>
                <w:szCs w:val="21"/>
                <w:highlight w:val="none"/>
              </w:rPr>
              <w:t>国内新建或改扩建</w:t>
            </w:r>
          </w:p>
          <w:p>
            <w:pPr>
              <w:pStyle w:val="276"/>
              <w:adjustRightInd w:val="0"/>
              <w:snapToGrid w:val="0"/>
              <w:spacing w:line="38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大桥及以上；□特大桥）施工监理</w:t>
            </w:r>
            <w:r>
              <w:rPr>
                <w:rFonts w:hint="eastAsia" w:ascii="宋体" w:hAnsi="宋体" w:cs="宋体"/>
                <w:color w:val="auto"/>
                <w:kern w:val="0"/>
                <w:szCs w:val="21"/>
                <w:highlight w:val="none"/>
              </w:rPr>
              <w:t>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r>
              <w:rPr>
                <w:rFonts w:hint="eastAsia" w:ascii="宋体" w:hAnsi="宋体" w:cs="宋体"/>
                <w:color w:val="auto"/>
                <w:kern w:val="0"/>
                <w:szCs w:val="21"/>
                <w:highlight w:val="none"/>
              </w:rPr>
              <w:sym w:font="Wingdings 2" w:char="00A3"/>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座资格审查条件设置的主跨桥型及主跨跨径桥梁</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分,□每增加完成</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座资格审查条件设置的主跨桥型及主跨跨径桥梁</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加</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（4）新建或改扩建公路隧道施工监理业绩C</w:t>
            </w:r>
            <w:r>
              <w:rPr>
                <w:rFonts w:hint="eastAsia" w:ascii="宋体" w:hAnsi="宋体" w:cs="宋体"/>
                <w:color w:val="auto"/>
                <w:szCs w:val="21"/>
                <w:highlight w:val="none"/>
                <w:vertAlign w:val="subscript"/>
              </w:rPr>
              <w:t>3</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（4）扣除满足资格审查条件完成数量后：</w:t>
            </w:r>
          </w:p>
          <w:p>
            <w:pPr>
              <w:pStyle w:val="276"/>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w:t>
            </w:r>
          </w:p>
          <w:p>
            <w:pPr>
              <w:pStyle w:val="276"/>
              <w:widowControl/>
              <w:adjustRightInd w:val="0"/>
              <w:snapToGrid w:val="0"/>
              <w:spacing w:line="400" w:lineRule="exact"/>
              <w:ind w:left="420" w:leftChars="100" w:hanging="210" w:hangingChars="100"/>
              <w:rPr>
                <w:rFonts w:hint="eastAsia" w:ascii="宋体" w:hAnsi="宋体" w:cs="宋体"/>
                <w:color w:val="auto"/>
                <w:szCs w:val="21"/>
                <w:highlight w:val="none"/>
              </w:rPr>
            </w:pPr>
            <w:r>
              <w:rPr>
                <w:rFonts w:hint="eastAsia" w:ascii="宋体" w:hAnsi="宋体" w:cs="宋体"/>
                <w:color w:val="auto"/>
                <w:szCs w:val="21"/>
                <w:highlight w:val="none"/>
              </w:rPr>
              <w:t>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w:t>
            </w:r>
            <w:r>
              <w:rPr>
                <w:rFonts w:hint="eastAsia" w:ascii="宋体" w:hAnsi="宋体" w:cs="宋体"/>
                <w:color w:val="auto"/>
                <w:szCs w:val="21"/>
                <w:highlight w:val="none"/>
              </w:rPr>
              <w:t>公路</w:t>
            </w:r>
          </w:p>
          <w:p>
            <w:pPr>
              <w:pStyle w:val="276"/>
              <w:adjustRightInd w:val="0"/>
              <w:snapToGrid w:val="0"/>
              <w:spacing w:line="400" w:lineRule="exact"/>
              <w:ind w:left="420" w:leftChars="100" w:hanging="210" w:hanging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（□中隧道及以上；□长隧道及以</w:t>
            </w:r>
          </w:p>
          <w:p>
            <w:pPr>
              <w:pStyle w:val="276"/>
              <w:adjustRightInd w:val="0"/>
              <w:snapToGrid w:val="0"/>
              <w:spacing w:line="400" w:lineRule="exact"/>
              <w:ind w:left="420" w:leftChars="100" w:hanging="210" w:hanging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上；□特长隧道；□单洞长度</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米</w:t>
            </w:r>
          </w:p>
          <w:p>
            <w:pPr>
              <w:pStyle w:val="276"/>
              <w:adjustRightInd w:val="0"/>
              <w:snapToGrid w:val="0"/>
              <w:spacing w:line="400" w:lineRule="exact"/>
              <w:ind w:left="420" w:leftChars="100" w:hanging="210" w:hangingChars="100"/>
              <w:rPr>
                <w:rFonts w:hint="eastAsia" w:ascii="宋体" w:hAnsi="宋体" w:cs="宋体"/>
                <w:color w:val="auto"/>
                <w:kern w:val="0"/>
                <w:szCs w:val="21"/>
                <w:highlight w:val="none"/>
              </w:rPr>
            </w:pPr>
            <w:r>
              <w:rPr>
                <w:rFonts w:hint="eastAsia" w:cs="宋体" w:asciiTheme="minorEastAsia" w:hAnsiTheme="minorEastAsia" w:eastAsiaTheme="minorEastAsia"/>
                <w:color w:val="auto"/>
                <w:szCs w:val="21"/>
                <w:highlight w:val="none"/>
              </w:rPr>
              <w:t>及以上特长隧道）</w:t>
            </w:r>
            <w:r>
              <w:rPr>
                <w:rFonts w:hint="eastAsia" w:ascii="宋体" w:hAnsi="宋体" w:cs="宋体"/>
                <w:color w:val="auto"/>
                <w:kern w:val="0"/>
                <w:szCs w:val="21"/>
                <w:highlight w:val="none"/>
              </w:rPr>
              <w:t>施工监理项目加</w:t>
            </w:r>
          </w:p>
          <w:p>
            <w:pPr>
              <w:pStyle w:val="276"/>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p>
            <w:pPr>
              <w:pStyle w:val="276"/>
              <w:adjustRightInd w:val="0"/>
              <w:snapToGrid w:val="0"/>
              <w:spacing w:line="400" w:lineRule="exact"/>
              <w:ind w:left="243" w:leftChars="116" w:firstLine="1"/>
              <w:rPr>
                <w:rStyle w:val="58"/>
                <w:color w:val="auto"/>
                <w:highlight w:val="none"/>
                <w:vertAlign w:val="baseline"/>
              </w:rPr>
            </w:pPr>
            <w:r>
              <w:rPr>
                <w:rStyle w:val="58"/>
                <w:rFonts w:hint="eastAsia"/>
                <w:color w:val="auto"/>
                <w:highlight w:val="none"/>
                <w:vertAlign w:val="baseline"/>
              </w:rPr>
              <w:t>注：</w:t>
            </w:r>
            <w:r>
              <w:rPr>
                <w:rStyle w:val="58"/>
                <w:color w:val="auto"/>
                <w:highlight w:val="none"/>
                <w:vertAlign w:val="baseline"/>
              </w:rPr>
              <w:t>1.</w:t>
            </w:r>
            <w:r>
              <w:rPr>
                <w:rFonts w:hint="eastAsia" w:cs="宋体" w:asciiTheme="minorEastAsia" w:hAnsiTheme="minorEastAsia" w:eastAsiaTheme="minorEastAsia"/>
                <w:color w:val="auto"/>
                <w:szCs w:val="21"/>
                <w:highlight w:val="none"/>
              </w:rPr>
              <w:t xml:space="preserve"> 单洞长度，</w:t>
            </w:r>
            <w:r>
              <w:rPr>
                <w:rStyle w:val="58"/>
                <w:rFonts w:hint="eastAsia"/>
                <w:color w:val="auto"/>
                <w:highlight w:val="none"/>
                <w:vertAlign w:val="baseline"/>
              </w:rPr>
              <w:t>对于具有双洞的隧道，其承担隧道长度以左右线隧道长度较长的为准；若只有单洞的，则以承担单洞隧道长度数据为准。隧道单洞长度不含斜井、竖井、支洞。</w:t>
            </w:r>
          </w:p>
          <w:p>
            <w:pPr>
              <w:pStyle w:val="276"/>
              <w:adjustRightInd w:val="0"/>
              <w:snapToGrid w:val="0"/>
              <w:spacing w:line="400" w:lineRule="exact"/>
              <w:ind w:left="243" w:leftChars="116" w:firstLine="426"/>
              <w:rPr>
                <w:rFonts w:hint="eastAsia" w:ascii="宋体" w:hAnsi="宋体" w:cs="宋体"/>
                <w:color w:val="auto"/>
                <w:szCs w:val="21"/>
                <w:highlight w:val="none"/>
                <w:u w:val="single"/>
              </w:rPr>
            </w:pPr>
            <w:r>
              <w:rPr>
                <w:rStyle w:val="58"/>
                <w:color w:val="auto"/>
                <w:highlight w:val="none"/>
                <w:vertAlign w:val="baseline"/>
              </w:rPr>
              <w:t>2.</w:t>
            </w:r>
            <w:r>
              <w:rPr>
                <w:rFonts w:hint="eastAsia" w:cs="宋体" w:asciiTheme="minorEastAsia" w:hAnsiTheme="minorEastAsia" w:eastAsiaTheme="minorEastAsia"/>
                <w:color w:val="auto"/>
                <w:szCs w:val="21"/>
                <w:highlight w:val="none"/>
              </w:rPr>
              <w:t xml:space="preserve"> 特长隧道</w:t>
            </w:r>
            <w:r>
              <w:rPr>
                <w:rStyle w:val="58"/>
                <w:rFonts w:hint="eastAsia"/>
                <w:color w:val="auto"/>
                <w:highlight w:val="none"/>
                <w:vertAlign w:val="baseline"/>
              </w:rPr>
              <w:t>工程可为路基土建工程中包含的内容或者单独隧道工程合同的项目。根据项目具体情况，若存在特殊隧道或特长隧道或特别复杂的隧道，需要增加特殊要求时，可对隧道形式或隧道单洞长度进行要求，但不得设置过高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（5）新建或改扩建公路路面施工监理业绩C</w:t>
            </w:r>
            <w:r>
              <w:rPr>
                <w:rFonts w:hint="eastAsia" w:ascii="宋体" w:hAnsi="宋体" w:cs="宋体"/>
                <w:color w:val="auto"/>
                <w:szCs w:val="21"/>
                <w:highlight w:val="none"/>
                <w:vertAlign w:val="subscript"/>
              </w:rPr>
              <w:t>4</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38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（5）扣除满足资格审查条件完成数量后：</w:t>
            </w:r>
          </w:p>
          <w:p>
            <w:pPr>
              <w:pStyle w:val="276"/>
              <w:adjustRightInd w:val="0"/>
              <w:snapToGrid w:val="0"/>
              <w:spacing w:line="38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个标段长度</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公里及以上国内新建或改扩建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级及以上公路路面工程施工监理项目加</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（6）新建或改扩建公路交通安全设施工程施工监理业绩C</w:t>
            </w:r>
            <w:r>
              <w:rPr>
                <w:rFonts w:hint="eastAsia" w:ascii="宋体" w:hAnsi="宋体" w:cs="宋体"/>
                <w:color w:val="auto"/>
                <w:szCs w:val="21"/>
                <w:highlight w:val="none"/>
                <w:vertAlign w:val="subscript"/>
              </w:rPr>
              <w:t>5</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（6）扣除满足资格审查条件完成数量后：</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sym w:font="Wingdings 2" w:char="00A3"/>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个标段长度</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公里及以上国内新建或改扩建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级及以上公路交通安全设施工程施工监理项目加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（7）新建或改扩建公路机电工程施工监理业绩C</w:t>
            </w:r>
            <w:r>
              <w:rPr>
                <w:rFonts w:hint="eastAsia" w:ascii="宋体" w:hAnsi="宋体" w:cs="宋体"/>
                <w:color w:val="auto"/>
                <w:szCs w:val="21"/>
                <w:highlight w:val="none"/>
                <w:vertAlign w:val="subscript"/>
              </w:rPr>
              <w:t>6</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（7）扣除满足资格审查条件完成数量后：</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级及以上公路机电工程施工监理项目</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（8）新建或改扩建公路隧道机电工程施工监理业绩C</w:t>
            </w:r>
            <w:r>
              <w:rPr>
                <w:rFonts w:hint="eastAsia" w:ascii="宋体" w:hAnsi="宋体" w:cs="宋体"/>
                <w:color w:val="auto"/>
                <w:szCs w:val="21"/>
                <w:highlight w:val="none"/>
                <w:vertAlign w:val="subscript"/>
              </w:rPr>
              <w:t>7</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（8）扣除满足资格审查条件完成数量后：</w:t>
            </w:r>
          </w:p>
          <w:p>
            <w:pPr>
              <w:pStyle w:val="276"/>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完成国内新建或改扩建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级及以</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kern w:val="0"/>
                <w:szCs w:val="21"/>
                <w:highlight w:val="none"/>
              </w:rPr>
              <w:t>上公路隧道机电工程施工监理项目累计长度每增加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公里加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（9）房建工程施工监理业绩C</w:t>
            </w:r>
            <w:r>
              <w:rPr>
                <w:rFonts w:hint="eastAsia" w:ascii="宋体" w:hAnsi="宋体" w:cs="宋体"/>
                <w:color w:val="auto"/>
                <w:szCs w:val="21"/>
                <w:highlight w:val="none"/>
                <w:vertAlign w:val="subscript"/>
              </w:rPr>
              <w:t>8</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（9）扣除满足资格审查条件完成数量后：</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每增加完成房建工程施工监理项目</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（10）其他C</w:t>
            </w:r>
            <w:r>
              <w:rPr>
                <w:rFonts w:hint="eastAsia" w:ascii="宋体" w:hAnsi="宋体" w:cs="宋体"/>
                <w:color w:val="auto"/>
                <w:szCs w:val="21"/>
                <w:highlight w:val="none"/>
                <w:vertAlign w:val="subscript"/>
              </w:rPr>
              <w:t>9</w:t>
            </w:r>
            <w:r>
              <w:rPr>
                <w:rFonts w:hint="eastAsia" w:ascii="宋体" w:hAnsi="宋体" w:cs="宋体"/>
                <w:color w:val="auto"/>
                <w:szCs w:val="21"/>
                <w:highlight w:val="none"/>
              </w:rPr>
              <w:t>：</w:t>
            </w:r>
            <w:r>
              <w:rPr>
                <w:rFonts w:hint="eastAsia" w:ascii="宋体" w:hAnsi="宋体" w:cs="宋体"/>
                <w:b/>
                <w:color w:val="auto"/>
                <w:szCs w:val="21"/>
                <w:highlight w:val="none"/>
                <w:u w:val="single"/>
              </w:rPr>
              <w:t xml:space="preserve">         </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5812" w:type="dxa"/>
            <w:gridSpan w:val="5"/>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cs="宋体" w:asciiTheme="minorEastAsia" w:hAnsiTheme="minorEastAsia" w:eastAsiaTheme="minorEastAsia"/>
                <w:color w:val="auto"/>
                <w:kern w:val="0"/>
                <w:szCs w:val="21"/>
                <w:highlight w:val="none"/>
              </w:rPr>
              <w:t>满足资格审查条件最低要求得分</w:t>
            </w:r>
            <w:r>
              <w:rPr>
                <w:rFonts w:hint="eastAsia" w:cs="宋体" w:asciiTheme="minorEastAsia" w:hAnsiTheme="minorEastAsia" w:eastAsiaTheme="minorEastAsia"/>
                <w:color w:val="auto"/>
                <w:szCs w:val="21"/>
                <w:highlight w:val="none"/>
              </w:rPr>
              <w:t>与扣除满足资格审查条件完成数量后的所有加分项合计得分最多至满分</w:t>
            </w:r>
            <w:r>
              <w:rPr>
                <w:rFonts w:hint="eastAsia" w:cs="宋体" w:asciiTheme="minorEastAsia" w:hAnsiTheme="minorEastAsia" w:eastAsiaTheme="minorEastAsia"/>
                <w:color w:val="auto"/>
                <w:kern w:val="0"/>
                <w:szCs w:val="21"/>
                <w:highlight w:val="none"/>
              </w:rPr>
              <w:t>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restart"/>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2.2.4（4）</w:t>
            </w:r>
          </w:p>
        </w:tc>
        <w:tc>
          <w:tcPr>
            <w:tcW w:w="8081" w:type="dxa"/>
            <w:gridSpan w:val="7"/>
            <w:tcBorders>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highlight w:val="none"/>
              </w:rPr>
              <w:t>注：业绩得分为各分项业绩得分合计，即：C=C</w:t>
            </w:r>
            <w:r>
              <w:rPr>
                <w:rFonts w:hint="eastAsia" w:ascii="宋体" w:hAnsi="宋体" w:cs="宋体"/>
                <w:color w:val="auto"/>
                <w:highlight w:val="none"/>
                <w:vertAlign w:val="subscript"/>
              </w:rPr>
              <w:t>0</w:t>
            </w:r>
            <w:r>
              <w:rPr>
                <w:rFonts w:hint="eastAsia" w:ascii="宋体" w:hAnsi="宋体" w:cs="宋体"/>
                <w:color w:val="auto"/>
                <w:highlight w:val="none"/>
              </w:rPr>
              <w:t>+C</w:t>
            </w:r>
            <w:r>
              <w:rPr>
                <w:rFonts w:hint="eastAsia" w:ascii="宋体" w:hAnsi="宋体" w:cs="宋体"/>
                <w:color w:val="auto"/>
                <w:highlight w:val="none"/>
                <w:vertAlign w:val="subscript"/>
              </w:rPr>
              <w:t>1</w:t>
            </w:r>
            <w:r>
              <w:rPr>
                <w:rFonts w:hint="eastAsia" w:ascii="宋体" w:hAnsi="宋体" w:cs="宋体"/>
                <w:color w:val="auto"/>
                <w:highlight w:val="none"/>
              </w:rPr>
              <w:t>+C</w:t>
            </w:r>
            <w:r>
              <w:rPr>
                <w:rFonts w:hint="eastAsia" w:ascii="宋体" w:hAnsi="宋体" w:cs="宋体"/>
                <w:color w:val="auto"/>
                <w:highlight w:val="none"/>
                <w:vertAlign w:val="subscript"/>
              </w:rPr>
              <w:t>2</w:t>
            </w:r>
            <w:r>
              <w:rPr>
                <w:rFonts w:hint="eastAsia" w:ascii="宋体" w:hAnsi="宋体" w:cs="宋体"/>
                <w:color w:val="auto"/>
                <w:highlight w:val="none"/>
              </w:rPr>
              <w:t>+C</w:t>
            </w:r>
            <w:r>
              <w:rPr>
                <w:rFonts w:hint="eastAsia" w:ascii="宋体" w:hAnsi="宋体" w:cs="宋体"/>
                <w:color w:val="auto"/>
                <w:highlight w:val="none"/>
                <w:vertAlign w:val="subscript"/>
              </w:rPr>
              <w:t>3</w:t>
            </w:r>
            <w:r>
              <w:rPr>
                <w:rFonts w:hint="eastAsia" w:ascii="宋体" w:hAnsi="宋体" w:cs="宋体"/>
                <w:color w:val="auto"/>
                <w:highlight w:val="none"/>
              </w:rPr>
              <w:t>+C</w:t>
            </w:r>
            <w:r>
              <w:rPr>
                <w:rFonts w:hint="eastAsia" w:ascii="宋体" w:hAnsi="宋体" w:cs="宋体"/>
                <w:color w:val="auto"/>
                <w:highlight w:val="none"/>
                <w:vertAlign w:val="subscript"/>
              </w:rPr>
              <w:t>4</w:t>
            </w:r>
            <w:r>
              <w:rPr>
                <w:rFonts w:hint="eastAsia" w:ascii="宋体" w:hAnsi="宋体" w:cs="宋体"/>
                <w:color w:val="auto"/>
                <w:highlight w:val="none"/>
              </w:rPr>
              <w:t>+C</w:t>
            </w:r>
            <w:r>
              <w:rPr>
                <w:rFonts w:hint="eastAsia" w:ascii="宋体" w:hAnsi="宋体" w:cs="宋体"/>
                <w:color w:val="auto"/>
                <w:highlight w:val="none"/>
                <w:vertAlign w:val="subscript"/>
              </w:rPr>
              <w:t>5</w:t>
            </w:r>
            <w:r>
              <w:rPr>
                <w:rFonts w:hint="eastAsia" w:ascii="宋体" w:hAnsi="宋体" w:cs="宋体"/>
                <w:color w:val="auto"/>
                <w:highlight w:val="none"/>
              </w:rPr>
              <w:t>+C</w:t>
            </w:r>
            <w:r>
              <w:rPr>
                <w:rFonts w:hint="eastAsia" w:ascii="宋体" w:hAnsi="宋体" w:cs="宋体"/>
                <w:color w:val="auto"/>
                <w:highlight w:val="none"/>
                <w:vertAlign w:val="subscript"/>
              </w:rPr>
              <w:t>6</w:t>
            </w:r>
            <w:r>
              <w:rPr>
                <w:rFonts w:hint="eastAsia" w:ascii="宋体" w:hAnsi="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restart"/>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履约信誉</w:t>
            </w:r>
            <w:r>
              <w:rPr>
                <w:rFonts w:hint="eastAsia" w:ascii="宋体" w:hAnsi="宋体" w:cs="宋体"/>
                <w:color w:val="auto"/>
                <w:szCs w:val="21"/>
                <w:highlight w:val="none"/>
                <w:u w:val="single"/>
              </w:rPr>
              <w:t>H</w:t>
            </w:r>
          </w:p>
        </w:tc>
        <w:tc>
          <w:tcPr>
            <w:tcW w:w="992" w:type="dxa"/>
            <w:vMerge w:val="restart"/>
            <w:tcBorders>
              <w:top w:val="single" w:color="auto" w:sz="4" w:space="0"/>
              <w:left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cs="宋体" w:asciiTheme="minorEastAsia" w:hAnsiTheme="minorEastAsia" w:eastAsiaTheme="minorEastAsia"/>
                <w:color w:val="auto"/>
                <w:szCs w:val="21"/>
                <w:highlight w:val="none"/>
              </w:rPr>
              <w:t>投标人在四川省交通运输厅公布的</w:t>
            </w:r>
            <w:r>
              <w:rPr>
                <w:rFonts w:hint="eastAsia" w:ascii="宋体" w:hAnsi="宋体" w:cs="宋体"/>
                <w:bCs/>
                <w:color w:val="auto"/>
                <w:kern w:val="0"/>
                <w:szCs w:val="21"/>
                <w:highlight w:val="none"/>
              </w:rPr>
              <w:t>信用评价等级</w:t>
            </w:r>
            <w:r>
              <w:rPr>
                <w:rFonts w:hint="eastAsia" w:cs="宋体" w:asciiTheme="minorEastAsia" w:hAnsiTheme="minorEastAsia" w:eastAsiaTheme="minorEastAsia"/>
                <w:color w:val="auto"/>
                <w:szCs w:val="21"/>
                <w:highlight w:val="none"/>
                <w:u w:val="single"/>
              </w:rPr>
              <w:t>H1</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投标截止时间在四川省交通运输厅网站公布的：</w:t>
            </w:r>
            <w:r>
              <w:rPr>
                <w:rFonts w:hint="eastAsia" w:ascii="宋体" w:hAnsi="宋体" w:cs="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四川省重点公路建设从业单位信用评价等级；</w:t>
            </w:r>
            <w:r>
              <w:rPr>
                <w:rFonts w:hint="eastAsia" w:ascii="宋体" w:hAnsi="宋体" w:cs="宋体"/>
                <w:bCs/>
                <w:color w:val="auto"/>
                <w:szCs w:val="21"/>
                <w:highlight w:val="none"/>
                <w:u w:val="single"/>
              </w:rPr>
              <w:sym w:font="Wingdings 2" w:char="00A3"/>
            </w:r>
            <w:r>
              <w:rPr>
                <w:rFonts w:hint="eastAsia" w:ascii="宋体" w:hAnsi="宋体" w:cs="宋体"/>
                <w:bCs/>
                <w:color w:val="auto"/>
                <w:szCs w:val="21"/>
                <w:highlight w:val="none"/>
                <w:u w:val="single"/>
              </w:rPr>
              <w:t>或；</w:t>
            </w:r>
            <w:r>
              <w:rPr>
                <w:rFonts w:hint="eastAsia" w:ascii="宋体" w:hAnsi="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四川省农村公路建设从业单位信用评价等级</w:t>
            </w:r>
            <w:r>
              <w:rPr>
                <w:rFonts w:hint="eastAsia" w:ascii="宋体" w:hAnsi="宋体"/>
                <w:color w:val="auto"/>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AA级及以上得分：</w:t>
            </w:r>
            <w:r>
              <w:rPr>
                <w:rFonts w:hint="eastAsia" w:cs="宋体" w:asciiTheme="minorEastAsia" w:hAnsiTheme="minorEastAsia" w:eastAsiaTheme="minorEastAsia"/>
                <w:bCs/>
                <w:color w:val="auto"/>
                <w:kern w:val="0"/>
                <w:szCs w:val="21"/>
                <w:highlight w:val="none"/>
                <w:u w:val="single"/>
              </w:rPr>
              <w:t>信用评价等级权重分值×1.0</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A级得分：</w:t>
            </w:r>
            <w:r>
              <w:rPr>
                <w:rFonts w:hint="eastAsia" w:cs="宋体" w:asciiTheme="minorEastAsia" w:hAnsiTheme="minorEastAsia" w:eastAsiaTheme="minorEastAsia"/>
                <w:bCs/>
                <w:color w:val="auto"/>
                <w:kern w:val="0"/>
                <w:szCs w:val="21"/>
                <w:highlight w:val="none"/>
                <w:u w:val="single"/>
              </w:rPr>
              <w:t>信用评价等级权重分值×0.8</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B级得分：</w:t>
            </w:r>
            <w:r>
              <w:rPr>
                <w:rFonts w:hint="eastAsia" w:cs="宋体" w:asciiTheme="minorEastAsia" w:hAnsiTheme="minorEastAsia" w:eastAsiaTheme="minorEastAsia"/>
                <w:bCs/>
                <w:color w:val="auto"/>
                <w:kern w:val="0"/>
                <w:szCs w:val="21"/>
                <w:highlight w:val="none"/>
                <w:u w:val="single"/>
              </w:rPr>
              <w:t>信用评价等级权重分值×0.6</w:t>
            </w:r>
            <w:r>
              <w:rPr>
                <w:rFonts w:hint="eastAsia" w:cs="宋体" w:asciiTheme="minorEastAsia" w:hAnsiTheme="minorEastAsia" w:eastAsiaTheme="minorEastAsia"/>
                <w:bCs/>
                <w:color w:val="auto"/>
                <w:kern w:val="0"/>
                <w:szCs w:val="21"/>
                <w:highlight w:val="none"/>
              </w:rPr>
              <w:t>，</w:t>
            </w:r>
          </w:p>
          <w:p>
            <w:pPr>
              <w:spacing w:line="400" w:lineRule="exact"/>
              <w:ind w:firstLine="210" w:firstLineChars="100"/>
              <w:rPr>
                <w:color w:val="auto"/>
                <w:highlight w:val="none"/>
              </w:rPr>
            </w:pPr>
            <w:r>
              <w:rPr>
                <w:rFonts w:hint="eastAsia" w:cs="宋体" w:asciiTheme="minorEastAsia" w:hAnsiTheme="minorEastAsia" w:eastAsiaTheme="minorEastAsia"/>
                <w:bCs/>
                <w:color w:val="auto"/>
                <w:kern w:val="0"/>
                <w:szCs w:val="21"/>
                <w:highlight w:val="none"/>
              </w:rPr>
              <w:t>C级得分：</w:t>
            </w:r>
            <w:r>
              <w:rPr>
                <w:rFonts w:hint="eastAsia" w:cs="宋体" w:asciiTheme="minorEastAsia" w:hAnsiTheme="minorEastAsia" w:eastAsiaTheme="minorEastAsia"/>
                <w:bCs/>
                <w:color w:val="auto"/>
                <w:kern w:val="0"/>
                <w:szCs w:val="21"/>
                <w:highlight w:val="none"/>
                <w:u w:val="single"/>
              </w:rPr>
              <w:t xml:space="preserve"> 0 </w:t>
            </w:r>
            <w:r>
              <w:rPr>
                <w:rFonts w:hint="eastAsia" w:ascii="宋体" w:hAnsi="宋体"/>
                <w:color w:val="auto"/>
                <w:szCs w:val="21"/>
                <w:highlight w:val="none"/>
              </w:rPr>
              <w:t>。</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Cs/>
                <w:color w:val="auto"/>
                <w:kern w:val="0"/>
                <w:szCs w:val="21"/>
                <w:highlight w:val="none"/>
              </w:rPr>
              <w:t>注：</w:t>
            </w:r>
            <w:r>
              <w:rPr>
                <w:rFonts w:hint="eastAsia" w:ascii="宋体" w:hAnsi="宋体" w:cs="宋体"/>
                <w:color w:val="auto"/>
                <w:szCs w:val="21"/>
                <w:highlight w:val="none"/>
              </w:rPr>
              <w:t>允许联合体投标时，以联合体形式投标的，投标人在上述同一信用评价体系的信用评价等级以联合体中信用评价等级低的为准（指投标人承担工作对应资质类别的信用评价等级）。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92" w:type="dxa"/>
            <w:vMerge w:val="continue"/>
            <w:tcBorders>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b/>
                <w:color w:val="auto"/>
                <w:szCs w:val="21"/>
                <w:highlight w:val="none"/>
                <w:u w:val="single"/>
              </w:rPr>
              <w:t xml:space="preserve">         </w:t>
            </w:r>
          </w:p>
        </w:tc>
        <w:tc>
          <w:tcPr>
            <w:tcW w:w="709" w:type="dxa"/>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57" w:type="dxa"/>
            <w:gridSpan w:val="2"/>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6804" w:type="dxa"/>
            <w:gridSpan w:val="6"/>
            <w:tcBorders>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highlight w:val="none"/>
              </w:rPr>
              <w:t>注：招标人根据投标人在四川省交通运输厅网站公布的四川省重点公路</w:t>
            </w:r>
            <w:r>
              <w:rPr>
                <w:rFonts w:hint="eastAsia" w:ascii="宋体" w:hAnsi="宋体" w:cs="宋体"/>
                <w:bCs/>
                <w:color w:val="auto"/>
                <w:kern w:val="0"/>
                <w:szCs w:val="21"/>
                <w:highlight w:val="none"/>
              </w:rPr>
              <w:t>建设从业单位信用评价等级或</w:t>
            </w:r>
            <w:r>
              <w:rPr>
                <w:rFonts w:hint="eastAsia" w:ascii="宋体" w:hAnsi="宋体" w:cs="宋体"/>
                <w:color w:val="auto"/>
                <w:highlight w:val="none"/>
              </w:rPr>
              <w:t>四川省农村公路</w:t>
            </w:r>
            <w:r>
              <w:rPr>
                <w:rFonts w:hint="eastAsia" w:ascii="宋体" w:hAnsi="宋体" w:cs="宋体"/>
                <w:bCs/>
                <w:color w:val="auto"/>
                <w:kern w:val="0"/>
                <w:szCs w:val="21"/>
                <w:highlight w:val="none"/>
              </w:rPr>
              <w:t>建设从业单位信用评价等级对其履约信用进行评分。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77" w:type="dxa"/>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□其他</w:t>
            </w:r>
          </w:p>
        </w:tc>
        <w:tc>
          <w:tcPr>
            <w:tcW w:w="992" w:type="dxa"/>
            <w:tcBorders>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76" w:type="dxa"/>
            <w:tcBorders>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highlight w:val="none"/>
              </w:rPr>
            </w:pPr>
            <w:r>
              <w:rPr>
                <w:rFonts w:hint="eastAsia" w:ascii="宋体" w:hAnsi="宋体" w:cs="宋体"/>
                <w:b/>
                <w:color w:val="auto"/>
                <w:szCs w:val="21"/>
                <w:highlight w:val="none"/>
                <w:u w:val="single"/>
              </w:rPr>
              <w:t xml:space="preserve">         </w:t>
            </w:r>
          </w:p>
        </w:tc>
        <w:tc>
          <w:tcPr>
            <w:tcW w:w="850" w:type="dxa"/>
            <w:gridSpan w:val="3"/>
            <w:tcBorders>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686" w:type="dxa"/>
            <w:tcBorders>
              <w:left w:val="single" w:color="auto" w:sz="4" w:space="0"/>
              <w:bottom w:val="single" w:color="auto" w:sz="4" w:space="0"/>
              <w:right w:val="single" w:color="auto" w:sz="4" w:space="0"/>
            </w:tcBorders>
            <w:vAlign w:val="center"/>
          </w:tcPr>
          <w:p>
            <w:pPr>
              <w:pStyle w:val="276"/>
              <w:adjustRightInd w:val="0"/>
              <w:snapToGrid w:val="0"/>
              <w:spacing w:line="400" w:lineRule="exact"/>
              <w:rPr>
                <w:rFonts w:hint="eastAsia" w:ascii="宋体" w:hAnsi="宋体" w:cs="宋体"/>
                <w:color w:val="auto"/>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6" w:type="dxa"/>
            <w:gridSpan w:val="8"/>
            <w:tcBorders>
              <w:left w:val="single" w:color="auto" w:sz="4" w:space="0"/>
              <w:right w:val="single" w:color="auto" w:sz="4" w:space="0"/>
            </w:tcBorders>
            <w:vAlign w:val="center"/>
          </w:tcPr>
          <w:p>
            <w:pPr>
              <w:pStyle w:val="276"/>
              <w:adjustRightInd w:val="0"/>
              <w:snapToGrid w:val="0"/>
              <w:spacing w:line="400" w:lineRule="exact"/>
              <w:ind w:left="313" w:hanging="312" w:hangingChars="149"/>
              <w:rPr>
                <w:rFonts w:hint="eastAsia" w:ascii="宋体" w:hAnsi="宋体" w:cs="宋体"/>
                <w:color w:val="auto"/>
                <w:highlight w:val="none"/>
              </w:rPr>
            </w:pPr>
            <w:r>
              <w:rPr>
                <w:rFonts w:hint="eastAsia" w:ascii="宋体" w:hAnsi="宋体" w:cs="宋体"/>
                <w:color w:val="auto"/>
                <w:highlight w:val="none"/>
              </w:rPr>
              <w:t>注：1.招标人应明确各评分因素或各评分因素细分项（如有）的评分标准并作为评标委员会进行评分的依据。</w:t>
            </w:r>
          </w:p>
          <w:p>
            <w:pPr>
              <w:pStyle w:val="276"/>
              <w:adjustRightInd w:val="0"/>
              <w:snapToGrid w:val="0"/>
              <w:spacing w:line="400" w:lineRule="exact"/>
              <w:ind w:left="455" w:leftChars="216" w:hanging="1"/>
              <w:rPr>
                <w:rFonts w:hint="eastAsia" w:ascii="宋体" w:hAnsi="宋体"/>
                <w:color w:val="auto"/>
                <w:highlight w:val="none"/>
              </w:rPr>
            </w:pPr>
            <w:r>
              <w:rPr>
                <w:rFonts w:hint="eastAsia" w:ascii="宋体" w:hAnsi="宋体"/>
                <w:color w:val="auto"/>
                <w:highlight w:val="none"/>
              </w:rPr>
              <w:t>2.招标人应根据项目具体情况确定各评分因素及评分因素权重分值，并对各评分因素进行细分（如有）、确定各评分因素细分项的分值，</w:t>
            </w:r>
            <w:r>
              <w:rPr>
                <w:rFonts w:hint="eastAsia" w:ascii="宋体" w:hAnsi="宋体" w:cs="宋体"/>
                <w:color w:val="auto"/>
                <w:highlight w:val="none"/>
              </w:rPr>
              <w:t>各评分因素细分项权重分值合计应为各项评分因素权重分值满分</w:t>
            </w:r>
            <w:r>
              <w:rPr>
                <w:rFonts w:hint="eastAsia" w:ascii="宋体" w:hAnsi="宋体"/>
                <w:color w:val="auto"/>
                <w:highlight w:val="none"/>
              </w:rPr>
              <w:t>。各评分因素（评标价和履约信誉评分项除外）得分一般不得低于其权重分值的60%。评标委员会成员对某一项评分因素的评分低于权重分值60%的，应在评标报告中作出说明。</w:t>
            </w:r>
          </w:p>
          <w:p>
            <w:pPr>
              <w:pStyle w:val="276"/>
              <w:adjustRightInd w:val="0"/>
              <w:snapToGrid w:val="0"/>
              <w:spacing w:line="400" w:lineRule="exact"/>
              <w:ind w:left="313" w:leftChars="149" w:firstLine="140" w:firstLineChars="67"/>
              <w:rPr>
                <w:rFonts w:hint="eastAsia" w:ascii="宋体" w:hAnsi="宋体" w:cs="宋体"/>
                <w:color w:val="auto"/>
                <w:szCs w:val="21"/>
                <w:highlight w:val="none"/>
                <w:u w:val="single"/>
              </w:rPr>
            </w:pPr>
            <w:r>
              <w:rPr>
                <w:rFonts w:hint="eastAsia" w:ascii="宋体" w:hAnsi="宋体" w:cs="宋体"/>
                <w:color w:val="auto"/>
                <w:highlight w:val="none"/>
              </w:rPr>
              <w:t>3.其他因素D得分为技术能力G、业绩C、履约信誉H、其他等得分合计，即：D=G+C+H+…。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6" w:type="dxa"/>
            <w:gridSpan w:val="8"/>
            <w:tcBorders>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tbl>
    <w:p>
      <w:pPr>
        <w:rPr>
          <w:color w:val="auto"/>
          <w:highlight w:val="none"/>
        </w:rPr>
      </w:pPr>
    </w:p>
    <w:p>
      <w:pPr>
        <w:pStyle w:val="5"/>
        <w:rPr>
          <w:rStyle w:val="146"/>
          <w:b/>
          <w:bCs/>
          <w:color w:val="auto"/>
          <w:kern w:val="0"/>
          <w:highlight w:val="none"/>
        </w:rPr>
      </w:pPr>
      <w:r>
        <w:rPr>
          <w:rFonts w:hint="eastAsia" w:ascii="宋体" w:hAnsi="宋体" w:eastAsia="宋体" w:cs="宋体"/>
          <w:b/>
          <w:bCs/>
          <w:color w:val="auto"/>
          <w:sz w:val="30"/>
          <w:szCs w:val="30"/>
          <w:highlight w:val="none"/>
        </w:rPr>
        <w:br w:type="page"/>
      </w:r>
      <w:bookmarkStart w:id="365" w:name="_Toc28187727"/>
      <w:r>
        <w:rPr>
          <w:rStyle w:val="146"/>
          <w:rFonts w:hint="eastAsia"/>
          <w:b/>
          <w:bCs/>
          <w:color w:val="auto"/>
          <w:highlight w:val="none"/>
        </w:rPr>
        <w:t>评标办法</w:t>
      </w:r>
      <w:bookmarkEnd w:id="364"/>
      <w:r>
        <w:rPr>
          <w:rStyle w:val="146"/>
          <w:rFonts w:hint="eastAsia"/>
          <w:b/>
          <w:bCs/>
          <w:color w:val="auto"/>
          <w:highlight w:val="none"/>
        </w:rPr>
        <w:t>（正文）</w:t>
      </w:r>
      <w:bookmarkEnd w:id="365"/>
    </w:p>
    <w:p>
      <w:pPr>
        <w:pStyle w:val="5"/>
        <w:numPr>
          <w:ilvl w:val="255"/>
          <w:numId w:val="0"/>
        </w:numPr>
        <w:rPr>
          <w:color w:val="auto"/>
          <w:highlight w:val="none"/>
        </w:rPr>
      </w:pPr>
      <w:bookmarkStart w:id="366" w:name="_Toc523921672"/>
      <w:r>
        <w:rPr>
          <w:color w:val="auto"/>
          <w:highlight w:val="none"/>
        </w:rPr>
        <w:t xml:space="preserve">1. </w:t>
      </w:r>
      <w:r>
        <w:rPr>
          <w:rFonts w:hint="eastAsia"/>
          <w:color w:val="auto"/>
          <w:highlight w:val="none"/>
        </w:rPr>
        <w:t>评标方法</w:t>
      </w:r>
      <w:bookmarkEnd w:id="36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次评标采用综合评估法。评标委员会对满足招标文件实质性要求的投标文件，按照本章第2.2款规定的评分标准进行打分，并按得分由高到低顺序推荐中标候选人，或根据招标人授权直接确定中标人，但投标报价低于成本的除外。综合评分相等时，评标委员会按照评标办法前附表规定的优先次序推荐中标候选人或确定中标人。</w:t>
      </w:r>
    </w:p>
    <w:p>
      <w:pPr>
        <w:pStyle w:val="5"/>
        <w:rPr>
          <w:color w:val="auto"/>
          <w:highlight w:val="none"/>
        </w:rPr>
      </w:pPr>
      <w:bookmarkStart w:id="367" w:name="_Toc523921673"/>
      <w:r>
        <w:rPr>
          <w:color w:val="auto"/>
          <w:highlight w:val="none"/>
        </w:rPr>
        <w:t xml:space="preserve">2. </w:t>
      </w:r>
      <w:r>
        <w:rPr>
          <w:rFonts w:hint="eastAsia"/>
          <w:color w:val="auto"/>
          <w:highlight w:val="none"/>
        </w:rPr>
        <w:t>评审标准</w:t>
      </w:r>
      <w:bookmarkEnd w:id="367"/>
    </w:p>
    <w:p>
      <w:pPr>
        <w:pStyle w:val="6"/>
        <w:rPr>
          <w:b w:val="0"/>
          <w:bCs w:val="0"/>
          <w:color w:val="auto"/>
          <w:highlight w:val="none"/>
        </w:rPr>
      </w:pPr>
      <w:bookmarkStart w:id="368" w:name="_Toc523921674"/>
      <w:r>
        <w:rPr>
          <w:b w:val="0"/>
          <w:bCs w:val="0"/>
          <w:color w:val="auto"/>
          <w:highlight w:val="none"/>
        </w:rPr>
        <w:t xml:space="preserve">2.1 </w:t>
      </w:r>
      <w:r>
        <w:rPr>
          <w:rFonts w:hint="eastAsia"/>
          <w:b w:val="0"/>
          <w:bCs w:val="0"/>
          <w:color w:val="auto"/>
          <w:highlight w:val="none"/>
        </w:rPr>
        <w:t>初步评审标准</w:t>
      </w:r>
      <w:bookmarkEnd w:id="36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 形式评审标准：见评标办法前附表。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 资格评审标准：见评标办法前附表。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 响应性评审标准：见评标办法前附表。</w:t>
      </w:r>
    </w:p>
    <w:p>
      <w:pPr>
        <w:pStyle w:val="6"/>
        <w:rPr>
          <w:b w:val="0"/>
          <w:bCs w:val="0"/>
          <w:color w:val="auto"/>
          <w:highlight w:val="none"/>
        </w:rPr>
      </w:pPr>
      <w:bookmarkStart w:id="369" w:name="_Toc523921675"/>
      <w:r>
        <w:rPr>
          <w:b w:val="0"/>
          <w:bCs w:val="0"/>
          <w:color w:val="auto"/>
          <w:highlight w:val="none"/>
        </w:rPr>
        <w:t xml:space="preserve">2.2 </w:t>
      </w:r>
      <w:r>
        <w:rPr>
          <w:rFonts w:hint="eastAsia"/>
          <w:b w:val="0"/>
          <w:bCs w:val="0"/>
          <w:color w:val="auto"/>
          <w:highlight w:val="none"/>
        </w:rPr>
        <w:t>分值构成与评分标准</w:t>
      </w:r>
      <w:bookmarkEnd w:id="36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2.2.1分值构成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（1）技术建议书：见评标办法前附表；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（2）主要人员：见评标办法前附表；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（3）评标价：见评标办法前附表；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（4）其他评分因素：见评标办法前附表。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2.2.2 评标基准价计算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评标基准价计算方法：见评标办法前附表。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 评标价的偏差率计算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评标价的偏差率计算公式：见评标办法前附表。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 评分标准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（1）技术建议书评分标准：见评标办法前附表；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（2）主要人员评分标准：见评标办法前附表；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（3）评标价评分标准：见评标办法前附表；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（4）其他因素评分标准：见评标办法前附表。</w:t>
      </w:r>
      <w:bookmarkStart w:id="370" w:name="_Toc523921676"/>
    </w:p>
    <w:p>
      <w:pPr>
        <w:pStyle w:val="5"/>
        <w:rPr>
          <w:color w:val="auto"/>
          <w:highlight w:val="none"/>
        </w:rPr>
      </w:pPr>
      <w:r>
        <w:rPr>
          <w:color w:val="auto"/>
          <w:highlight w:val="none"/>
        </w:rPr>
        <w:t xml:space="preserve">3. </w:t>
      </w:r>
      <w:r>
        <w:rPr>
          <w:rFonts w:hint="eastAsia"/>
          <w:color w:val="auto"/>
          <w:highlight w:val="none"/>
        </w:rPr>
        <w:t>评标程序</w:t>
      </w:r>
      <w:bookmarkEnd w:id="370"/>
    </w:p>
    <w:p>
      <w:pPr>
        <w:pStyle w:val="6"/>
        <w:rPr>
          <w:b w:val="0"/>
          <w:bCs w:val="0"/>
          <w:color w:val="auto"/>
          <w:highlight w:val="none"/>
        </w:rPr>
      </w:pPr>
      <w:bookmarkStart w:id="371" w:name="_Toc523921677"/>
      <w:r>
        <w:rPr>
          <w:b w:val="0"/>
          <w:bCs w:val="0"/>
          <w:color w:val="auto"/>
          <w:highlight w:val="none"/>
        </w:rPr>
        <w:t xml:space="preserve">3.1 </w:t>
      </w:r>
      <w:r>
        <w:rPr>
          <w:rFonts w:hint="eastAsia"/>
          <w:b w:val="0"/>
          <w:bCs w:val="0"/>
          <w:color w:val="auto"/>
          <w:highlight w:val="none"/>
        </w:rPr>
        <w:t>第一个信封初步评审</w:t>
      </w:r>
      <w:bookmarkEnd w:id="371"/>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3.1.1 评标委员会依据本章第2.1款规定的标准对投标文件第一个信封（商务及技术文件）进行初步评审。有一项不符合评审标准的，评标委员会应否决其投标。</w:t>
      </w:r>
    </w:p>
    <w:p>
      <w:pPr>
        <w:pStyle w:val="6"/>
        <w:rPr>
          <w:b w:val="0"/>
          <w:bCs w:val="0"/>
          <w:color w:val="auto"/>
          <w:highlight w:val="none"/>
        </w:rPr>
      </w:pPr>
      <w:bookmarkStart w:id="372" w:name="_Toc523921678"/>
      <w:r>
        <w:rPr>
          <w:b w:val="0"/>
          <w:bCs w:val="0"/>
          <w:color w:val="auto"/>
          <w:highlight w:val="none"/>
        </w:rPr>
        <w:t xml:space="preserve">3.2 </w:t>
      </w:r>
      <w:r>
        <w:rPr>
          <w:rFonts w:hint="eastAsia"/>
          <w:b w:val="0"/>
          <w:bCs w:val="0"/>
          <w:color w:val="auto"/>
          <w:highlight w:val="none"/>
        </w:rPr>
        <w:t>第一个信封详细评审</w:t>
      </w:r>
      <w:bookmarkEnd w:id="37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 评标委员会按本章第2.2款规定的量化因素和分值进行打分，并计算出各投标人的商务和技术得分。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（1）按本章第2.2.4项（1）目规定的评审因素和分值对技术建议书部分计算出得分A；</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（2）按本章第2.2.4项（2）目规定的评审因素和分值对主要人员部分计算出得分B；</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（3）按本章第2.2.4项（4）目规定的评审因素和分值对其他部分计算出得分D。</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 投标人的商务和技术得分分值计算保留小数点后位数：见评标办法前附表。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 投标人的商务和技术得分=A＋B＋D。</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3.2.4 投标人投标文件第一个信封（商务及技术文件）通过初步评审、详细评审的均进入第二个信封（报价文件）评审。</w:t>
      </w:r>
    </w:p>
    <w:p>
      <w:pPr>
        <w:pStyle w:val="6"/>
        <w:rPr>
          <w:b w:val="0"/>
          <w:bCs w:val="0"/>
          <w:color w:val="auto"/>
          <w:highlight w:val="none"/>
        </w:rPr>
      </w:pPr>
      <w:bookmarkStart w:id="373" w:name="_Toc523921679"/>
      <w:r>
        <w:rPr>
          <w:b w:val="0"/>
          <w:bCs w:val="0"/>
          <w:color w:val="auto"/>
          <w:highlight w:val="none"/>
        </w:rPr>
        <w:t xml:space="preserve">3.3 </w:t>
      </w:r>
      <w:r>
        <w:rPr>
          <w:rFonts w:hint="eastAsia"/>
          <w:b w:val="0"/>
          <w:bCs w:val="0"/>
          <w:color w:val="auto"/>
          <w:highlight w:val="none"/>
        </w:rPr>
        <w:t>第二个信封开标</w:t>
      </w:r>
      <w:bookmarkEnd w:id="373"/>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第一个信封（商务及技术文件）评审结束后，招标人将按照第二章“投标人须知”第5.1款规定的时间和地点对通过投标文件第一个信封（商务及技术文件）评审的投标文件第二个信封（报价文件）进行开标。</w:t>
      </w:r>
    </w:p>
    <w:p>
      <w:pPr>
        <w:pStyle w:val="6"/>
        <w:rPr>
          <w:b w:val="0"/>
          <w:bCs w:val="0"/>
          <w:color w:val="auto"/>
          <w:highlight w:val="none"/>
        </w:rPr>
      </w:pPr>
      <w:bookmarkStart w:id="374" w:name="_Toc523921680"/>
      <w:r>
        <w:rPr>
          <w:b w:val="0"/>
          <w:bCs w:val="0"/>
          <w:color w:val="auto"/>
          <w:highlight w:val="none"/>
        </w:rPr>
        <w:t xml:space="preserve">3.4 </w:t>
      </w:r>
      <w:r>
        <w:rPr>
          <w:rFonts w:hint="eastAsia"/>
          <w:b w:val="0"/>
          <w:bCs w:val="0"/>
          <w:color w:val="auto"/>
          <w:highlight w:val="none"/>
        </w:rPr>
        <w:t>第二个信封初步评审</w:t>
      </w:r>
      <w:bookmarkEnd w:id="374"/>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3.4.1 评标委员会依据本章第2.1.1项、第2.1.3项规定的评审标准对投标文件第二个信封（报价文件）进行初步评审。有一项不符合评审标准的，评标委员会应否决其投标。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3.4.2 投标报价有算术错误的，评标委员会按评标办法前附表原则对投标报价进行修正，修正的价格经投标人书面确认后具有约束力。投标人不接受修正价格的，评标委员会应否决其投标。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3.4.3 修正后的最终投标报价若超过最高投标限价（如有），评标委员会应否决其投标。 </w:t>
      </w:r>
    </w:p>
    <w:p>
      <w:pPr>
        <w:pStyle w:val="6"/>
        <w:rPr>
          <w:b w:val="0"/>
          <w:bCs w:val="0"/>
          <w:color w:val="auto"/>
          <w:highlight w:val="none"/>
        </w:rPr>
      </w:pPr>
      <w:bookmarkStart w:id="375" w:name="_Toc523921681"/>
      <w:r>
        <w:rPr>
          <w:b w:val="0"/>
          <w:bCs w:val="0"/>
          <w:color w:val="auto"/>
          <w:highlight w:val="none"/>
        </w:rPr>
        <w:t xml:space="preserve">3.5 </w:t>
      </w:r>
      <w:r>
        <w:rPr>
          <w:rFonts w:hint="eastAsia"/>
          <w:b w:val="0"/>
          <w:bCs w:val="0"/>
          <w:color w:val="auto"/>
          <w:highlight w:val="none"/>
        </w:rPr>
        <w:t>第二个信封详细评审</w:t>
      </w:r>
      <w:bookmarkEnd w:id="375"/>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3.5.1 评标委员会按本章第2.2.4项（3）目规定的评审因素和分值对评标价计算出得分F，评标价得分分值计算保留小数点后位数：见评标办法前附表。 </w:t>
      </w:r>
    </w:p>
    <w:p>
      <w:pPr>
        <w:spacing w:line="360" w:lineRule="auto"/>
        <w:ind w:firstLine="480" w:firstLineChars="200"/>
        <w:jc w:val="lef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3.5.2 投标人综合得分=投标人的商务和技术得分</w:t>
      </w:r>
      <w:r>
        <w:rPr>
          <w:rFonts w:hint="eastAsia" w:ascii="宋体" w:hAnsi="宋体" w:cs="宋体"/>
          <w:color w:val="auto"/>
          <w:sz w:val="24"/>
          <w:highlight w:val="none"/>
        </w:rPr>
        <w:t>＋</w:t>
      </w:r>
      <w:r>
        <w:rPr>
          <w:rFonts w:hint="eastAsia" w:cs="宋体" w:asciiTheme="minorEastAsia" w:hAnsiTheme="minorEastAsia" w:eastAsiaTheme="minorEastAsia"/>
          <w:color w:val="auto"/>
          <w:sz w:val="24"/>
          <w:highlight w:val="none"/>
        </w:rPr>
        <w:t>F。</w:t>
      </w:r>
    </w:p>
    <w:p>
      <w:pPr>
        <w:spacing w:line="360" w:lineRule="auto"/>
        <w:ind w:firstLine="480" w:firstLineChars="200"/>
        <w:jc w:val="lef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3.5.3 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r>
        <w:rPr>
          <w:rFonts w:hint="eastAsia" w:ascii="宋体" w:hAnsi="宋体" w:cs="宋体"/>
          <w:color w:val="auto"/>
          <w:sz w:val="24"/>
          <w:highlight w:val="none"/>
        </w:rPr>
        <w:t xml:space="preserve"> </w:t>
      </w:r>
    </w:p>
    <w:p>
      <w:pPr>
        <w:pStyle w:val="6"/>
        <w:rPr>
          <w:b w:val="0"/>
          <w:bCs w:val="0"/>
          <w:color w:val="auto"/>
          <w:highlight w:val="none"/>
        </w:rPr>
      </w:pPr>
      <w:bookmarkStart w:id="376" w:name="_Toc523921682"/>
      <w:r>
        <w:rPr>
          <w:b w:val="0"/>
          <w:bCs w:val="0"/>
          <w:color w:val="auto"/>
          <w:highlight w:val="none"/>
        </w:rPr>
        <w:t xml:space="preserve">3.6 </w:t>
      </w:r>
      <w:r>
        <w:rPr>
          <w:rFonts w:hint="eastAsia"/>
          <w:b w:val="0"/>
          <w:bCs w:val="0"/>
          <w:color w:val="auto"/>
          <w:highlight w:val="none"/>
        </w:rPr>
        <w:t>投标文件相关信息的核查</w:t>
      </w:r>
      <w:bookmarkEnd w:id="376"/>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3.6.1 </w:t>
      </w:r>
      <w:bookmarkStart w:id="377" w:name="_Hlk98663561"/>
      <w:r>
        <w:rPr>
          <w:rFonts w:hint="eastAsia" w:ascii="宋体" w:hAnsi="宋体"/>
          <w:color w:val="auto"/>
          <w:kern w:val="0"/>
          <w:sz w:val="24"/>
          <w:highlight w:val="none"/>
        </w:rPr>
        <w:t>在评标过程中，评标委员会应查询交通运输主管部门“全国公路建设市场监督管理系统”，对投标人的资质、业绩、主要人员资历等信息进行核实，信用等级</w:t>
      </w:r>
      <w:bookmarkStart w:id="378" w:name="_Hlk93753323"/>
      <w:r>
        <w:rPr>
          <w:rFonts w:hint="eastAsia" w:ascii="宋体" w:hAnsi="宋体"/>
          <w:color w:val="auto"/>
          <w:sz w:val="24"/>
          <w:highlight w:val="none"/>
        </w:rPr>
        <w:t>信息应以“信用交通·四川”上查询结果为准</w:t>
      </w:r>
      <w:bookmarkEnd w:id="378"/>
      <w:r>
        <w:rPr>
          <w:rFonts w:hint="eastAsia" w:ascii="宋体" w:hAnsi="宋体"/>
          <w:color w:val="auto"/>
          <w:kern w:val="0"/>
          <w:sz w:val="24"/>
          <w:highlight w:val="none"/>
        </w:rPr>
        <w:t>。若投标文件提供的信息与</w:t>
      </w:r>
      <w:bookmarkStart w:id="379" w:name="_Hlk93753343"/>
      <w:r>
        <w:rPr>
          <w:rFonts w:hint="eastAsia" w:ascii="宋体" w:hAnsi="宋体"/>
          <w:color w:val="auto"/>
          <w:kern w:val="0"/>
          <w:sz w:val="24"/>
          <w:highlight w:val="none"/>
        </w:rPr>
        <w:t>上述信息发布平台</w:t>
      </w:r>
      <w:bookmarkEnd w:id="379"/>
      <w:r>
        <w:rPr>
          <w:rFonts w:hint="eastAsia" w:ascii="宋体" w:hAnsi="宋体"/>
          <w:color w:val="auto"/>
          <w:kern w:val="0"/>
          <w:sz w:val="24"/>
          <w:highlight w:val="none"/>
        </w:rPr>
        <w:t>发布的信息不符，使得投标人的资格条件不符合招标文件规定的，评标委员会应否决其投标</w:t>
      </w:r>
      <w:bookmarkEnd w:id="377"/>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3.6.2 评标委员会应对在评标过程中发现的投标人与投标人之间、投标人与招标人之间存在的串通投标的情形进行评审和认定。投标人存在串通投标、弄虚作假、行贿等违法行为的，评标委员会应否决其投标。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（1）有下列情形之一的，属于投标人相互串通投标：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a.投标人之间协商投标报价等投标文件的实质性内容；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b.投标人之间约定中标人；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c.投标人之间约定部分投标人放弃投标或中标；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d.属于同一集团、协会、商会等组织成员的投标人按照该组织要求协同投标；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e.投标人之间为谋取中标或排斥特定投标人而采取的其他联合行动。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（2）有下列情形之一的，视为投标人相互串通投标：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a.不同投标人的投标文件由同一单位或个人编制；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b.不同投标人委托同一单位或个人办理投标事宜；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c.不同投标人的投标文件载明的项目管理成员为同一人；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d.不同投标人的投标文件异常一致或投标报价呈规律性差异；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e.不同投标人的投标文件相互混装；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f.不同投标人的投标保证金从同一单位或个人的账户转出； </w:t>
      </w:r>
    </w:p>
    <w:p>
      <w:pPr>
        <w:widowControl/>
        <w:snapToGrid w:val="0"/>
        <w:spacing w:line="360" w:lineRule="auto"/>
        <w:ind w:firstLine="480" w:firstLineChars="200"/>
        <w:jc w:val="left"/>
        <w:rPr>
          <w:rFonts w:hint="eastAsia" w:ascii="宋体" w:hAnsi="宋体"/>
          <w:color w:val="auto"/>
          <w:kern w:val="0"/>
          <w:sz w:val="24"/>
          <w:highlight w:val="none"/>
        </w:rPr>
      </w:pPr>
      <w:r>
        <w:rPr>
          <w:rFonts w:hint="eastAsia" w:ascii="宋体" w:hAnsi="宋体"/>
          <w:color w:val="auto"/>
          <w:kern w:val="0"/>
          <w:sz w:val="24"/>
          <w:highlight w:val="none"/>
        </w:rPr>
        <w:t>g.对同一标段不同投标人电子投标文件的文件制作机器码或文件创建标识码相同；</w:t>
      </w:r>
    </w:p>
    <w:p>
      <w:pPr>
        <w:widowControl/>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h.不同投标人从同一投标单位或同一自然人的互联网协议地址上传投标文件、购买电子保函或参加投标活动的人员为同一标段其他投标人的在职人员；</w:t>
      </w:r>
    </w:p>
    <w:p>
      <w:pPr>
        <w:spacing w:line="360" w:lineRule="auto"/>
        <w:ind w:firstLine="480" w:firstLineChars="200"/>
        <w:rPr>
          <w:rFonts w:hint="eastAsia" w:ascii="宋体" w:hAnsi="宋体" w:cs="宋体"/>
          <w:color w:val="auto"/>
          <w:sz w:val="24"/>
          <w:highlight w:val="none"/>
        </w:rPr>
      </w:pPr>
      <w:r>
        <w:rPr>
          <w:rFonts w:hint="eastAsia" w:ascii="宋体" w:hAnsi="宋体"/>
          <w:color w:val="auto"/>
          <w:kern w:val="0"/>
          <w:sz w:val="24"/>
          <w:highlight w:val="none"/>
        </w:rPr>
        <w:t>j.不同投标人通过同一单位或者个人账户购买电子保函的。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（3）有下列情形之一的，属于招标人与投标人串通投标：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a.招标人在开标前开启投标文件并将有关信息泄露给其他投标人；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b.招标人直接或间接向投标人泄露标底、评标委员会成员等信息；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c.招标人明示或暗示投标人压低或抬高投标报价；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d.招标人授意投标人撤换、修改投标文件；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e.招标人明示或暗示投标人为特定投标人中标提供方便；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f.招标人与投标人为谋求特定投标人中标而采取的其他串通行为。 </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sz w:val="24"/>
          <w:highlight w:val="none"/>
        </w:rPr>
        <w:t>（4）</w:t>
      </w:r>
      <w:r>
        <w:rPr>
          <w:rFonts w:hint="eastAsia" w:ascii="宋体" w:hAnsi="宋体" w:cs="宋体"/>
          <w:color w:val="auto"/>
          <w:kern w:val="0"/>
          <w:sz w:val="24"/>
          <w:highlight w:val="none"/>
        </w:rPr>
        <w:t>有下列情形之一的，属于电子招标投标交易平台运营机构或其人员与投标人串通投标：</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kern w:val="0"/>
          <w:sz w:val="24"/>
          <w:highlight w:val="none"/>
        </w:rPr>
        <w:t>a.电子招标投标交易平台运营机构或其人员在开标前开启投标文件并将有关信息泄露给其他投标人；</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kern w:val="0"/>
          <w:sz w:val="24"/>
          <w:highlight w:val="none"/>
        </w:rPr>
        <w:t>b.电子招标投标交易平台运营机构或其人员直接或者间接向投标人泄露标底、评标委员会成员等信息；</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kern w:val="0"/>
          <w:sz w:val="24"/>
          <w:highlight w:val="none"/>
        </w:rPr>
        <w:t>c.电子招标投标交易平台运营机构或其人员明示或者暗示投标人压低或者抬高投标报价；</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kern w:val="0"/>
          <w:sz w:val="24"/>
          <w:highlight w:val="none"/>
        </w:rPr>
        <w:t>d.电子招标投标交易平台运营机构或其人员授意投标人撤换、修改投标文件；</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kern w:val="0"/>
          <w:sz w:val="24"/>
          <w:highlight w:val="none"/>
        </w:rPr>
        <w:t>e.电子招标投标交易平台运营机构或其人员明示或者暗示投标人为特定投标人中标提供方便；</w:t>
      </w:r>
    </w:p>
    <w:p>
      <w:pPr>
        <w:widowControl/>
        <w:spacing w:line="360" w:lineRule="auto"/>
        <w:ind w:firstLine="480"/>
        <w:jc w:val="left"/>
        <w:rPr>
          <w:rFonts w:hint="eastAsia" w:ascii="宋体" w:hAnsi="宋体" w:cs="宋体"/>
          <w:color w:val="auto"/>
          <w:sz w:val="24"/>
          <w:highlight w:val="none"/>
        </w:rPr>
      </w:pPr>
      <w:r>
        <w:rPr>
          <w:rFonts w:hint="eastAsia" w:ascii="宋体" w:hAnsi="宋体" w:cs="宋体"/>
          <w:color w:val="auto"/>
          <w:kern w:val="0"/>
          <w:sz w:val="24"/>
          <w:highlight w:val="none"/>
        </w:rPr>
        <w:t>f.电子招标投标交易平台运营机构或其人员与投标人为谋求特定投标人中标而采取的其他串通行为。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（5）投标人有下列情形之一的，属于弄虚作假的行为：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a.使用通过受让或租借等方式获取的资格、资质证书投标；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b.使用伪造、变造的许可证件；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c.提供虚假的业绩；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d.提供虚假的项目负责人或主要技术人员简历、劳动关系证明；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e.提供虚假的信用状况； </w:t>
      </w:r>
    </w:p>
    <w:p>
      <w:pPr>
        <w:widowControl/>
        <w:spacing w:line="3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 xml:space="preserve">f.其他弄虚作假的行为。 </w:t>
      </w:r>
    </w:p>
    <w:p>
      <w:pPr>
        <w:pStyle w:val="6"/>
        <w:rPr>
          <w:b w:val="0"/>
          <w:bCs w:val="0"/>
          <w:color w:val="auto"/>
          <w:highlight w:val="none"/>
        </w:rPr>
      </w:pPr>
      <w:bookmarkStart w:id="380" w:name="_Toc523921683"/>
      <w:r>
        <w:rPr>
          <w:b w:val="0"/>
          <w:bCs w:val="0"/>
          <w:color w:val="auto"/>
          <w:highlight w:val="none"/>
        </w:rPr>
        <w:t xml:space="preserve">3.7 </w:t>
      </w:r>
      <w:r>
        <w:rPr>
          <w:rFonts w:hint="eastAsia"/>
          <w:b w:val="0"/>
          <w:bCs w:val="0"/>
          <w:color w:val="auto"/>
          <w:highlight w:val="none"/>
        </w:rPr>
        <w:t>投标文件的澄清和说明</w:t>
      </w:r>
      <w:bookmarkEnd w:id="380"/>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3.7.1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3.7.2 澄清和说明不得超出投标文件的范围或改变投标文件的实质性内容（算术性错误的修正除外）。投标人的书面澄清、说明属于投标文件的组成部分。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3.7.3 评标委员会不得暗示或诱导投标人作出澄清、说明，对投标人提交的澄清、说明有疑问的，可以要求投标人进一步澄清或说明，直至满足评标委员会的要求。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3.7.4 凡超出招标文件规定的或给发包人带来未曾要求的利益的变化、偏差或其他因素在评标时不予考虑。</w:t>
      </w:r>
    </w:p>
    <w:p>
      <w:pPr>
        <w:pStyle w:val="6"/>
        <w:rPr>
          <w:b w:val="0"/>
          <w:bCs w:val="0"/>
          <w:color w:val="auto"/>
          <w:highlight w:val="none"/>
        </w:rPr>
      </w:pPr>
      <w:bookmarkStart w:id="381" w:name="_Toc523921684"/>
      <w:r>
        <w:rPr>
          <w:b w:val="0"/>
          <w:bCs w:val="0"/>
          <w:color w:val="auto"/>
          <w:highlight w:val="none"/>
        </w:rPr>
        <w:t xml:space="preserve">3.8 </w:t>
      </w:r>
      <w:r>
        <w:rPr>
          <w:rFonts w:hint="eastAsia"/>
          <w:b w:val="0"/>
          <w:bCs w:val="0"/>
          <w:color w:val="auto"/>
          <w:highlight w:val="none"/>
        </w:rPr>
        <w:t>不得否决投标的情形</w:t>
      </w:r>
      <w:bookmarkEnd w:id="381"/>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投标文件存在第三章“评标办法”前附表中所列任一否决投标情形以外的情况均视为细微偏差，评标委员会不得否决投标人的投标，细微偏差的处理可以按照澄清规定处理。 </w:t>
      </w:r>
    </w:p>
    <w:p>
      <w:pPr>
        <w:pStyle w:val="6"/>
        <w:rPr>
          <w:b w:val="0"/>
          <w:bCs w:val="0"/>
          <w:color w:val="auto"/>
          <w:highlight w:val="none"/>
        </w:rPr>
      </w:pPr>
      <w:bookmarkStart w:id="382" w:name="_Toc523921685"/>
      <w:r>
        <w:rPr>
          <w:b w:val="0"/>
          <w:bCs w:val="0"/>
          <w:color w:val="auto"/>
          <w:highlight w:val="none"/>
        </w:rPr>
        <w:t xml:space="preserve">3.9 </w:t>
      </w:r>
      <w:r>
        <w:rPr>
          <w:rFonts w:hint="eastAsia"/>
          <w:b w:val="0"/>
          <w:bCs w:val="0"/>
          <w:color w:val="auto"/>
          <w:highlight w:val="none"/>
        </w:rPr>
        <w:t>评标结果</w:t>
      </w:r>
      <w:bookmarkEnd w:id="382"/>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3.9.1 除第二章“投标人须知”前附表授权直接确定中标人外，评标委员会按照得分由高到低的顺序推荐中标候选人，并标明排序。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3.9.2 评标委员会完成评标后，应向招标人提交书面评标报告。</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rPr>
          <w:rFonts w:hint="eastAsia" w:ascii="黑体" w:hAnsi="黑体" w:cs="黑体"/>
          <w:b w:val="0"/>
          <w:color w:val="auto"/>
          <w:sz w:val="52"/>
          <w:szCs w:val="52"/>
          <w:highlight w:val="none"/>
        </w:rPr>
      </w:pPr>
      <w:bookmarkStart w:id="383" w:name="_Toc519777803"/>
      <w:bookmarkStart w:id="384" w:name="_Toc519777795"/>
      <w:bookmarkStart w:id="385" w:name="_Toc519601475"/>
      <w:bookmarkStart w:id="386" w:name="_Toc28187728"/>
      <w:bookmarkStart w:id="387" w:name="_Toc519777855"/>
      <w:bookmarkStart w:id="388" w:name="_Toc519777907"/>
      <w:bookmarkStart w:id="389" w:name="_Toc519778468"/>
      <w:r>
        <w:rPr>
          <w:rFonts w:hint="eastAsia" w:ascii="黑体" w:hAnsi="黑体" w:cs="黑体"/>
          <w:b w:val="0"/>
          <w:color w:val="auto"/>
          <w:sz w:val="52"/>
          <w:szCs w:val="52"/>
          <w:highlight w:val="none"/>
        </w:rPr>
        <w:t>第四章  合同条款及格式</w:t>
      </w:r>
      <w:bookmarkEnd w:id="383"/>
      <w:bookmarkEnd w:id="384"/>
      <w:bookmarkEnd w:id="385"/>
      <w:bookmarkEnd w:id="386"/>
      <w:bookmarkEnd w:id="387"/>
      <w:bookmarkEnd w:id="388"/>
      <w:bookmarkEnd w:id="389"/>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spacing w:line="360" w:lineRule="auto"/>
        <w:rPr>
          <w:color w:val="auto"/>
          <w:highlight w:val="none"/>
        </w:rPr>
      </w:pPr>
      <w:r>
        <w:rPr>
          <w:color w:val="auto"/>
          <w:highlight w:val="none"/>
        </w:rPr>
        <w:br w:type="page"/>
      </w:r>
      <w:bookmarkStart w:id="390" w:name="_Toc523921687"/>
    </w:p>
    <w:p>
      <w:pPr>
        <w:pStyle w:val="5"/>
        <w:jc w:val="center"/>
        <w:rPr>
          <w:rFonts w:hint="eastAsia" w:ascii="黑体" w:hAnsi="黑体" w:cs="黑体"/>
          <w:b w:val="0"/>
          <w:color w:val="auto"/>
          <w:sz w:val="40"/>
          <w:szCs w:val="40"/>
          <w:highlight w:val="none"/>
          <w:vertAlign w:val="superscript"/>
        </w:rPr>
      </w:pPr>
      <w:bookmarkStart w:id="391" w:name="_Toc28187729"/>
      <w:r>
        <w:rPr>
          <w:rFonts w:hint="eastAsia" w:ascii="黑体" w:hAnsi="黑体" w:cs="黑体"/>
          <w:b w:val="0"/>
          <w:color w:val="auto"/>
          <w:sz w:val="40"/>
          <w:szCs w:val="40"/>
          <w:highlight w:val="none"/>
        </w:rPr>
        <w:t>第一节  通用合同条款</w:t>
      </w:r>
      <w:bookmarkEnd w:id="390"/>
      <w:bookmarkEnd w:id="391"/>
    </w:p>
    <w:p>
      <w:pPr>
        <w:spacing w:line="360" w:lineRule="auto"/>
        <w:rPr>
          <w:rFonts w:hint="eastAsia" w:ascii="宋体" w:hAnsi="宋体" w:cs="宋体"/>
          <w:color w:val="auto"/>
          <w:highlight w:val="none"/>
        </w:rPr>
      </w:pPr>
    </w:p>
    <w:p>
      <w:pPr>
        <w:spacing w:line="360" w:lineRule="auto"/>
        <w:jc w:val="center"/>
        <w:rPr>
          <w:rFonts w:hint="eastAsia" w:ascii="黑体" w:hAnsi="黑体" w:eastAsia="黑体" w:cs="宋体"/>
          <w:color w:val="auto"/>
          <w:sz w:val="32"/>
          <w:szCs w:val="32"/>
          <w:highlight w:val="none"/>
        </w:rPr>
      </w:pPr>
      <w:r>
        <w:rPr>
          <w:rFonts w:hint="eastAsia" w:ascii="黑体" w:hAnsi="黑体" w:eastAsia="黑体" w:cs="宋体"/>
          <w:color w:val="auto"/>
          <w:sz w:val="32"/>
          <w:szCs w:val="32"/>
          <w:highlight w:val="none"/>
        </w:rPr>
        <w:t>详见《中华人民共和国标准监理招标文件》（2017年版）</w:t>
      </w:r>
    </w:p>
    <w:p>
      <w:pPr>
        <w:spacing w:line="360" w:lineRule="auto"/>
        <w:rPr>
          <w:rFonts w:hint="eastAsia" w:ascii="宋体" w:hAnsi="宋体" w:cs="宋体"/>
          <w:color w:val="auto"/>
          <w:highlight w:val="none"/>
        </w:rPr>
      </w:pPr>
    </w:p>
    <w:p>
      <w:pPr>
        <w:pStyle w:val="276"/>
        <w:spacing w:line="360" w:lineRule="auto"/>
        <w:rPr>
          <w:rFonts w:hint="eastAsia" w:ascii="宋体" w:hAnsi="宋体" w:cs="宋体"/>
          <w:color w:val="auto"/>
          <w:highlight w:val="none"/>
        </w:rPr>
      </w:pPr>
    </w:p>
    <w:p>
      <w:pPr>
        <w:rPr>
          <w:color w:val="auto"/>
          <w:highlight w:val="none"/>
        </w:rPr>
      </w:pPr>
      <w:bookmarkStart w:id="392" w:name="_Toc519777908"/>
      <w:bookmarkStart w:id="393" w:name="_Toc519778469"/>
      <w:bookmarkStart w:id="394" w:name="_Toc179632629"/>
      <w:bookmarkStart w:id="395" w:name="_Toc513555817"/>
      <w:bookmarkStart w:id="396" w:name="_Toc523921688"/>
      <w:bookmarkStart w:id="397" w:name="_Toc519777856"/>
      <w:bookmarkStart w:id="398" w:name="_Toc513556652"/>
      <w:bookmarkStart w:id="399" w:name="_Toc144974579"/>
      <w:bookmarkStart w:id="400" w:name="_Toc152045611"/>
      <w:bookmarkStart w:id="401" w:name="_Toc513555573"/>
      <w:bookmarkStart w:id="402" w:name="_Toc519601476"/>
      <w:bookmarkStart w:id="403" w:name="_Toc519777804"/>
      <w:bookmarkStart w:id="404" w:name="_Toc152042389"/>
    </w:p>
    <w:p>
      <w:pPr>
        <w:rPr>
          <w:color w:val="auto"/>
          <w:sz w:val="24"/>
          <w:highlight w:val="none"/>
        </w:rPr>
      </w:pPr>
      <w:r>
        <w:rPr>
          <w:rFonts w:hint="eastAsia"/>
          <w:color w:val="auto"/>
          <w:sz w:val="24"/>
          <w:highlight w:val="none"/>
        </w:rPr>
        <w:t>注：</w:t>
      </w:r>
      <w:r>
        <w:rPr>
          <w:rFonts w:hint="eastAsia" w:ascii="宋体" w:hAnsi="宋体" w:cs="宋体"/>
          <w:bCs/>
          <w:color w:val="auto"/>
          <w:sz w:val="24"/>
          <w:highlight w:val="none"/>
        </w:rPr>
        <w:t>本</w:t>
      </w:r>
      <w:r>
        <w:rPr>
          <w:rFonts w:hint="eastAsia" w:ascii="宋体" w:hAnsi="宋体" w:cs="宋体"/>
          <w:color w:val="auto"/>
          <w:sz w:val="24"/>
          <w:highlight w:val="none"/>
        </w:rPr>
        <w:t>部分</w:t>
      </w:r>
      <w:r>
        <w:rPr>
          <w:rFonts w:hint="eastAsia" w:ascii="宋体" w:hAnsi="宋体" w:cs="宋体"/>
          <w:bCs/>
          <w:color w:val="auto"/>
          <w:sz w:val="24"/>
          <w:highlight w:val="none"/>
        </w:rPr>
        <w:t>不加修改地引用了《中华人民共和国标准监理招标文件》（2017年版）相关内容。</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bookmarkEnd w:id="392"/>
    <w:bookmarkEnd w:id="393"/>
    <w:bookmarkEnd w:id="394"/>
    <w:bookmarkEnd w:id="395"/>
    <w:bookmarkEnd w:id="396"/>
    <w:bookmarkEnd w:id="397"/>
    <w:bookmarkEnd w:id="398"/>
    <w:bookmarkEnd w:id="399"/>
    <w:bookmarkEnd w:id="400"/>
    <w:bookmarkEnd w:id="401"/>
    <w:bookmarkEnd w:id="402"/>
    <w:bookmarkEnd w:id="403"/>
    <w:bookmarkEnd w:id="404"/>
    <w:p>
      <w:pPr>
        <w:pStyle w:val="5"/>
        <w:jc w:val="center"/>
        <w:rPr>
          <w:rFonts w:hint="eastAsia" w:ascii="黑体" w:hAnsi="黑体" w:cs="黑体"/>
          <w:b w:val="0"/>
          <w:color w:val="auto"/>
          <w:sz w:val="40"/>
          <w:szCs w:val="40"/>
          <w:highlight w:val="none"/>
        </w:rPr>
      </w:pPr>
      <w:bookmarkStart w:id="405" w:name="_Toc513555586"/>
      <w:bookmarkStart w:id="406" w:name="_Toc28187730"/>
      <w:bookmarkStart w:id="407" w:name="_Toc523921752"/>
      <w:bookmarkStart w:id="408" w:name="_Toc513556665"/>
      <w:bookmarkStart w:id="409" w:name="_Toc513555830"/>
      <w:r>
        <w:rPr>
          <w:rFonts w:hint="eastAsia" w:ascii="黑体" w:hAnsi="黑体" w:cs="黑体"/>
          <w:b w:val="0"/>
          <w:color w:val="auto"/>
          <w:sz w:val="40"/>
          <w:szCs w:val="40"/>
          <w:highlight w:val="none"/>
        </w:rPr>
        <w:t>第二节  专用合同条款</w:t>
      </w:r>
      <w:bookmarkEnd w:id="405"/>
      <w:bookmarkEnd w:id="406"/>
      <w:bookmarkEnd w:id="407"/>
      <w:bookmarkEnd w:id="408"/>
      <w:bookmarkEnd w:id="409"/>
    </w:p>
    <w:p>
      <w:pPr>
        <w:spacing w:line="360" w:lineRule="auto"/>
        <w:jc w:val="center"/>
        <w:outlineLvl w:val="1"/>
        <w:rPr>
          <w:rFonts w:hint="eastAsia" w:ascii="黑体" w:hAnsi="黑体" w:eastAsia="黑体" w:cs="黑体"/>
          <w:bCs/>
          <w:color w:val="auto"/>
          <w:sz w:val="32"/>
          <w:szCs w:val="32"/>
          <w:highlight w:val="none"/>
        </w:rPr>
      </w:pPr>
      <w:bookmarkStart w:id="410" w:name="_Toc519601489"/>
      <w:bookmarkStart w:id="411" w:name="_Toc519777869"/>
      <w:bookmarkStart w:id="412" w:name="_Toc513556666"/>
      <w:bookmarkStart w:id="413" w:name="_Toc513555587"/>
      <w:bookmarkStart w:id="414" w:name="_Toc519778482"/>
      <w:bookmarkStart w:id="415" w:name="_Toc519777817"/>
      <w:bookmarkStart w:id="416" w:name="_Toc519777921"/>
      <w:bookmarkStart w:id="417" w:name="_Toc523921753"/>
      <w:bookmarkStart w:id="418" w:name="_Toc513555831"/>
      <w:r>
        <w:rPr>
          <w:rStyle w:val="146"/>
          <w:b w:val="0"/>
          <w:bCs w:val="0"/>
          <w:color w:val="auto"/>
          <w:highlight w:val="none"/>
        </w:rPr>
        <w:t xml:space="preserve">A. </w:t>
      </w:r>
      <w:r>
        <w:rPr>
          <w:rStyle w:val="146"/>
          <w:rFonts w:hint="eastAsia"/>
          <w:b w:val="0"/>
          <w:bCs w:val="0"/>
          <w:color w:val="auto"/>
          <w:highlight w:val="none"/>
        </w:rPr>
        <w:t>公路工程专用合同条款</w:t>
      </w:r>
      <w:bookmarkEnd w:id="410"/>
      <w:bookmarkEnd w:id="411"/>
      <w:bookmarkEnd w:id="412"/>
      <w:bookmarkEnd w:id="413"/>
      <w:bookmarkEnd w:id="414"/>
      <w:bookmarkEnd w:id="415"/>
      <w:bookmarkEnd w:id="416"/>
      <w:bookmarkEnd w:id="417"/>
      <w:bookmarkEnd w:id="418"/>
    </w:p>
    <w:p>
      <w:pPr>
        <w:pStyle w:val="276"/>
        <w:spacing w:line="360" w:lineRule="auto"/>
        <w:rPr>
          <w:rFonts w:hint="eastAsia" w:ascii="宋体" w:hAnsi="宋体" w:cs="宋体"/>
          <w:color w:val="auto"/>
          <w:highlight w:val="none"/>
        </w:rPr>
      </w:pPr>
    </w:p>
    <w:p>
      <w:pPr>
        <w:spacing w:line="360" w:lineRule="auto"/>
        <w:jc w:val="center"/>
        <w:rPr>
          <w:rFonts w:hint="eastAsia" w:ascii="黑体" w:hAnsi="黑体" w:eastAsia="黑体" w:cs="宋体"/>
          <w:color w:val="auto"/>
          <w:sz w:val="28"/>
          <w:szCs w:val="28"/>
          <w:highlight w:val="none"/>
        </w:rPr>
      </w:pPr>
      <w:bookmarkStart w:id="419" w:name="_Toc519601490"/>
      <w:bookmarkStart w:id="420" w:name="_Toc513556667"/>
      <w:bookmarkStart w:id="421" w:name="_Toc519777818"/>
      <w:bookmarkStart w:id="422" w:name="_Toc519777870"/>
      <w:bookmarkStart w:id="423" w:name="_Toc519778483"/>
      <w:bookmarkStart w:id="424" w:name="_Toc513555832"/>
      <w:bookmarkStart w:id="425" w:name="_Toc523921754"/>
      <w:bookmarkStart w:id="426" w:name="_Toc513555588"/>
      <w:bookmarkStart w:id="427" w:name="_Toc520709447"/>
      <w:bookmarkStart w:id="428" w:name="_Toc519777922"/>
      <w:r>
        <w:rPr>
          <w:rFonts w:hint="eastAsia" w:ascii="黑体" w:hAnsi="黑体" w:eastAsia="黑体" w:cs="宋体"/>
          <w:color w:val="auto"/>
          <w:sz w:val="28"/>
          <w:szCs w:val="28"/>
          <w:highlight w:val="none"/>
        </w:rPr>
        <w:t>详见交通运输部《公路工程标准施工监理招标文件》（2018年版）</w:t>
      </w:r>
    </w:p>
    <w:p>
      <w:pPr>
        <w:spacing w:line="360" w:lineRule="auto"/>
        <w:rPr>
          <w:color w:val="auto"/>
          <w:highlight w:val="none"/>
        </w:rPr>
      </w:pPr>
    </w:p>
    <w:bookmarkEnd w:id="419"/>
    <w:bookmarkEnd w:id="420"/>
    <w:bookmarkEnd w:id="421"/>
    <w:bookmarkEnd w:id="422"/>
    <w:bookmarkEnd w:id="423"/>
    <w:bookmarkEnd w:id="424"/>
    <w:bookmarkEnd w:id="425"/>
    <w:bookmarkEnd w:id="426"/>
    <w:bookmarkEnd w:id="427"/>
    <w:bookmarkEnd w:id="428"/>
    <w:p>
      <w:pPr>
        <w:numPr>
          <w:ilvl w:val="255"/>
          <w:numId w:val="0"/>
        </w:numPr>
        <w:spacing w:line="360" w:lineRule="auto"/>
        <w:jc w:val="left"/>
        <w:outlineLvl w:val="1"/>
        <w:rPr>
          <w:rStyle w:val="146"/>
          <w:b w:val="0"/>
          <w:bCs w:val="0"/>
          <w:color w:val="auto"/>
          <w:highlight w:val="none"/>
        </w:rPr>
      </w:pPr>
      <w:bookmarkStart w:id="429" w:name="_Toc523921803"/>
      <w:r>
        <w:rPr>
          <w:rFonts w:hint="eastAsia" w:ascii="宋体" w:hAnsi="宋体" w:eastAsia="宋体" w:cs="宋体"/>
          <w:b w:val="0"/>
          <w:bCs w:val="0"/>
          <w:color w:val="auto"/>
          <w:sz w:val="24"/>
          <w:szCs w:val="24"/>
          <w:highlight w:val="none"/>
        </w:rPr>
        <w:t>注:</w:t>
      </w:r>
      <w:r>
        <w:rPr>
          <w:rFonts w:hint="eastAsia" w:ascii="宋体" w:hAnsi="宋体" w:cs="宋体"/>
          <w:bCs/>
          <w:color w:val="auto"/>
          <w:sz w:val="24"/>
          <w:highlight w:val="none"/>
        </w:rPr>
        <w:t xml:space="preserve"> 本部分不加修改的引用交通运输部《公路工程标准施工监理招标文件》（2018年版）公路工程专用合同条款。</w:t>
      </w:r>
      <w:r>
        <w:rPr>
          <w:rFonts w:hint="eastAsia" w:ascii="宋体" w:hAnsi="宋体" w:cs="宋体"/>
          <w:color w:val="auto"/>
          <w:highlight w:val="none"/>
        </w:rPr>
        <w:br w:type="page"/>
      </w:r>
      <w:r>
        <w:rPr>
          <w:rStyle w:val="146"/>
          <w:b w:val="0"/>
          <w:bCs w:val="0"/>
          <w:color w:val="auto"/>
          <w:highlight w:val="none"/>
        </w:rPr>
        <w:t xml:space="preserve">B. </w:t>
      </w:r>
      <w:r>
        <w:rPr>
          <w:rStyle w:val="146"/>
          <w:rFonts w:hint="eastAsia"/>
          <w:b w:val="0"/>
          <w:bCs w:val="0"/>
          <w:color w:val="auto"/>
          <w:highlight w:val="none"/>
        </w:rPr>
        <w:t>项目专用合同条款</w:t>
      </w:r>
      <w:bookmarkEnd w:id="429"/>
    </w:p>
    <w:p>
      <w:pPr>
        <w:spacing w:line="360" w:lineRule="auto"/>
        <w:ind w:firstLine="480" w:firstLineChars="200"/>
        <w:rPr>
          <w:rFonts w:hint="eastAsia" w:ascii="黑体" w:hAnsi="黑体" w:eastAsia="黑体" w:cs="黑体"/>
          <w:color w:val="auto"/>
          <w:sz w:val="24"/>
          <w:highlight w:val="none"/>
        </w:rPr>
      </w:pPr>
      <w:r>
        <w:rPr>
          <w:rFonts w:hint="eastAsia" w:ascii="黑体" w:hAnsi="黑体" w:eastAsia="黑体" w:cs="黑体"/>
          <w:color w:val="auto"/>
          <w:sz w:val="24"/>
          <w:highlight w:val="none"/>
        </w:rPr>
        <w:t>说明：</w:t>
      </w:r>
    </w:p>
    <w:p>
      <w:pPr>
        <w:spacing w:line="360" w:lineRule="auto"/>
        <w:ind w:firstLine="480" w:firstLineChars="200"/>
        <w:rPr>
          <w:rFonts w:hint="eastAsia" w:ascii="楷体" w:hAnsi="楷体" w:eastAsia="楷体" w:cs="宋体"/>
          <w:color w:val="auto"/>
          <w:sz w:val="24"/>
          <w:highlight w:val="none"/>
        </w:rPr>
      </w:pPr>
      <w:r>
        <w:rPr>
          <w:rFonts w:hint="eastAsia" w:ascii="楷体" w:hAnsi="楷体" w:eastAsia="楷体" w:cs="宋体"/>
          <w:color w:val="auto"/>
          <w:sz w:val="24"/>
          <w:highlight w:val="none"/>
        </w:rPr>
        <w:t>1.招标人在根据本《标准文件》编制项目招标文件中的“项目专用合同条款”时，可根据招标项目的具体特点和实际需要，对“通用合同条款”及“公路工程专用合同条款”进行补充和细化，除“通用合同条款”明确“专用合同条款”可作出不同约定以及“公路工程专用合同条款”明确“项目专用合同条款”可作出不同约定外，补充和细化的内容不得与“通用合同条款”及“公路工程专用合同条款”强制性规定相抵触。同时，补充、细化或约定的内容，不得违反法律、行政法规的强制性规定和平等、自愿、公平、诚实信用原则。</w:t>
      </w:r>
    </w:p>
    <w:p>
      <w:pPr>
        <w:spacing w:line="360" w:lineRule="auto"/>
        <w:ind w:firstLine="480" w:firstLineChars="200"/>
        <w:rPr>
          <w:rFonts w:hint="eastAsia" w:ascii="楷体" w:hAnsi="楷体" w:eastAsia="楷体" w:cs="宋体"/>
          <w:color w:val="auto"/>
          <w:sz w:val="24"/>
          <w:highlight w:val="none"/>
        </w:rPr>
      </w:pPr>
      <w:r>
        <w:rPr>
          <w:rFonts w:hint="eastAsia" w:ascii="楷体" w:hAnsi="楷体" w:eastAsia="楷体" w:cs="宋体"/>
          <w:color w:val="auto"/>
          <w:sz w:val="24"/>
          <w:highlight w:val="none"/>
        </w:rPr>
        <w:t>2.项目专用合同条款的编号应与通用合同条款和公路工程专用合同条款一致。</w:t>
      </w:r>
    </w:p>
    <w:p>
      <w:pPr>
        <w:spacing w:line="360" w:lineRule="auto"/>
        <w:ind w:firstLine="480" w:firstLineChars="200"/>
        <w:rPr>
          <w:rFonts w:hint="eastAsia" w:ascii="宋体" w:hAnsi="宋体" w:cs="宋体"/>
          <w:color w:val="auto"/>
          <w:sz w:val="24"/>
          <w:highlight w:val="none"/>
        </w:rPr>
      </w:pPr>
      <w:r>
        <w:rPr>
          <w:rFonts w:hint="eastAsia" w:ascii="楷体" w:hAnsi="楷体" w:eastAsia="楷体" w:cs="宋体"/>
          <w:color w:val="auto"/>
          <w:sz w:val="24"/>
          <w:highlight w:val="none"/>
        </w:rPr>
        <w:t>3.招标人可以根据项目实际情况对项目专用合同条款进行补充、细化。</w:t>
      </w: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rPr>
        <w:t>注：本章节内容仅供招标人参考，招标人根据项目特点和实际需要自行编制。</w:t>
      </w:r>
    </w:p>
    <w:p>
      <w:pPr>
        <w:spacing w:before="360" w:after="240" w:line="240" w:lineRule="atLeast"/>
        <w:rPr>
          <w:rFonts w:ascii="黑体" w:hAnsi="Times New Roman"/>
          <w:color w:val="auto"/>
          <w:sz w:val="28"/>
          <w:szCs w:val="28"/>
          <w:highlight w:val="none"/>
        </w:rPr>
      </w:pPr>
      <w:bookmarkStart w:id="430" w:name="_Toc519777881"/>
      <w:bookmarkStart w:id="431" w:name="_Toc519601501"/>
      <w:bookmarkStart w:id="432" w:name="_Toc520709497"/>
      <w:bookmarkStart w:id="433" w:name="_Toc513555599"/>
      <w:bookmarkStart w:id="434" w:name="_Toc513556678"/>
      <w:bookmarkStart w:id="435" w:name="_Toc519778494"/>
      <w:bookmarkStart w:id="436" w:name="_Toc519777933"/>
      <w:bookmarkStart w:id="437" w:name="_Toc519777829"/>
      <w:bookmarkStart w:id="438" w:name="_Toc523921804"/>
      <w:bookmarkStart w:id="439" w:name="_Toc513555843"/>
      <w:r>
        <w:rPr>
          <w:rFonts w:ascii="黑体" w:hAnsi="Times New Roman"/>
          <w:color w:val="auto"/>
          <w:sz w:val="28"/>
          <w:szCs w:val="28"/>
          <w:highlight w:val="none"/>
        </w:rPr>
        <w:br w:type="page"/>
      </w:r>
    </w:p>
    <w:p>
      <w:pPr>
        <w:pStyle w:val="5"/>
        <w:numPr>
          <w:ilvl w:val="255"/>
          <w:numId w:val="0"/>
        </w:numPr>
        <w:rPr>
          <w:color w:val="auto"/>
          <w:highlight w:val="none"/>
        </w:rPr>
      </w:pPr>
      <w:r>
        <w:rPr>
          <w:color w:val="auto"/>
          <w:highlight w:val="none"/>
        </w:rPr>
        <w:t xml:space="preserve">1. </w:t>
      </w:r>
      <w:r>
        <w:rPr>
          <w:rFonts w:hint="eastAsia"/>
          <w:color w:val="auto"/>
          <w:highlight w:val="none"/>
        </w:rPr>
        <w:t>一般约定</w:t>
      </w:r>
      <w:bookmarkEnd w:id="430"/>
      <w:bookmarkEnd w:id="431"/>
      <w:bookmarkEnd w:id="432"/>
      <w:bookmarkEnd w:id="433"/>
      <w:bookmarkEnd w:id="434"/>
      <w:bookmarkEnd w:id="435"/>
      <w:bookmarkEnd w:id="436"/>
      <w:bookmarkEnd w:id="437"/>
      <w:bookmarkEnd w:id="438"/>
      <w:bookmarkEnd w:id="439"/>
    </w:p>
    <w:p>
      <w:pPr>
        <w:pStyle w:val="6"/>
        <w:rPr>
          <w:rFonts w:hint="eastAsia" w:ascii="黑体" w:hAnsi="黑体" w:cs="黑体"/>
          <w:b w:val="0"/>
          <w:bCs w:val="0"/>
          <w:color w:val="auto"/>
          <w:highlight w:val="none"/>
        </w:rPr>
      </w:pPr>
      <w:bookmarkStart w:id="440" w:name="_Toc523921805"/>
      <w:bookmarkStart w:id="441" w:name="_Toc520709498"/>
      <w:r>
        <w:rPr>
          <w:rFonts w:hint="eastAsia" w:ascii="黑体" w:hAnsi="黑体" w:cs="黑体"/>
          <w:b w:val="0"/>
          <w:bCs w:val="0"/>
          <w:color w:val="auto"/>
          <w:highlight w:val="none"/>
        </w:rPr>
        <w:t>1.1 词语定义</w:t>
      </w:r>
      <w:bookmarkEnd w:id="440"/>
      <w:bookmarkEnd w:id="441"/>
    </w:p>
    <w:p>
      <w:pPr>
        <w:spacing w:line="360" w:lineRule="auto"/>
        <w:ind w:firstLine="360" w:firstLineChars="150"/>
        <w:rPr>
          <w:rFonts w:hint="eastAsia" w:ascii="黑体" w:hAnsi="黑体" w:eastAsia="黑体" w:cs="宋体"/>
          <w:color w:val="auto"/>
          <w:sz w:val="24"/>
          <w:highlight w:val="none"/>
        </w:rPr>
      </w:pPr>
      <w:r>
        <w:rPr>
          <w:rFonts w:hint="eastAsia" w:ascii="黑体" w:hAnsi="黑体" w:eastAsia="黑体" w:cs="宋体"/>
          <w:color w:val="auto"/>
          <w:sz w:val="24"/>
          <w:highlight w:val="none"/>
        </w:rPr>
        <w:t>1.1.2合同当事人和人员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1.1.2.2 委托人：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lang w:bidi="ar"/>
        </w:rPr>
        <w:sym w:font="Wingdings 2" w:char="00A3"/>
      </w:r>
      <w:r>
        <w:rPr>
          <w:rFonts w:hint="eastAsia" w:ascii="宋体" w:hAnsi="宋体" w:cs="宋体"/>
          <w:color w:val="auto"/>
          <w:sz w:val="24"/>
          <w:highlight w:val="none"/>
          <w:lang w:bidi="ar"/>
        </w:rPr>
        <w:t xml:space="preserve">本项补充第 1.1.2.10目～第1.1.2.12目： </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lang w:bidi="ar"/>
        </w:rPr>
        <w:t xml:space="preserve">1.1.2.10 试验检测机构：指监理试验室的母体试验检测机构。 </w:t>
      </w:r>
    </w:p>
    <w:p>
      <w:pPr>
        <w:widowControl/>
        <w:spacing w:line="360" w:lineRule="auto"/>
        <w:ind w:firstLine="480" w:firstLineChars="200"/>
        <w:jc w:val="left"/>
        <w:rPr>
          <w:rFonts w:hint="eastAsia" w:ascii="宋体" w:hAnsi="宋体" w:cs="宋体"/>
          <w:color w:val="auto"/>
          <w:sz w:val="24"/>
          <w:highlight w:val="none"/>
          <w:lang w:bidi="ar"/>
        </w:rPr>
      </w:pPr>
      <w:r>
        <w:rPr>
          <w:rFonts w:hint="eastAsia" w:ascii="宋体" w:hAnsi="宋体" w:cs="宋体"/>
          <w:color w:val="auto"/>
          <w:sz w:val="24"/>
          <w:highlight w:val="none"/>
          <w:lang w:bidi="ar"/>
        </w:rPr>
        <w:t xml:space="preserve">1.1.2.11 监理试验室(即“监理工地试验室”)：指由试验检测机构派出并代表其履行监理试验室合同的现场试验检测机构。 </w:t>
      </w:r>
    </w:p>
    <w:p>
      <w:pPr>
        <w:widowControl/>
        <w:spacing w:line="360" w:lineRule="auto"/>
        <w:ind w:firstLine="480" w:firstLineChars="200"/>
        <w:jc w:val="left"/>
        <w:rPr>
          <w:rFonts w:hint="eastAsia" w:ascii="宋体" w:hAnsi="宋体" w:cs="宋体"/>
          <w:color w:val="auto"/>
          <w:sz w:val="24"/>
          <w:highlight w:val="none"/>
          <w:lang w:bidi="ar"/>
        </w:rPr>
      </w:pPr>
      <w:r>
        <w:rPr>
          <w:rFonts w:hint="eastAsia" w:ascii="宋体" w:hAnsi="宋体" w:cs="宋体"/>
          <w:color w:val="auto"/>
          <w:sz w:val="24"/>
          <w:highlight w:val="none"/>
          <w:lang w:bidi="ar"/>
        </w:rPr>
        <w:t>1.1.2.12 试验室主任：指由试验检测机构任命,代表试验检测机构行使权力和履</w:t>
      </w:r>
    </w:p>
    <w:p>
      <w:pPr>
        <w:widowControl/>
        <w:spacing w:line="360" w:lineRule="auto"/>
        <w:jc w:val="left"/>
        <w:rPr>
          <w:rFonts w:hint="eastAsia" w:ascii="宋体" w:hAnsi="宋体" w:cs="宋体"/>
          <w:color w:val="auto"/>
          <w:sz w:val="24"/>
          <w:highlight w:val="none"/>
          <w:lang w:bidi="ar"/>
        </w:rPr>
      </w:pPr>
      <w:r>
        <w:rPr>
          <w:rFonts w:hint="eastAsia" w:ascii="宋体" w:hAnsi="宋体" w:cs="宋体"/>
          <w:color w:val="auto"/>
          <w:sz w:val="24"/>
          <w:highlight w:val="none"/>
          <w:lang w:bidi="ar"/>
        </w:rPr>
        <w:t>行义务的全权代表,接受总监理工程师的管理。</w:t>
      </w:r>
    </w:p>
    <w:p>
      <w:pPr>
        <w:spacing w:line="360" w:lineRule="auto"/>
        <w:ind w:firstLine="480" w:firstLineChars="200"/>
        <w:rPr>
          <w:rFonts w:hint="eastAsia" w:ascii="宋体" w:hAnsi="宋体" w:cs="宋体"/>
          <w:color w:val="auto"/>
          <w:sz w:val="24"/>
          <w:highlight w:val="none"/>
        </w:rPr>
      </w:pPr>
      <w:r>
        <w:rPr>
          <w:rFonts w:hint="eastAsia" w:ascii="黑体" w:hAnsi="黑体" w:eastAsia="黑体" w:cs="宋体"/>
          <w:color w:val="auto"/>
          <w:sz w:val="24"/>
          <w:highlight w:val="none"/>
        </w:rPr>
        <w:t>1.1.3工程和监理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1.1.3.1 本次进行施工监理招标的项目为：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公路工程。</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工程地点：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起讫桩号：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施工合同标段划分：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监理合同标段划分：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工程概况：</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rFonts w:hint="eastAsia" w:ascii="黑体" w:hAnsi="黑体" w:cs="黑体"/>
          <w:b w:val="0"/>
          <w:bCs w:val="0"/>
          <w:color w:val="auto"/>
          <w:highlight w:val="none"/>
        </w:rPr>
      </w:pPr>
      <w:bookmarkStart w:id="442" w:name="_Toc75180520"/>
      <w:bookmarkStart w:id="443" w:name="_Toc74921927"/>
      <w:bookmarkStart w:id="444" w:name="_Toc523921806"/>
      <w:bookmarkStart w:id="445" w:name="_Toc520709499"/>
      <w:r>
        <w:rPr>
          <w:rFonts w:hint="eastAsia" w:ascii="黑体" w:hAnsi="黑体" w:cs="黑体"/>
          <w:b w:val="0"/>
          <w:bCs w:val="0"/>
          <w:color w:val="auto"/>
          <w:highlight w:val="none"/>
        </w:rPr>
        <w:t>1.3 适用法律</w:t>
      </w:r>
      <w:bookmarkEnd w:id="442"/>
      <w:bookmarkEnd w:id="443"/>
    </w:p>
    <w:p>
      <w:pPr>
        <w:spacing w:line="360" w:lineRule="auto"/>
        <w:ind w:firstLine="480" w:firstLineChars="200"/>
        <w:rPr>
          <w:color w:val="auto"/>
          <w:sz w:val="24"/>
          <w:highlight w:val="none"/>
        </w:rPr>
      </w:pPr>
      <w:r>
        <w:rPr>
          <w:rFonts w:hint="eastAsia"/>
          <w:color w:val="auto"/>
          <w:sz w:val="24"/>
          <w:highlight w:val="none"/>
        </w:rPr>
        <w:t>本合同适用的其他规范性文件：</w:t>
      </w:r>
      <w:r>
        <w:rPr>
          <w:color w:val="auto"/>
          <w:sz w:val="24"/>
          <w:highlight w:val="none"/>
          <w:u w:val="single"/>
        </w:rPr>
        <w:t xml:space="preserve">                          </w:t>
      </w:r>
      <w:r>
        <w:rPr>
          <w:rFonts w:hint="eastAsia"/>
          <w:color w:val="auto"/>
          <w:sz w:val="24"/>
          <w:highlight w:val="none"/>
        </w:rPr>
        <w:t>。</w:t>
      </w:r>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1.4 合同文件的优先顺序</w:t>
      </w:r>
      <w:bookmarkEnd w:id="444"/>
      <w:bookmarkEnd w:id="445"/>
      <w:r>
        <w:rPr>
          <w:rFonts w:hint="eastAsia" w:ascii="黑体" w:hAnsi="黑体" w:cs="黑体"/>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组成合同的各项文件应互相解释，互为说明。除项目专用合同条款另有约定外，解释合同文件的优先顺序如下：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（1）合同协议书及各种合同附件；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（2）中标通知书；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（3）投标函（第一个信封、第二个信封）；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（4）项目专用合同条款；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（5）公路工程专用合同条款；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（6）通用合同条款；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（7）委托人要求；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（8）监理服务费用清单；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（9）监理人有关人员、设备投入的承诺；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（10）其他合同文件。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合同当事人针对各类合同文件所作出的补充和修改亦属于合同文件的组成部分，属于同一类内容的文件，应以最新签署的为准。 </w:t>
      </w:r>
    </w:p>
    <w:p>
      <w:pPr>
        <w:pStyle w:val="6"/>
        <w:rPr>
          <w:rFonts w:hint="eastAsia" w:ascii="黑体" w:hAnsi="黑体" w:cs="黑体"/>
          <w:b w:val="0"/>
          <w:bCs w:val="0"/>
          <w:color w:val="auto"/>
          <w:highlight w:val="none"/>
        </w:rPr>
      </w:pPr>
      <w:bookmarkStart w:id="446" w:name="_Toc520709500"/>
      <w:bookmarkStart w:id="447" w:name="_Toc523921807"/>
      <w:r>
        <w:rPr>
          <w:rFonts w:hint="eastAsia" w:ascii="黑体" w:hAnsi="黑体" w:cs="黑体"/>
          <w:b w:val="0"/>
          <w:bCs w:val="0"/>
          <w:color w:val="auto"/>
          <w:highlight w:val="none"/>
        </w:rPr>
        <w:t>1.5 合同协议书</w:t>
      </w:r>
      <w:bookmarkEnd w:id="446"/>
      <w:bookmarkEnd w:id="447"/>
      <w:r>
        <w:rPr>
          <w:rFonts w:hint="eastAsia" w:ascii="黑体" w:hAnsi="黑体" w:cs="黑体"/>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监理人按中标通知书规定的时间与委托人签订合同协议书。除法律另有规定或合同另有约定外，委托人和监理人的法定代表人或其委托代理人在合同协议书上签字并盖单位章后，合同生效。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合同文件的份数视需要由委托人与监理人协商确定。在合同协议书签订之前，投标文件和中标通知书将约束双方。</w:t>
      </w:r>
    </w:p>
    <w:p>
      <w:pPr>
        <w:pStyle w:val="6"/>
        <w:rPr>
          <w:rFonts w:hint="eastAsia" w:ascii="黑体" w:hAnsi="黑体" w:cs="黑体"/>
          <w:b w:val="0"/>
          <w:bCs w:val="0"/>
          <w:color w:val="auto"/>
          <w:highlight w:val="none"/>
        </w:rPr>
      </w:pPr>
      <w:bookmarkStart w:id="448" w:name="_Toc520709501"/>
      <w:bookmarkStart w:id="449" w:name="_Toc523921808"/>
      <w:r>
        <w:rPr>
          <w:rFonts w:hint="eastAsia" w:ascii="黑体" w:hAnsi="黑体" w:cs="黑体"/>
          <w:b w:val="0"/>
          <w:bCs w:val="0"/>
          <w:color w:val="auto"/>
          <w:highlight w:val="none"/>
        </w:rPr>
        <w:t>1.6 文件的提供和照管</w:t>
      </w:r>
      <w:bookmarkEnd w:id="448"/>
      <w:bookmarkEnd w:id="449"/>
    </w:p>
    <w:p>
      <w:pPr>
        <w:spacing w:line="360" w:lineRule="auto"/>
        <w:ind w:firstLine="480" w:firstLineChars="200"/>
        <w:rPr>
          <w:rFonts w:hint="eastAsia" w:ascii="宋体" w:hAnsi="宋体" w:cs="宋体"/>
          <w:color w:val="auto"/>
          <w:sz w:val="24"/>
          <w:highlight w:val="none"/>
        </w:rPr>
      </w:pPr>
      <w:bookmarkStart w:id="450" w:name="_Hlk94036789"/>
      <w:r>
        <w:rPr>
          <w:rFonts w:hint="eastAsia" w:ascii="宋体" w:hAnsi="宋体" w:cs="宋体"/>
          <w:color w:val="auto"/>
          <w:sz w:val="24"/>
          <w:highlight w:val="none"/>
        </w:rPr>
        <w:t>1.6.2 委托人负责提供的文件、资料包括：</w:t>
      </w:r>
    </w:p>
    <w:p>
      <w:pPr>
        <w:pStyle w:val="292"/>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（1）委托人与承包人签订的施工承包合同</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份。 </w:t>
      </w:r>
    </w:p>
    <w:p>
      <w:pPr>
        <w:pStyle w:val="292"/>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（2）委托人与承包人共同确认的已标价的工程数量清单及其说明</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份。 </w:t>
      </w:r>
    </w:p>
    <w:p>
      <w:pPr>
        <w:pStyle w:val="292"/>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（3）合同图纸和相关的标准图纸及说明</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套。 </w:t>
      </w:r>
    </w:p>
    <w:p>
      <w:pPr>
        <w:pStyle w:val="292"/>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（4）其他相关资料。 </w:t>
      </w:r>
    </w:p>
    <w:p>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除上述文件、资料外，合同指定使用的技术规范、检验评定标准、操作规程都由监理人自行购买。</w:t>
      </w:r>
      <w:bookmarkEnd w:id="450"/>
    </w:p>
    <w:p>
      <w:pPr>
        <w:spacing w:line="360" w:lineRule="auto"/>
        <w:ind w:firstLine="480" w:firstLineChars="200"/>
        <w:rPr>
          <w:rFonts w:hint="eastAsia" w:ascii="宋体" w:hAnsi="宋体" w:cs="宋体"/>
          <w:color w:val="auto"/>
          <w:sz w:val="24"/>
          <w:highlight w:val="none"/>
        </w:rPr>
      </w:pPr>
      <w:bookmarkStart w:id="451" w:name="_Hlk94036839"/>
      <w:r>
        <w:rPr>
          <w:rFonts w:hint="eastAsia" w:ascii="宋体" w:hAnsi="宋体" w:cs="宋体"/>
          <w:color w:val="auto"/>
          <w:sz w:val="24"/>
          <w:highlight w:val="none"/>
        </w:rPr>
        <w:t>提供期限：</w:t>
      </w:r>
      <w:r>
        <w:rPr>
          <w:rFonts w:hint="eastAsia" w:ascii="宋体" w:hAnsi="宋体"/>
          <w:color w:val="auto"/>
          <w:sz w:val="24"/>
          <w:highlight w:val="none"/>
          <w:u w:val="single"/>
        </w:rPr>
        <w:t>委托人应在监理合同生效且取得相关文件、资料后7日内</w:t>
      </w:r>
      <w:r>
        <w:rPr>
          <w:rFonts w:hint="eastAsia" w:ascii="宋体" w:hAnsi="宋体" w:cs="宋体"/>
          <w:color w:val="auto"/>
          <w:sz w:val="24"/>
          <w:highlight w:val="none"/>
        </w:rPr>
        <w:t>。</w:t>
      </w:r>
      <w:bookmarkEnd w:id="451"/>
    </w:p>
    <w:p>
      <w:pPr>
        <w:pStyle w:val="6"/>
        <w:rPr>
          <w:rFonts w:hint="eastAsia" w:ascii="黑体" w:hAnsi="黑体" w:cs="黑体"/>
          <w:b w:val="0"/>
          <w:bCs w:val="0"/>
          <w:color w:val="auto"/>
          <w:highlight w:val="none"/>
        </w:rPr>
      </w:pPr>
      <w:bookmarkStart w:id="452" w:name="_Toc523921809"/>
      <w:bookmarkStart w:id="453" w:name="_Toc520709502"/>
      <w:r>
        <w:rPr>
          <w:rFonts w:hint="eastAsia" w:ascii="黑体" w:hAnsi="黑体" w:cs="黑体"/>
          <w:b w:val="0"/>
          <w:bCs w:val="0"/>
          <w:color w:val="auto"/>
          <w:highlight w:val="none"/>
        </w:rPr>
        <w:t>1.8 转让和分包</w:t>
      </w:r>
      <w:bookmarkEnd w:id="452"/>
      <w:bookmarkEnd w:id="453"/>
      <w:r>
        <w:rPr>
          <w:rFonts w:hint="eastAsia" w:ascii="黑体" w:hAnsi="黑体" w:cs="黑体"/>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第1.8.1项细化为：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监理人不得转让本监理合同。</w:t>
      </w:r>
    </w:p>
    <w:p>
      <w:pPr>
        <w:pStyle w:val="6"/>
        <w:rPr>
          <w:rFonts w:hint="eastAsia" w:ascii="黑体" w:hAnsi="黑体" w:cs="黑体"/>
          <w:b w:val="0"/>
          <w:bCs w:val="0"/>
          <w:color w:val="auto"/>
          <w:highlight w:val="none"/>
        </w:rPr>
      </w:pPr>
      <w:bookmarkStart w:id="454" w:name="_Toc520709503"/>
      <w:bookmarkStart w:id="455" w:name="_Toc523921810"/>
      <w:r>
        <w:rPr>
          <w:rFonts w:hint="eastAsia" w:ascii="黑体" w:hAnsi="黑体" w:cs="黑体"/>
          <w:b w:val="0"/>
          <w:bCs w:val="0"/>
          <w:color w:val="auto"/>
          <w:highlight w:val="none"/>
        </w:rPr>
        <w:t>1.12 委托人要求</w:t>
      </w:r>
      <w:bookmarkEnd w:id="454"/>
      <w:bookmarkEnd w:id="45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1.12.3 委托人提供国外规范和标准的时间：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，提供数量：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，提供期限：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5"/>
        <w:rPr>
          <w:color w:val="auto"/>
          <w:highlight w:val="none"/>
        </w:rPr>
      </w:pPr>
      <w:bookmarkStart w:id="456" w:name="_Toc519777882"/>
      <w:bookmarkStart w:id="457" w:name="_Toc519777830"/>
      <w:bookmarkStart w:id="458" w:name="_Toc513556679"/>
      <w:bookmarkStart w:id="459" w:name="_Toc519778495"/>
      <w:bookmarkStart w:id="460" w:name="_Toc523921811"/>
      <w:bookmarkStart w:id="461" w:name="_Toc519777934"/>
      <w:bookmarkStart w:id="462" w:name="_Toc513555844"/>
      <w:bookmarkStart w:id="463" w:name="_Toc513555600"/>
      <w:bookmarkStart w:id="464" w:name="_Toc519601502"/>
      <w:bookmarkStart w:id="465" w:name="_Toc520709504"/>
      <w:r>
        <w:rPr>
          <w:color w:val="auto"/>
          <w:highlight w:val="none"/>
        </w:rPr>
        <w:t xml:space="preserve">2. </w:t>
      </w:r>
      <w:r>
        <w:rPr>
          <w:rFonts w:hint="eastAsia"/>
          <w:color w:val="auto"/>
          <w:highlight w:val="none"/>
        </w:rPr>
        <w:t>委托人义务</w:t>
      </w:r>
      <w:bookmarkEnd w:id="456"/>
      <w:bookmarkEnd w:id="457"/>
      <w:bookmarkEnd w:id="458"/>
      <w:bookmarkEnd w:id="459"/>
      <w:bookmarkEnd w:id="460"/>
      <w:bookmarkEnd w:id="461"/>
      <w:bookmarkEnd w:id="462"/>
      <w:bookmarkEnd w:id="463"/>
      <w:bookmarkEnd w:id="464"/>
      <w:bookmarkEnd w:id="465"/>
    </w:p>
    <w:p>
      <w:pPr>
        <w:pStyle w:val="6"/>
        <w:rPr>
          <w:rFonts w:hint="eastAsia" w:ascii="黑体" w:hAnsi="黑体" w:cs="黑体"/>
          <w:b w:val="0"/>
          <w:bCs w:val="0"/>
          <w:color w:val="auto"/>
          <w:highlight w:val="none"/>
        </w:rPr>
      </w:pPr>
      <w:bookmarkStart w:id="466" w:name="_Toc523921812"/>
      <w:bookmarkStart w:id="467" w:name="_Toc520709505"/>
      <w:r>
        <w:rPr>
          <w:rFonts w:hint="eastAsia" w:ascii="黑体" w:hAnsi="黑体" w:cs="黑体"/>
          <w:b w:val="0"/>
          <w:bCs w:val="0"/>
          <w:color w:val="auto"/>
          <w:highlight w:val="none"/>
        </w:rPr>
        <w:t>2.2 发出开始监理通知</w:t>
      </w:r>
      <w:bookmarkEnd w:id="466"/>
      <w:bookmarkEnd w:id="467"/>
      <w:r>
        <w:rPr>
          <w:rFonts w:hint="eastAsia" w:ascii="黑体" w:hAnsi="黑体" w:cs="黑体"/>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委托人应按第6.1款的约定向监理人发出开始监理通知。 </w:t>
      </w:r>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2.3 提供设备、设施</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除合同条款另有约定外，委托人不为监理人提供其现场人员在服务期间的办公、生活等条件，由监理人自行解决并承担费用。</w:t>
      </w:r>
    </w:p>
    <w:p>
      <w:pPr>
        <w:pStyle w:val="5"/>
        <w:numPr>
          <w:ilvl w:val="255"/>
          <w:numId w:val="0"/>
        </w:numPr>
        <w:rPr>
          <w:color w:val="auto"/>
          <w:highlight w:val="none"/>
        </w:rPr>
      </w:pPr>
      <w:bookmarkStart w:id="468" w:name="_Toc520709506"/>
      <w:bookmarkStart w:id="469" w:name="_Toc519777935"/>
      <w:bookmarkStart w:id="470" w:name="_Toc513555845"/>
      <w:bookmarkStart w:id="471" w:name="_Toc513555601"/>
      <w:bookmarkStart w:id="472" w:name="_Toc519777883"/>
      <w:bookmarkStart w:id="473" w:name="_Toc523921813"/>
      <w:bookmarkStart w:id="474" w:name="_Toc519778496"/>
      <w:bookmarkStart w:id="475" w:name="_Toc519601503"/>
      <w:bookmarkStart w:id="476" w:name="_Toc519777831"/>
      <w:bookmarkStart w:id="477" w:name="_Toc513556680"/>
      <w:r>
        <w:rPr>
          <w:color w:val="auto"/>
          <w:highlight w:val="none"/>
        </w:rPr>
        <w:t xml:space="preserve">3. </w:t>
      </w:r>
      <w:r>
        <w:rPr>
          <w:rFonts w:hint="eastAsia"/>
          <w:color w:val="auto"/>
          <w:highlight w:val="none"/>
        </w:rPr>
        <w:t>委托人管理</w:t>
      </w:r>
      <w:bookmarkEnd w:id="468"/>
      <w:bookmarkEnd w:id="469"/>
      <w:bookmarkEnd w:id="470"/>
      <w:bookmarkEnd w:id="471"/>
      <w:bookmarkEnd w:id="472"/>
      <w:bookmarkEnd w:id="473"/>
      <w:bookmarkEnd w:id="474"/>
      <w:bookmarkEnd w:id="475"/>
      <w:bookmarkEnd w:id="476"/>
      <w:bookmarkEnd w:id="477"/>
    </w:p>
    <w:p>
      <w:pPr>
        <w:pStyle w:val="6"/>
        <w:rPr>
          <w:rFonts w:hint="eastAsia" w:ascii="黑体" w:hAnsi="黑体" w:cs="黑体"/>
          <w:b w:val="0"/>
          <w:bCs w:val="0"/>
          <w:color w:val="auto"/>
          <w:highlight w:val="none"/>
        </w:rPr>
      </w:pPr>
      <w:bookmarkStart w:id="478" w:name="_Toc520709507"/>
      <w:bookmarkStart w:id="479" w:name="_Toc523921814"/>
      <w:r>
        <w:rPr>
          <w:rFonts w:hint="eastAsia" w:ascii="黑体" w:hAnsi="黑体" w:cs="黑体"/>
          <w:b w:val="0"/>
          <w:bCs w:val="0"/>
          <w:color w:val="auto"/>
          <w:highlight w:val="none"/>
        </w:rPr>
        <w:t>3.3 决定或答复</w:t>
      </w:r>
      <w:bookmarkEnd w:id="478"/>
      <w:bookmarkEnd w:id="47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3.3.2 委托人应在收到监理人书面提出的事项后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天内作出书面答复。</w:t>
      </w:r>
    </w:p>
    <w:p>
      <w:pPr>
        <w:pStyle w:val="2"/>
        <w:ind w:left="0" w:leftChars="0" w:firstLine="424" w:firstLineChars="177"/>
        <w:rPr>
          <w:rFonts w:hint="eastAsia" w:ascii="宋体" w:hAnsi="宋体" w:cs="宋体"/>
          <w:color w:val="auto"/>
          <w:sz w:val="24"/>
          <w:szCs w:val="24"/>
          <w:highlight w:val="none"/>
        </w:rPr>
      </w:pPr>
      <w:r>
        <w:rPr>
          <w:rFonts w:hint="eastAsia" w:ascii="宋体" w:hAnsi="宋体" w:cs="宋体"/>
          <w:color w:val="auto"/>
          <w:sz w:val="24"/>
          <w:szCs w:val="24"/>
          <w:highlight w:val="none"/>
        </w:rPr>
        <w:t>注：委托人对监理人的书面请示给予书面答复的期限：自收到书面请示之日起最长不超过7天，重大问题不得超过28天，逾期没有作出答复的，视为已获得委托人的批准。</w:t>
      </w:r>
    </w:p>
    <w:p>
      <w:pPr>
        <w:pStyle w:val="5"/>
        <w:rPr>
          <w:color w:val="auto"/>
          <w:highlight w:val="none"/>
        </w:rPr>
      </w:pPr>
      <w:bookmarkStart w:id="480" w:name="_Toc519777832"/>
      <w:bookmarkStart w:id="481" w:name="_Toc523921815"/>
      <w:bookmarkStart w:id="482" w:name="_Toc513556681"/>
      <w:bookmarkStart w:id="483" w:name="_Toc513555846"/>
      <w:bookmarkStart w:id="484" w:name="_Toc519601504"/>
      <w:bookmarkStart w:id="485" w:name="_Toc519777936"/>
      <w:bookmarkStart w:id="486" w:name="_Toc519777884"/>
      <w:bookmarkStart w:id="487" w:name="_Toc519778497"/>
      <w:bookmarkStart w:id="488" w:name="_Toc513555602"/>
      <w:bookmarkStart w:id="489" w:name="_Toc520709508"/>
      <w:r>
        <w:rPr>
          <w:color w:val="auto"/>
          <w:highlight w:val="none"/>
        </w:rPr>
        <w:t xml:space="preserve">4. </w:t>
      </w:r>
      <w:r>
        <w:rPr>
          <w:rFonts w:hint="eastAsia"/>
          <w:color w:val="auto"/>
          <w:highlight w:val="none"/>
        </w:rPr>
        <w:t>监理人义务</w:t>
      </w:r>
      <w:bookmarkEnd w:id="480"/>
      <w:bookmarkEnd w:id="481"/>
      <w:bookmarkEnd w:id="482"/>
      <w:bookmarkEnd w:id="483"/>
      <w:bookmarkEnd w:id="484"/>
      <w:bookmarkEnd w:id="485"/>
      <w:bookmarkEnd w:id="486"/>
      <w:bookmarkEnd w:id="487"/>
      <w:bookmarkEnd w:id="488"/>
      <w:bookmarkEnd w:id="489"/>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4.1 监理人的一般义务</w:t>
      </w:r>
    </w:p>
    <w:p>
      <w:pPr>
        <w:adjustRightInd w:val="0"/>
        <w:snapToGrid w:val="0"/>
        <w:spacing w:line="360" w:lineRule="auto"/>
        <w:ind w:firstLine="360" w:firstLineChars="150"/>
        <w:rPr>
          <w:rFonts w:hint="eastAsia" w:ascii="黑体" w:hAnsi="黑体" w:eastAsia="黑体"/>
          <w:color w:val="auto"/>
          <w:sz w:val="24"/>
          <w:highlight w:val="none"/>
        </w:rPr>
      </w:pPr>
      <w:bookmarkStart w:id="490" w:name="_Hlk98673245"/>
      <w:r>
        <w:rPr>
          <w:rFonts w:hint="eastAsia" w:ascii="黑体" w:hAnsi="黑体" w:eastAsia="黑体"/>
          <w:color w:val="auto"/>
          <w:sz w:val="24"/>
          <w:highlight w:val="none"/>
        </w:rPr>
        <w:t>4.1.1遵守法律</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本项补充： </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监理人应遵守现行的所有法律，不论是国家、省、市的还是影响合同执行并对监理人有约束的法律。如果因监理人或其派遣人员违反了这些法律，从而导致债务、损失、索赔、罚金、处罚等费用，不论其性质如何，由监理人自行承担。</w:t>
      </w:r>
    </w:p>
    <w:p>
      <w:pPr>
        <w:adjustRightInd w:val="0"/>
        <w:snapToGrid w:val="0"/>
        <w:spacing w:line="360" w:lineRule="auto"/>
        <w:ind w:firstLine="480" w:firstLineChars="200"/>
        <w:rPr>
          <w:rFonts w:hint="eastAsia" w:asciiTheme="minorEastAsia" w:hAnsiTheme="minorEastAsia" w:eastAsiaTheme="minorEastAsia"/>
          <w:b/>
          <w:color w:val="auto"/>
          <w:sz w:val="24"/>
          <w:highlight w:val="none"/>
        </w:rPr>
      </w:pPr>
      <w:r>
        <w:rPr>
          <w:rFonts w:hint="eastAsia" w:ascii="宋体" w:hAnsi="宋体"/>
          <w:color w:val="auto"/>
          <w:sz w:val="24"/>
          <w:highlight w:val="none"/>
        </w:rPr>
        <w:t>（2）监理人应保护和保障委托人免于承担由于监理人的疏忽不当行为造成的所有索赔、诉讼、损害赔偿、诉讼费、收费及其他的责任。</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4.1.2依法纳税</w:t>
      </w:r>
    </w:p>
    <w:p>
      <w:pPr>
        <w:pStyle w:val="26"/>
        <w:snapToGrid w:val="0"/>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本项细化为：</w:t>
      </w:r>
      <w:bookmarkStart w:id="491" w:name="_Hlk98429633"/>
    </w:p>
    <w:p>
      <w:pPr>
        <w:pStyle w:val="26"/>
        <w:snapToGrid w:val="0"/>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监理人应按照有关法律法规规定缴纳一切税、费，应缴纳的税、费包含在其合同价格内。</w:t>
      </w:r>
      <w:bookmarkEnd w:id="491"/>
    </w:p>
    <w:p>
      <w:pPr>
        <w:adjustRightInd w:val="0"/>
        <w:snapToGrid w:val="0"/>
        <w:spacing w:line="360" w:lineRule="auto"/>
        <w:ind w:firstLine="480" w:firstLineChars="200"/>
        <w:rPr>
          <w:rFonts w:hint="eastAsia" w:hAnsi="宋体"/>
          <w:color w:val="auto"/>
          <w:sz w:val="24"/>
          <w:highlight w:val="none"/>
        </w:rPr>
      </w:pPr>
      <w:r>
        <w:rPr>
          <w:rFonts w:hint="eastAsia" w:hAnsi="宋体"/>
          <w:color w:val="auto"/>
          <w:sz w:val="24"/>
          <w:highlight w:val="none"/>
        </w:rPr>
        <w:t>监理人按照税务机关认定的计税方法向委托人提供合规的增值税发票后，委托人才向监理人支付合同款。如监理人提供的增值税发票不规范、不合法或涉嫌虚开，监理人须承担赔偿责任，同时不免除其开具合法增值税发票的义务</w:t>
      </w:r>
      <w:bookmarkEnd w:id="490"/>
      <w:r>
        <w:rPr>
          <w:rFonts w:hint="eastAsia" w:hAnsi="宋体"/>
          <w:color w:val="auto"/>
          <w:sz w:val="24"/>
          <w:highlight w:val="none"/>
        </w:rPr>
        <w:t>。</w:t>
      </w:r>
    </w:p>
    <w:p>
      <w:pPr>
        <w:spacing w:line="360" w:lineRule="auto"/>
        <w:ind w:firstLine="360" w:firstLineChars="150"/>
        <w:rPr>
          <w:rFonts w:hint="eastAsia" w:ascii="黑体" w:hAnsi="黑体" w:eastAsia="黑体" w:cs="宋体"/>
          <w:color w:val="auto"/>
          <w:sz w:val="24"/>
          <w:highlight w:val="none"/>
        </w:rPr>
      </w:pPr>
      <w:r>
        <w:rPr>
          <w:rFonts w:hint="eastAsia" w:ascii="宋体" w:hAnsi="宋体" w:cs="宋体"/>
          <w:color w:val="auto"/>
          <w:sz w:val="24"/>
          <w:highlight w:val="none"/>
        </w:rPr>
        <w:t>一般情形下增值</w:t>
      </w:r>
      <w:r>
        <w:rPr>
          <w:rFonts w:hint="eastAsia" w:hAnsi="宋体"/>
          <w:color w:val="auto"/>
          <w:sz w:val="24"/>
          <w:highlight w:val="none"/>
        </w:rPr>
        <w:t>税调整的，合同价格不进行调整。发包人若有特别约定的，具体约定为：</w:t>
      </w:r>
      <w:r>
        <w:rPr>
          <w:rFonts w:hint="eastAsia" w:hAnsi="宋体"/>
          <w:color w:val="auto"/>
          <w:sz w:val="24"/>
          <w:highlight w:val="none"/>
          <w:u w:val="single"/>
        </w:rPr>
        <w:t xml:space="preserve">        </w:t>
      </w:r>
      <w:r>
        <w:rPr>
          <w:rFonts w:hint="eastAsia" w:hAnsi="宋体"/>
          <w:color w:val="auto"/>
          <w:sz w:val="24"/>
          <w:highlight w:val="none"/>
        </w:rPr>
        <w:t>。</w:t>
      </w:r>
    </w:p>
    <w:p>
      <w:pPr>
        <w:spacing w:line="360" w:lineRule="auto"/>
        <w:ind w:firstLine="360" w:firstLineChars="150"/>
        <w:rPr>
          <w:rFonts w:hint="eastAsia" w:ascii="黑体" w:hAnsi="黑体" w:eastAsia="黑体" w:cs="宋体"/>
          <w:color w:val="auto"/>
          <w:sz w:val="24"/>
          <w:highlight w:val="none"/>
        </w:rPr>
      </w:pPr>
      <w:r>
        <w:rPr>
          <w:rFonts w:hint="eastAsia" w:ascii="黑体" w:hAnsi="黑体" w:eastAsia="黑体" w:cs="宋体"/>
          <w:color w:val="auto"/>
          <w:sz w:val="24"/>
          <w:highlight w:val="none"/>
        </w:rPr>
        <w:t>4.1.4 其他义务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（1）监理人自行解决并承担现场人员，在服务期间的办公、生活驻地的建设以及办公生活设施、交通设施、试验检测设施（如有）、互联网接口、冷暖设施、进出现场交通服务和其他便利条件的费用。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（2）信息化管理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目按照“五化”建设要求开展管理信息化建设，按委托人要求将工程质量、安全、进度、造价、设计变更、计量支付、监理人身份等内容纳入信息管理系统。监理人应认真学习并执行委托人关于信息系统方面的管理办法，配合委托人不断完善和维护该系统，改造和配置相应的设施设备满足信息化管理需要，实现各参建单位之间的无纸化办公，及时处理上下级之间往来文件。通过计量、变更、计划统计、财务支付、征地拆迁等子系统及时审核合同支付资料，确保建设资金及时支付，实现方便、快捷的管理。</w:t>
      </w:r>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（3）监理人与委托人联合协调管理工作的要求（如有）：</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（4）廉洁与防腐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与监理人在合同执行过程中，应保持最高的道德水准，在签订监理合同时一并签订工程廉政合同。监理人员不得接受或索取施工承包人或供货人任何有价物品；不得参与承包人邀请的有可能影响监理公正的任何活动；也不得私自要求承包人安排亲朋好友工作或购买推荐材料；更不得获取超出合同规定以外的额外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（5）文明施工、农民工管理、品质工程及“五化”施工监理</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监理人应按《公路工程施工监理规范》（JTG G10—2016）做好质量、安全、环保、费用、进度监理，还应按照委托人的相关管理办法做好文明施工、农民工管理、品质工程、标准化施工监理等相关管理工作。</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文明施工：监理工程师还应在监理建议书中，明确文明监理的具体措施，同时执行委托人的文明管理办法。督促承包人施工过程中除按照施工图设计文件以及相关技术规范、规定外，同时应按照委托人的有关管理办法做好安全管理与文明施工等现场管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农民工管理：监理人应按委托人制定的农民工务工有关管理办法进行监管，监理人的合同管理工程师负责对农民工合法权益的监理管理。</w:t>
      </w:r>
    </w:p>
    <w:p>
      <w:pPr>
        <w:widowControl/>
        <w:snapToGrid w:val="0"/>
        <w:spacing w:line="360" w:lineRule="auto"/>
        <w:ind w:firstLine="480" w:firstLineChars="200"/>
        <w:rPr>
          <w:rFonts w:hint="eastAsia" w:ascii="宋体" w:hAnsi="宋体"/>
          <w:color w:val="auto"/>
          <w:kern w:val="0"/>
          <w:sz w:val="24"/>
          <w:highlight w:val="none"/>
        </w:rPr>
      </w:pPr>
      <w:bookmarkStart w:id="492" w:name="_Hlk94038096"/>
      <w:r>
        <w:rPr>
          <w:rFonts w:hint="eastAsia" w:cs="宋体" w:asciiTheme="minorEastAsia" w:hAnsiTheme="minorEastAsia" w:eastAsiaTheme="minorEastAsia"/>
          <w:color w:val="auto"/>
          <w:sz w:val="24"/>
          <w:highlight w:val="none"/>
        </w:rPr>
        <w:t>品质工程及“五化”</w:t>
      </w:r>
      <w:bookmarkEnd w:id="492"/>
      <w:r>
        <w:rPr>
          <w:rFonts w:hint="eastAsia" w:cs="宋体" w:asciiTheme="minorEastAsia" w:hAnsiTheme="minorEastAsia" w:eastAsiaTheme="minorEastAsia"/>
          <w:color w:val="auto"/>
          <w:sz w:val="24"/>
          <w:highlight w:val="none"/>
        </w:rPr>
        <w:t>施工监理：监理人应</w:t>
      </w:r>
      <w:bookmarkStart w:id="493" w:name="_Hlk94037898"/>
      <w:bookmarkStart w:id="494" w:name="_Hlk98410173"/>
      <w:r>
        <w:rPr>
          <w:rFonts w:hint="eastAsia" w:cs="宋体" w:asciiTheme="minorEastAsia" w:hAnsiTheme="minorEastAsia" w:eastAsiaTheme="minorEastAsia"/>
          <w:color w:val="auto"/>
          <w:sz w:val="24"/>
          <w:highlight w:val="none"/>
        </w:rPr>
        <w:t>认真贯彻落实</w:t>
      </w:r>
      <w:bookmarkStart w:id="495" w:name="_Hlk94017535"/>
      <w:r>
        <w:rPr>
          <w:rFonts w:hint="eastAsia" w:ascii="宋体" w:hAnsi="宋体"/>
          <w:color w:val="auto"/>
          <w:kern w:val="0"/>
          <w:sz w:val="24"/>
          <w:highlight w:val="none"/>
        </w:rPr>
        <w:t>、推进公路水运“品质工程”建设的实施</w:t>
      </w:r>
      <w:bookmarkEnd w:id="495"/>
      <w:r>
        <w:rPr>
          <w:rFonts w:hint="eastAsia" w:ascii="宋体" w:hAnsi="宋体"/>
          <w:color w:val="auto"/>
          <w:kern w:val="0"/>
          <w:sz w:val="24"/>
          <w:highlight w:val="none"/>
        </w:rPr>
        <w:t>，</w:t>
      </w:r>
      <w:r>
        <w:rPr>
          <w:rFonts w:hint="eastAsia" w:asciiTheme="minorEastAsia" w:hAnsiTheme="minorEastAsia" w:eastAsiaTheme="minorEastAsia"/>
          <w:color w:val="auto"/>
          <w:kern w:val="0"/>
          <w:sz w:val="24"/>
          <w:highlight w:val="none"/>
        </w:rPr>
        <w:t>同时按照上级主管部门以及</w:t>
      </w:r>
      <w:r>
        <w:rPr>
          <w:rFonts w:hint="eastAsia" w:cs="宋体" w:asciiTheme="minorEastAsia" w:hAnsiTheme="minorEastAsia" w:eastAsiaTheme="minorEastAsia"/>
          <w:color w:val="auto"/>
          <w:sz w:val="24"/>
          <w:highlight w:val="none"/>
        </w:rPr>
        <w:t>委托人</w:t>
      </w:r>
      <w:r>
        <w:rPr>
          <w:rFonts w:hint="eastAsia" w:asciiTheme="minorEastAsia" w:hAnsiTheme="minorEastAsia" w:eastAsiaTheme="minorEastAsia"/>
          <w:color w:val="auto"/>
          <w:kern w:val="0"/>
          <w:sz w:val="24"/>
          <w:highlight w:val="none"/>
        </w:rPr>
        <w:t>出台的相关标准化建设和品质工程</w:t>
      </w:r>
      <w:r>
        <w:rPr>
          <w:rFonts w:hint="eastAsia" w:cs="宋体" w:asciiTheme="minorEastAsia" w:hAnsiTheme="minorEastAsia" w:eastAsiaTheme="minorEastAsia"/>
          <w:color w:val="auto"/>
          <w:sz w:val="24"/>
          <w:highlight w:val="none"/>
        </w:rPr>
        <w:t>管理办法的要求</w:t>
      </w:r>
      <w:bookmarkEnd w:id="493"/>
      <w:r>
        <w:rPr>
          <w:rFonts w:hint="eastAsia" w:cs="宋体" w:asciiTheme="minorEastAsia" w:hAnsiTheme="minorEastAsia" w:eastAsiaTheme="minorEastAsia"/>
          <w:color w:val="auto"/>
          <w:sz w:val="24"/>
          <w:highlight w:val="none"/>
        </w:rPr>
        <w:t>进行现场</w:t>
      </w:r>
      <w:bookmarkEnd w:id="494"/>
      <w:r>
        <w:rPr>
          <w:rFonts w:hint="eastAsia" w:cs="宋体" w:asciiTheme="minorEastAsia" w:hAnsiTheme="minorEastAsia" w:eastAsiaTheme="minorEastAsia"/>
          <w:color w:val="auto"/>
          <w:sz w:val="24"/>
          <w:highlight w:val="none"/>
        </w:rPr>
        <w:t>施工监理</w:t>
      </w:r>
      <w:r>
        <w:rPr>
          <w:rFonts w:hint="eastAsia" w:asciiTheme="minorEastAsia" w:hAnsiTheme="minorEastAsia" w:eastAsiaTheme="minorEastAsia"/>
          <w:color w:val="auto"/>
          <w:kern w:val="0"/>
          <w:sz w:val="24"/>
          <w:highlight w:val="none"/>
        </w:rPr>
        <w:t>。监理人应</w:t>
      </w:r>
      <w:r>
        <w:rPr>
          <w:rFonts w:hint="eastAsia" w:cs="宋体" w:asciiTheme="minorEastAsia" w:hAnsiTheme="minorEastAsia" w:eastAsiaTheme="minorEastAsia"/>
          <w:color w:val="auto"/>
          <w:sz w:val="24"/>
          <w:highlight w:val="none"/>
        </w:rPr>
        <w:t>在</w:t>
      </w:r>
      <w:r>
        <w:rPr>
          <w:rFonts w:hint="eastAsia" w:asciiTheme="minorEastAsia" w:hAnsiTheme="minorEastAsia" w:eastAsiaTheme="minorEastAsia"/>
          <w:color w:val="auto"/>
          <w:kern w:val="0"/>
          <w:sz w:val="24"/>
          <w:highlight w:val="none"/>
        </w:rPr>
        <w:t>项目建设理念</w:t>
      </w:r>
      <w:r>
        <w:rPr>
          <w:rFonts w:hint="eastAsia" w:cs="宋体" w:asciiTheme="minorEastAsia" w:hAnsiTheme="minorEastAsia" w:eastAsiaTheme="minorEastAsia"/>
          <w:color w:val="auto"/>
          <w:sz w:val="24"/>
          <w:highlight w:val="none"/>
        </w:rPr>
        <w:t>中</w:t>
      </w:r>
      <w:r>
        <w:rPr>
          <w:rFonts w:hint="eastAsia" w:asciiTheme="minorEastAsia" w:hAnsiTheme="minorEastAsia" w:eastAsiaTheme="minorEastAsia"/>
          <w:color w:val="auto"/>
          <w:kern w:val="0"/>
          <w:sz w:val="24"/>
          <w:highlight w:val="none"/>
        </w:rPr>
        <w:t>体现以人为本、本质安全、全寿命周期管理、价值工程；管理举措体现精益建造导向，突出责任落实和诚信塑造，深化人本化、专业化、标准化、信息化和精细化、班组管理规范化，努力将项目建设成为优质耐久、安全舒适、经济环保、社会认可的品质工程。</w:t>
      </w:r>
      <w:r>
        <w:rPr>
          <w:rFonts w:hint="eastAsia" w:cs="宋体" w:asciiTheme="minorEastAsia" w:hAnsiTheme="minorEastAsia" w:eastAsiaTheme="minorEastAsia"/>
          <w:color w:val="auto"/>
          <w:sz w:val="24"/>
          <w:highlight w:val="none"/>
        </w:rPr>
        <w:t>完善总监办标准化建设，对承包人在施工过程中施工管理精细化、施工作业标准化、施工流程规范化、建设管理标准化、项目管理信息化、班组管理规范化“五化”进行严格管理</w:t>
      </w:r>
      <w:bookmarkStart w:id="496" w:name="_Hlk94038172"/>
      <w:r>
        <w:rPr>
          <w:rFonts w:hint="eastAsia" w:cs="宋体" w:asciiTheme="minorEastAsia" w:hAnsiTheme="minorEastAsia" w:eastAsiaTheme="minorEastAsia"/>
          <w:color w:val="auto"/>
          <w:sz w:val="24"/>
          <w:highlight w:val="none"/>
        </w:rPr>
        <w:t>，同时应不断提升自身的技术创新和管理能力以满足施工现场的发展需要</w:t>
      </w:r>
      <w:bookmarkEnd w:id="496"/>
      <w:r>
        <w:rPr>
          <w:rFonts w:hint="eastAsia" w:ascii="宋体" w:hAnsi="宋体" w:cs="宋体"/>
          <w:color w:val="auto"/>
          <w:sz w:val="24"/>
          <w:highlight w:val="none"/>
        </w:rPr>
        <w:t>。</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（6）安全监理</w:t>
      </w:r>
    </w:p>
    <w:p>
      <w:pPr>
        <w:pStyle w:val="292"/>
        <w:widowControl/>
        <w:spacing w:line="360" w:lineRule="auto"/>
        <w:ind w:firstLine="480" w:firstLineChars="200"/>
        <w:rPr>
          <w:rFonts w:hint="eastAsia"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监理人应按照</w:t>
      </w:r>
      <w:r>
        <w:rPr>
          <w:rFonts w:hint="eastAsia" w:ascii="宋体" w:hAnsi="宋体" w:cs="宋体"/>
          <w:color w:val="auto"/>
          <w:sz w:val="24"/>
          <w:szCs w:val="24"/>
          <w:highlight w:val="none"/>
        </w:rPr>
        <w:t>《中华人民共和国安全生产法》</w:t>
      </w:r>
      <w:r>
        <w:rPr>
          <w:rFonts w:hint="eastAsia" w:asciiTheme="minorEastAsia" w:hAnsiTheme="minorEastAsia" w:eastAsiaTheme="minorEastAsia"/>
          <w:color w:val="auto"/>
          <w:sz w:val="24"/>
          <w:szCs w:val="24"/>
          <w:highlight w:val="none"/>
        </w:rPr>
        <w:t>《</w:t>
      </w:r>
      <w:bookmarkStart w:id="497" w:name="_Hlk98410270"/>
      <w:r>
        <w:rPr>
          <w:rFonts w:hint="eastAsia" w:asciiTheme="minorEastAsia" w:hAnsiTheme="minorEastAsia" w:eastAsiaTheme="minorEastAsia"/>
          <w:color w:val="auto"/>
          <w:sz w:val="24"/>
          <w:szCs w:val="24"/>
          <w:highlight w:val="none"/>
        </w:rPr>
        <w:t>四川省安全生产条例》</w:t>
      </w:r>
      <w:r>
        <w:rPr>
          <w:rFonts w:hint="eastAsia" w:cs="宋体" w:asciiTheme="minorEastAsia" w:hAnsiTheme="minorEastAsia" w:eastAsiaTheme="minorEastAsia"/>
          <w:color w:val="auto"/>
          <w:sz w:val="24"/>
          <w:szCs w:val="24"/>
          <w:highlight w:val="none"/>
        </w:rPr>
        <w:t>《公路工程施工安全技术规程》《公路水运工程安全生产监督管理办法》（交通运输部令2017年第25号）、《</w:t>
      </w:r>
      <w:r>
        <w:rPr>
          <w:rFonts w:hint="eastAsia" w:cs="Courier New" w:asciiTheme="minorEastAsia" w:hAnsiTheme="minorEastAsia" w:eastAsiaTheme="minorEastAsia"/>
          <w:color w:val="auto"/>
          <w:sz w:val="24"/>
          <w:szCs w:val="24"/>
          <w:highlight w:val="none"/>
        </w:rPr>
        <w:t>交通运输部关于印发</w:t>
      </w:r>
      <w:r>
        <w:rPr>
          <w:rFonts w:hint="eastAsia" w:ascii="宋体" w:hAnsi="宋体" w:cs="宋体"/>
          <w:color w:val="auto"/>
          <w:sz w:val="24"/>
          <w:szCs w:val="24"/>
          <w:highlight w:val="none"/>
        </w:rPr>
        <w:t>〈公路水运工程平安工地建设管理办法〉</w:t>
      </w:r>
      <w:r>
        <w:rPr>
          <w:rFonts w:hint="eastAsia" w:cs="Courier New" w:asciiTheme="minorEastAsia" w:hAnsiTheme="minorEastAsia" w:eastAsiaTheme="minorEastAsia"/>
          <w:color w:val="auto"/>
          <w:sz w:val="24"/>
          <w:szCs w:val="24"/>
          <w:highlight w:val="none"/>
        </w:rPr>
        <w:t>的通知》（交安监发〔2018〕43 号）</w:t>
      </w:r>
      <w:r>
        <w:rPr>
          <w:rFonts w:hint="eastAsia" w:cs="Courier New" w:asciiTheme="minorEastAsia" w:hAnsiTheme="minorEastAsia" w:eastAsiaTheme="minorEastAsia"/>
          <w:color w:val="000000" w:themeColor="text1"/>
          <w:sz w:val="24"/>
          <w:szCs w:val="24"/>
          <w:highlight w:val="none"/>
          <w14:textFill>
            <w14:solidFill>
              <w14:schemeClr w14:val="tx1"/>
            </w14:solidFill>
          </w14:textFill>
        </w:rPr>
        <w:t>、《公路工程施工监理规范》（JTG G10—2016）</w:t>
      </w:r>
      <w:r>
        <w:rPr>
          <w:rFonts w:hint="eastAsia" w:cs="宋体" w:asciiTheme="minorEastAsia" w:hAnsiTheme="minorEastAsia" w:eastAsiaTheme="minorEastAsia"/>
          <w:color w:val="auto"/>
          <w:sz w:val="24"/>
          <w:szCs w:val="24"/>
          <w:highlight w:val="none"/>
        </w:rPr>
        <w:t>等</w:t>
      </w:r>
      <w:bookmarkEnd w:id="497"/>
      <w:r>
        <w:rPr>
          <w:rFonts w:hint="eastAsia" w:cs="宋体" w:asciiTheme="minorEastAsia" w:hAnsiTheme="minorEastAsia" w:eastAsiaTheme="minorEastAsia"/>
          <w:color w:val="auto"/>
          <w:sz w:val="24"/>
          <w:szCs w:val="24"/>
          <w:highlight w:val="none"/>
        </w:rPr>
        <w:t>规定对承包人安全生产工作，从承包人的安全组织管理机构、安全生产条件、施工工艺、安全生产责任及</w:t>
      </w:r>
      <w:r>
        <w:rPr>
          <w:rFonts w:hint="eastAsia" w:cs="Courier New" w:asciiTheme="minorEastAsia" w:hAnsiTheme="minorEastAsia" w:eastAsiaTheme="minorEastAsia"/>
          <w:color w:val="auto"/>
          <w:sz w:val="24"/>
          <w:szCs w:val="24"/>
          <w:highlight w:val="none"/>
        </w:rPr>
        <w:t>安全生产管理制度、安全生产费用的使用等各个环节进行监管，落实安全措施及责任，</w:t>
      </w:r>
      <w:r>
        <w:rPr>
          <w:rFonts w:hint="eastAsia" w:cs="宋体" w:asciiTheme="minorEastAsia" w:hAnsiTheme="minorEastAsia" w:eastAsiaTheme="minorEastAsia"/>
          <w:color w:val="auto"/>
          <w:kern w:val="0"/>
          <w:sz w:val="24"/>
          <w:szCs w:val="24"/>
          <w:highlight w:val="none"/>
          <w:lang w:bidi="ar"/>
        </w:rPr>
        <w:t>监理人对工程安全生产承担监理责任</w:t>
      </w:r>
      <w:r>
        <w:rPr>
          <w:rFonts w:hint="eastAsia" w:cs="宋体" w:asciiTheme="minorEastAsia" w:hAnsiTheme="minorEastAsia" w:eastAsiaTheme="minorEastAsia"/>
          <w:color w:val="auto"/>
          <w:sz w:val="24"/>
          <w:szCs w:val="24"/>
          <w:highlight w:val="none"/>
        </w:rPr>
        <w:t>。监理人</w:t>
      </w:r>
      <w:r>
        <w:rPr>
          <w:rFonts w:hint="eastAsia" w:cs="宋体" w:asciiTheme="minorEastAsia" w:hAnsiTheme="minorEastAsia" w:eastAsiaTheme="minorEastAsia"/>
          <w:color w:val="auto"/>
          <w:kern w:val="0"/>
          <w:sz w:val="24"/>
          <w:szCs w:val="24"/>
          <w:highlight w:val="none"/>
          <w:lang w:bidi="ar"/>
        </w:rPr>
        <w:t>应当编制安全生产监理计划，明确监理人员的岗位职责、监理内容和方法等。对危险性较大的工程应当加强巡视检查，</w:t>
      </w:r>
      <w:r>
        <w:rPr>
          <w:rFonts w:hint="eastAsia" w:cs="Courier New" w:asciiTheme="minorEastAsia" w:hAnsiTheme="minorEastAsia" w:eastAsiaTheme="minorEastAsia"/>
          <w:color w:val="auto"/>
          <w:sz w:val="24"/>
          <w:szCs w:val="24"/>
          <w:highlight w:val="none"/>
        </w:rPr>
        <w:t>做到安全生产制度化、规范化、标准化监督管理。</w:t>
      </w:r>
    </w:p>
    <w:p>
      <w:pPr>
        <w:pStyle w:val="292"/>
        <w:widowControl/>
        <w:spacing w:line="360" w:lineRule="auto"/>
        <w:ind w:firstLine="480" w:firstLineChars="200"/>
        <w:rPr>
          <w:rFonts w:hint="eastAsia"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kern w:val="0"/>
          <w:sz w:val="24"/>
          <w:szCs w:val="24"/>
          <w:highlight w:val="none"/>
          <w:lang w:bidi="ar"/>
        </w:rPr>
        <w:t>监理人应当检查承包人驻地建设、临时工程以及重大危险源等安全管理和生产安全事故隐患排查治理情况；监理人应审查施工组织设计中的安全技术措施或者专项施工方案是否符合工程建设强制性标准。监理人在实施监理过程中，发现存在安全事故隐患的，应当要求承包人整改，必要时，可下达施工暂停指令并向建设单位和有关部门报告。</w:t>
      </w:r>
      <w:r>
        <w:rPr>
          <w:rFonts w:hint="eastAsia" w:ascii="宋体" w:hAnsi="宋体" w:cs="宋体"/>
          <w:color w:val="auto"/>
          <w:kern w:val="0"/>
          <w:sz w:val="24"/>
          <w:szCs w:val="24"/>
          <w:highlight w:val="none"/>
          <w:lang w:bidi="ar"/>
        </w:rPr>
        <w:t>同时若</w:t>
      </w:r>
      <w:r>
        <w:rPr>
          <w:rFonts w:hint="eastAsia" w:ascii="宋体" w:hAnsi="宋体" w:cs="宋体"/>
          <w:color w:val="000000"/>
          <w:sz w:val="24"/>
          <w:szCs w:val="24"/>
          <w:highlight w:val="none"/>
          <w:shd w:val="clear" w:color="auto" w:fill="FFFFFF"/>
        </w:rPr>
        <w:t>发生生产安全事故，事故现场有关</w:t>
      </w:r>
      <w:r>
        <w:rPr>
          <w:rFonts w:hint="eastAsia" w:ascii="宋体" w:hAnsi="宋体" w:cs="宋体"/>
          <w:color w:val="auto"/>
          <w:kern w:val="0"/>
          <w:sz w:val="24"/>
          <w:szCs w:val="24"/>
          <w:highlight w:val="none"/>
          <w:lang w:bidi="ar"/>
        </w:rPr>
        <w:t>监理人员也</w:t>
      </w:r>
      <w:r>
        <w:rPr>
          <w:rFonts w:hint="eastAsia" w:ascii="宋体" w:hAnsi="宋体" w:cs="宋体"/>
          <w:color w:val="000000"/>
          <w:sz w:val="24"/>
          <w:szCs w:val="24"/>
          <w:highlight w:val="none"/>
          <w:shd w:val="clear" w:color="auto" w:fill="FFFFFF"/>
        </w:rPr>
        <w:t>应当立即报告本单位负责人以及委托人。不得隐瞒不报、谎报或者迟报，不得伙同他人故意破坏事故现场、毁灭有关证据。</w:t>
      </w:r>
      <w:r>
        <w:rPr>
          <w:rFonts w:hint="eastAsia" w:cs="宋体" w:asciiTheme="minorEastAsia" w:hAnsiTheme="minorEastAsia" w:eastAsiaTheme="minorEastAsia"/>
          <w:color w:val="auto"/>
          <w:kern w:val="0"/>
          <w:sz w:val="24"/>
          <w:szCs w:val="24"/>
          <w:highlight w:val="none"/>
          <w:lang w:bidi="ar"/>
        </w:rPr>
        <w:t xml:space="preserve"> </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kern w:val="0"/>
          <w:sz w:val="24"/>
          <w:highlight w:val="none"/>
          <w:lang w:bidi="ar"/>
        </w:rPr>
        <w:t>在项目施工过程中，监理人应对承包人的安全生产费的使用计划进行审查，并督促、监督承包人将安全生产计划、措施落实到位，保证安全生产费能专款专用并有效发挥其作用。</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（7）环境保护及水土保持监理</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kern w:val="0"/>
          <w:sz w:val="24"/>
          <w:highlight w:val="none"/>
          <w:lang w:bidi="ar"/>
        </w:rPr>
        <w:t>监理人应</w:t>
      </w:r>
      <w:r>
        <w:rPr>
          <w:rFonts w:hint="eastAsia" w:ascii="宋体" w:hAnsi="宋体" w:cs="宋体"/>
          <w:color w:val="auto"/>
          <w:kern w:val="0"/>
          <w:sz w:val="24"/>
          <w:highlight w:val="none"/>
          <w:lang w:bidi="ar"/>
        </w:rPr>
        <w:t>在监理技术建议书中</w:t>
      </w:r>
      <w:r>
        <w:rPr>
          <w:rFonts w:hint="eastAsia" w:cs="宋体" w:asciiTheme="minorEastAsia" w:hAnsiTheme="minorEastAsia" w:eastAsiaTheme="minorEastAsia"/>
          <w:color w:val="auto"/>
          <w:kern w:val="0"/>
          <w:sz w:val="24"/>
          <w:highlight w:val="none"/>
          <w:lang w:bidi="ar"/>
        </w:rPr>
        <w:t>明确环保监理的具体措施。同时按照国家、部厅及委托人的环境保护相关政策、法规及管理办法，督促承包人施工过程中按照施工图设计文件以及相关技术规范、规定以及委托人的有关管理办法做好环保工作。</w:t>
      </w:r>
      <w:r>
        <w:rPr>
          <w:rFonts w:hint="eastAsia" w:cs="宋体" w:asciiTheme="minorEastAsia" w:hAnsiTheme="minorEastAsia" w:eastAsiaTheme="minorEastAsia"/>
          <w:color w:val="auto"/>
          <w:sz w:val="24"/>
          <w:highlight w:val="none"/>
        </w:rPr>
        <w:t>监理人对承包人</w:t>
      </w:r>
      <w:r>
        <w:rPr>
          <w:rFonts w:hint="eastAsia" w:asciiTheme="minorEastAsia" w:hAnsiTheme="minorEastAsia" w:eastAsiaTheme="minorEastAsia"/>
          <w:color w:val="auto"/>
          <w:sz w:val="24"/>
          <w:highlight w:val="none"/>
        </w:rPr>
        <w:t>进场后提交实施性的施工环水保方案及环水保监控措施进行审查，对承包人开展环保及水土保持教育，监督承包人落实施工场地相关环保措施符合布设要求。及时纠正承包人施工过程中的文明</w:t>
      </w:r>
      <w:r>
        <w:rPr>
          <w:rFonts w:hint="eastAsia" w:cs="Arial" w:asciiTheme="minorEastAsia" w:hAnsiTheme="minorEastAsia" w:eastAsiaTheme="minorEastAsia"/>
          <w:color w:val="auto"/>
          <w:sz w:val="24"/>
          <w:highlight w:val="none"/>
        </w:rPr>
        <w:t>施工、扬尘治理、环境保护等未达到省、市的有关规定的做法，由于监理不到位造成后果的，监理人也应承担相应的责任。</w:t>
      </w:r>
    </w:p>
    <w:p>
      <w:pPr>
        <w:spacing w:line="360" w:lineRule="auto"/>
        <w:ind w:firstLine="481" w:firstLineChars="200"/>
        <w:rPr>
          <w:rFonts w:hint="eastAsia" w:cs="宋体" w:asciiTheme="minorEastAsia" w:hAnsiTheme="minorEastAsia" w:eastAsiaTheme="minorEastAsia"/>
          <w:color w:val="auto"/>
          <w:sz w:val="24"/>
          <w:highlight w:val="none"/>
        </w:rPr>
      </w:pPr>
      <w:bookmarkStart w:id="498" w:name="_Hlk94038255"/>
      <w:r>
        <w:rPr>
          <w:rFonts w:hint="eastAsia" w:cs="宋体" w:asciiTheme="minorEastAsia" w:hAnsiTheme="minorEastAsia" w:eastAsiaTheme="minorEastAsia"/>
          <w:b/>
          <w:bCs/>
          <w:color w:val="auto"/>
          <w:sz w:val="24"/>
          <w:highlight w:val="none"/>
        </w:rPr>
        <w:t>□</w:t>
      </w:r>
      <w:r>
        <w:rPr>
          <w:rFonts w:hint="eastAsia" w:cs="宋体" w:asciiTheme="minorEastAsia" w:hAnsiTheme="minorEastAsia" w:eastAsiaTheme="minorEastAsia"/>
          <w:color w:val="auto"/>
          <w:sz w:val="24"/>
          <w:highlight w:val="none"/>
        </w:rPr>
        <w:t>（8）机电监理</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监理人还应按照《公路工程施工监理规范》（JTG G10</w:t>
      </w:r>
      <w:r>
        <w:rPr>
          <w:rFonts w:hint="eastAsia" w:asciiTheme="minorEastAsia" w:hAnsiTheme="minorEastAsia" w:eastAsiaTheme="minorEastAsia" w:cstheme="minorEastAsia"/>
          <w:color w:val="auto"/>
          <w:sz w:val="24"/>
          <w:highlight w:val="none"/>
        </w:rPr>
        <w:t>—</w:t>
      </w:r>
      <w:r>
        <w:rPr>
          <w:rFonts w:hint="eastAsia" w:cs="宋体" w:asciiTheme="minorEastAsia" w:hAnsiTheme="minorEastAsia" w:eastAsiaTheme="minorEastAsia"/>
          <w:color w:val="auto"/>
          <w:sz w:val="24"/>
          <w:highlight w:val="none"/>
        </w:rPr>
        <w:t>2016）的要求开展软件开发、系统功能测试及试运行期的监理工作。</w:t>
      </w:r>
    </w:p>
    <w:p>
      <w:pPr>
        <w:spacing w:line="360" w:lineRule="auto"/>
        <w:ind w:firstLine="480" w:firstLineChars="200"/>
        <w:rPr>
          <w:rFonts w:hint="eastAsia" w:cs="宋体" w:asciiTheme="minorEastAsia" w:hAnsiTheme="minorEastAsia" w:eastAsiaTheme="minorEastAsia"/>
          <w:color w:val="auto"/>
          <w:sz w:val="24"/>
          <w:highlight w:val="none"/>
        </w:rPr>
      </w:pPr>
      <w:bookmarkStart w:id="499" w:name="_Hlk99384979"/>
      <w:r>
        <w:rPr>
          <w:rFonts w:hint="eastAsia" w:cs="宋体" w:asciiTheme="minorEastAsia" w:hAnsiTheme="minorEastAsia" w:eastAsiaTheme="minorEastAsia"/>
          <w:color w:val="auto"/>
          <w:sz w:val="24"/>
          <w:highlight w:val="none"/>
        </w:rPr>
        <w:t>承包人提交的应用软件测试大纲经监理人审核，合格后方可上线正式运行。</w:t>
      </w:r>
    </w:p>
    <w:bookmarkEnd w:id="499"/>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监理人应审核承包人提交的系统测试大纲，承包人完成自测并提交自测报告后，监理人应主持现场系统检验测试并对各项指标是否合格进行评定。</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在试运行期，监理人应巡视检查各系统的试运行情况，重点检查系统工作状况和和试运行人员的值班记录，对发现的问题要求承包人及时整改。监理人应核查承包人提供的备品、备件及专用工具的数量、质量是否满足合同要求。</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（9）卫生防疫</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在遭遇疫情重大突发公共卫生事件情形下，监理人除了监督施工作业应符合国家、省、市及地方的统一部署及相关规定外，监理人也人应落实疫情防控措施，且措施具有可行、有效性。监理人员要倡导社交文明、加强公共卫生，做好人员、驻地、设施设备的消毒、防疫以及宣传教育工作。人员注重卫生勤洗手、树立良好的卫生习惯。高度警惕侥幸心理、松劲心态，提高工作科学性、针对性和有效性，进一步筑牢疫情防控防线，确保上岗人员安全健康，工程顺利推进。</w:t>
      </w:r>
    </w:p>
    <w:bookmarkEnd w:id="498"/>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10）事故报告必须按交通运输部《公路水运建设工程质量事故等级划分和报告制度的通知》（交办安监〔2016〕146号）、国务院《生产安全事故报告和调查处理条例》的要求办理及四川省现行有关规定的质量安全报告程序进行。</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（11）</w:t>
      </w:r>
      <w:bookmarkStart w:id="500" w:name="_Hlk98410360"/>
      <w:r>
        <w:rPr>
          <w:rFonts w:hint="eastAsia" w:cs="宋体" w:asciiTheme="minorEastAsia" w:hAnsiTheme="minorEastAsia" w:eastAsiaTheme="minorEastAsia"/>
          <w:color w:val="auto"/>
          <w:sz w:val="24"/>
          <w:highlight w:val="none"/>
        </w:rPr>
        <w:t>在工程实施过程中，如果有新的法律法规、规章制度、办法细则的颁布实施，本项目将按上级主管部门的决定采用执行，如有费用增减将按专用合同条款第6.2款有关规定办理。</w:t>
      </w:r>
      <w:bookmarkEnd w:id="500"/>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（12）</w:t>
      </w:r>
      <w:r>
        <w:rPr>
          <w:rFonts w:hint="eastAsia" w:ascii="宋体" w:hAnsi="宋体" w:cs="宋体"/>
          <w:color w:val="auto"/>
          <w:sz w:val="24"/>
          <w:highlight w:val="none"/>
        </w:rPr>
        <w:t>为实施本合同工程的监理车辆，经过相关收费公路的通行费用，由监理人自行按章缴纳。</w:t>
      </w:r>
    </w:p>
    <w:p>
      <w:pPr>
        <w:spacing w:line="360" w:lineRule="auto"/>
        <w:ind w:firstLine="480" w:firstLineChars="20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（13）监理人应履行合同约定的其他义务。</w:t>
      </w:r>
    </w:p>
    <w:p>
      <w:pPr>
        <w:pStyle w:val="6"/>
        <w:rPr>
          <w:rFonts w:hint="eastAsia" w:ascii="黑体" w:hAnsi="黑体" w:cs="黑体"/>
          <w:b w:val="0"/>
          <w:bCs w:val="0"/>
          <w:color w:val="auto"/>
          <w:highlight w:val="none"/>
        </w:rPr>
      </w:pPr>
      <w:bookmarkStart w:id="501" w:name="_Toc520709509"/>
      <w:bookmarkStart w:id="502" w:name="_Toc523921816"/>
      <w:r>
        <w:rPr>
          <w:rFonts w:hint="eastAsia" w:ascii="黑体" w:hAnsi="黑体" w:cs="黑体"/>
          <w:b w:val="0"/>
          <w:bCs w:val="0"/>
          <w:color w:val="auto"/>
          <w:highlight w:val="none"/>
        </w:rPr>
        <w:t>4.2 履约保证金</w:t>
      </w:r>
      <w:bookmarkEnd w:id="501"/>
      <w:bookmarkEnd w:id="50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第4.2.1项细化为：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监理人在签订监理合同协议书之前，应向委托人递交履约保证金，金额、形式要求见投标人须知前附表。当监理人不能按合同约定的质量标准和工期完成合同时，委托人可动用监理人履约保证金另外选择新监理人完成合同，由此增加的费用由原监理人承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履约保证金从签订监理合同协议书之日起生效，至工程项目签发交工验收证书之日后14日后失效。履约保证金（若为履约现金担保，所产生的同期活期利息归监理人所有）在签发交工验收证书且监理人向委托人提交了缺陷责任期保函后退还给监理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缺陷责任期保函金额：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
        <w:ind w:firstLine="4" w:firstLineChars="2"/>
        <w:rPr>
          <w:color w:val="auto"/>
          <w:sz w:val="24"/>
          <w:szCs w:val="24"/>
          <w:highlight w:val="none"/>
        </w:rPr>
      </w:pPr>
      <w:r>
        <w:rPr>
          <w:rFonts w:hint="eastAsia"/>
          <w:color w:val="auto"/>
          <w:sz w:val="24"/>
          <w:szCs w:val="24"/>
          <w:highlight w:val="none"/>
        </w:rPr>
        <w:t>注：</w:t>
      </w:r>
      <w:r>
        <w:rPr>
          <w:rFonts w:hint="eastAsia" w:ascii="宋体" w:hAnsi="宋体" w:cs="宋体"/>
          <w:color w:val="auto"/>
          <w:sz w:val="24"/>
          <w:szCs w:val="24"/>
          <w:highlight w:val="none"/>
        </w:rPr>
        <w:t>缺陷责任期保函金额不超过监理服务总费用的3%。</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委托人向监理人返还缺陷责任期保函的时间：在签发工程缺陷责任终止证书后</w:t>
      </w:r>
    </w:p>
    <w:p>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u w:val="single"/>
        </w:rPr>
        <w:t xml:space="preserve"> 14 </w:t>
      </w:r>
      <w:r>
        <w:rPr>
          <w:rFonts w:hint="eastAsia" w:ascii="宋体" w:hAnsi="宋体" w:cs="宋体"/>
          <w:color w:val="auto"/>
          <w:sz w:val="24"/>
          <w:highlight w:val="none"/>
        </w:rPr>
        <w:t>天内。</w:t>
      </w:r>
    </w:p>
    <w:p>
      <w:pPr>
        <w:pStyle w:val="6"/>
        <w:rPr>
          <w:rFonts w:hint="eastAsia" w:ascii="黑体" w:hAnsi="黑体" w:cs="黑体"/>
          <w:b w:val="0"/>
          <w:bCs w:val="0"/>
          <w:color w:val="auto"/>
          <w:highlight w:val="none"/>
        </w:rPr>
      </w:pPr>
      <w:bookmarkStart w:id="503" w:name="_Toc523921817"/>
      <w:bookmarkStart w:id="504" w:name="_Toc520709510"/>
      <w:r>
        <w:rPr>
          <w:rFonts w:hint="eastAsia" w:ascii="黑体" w:hAnsi="黑体" w:cs="黑体"/>
          <w:b w:val="0"/>
          <w:bCs w:val="0"/>
          <w:color w:val="auto"/>
          <w:highlight w:val="none"/>
        </w:rPr>
        <w:t>4.4 总监理工程师</w:t>
      </w:r>
      <w:bookmarkEnd w:id="503"/>
      <w:bookmarkEnd w:id="50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4.4.4 总监理工程师授权下属人员履行的职责：</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rFonts w:hint="eastAsia" w:ascii="黑体" w:hAnsi="黑体" w:cs="黑体"/>
          <w:b w:val="0"/>
          <w:bCs w:val="0"/>
          <w:color w:val="auto"/>
          <w:highlight w:val="none"/>
        </w:rPr>
      </w:pPr>
      <w:bookmarkStart w:id="505" w:name="_Toc520709511"/>
      <w:bookmarkStart w:id="506" w:name="_Toc523921818"/>
      <w:r>
        <w:rPr>
          <w:rFonts w:hint="eastAsia" w:ascii="黑体" w:hAnsi="黑体" w:cs="黑体"/>
          <w:b w:val="0"/>
          <w:bCs w:val="0"/>
          <w:color w:val="auto"/>
          <w:highlight w:val="none"/>
        </w:rPr>
        <w:t>4.5 监理人员的管理</w:t>
      </w:r>
      <w:bookmarkEnd w:id="505"/>
      <w:bookmarkEnd w:id="50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4.5.2主要专业监理工程师包括：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其他人员包括：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本款补充第4.5.5项：</w:t>
      </w:r>
    </w:p>
    <w:p>
      <w:pPr>
        <w:spacing w:line="360" w:lineRule="auto"/>
        <w:ind w:firstLine="480" w:firstLineChars="200"/>
        <w:rPr>
          <w:rFonts w:hint="eastAsia" w:ascii="宋体" w:hAnsi="宋体" w:eastAsia="黑体" w:cs="宋体"/>
          <w:color w:val="auto"/>
          <w:sz w:val="24"/>
          <w:highlight w:val="none"/>
        </w:rPr>
      </w:pPr>
      <w:r>
        <w:rPr>
          <w:rFonts w:hint="eastAsia" w:ascii="黑体" w:hAnsi="黑体" w:eastAsia="黑体" w:cs="宋体"/>
          <w:color w:val="auto"/>
          <w:sz w:val="24"/>
          <w:highlight w:val="none"/>
        </w:rPr>
        <w:t>4.5.5监理人员的管理要求如下：</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（1）监理人派驻到项目所在地履行监理服务的主要人员应按投标文件的承诺，以及合同协议书的约定进场。合同签订后，更换监理人派驻到现场的主要监理人员，应视为监理人违约，按照第11.1.2项课以违约金。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（2）监</w:t>
      </w:r>
      <w:r>
        <w:rPr>
          <w:rFonts w:hint="eastAsia" w:ascii="宋体" w:hAnsi="宋体"/>
          <w:color w:val="auto"/>
          <w:kern w:val="0"/>
          <w:sz w:val="24"/>
          <w:highlight w:val="none"/>
        </w:rPr>
        <w:t>理人员进场前，委托人有权对主要监理人员进行岗前考核，不能满足要求的监理人员将被清退，监理人应按照招标文件及合同协议书约定重新安排满足要求的监理人员。</w:t>
      </w:r>
    </w:p>
    <w:p>
      <w:pPr>
        <w:spacing w:line="360" w:lineRule="auto"/>
        <w:ind w:firstLine="480" w:firstLineChars="200"/>
        <w:rPr>
          <w:color w:val="auto"/>
          <w:kern w:val="0"/>
          <w:highlight w:val="none"/>
        </w:rPr>
      </w:pPr>
      <w:r>
        <w:rPr>
          <w:rFonts w:hint="eastAsia" w:ascii="宋体" w:hAnsi="宋体" w:cs="宋体"/>
          <w:color w:val="auto"/>
          <w:sz w:val="24"/>
          <w:highlight w:val="none"/>
        </w:rPr>
        <w:t>（3）</w:t>
      </w:r>
      <w:r>
        <w:rPr>
          <w:rFonts w:hint="eastAsia" w:ascii="宋体" w:hAnsi="宋体"/>
          <w:color w:val="auto"/>
          <w:kern w:val="0"/>
          <w:sz w:val="24"/>
          <w:highlight w:val="none"/>
        </w:rPr>
        <w:t>监理人派驻到项目所在地履行监理服务的各类监理人员必须保证每月不少于22 天的出勤率(按日历日计算)，总监理工程师离开工地必须向委托人代表请假并经同意。若监理人员未按规定出勤，将按项目专用合同条款第11.1款规定处理</w:t>
      </w:r>
      <w:r>
        <w:rPr>
          <w:rFonts w:hint="eastAsia"/>
          <w:color w:val="auto"/>
          <w:kern w:val="0"/>
          <w:highlight w:val="none"/>
        </w:rPr>
        <w:t>。</w:t>
      </w:r>
    </w:p>
    <w:p>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（4）辅助人员 </w:t>
      </w:r>
    </w:p>
    <w:p>
      <w:pPr>
        <w:spacing w:line="360" w:lineRule="auto"/>
        <w:ind w:firstLine="480" w:firstLineChars="200"/>
        <w:rPr>
          <w:rFonts w:hint="eastAsia" w:ascii="宋体" w:hAnsi="宋体" w:cs="宋体"/>
          <w:color w:val="auto"/>
          <w:sz w:val="24"/>
          <w:highlight w:val="none"/>
        </w:rPr>
      </w:pPr>
      <w:r>
        <w:rPr>
          <w:rFonts w:hint="eastAsia" w:ascii="宋体" w:hAnsi="宋体"/>
          <w:color w:val="auto"/>
          <w:kern w:val="0"/>
          <w:sz w:val="24"/>
          <w:highlight w:val="none"/>
        </w:rPr>
        <w:t>监理人自行聘用满足监理人日常需要的辅助人员（包括</w:t>
      </w:r>
      <w:r>
        <w:rPr>
          <w:rFonts w:hint="eastAsia" w:ascii="宋体" w:hAnsi="宋体" w:cs="宋体"/>
          <w:color w:val="auto"/>
          <w:sz w:val="24"/>
          <w:highlight w:val="none"/>
        </w:rPr>
        <w:t>行政办公人员、驾驶员、后勤员等辅助人员</w:t>
      </w:r>
      <w:r>
        <w:rPr>
          <w:rFonts w:hint="eastAsia" w:ascii="宋体" w:hAnsi="宋体"/>
          <w:color w:val="auto"/>
          <w:kern w:val="0"/>
          <w:sz w:val="24"/>
          <w:highlight w:val="none"/>
        </w:rPr>
        <w:t>），费用由监理</w:t>
      </w:r>
      <w:r>
        <w:rPr>
          <w:rFonts w:hint="eastAsia" w:ascii="宋体" w:hAnsi="宋体" w:cs="宋体"/>
          <w:color w:val="auto"/>
          <w:sz w:val="24"/>
          <w:highlight w:val="none"/>
        </w:rPr>
        <w:t>人计入监理服务费用报价中。</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（5）对监理的考核</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1 \* GB3 </w:instrText>
      </w:r>
      <w:r>
        <w:rPr>
          <w:rFonts w:ascii="宋体" w:hAnsi="宋体" w:cs="宋体"/>
          <w:color w:val="auto"/>
          <w:sz w:val="24"/>
          <w:highlight w:val="none"/>
        </w:rPr>
        <w:fldChar w:fldCharType="separate"/>
      </w:r>
      <w:r>
        <w:rPr>
          <w:rFonts w:hint="eastAsia" w:ascii="宋体" w:hAnsi="宋体" w:cs="宋体"/>
          <w:color w:val="auto"/>
          <w:sz w:val="24"/>
          <w:highlight w:val="none"/>
        </w:rPr>
        <w:t>①</w:t>
      </w:r>
      <w:r>
        <w:rPr>
          <w:rFonts w:ascii="宋体" w:hAnsi="宋体" w:cs="宋体"/>
          <w:color w:val="auto"/>
          <w:sz w:val="24"/>
          <w:highlight w:val="none"/>
        </w:rPr>
        <w:fldChar w:fldCharType="end"/>
      </w:r>
      <w:r>
        <w:rPr>
          <w:rFonts w:hint="eastAsia" w:ascii="宋体" w:hAnsi="宋体" w:cs="宋体"/>
          <w:color w:val="auto"/>
          <w:sz w:val="24"/>
          <w:highlight w:val="none"/>
        </w:rPr>
        <w:t>劳动考核制度：凡进场监理人员必须与监理人签订劳动合同并交委托人备案。</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2 \* GB3 </w:instrText>
      </w:r>
      <w:r>
        <w:rPr>
          <w:rFonts w:ascii="宋体" w:hAnsi="宋体" w:cs="宋体"/>
          <w:color w:val="auto"/>
          <w:sz w:val="24"/>
          <w:highlight w:val="none"/>
        </w:rPr>
        <w:fldChar w:fldCharType="separate"/>
      </w:r>
      <w:r>
        <w:rPr>
          <w:rFonts w:hint="eastAsia" w:ascii="宋体" w:hAnsi="宋体" w:cs="宋体"/>
          <w:color w:val="auto"/>
          <w:sz w:val="24"/>
          <w:highlight w:val="none"/>
        </w:rPr>
        <w:t>②</w:t>
      </w:r>
      <w:r>
        <w:rPr>
          <w:rFonts w:ascii="宋体" w:hAnsi="宋体" w:cs="宋体"/>
          <w:color w:val="auto"/>
          <w:sz w:val="24"/>
          <w:highlight w:val="none"/>
        </w:rPr>
        <w:fldChar w:fldCharType="end"/>
      </w:r>
      <w:r>
        <w:rPr>
          <w:rFonts w:hint="eastAsia" w:ascii="宋体" w:hAnsi="宋体" w:cs="宋体"/>
          <w:color w:val="auto"/>
          <w:sz w:val="24"/>
          <w:highlight w:val="none"/>
        </w:rPr>
        <w:t>信用评价制度：按四川省交通运输厅从业单位</w:t>
      </w:r>
      <w:r>
        <w:rPr>
          <w:rFonts w:hint="eastAsia" w:ascii="宋体" w:hAnsi="宋体"/>
          <w:color w:val="auto"/>
          <w:sz w:val="24"/>
          <w:highlight w:val="none"/>
        </w:rPr>
        <w:t>信用管理办法</w:t>
      </w:r>
      <w:r>
        <w:rPr>
          <w:rFonts w:hint="eastAsia" w:ascii="宋体" w:hAnsi="宋体" w:cs="宋体"/>
          <w:color w:val="auto"/>
          <w:sz w:val="24"/>
          <w:highlight w:val="none"/>
        </w:rPr>
        <w:t>要求进行信用评价，并定期向上级行政主管部门通报。</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3 \* GB3 </w:instrText>
      </w:r>
      <w:r>
        <w:rPr>
          <w:rFonts w:ascii="宋体" w:hAnsi="宋体" w:cs="宋体"/>
          <w:color w:val="auto"/>
          <w:sz w:val="24"/>
          <w:highlight w:val="none"/>
        </w:rPr>
        <w:fldChar w:fldCharType="separate"/>
      </w:r>
      <w:r>
        <w:rPr>
          <w:rFonts w:hint="eastAsia" w:ascii="宋体" w:hAnsi="宋体" w:cs="宋体"/>
          <w:color w:val="auto"/>
          <w:sz w:val="24"/>
          <w:highlight w:val="none"/>
        </w:rPr>
        <w:t>③</w:t>
      </w:r>
      <w:r>
        <w:rPr>
          <w:rFonts w:ascii="宋体" w:hAnsi="宋体" w:cs="宋体"/>
          <w:color w:val="auto"/>
          <w:sz w:val="24"/>
          <w:highlight w:val="none"/>
        </w:rPr>
        <w:fldChar w:fldCharType="end"/>
      </w:r>
      <w:r>
        <w:rPr>
          <w:rFonts w:hint="eastAsia" w:ascii="宋体" w:hAnsi="宋体" w:cs="宋体"/>
          <w:color w:val="auto"/>
          <w:sz w:val="24"/>
          <w:highlight w:val="none"/>
        </w:rPr>
        <w:t>委托人对监理人的具体考核办法在监理人进场后提供。</w:t>
      </w:r>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4.7 保障人员的合法权益</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第4.7.3项补充：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监理人应按国家有关法律、法规、规章、规程的有关规定，为本项目服务期内的监理人员缴纳养老保险、失业保险、医疗保险、工伤保险、生育保险、住房公积金等规费，该费用计入监理人员服务费中。</w:t>
      </w:r>
    </w:p>
    <w:p>
      <w:pPr>
        <w:spacing w:line="360" w:lineRule="auto"/>
        <w:ind w:firstLine="480" w:firstLineChars="200"/>
        <w:rPr>
          <w:rFonts w:hint="eastAsia" w:ascii="宋体" w:hAnsi="宋体" w:cs="宋体"/>
          <w:color w:val="auto"/>
          <w:sz w:val="24"/>
          <w:highlight w:val="none"/>
        </w:rPr>
      </w:pPr>
      <w:bookmarkStart w:id="507" w:name="_Hlk94040213"/>
      <w:r>
        <w:rPr>
          <w:rFonts w:hint="eastAsia" w:ascii="宋体" w:hAnsi="宋体" w:cs="宋体"/>
          <w:color w:val="auto"/>
          <w:sz w:val="24"/>
          <w:highlight w:val="none"/>
        </w:rPr>
        <w:t>本款补充第4.7.4项：</w:t>
      </w:r>
    </w:p>
    <w:p>
      <w:pPr>
        <w:spacing w:line="360" w:lineRule="auto"/>
        <w:ind w:firstLine="480" w:firstLineChars="200"/>
        <w:rPr>
          <w:rFonts w:hint="eastAsia" w:ascii="黑体" w:hAnsi="黑体" w:eastAsia="黑体" w:cs="宋体"/>
          <w:color w:val="auto"/>
          <w:sz w:val="24"/>
          <w:highlight w:val="none"/>
        </w:rPr>
      </w:pPr>
      <w:r>
        <w:rPr>
          <w:rFonts w:hint="eastAsia" w:ascii="黑体" w:hAnsi="黑体" w:eastAsia="黑体" w:cs="宋体"/>
          <w:color w:val="auto"/>
          <w:sz w:val="24"/>
          <w:highlight w:val="none"/>
        </w:rPr>
        <w:t>4.7.4 监理人员最低工资标准要求如下：</w:t>
      </w:r>
    </w:p>
    <w:bookmarkEnd w:id="507"/>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为保证项目建设进展顺利，监理人应提高监理人员的积极性，强化主动监理、超前监理的意识；同时监理人应制定最低工资标准，并根据派驻现场监理人员的不同职责和岗位，定时足额发放工资和津贴，确保现场监理人员的合法权益，保证其工作质量。</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委托人将不定期对监理人员工资发放进行核查，未达到要求的，将责令监理人进行整改，整改后仍然不达标的，将视为监理人违约进行处理。</w:t>
      </w:r>
    </w:p>
    <w:p>
      <w:pPr>
        <w:pStyle w:val="6"/>
        <w:rPr>
          <w:rFonts w:hint="eastAsia" w:ascii="黑体" w:hAnsi="黑体" w:cs="黑体"/>
          <w:b w:val="0"/>
          <w:bCs w:val="0"/>
          <w:color w:val="auto"/>
          <w:highlight w:val="none"/>
        </w:rPr>
      </w:pPr>
      <w:bookmarkStart w:id="508" w:name="_Toc520709512"/>
      <w:bookmarkStart w:id="509" w:name="_Toc523921819"/>
      <w:r>
        <w:rPr>
          <w:rFonts w:hint="eastAsia" w:ascii="黑体" w:hAnsi="黑体" w:cs="黑体"/>
          <w:b w:val="0"/>
          <w:bCs w:val="0"/>
          <w:color w:val="auto"/>
          <w:highlight w:val="none"/>
        </w:rPr>
        <w:t>4.9 党建工作要求</w:t>
      </w:r>
      <w:bookmarkEnd w:id="508"/>
      <w:bookmarkEnd w:id="509"/>
      <w:r>
        <w:rPr>
          <w:rFonts w:hint="eastAsia" w:ascii="黑体" w:hAnsi="黑体" w:cs="黑体"/>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本款最后补充：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监理人完成党建工作所需费用包含在监理服务费中，不单独报价。</w:t>
      </w:r>
    </w:p>
    <w:p>
      <w:pPr>
        <w:pStyle w:val="5"/>
        <w:numPr>
          <w:ilvl w:val="255"/>
          <w:numId w:val="0"/>
        </w:numPr>
        <w:rPr>
          <w:color w:val="auto"/>
          <w:highlight w:val="none"/>
        </w:rPr>
      </w:pPr>
      <w:bookmarkStart w:id="510" w:name="_Toc520709513"/>
      <w:bookmarkStart w:id="511" w:name="_Toc519777833"/>
      <w:bookmarkStart w:id="512" w:name="_Toc513555847"/>
      <w:bookmarkStart w:id="513" w:name="_Toc523921820"/>
      <w:bookmarkStart w:id="514" w:name="_Toc513555603"/>
      <w:bookmarkStart w:id="515" w:name="_Toc513556682"/>
      <w:bookmarkStart w:id="516" w:name="_Toc519777937"/>
      <w:bookmarkStart w:id="517" w:name="_Toc519778498"/>
      <w:bookmarkStart w:id="518" w:name="_Toc519601505"/>
      <w:bookmarkStart w:id="519" w:name="_Toc519777885"/>
      <w:r>
        <w:rPr>
          <w:color w:val="auto"/>
          <w:highlight w:val="none"/>
        </w:rPr>
        <w:t xml:space="preserve">5. </w:t>
      </w:r>
      <w:r>
        <w:rPr>
          <w:rFonts w:hint="eastAsia"/>
          <w:color w:val="auto"/>
          <w:highlight w:val="none"/>
        </w:rPr>
        <w:t>监理要求</w:t>
      </w:r>
      <w:bookmarkEnd w:id="510"/>
      <w:bookmarkEnd w:id="511"/>
      <w:bookmarkEnd w:id="512"/>
      <w:bookmarkEnd w:id="513"/>
      <w:bookmarkEnd w:id="514"/>
      <w:bookmarkEnd w:id="515"/>
      <w:bookmarkEnd w:id="516"/>
      <w:bookmarkEnd w:id="517"/>
      <w:bookmarkEnd w:id="518"/>
      <w:bookmarkEnd w:id="519"/>
    </w:p>
    <w:p>
      <w:pPr>
        <w:pStyle w:val="6"/>
        <w:rPr>
          <w:rFonts w:hint="eastAsia" w:ascii="黑体" w:hAnsi="黑体" w:cs="黑体"/>
          <w:b w:val="0"/>
          <w:bCs w:val="0"/>
          <w:color w:val="auto"/>
          <w:highlight w:val="none"/>
        </w:rPr>
      </w:pPr>
      <w:bookmarkStart w:id="520" w:name="_Toc520709514"/>
      <w:bookmarkStart w:id="521" w:name="_Toc523921821"/>
      <w:r>
        <w:rPr>
          <w:rFonts w:hint="eastAsia" w:ascii="黑体" w:hAnsi="黑体" w:cs="黑体"/>
          <w:b w:val="0"/>
          <w:bCs w:val="0"/>
          <w:color w:val="auto"/>
          <w:highlight w:val="none"/>
        </w:rPr>
        <w:t>5.1 监理范围</w:t>
      </w:r>
      <w:bookmarkEnd w:id="520"/>
      <w:bookmarkEnd w:id="521"/>
      <w:r>
        <w:rPr>
          <w:rFonts w:hint="eastAsia" w:ascii="黑体" w:hAnsi="黑体" w:cs="黑体"/>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5.1.2 工程范围包括：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5.1.3 阶段范围包括：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5.1.4 工作范围包括：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rFonts w:hint="eastAsia" w:ascii="黑体" w:hAnsi="黑体" w:cs="黑体"/>
          <w:b w:val="0"/>
          <w:bCs w:val="0"/>
          <w:color w:val="auto"/>
          <w:highlight w:val="none"/>
        </w:rPr>
      </w:pPr>
      <w:bookmarkStart w:id="522" w:name="_Toc523921822"/>
      <w:bookmarkStart w:id="523" w:name="_Toc520709515"/>
      <w:r>
        <w:rPr>
          <w:rFonts w:hint="eastAsia" w:ascii="黑体" w:hAnsi="黑体" w:cs="黑体"/>
          <w:b w:val="0"/>
          <w:bCs w:val="0"/>
          <w:color w:val="auto"/>
          <w:highlight w:val="none"/>
        </w:rPr>
        <w:t>5.3 监理内容</w:t>
      </w:r>
      <w:bookmarkEnd w:id="522"/>
      <w:bookmarkEnd w:id="523"/>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 xml:space="preserve">工程同时设置总监理工程师办公室和驻地监理工程师办公室 </w:t>
      </w:r>
    </w:p>
    <w:p>
      <w:pPr>
        <w:spacing w:line="360" w:lineRule="auto"/>
        <w:ind w:left="958" w:leftChars="456"/>
        <w:rPr>
          <w:rFonts w:hint="eastAsia" w:ascii="宋体" w:hAnsi="宋体" w:cs="宋体"/>
          <w:color w:val="auto"/>
          <w:sz w:val="24"/>
          <w:highlight w:val="none"/>
        </w:rPr>
      </w:pPr>
      <w:bookmarkStart w:id="524" w:name="_Hlk98350808"/>
      <w:r>
        <w:rPr>
          <w:rFonts w:hint="eastAsia" w:ascii="宋体" w:hAnsi="宋体" w:cs="宋体"/>
          <w:color w:val="auto"/>
          <w:sz w:val="24"/>
          <w:highlight w:val="none"/>
        </w:rPr>
        <w:t>□总监理工程师办公室和驻地监理工程师办公室均不设立工地试验室</w:t>
      </w:r>
      <w:bookmarkStart w:id="525" w:name="_Hlk98860802"/>
      <w:r>
        <w:rPr>
          <w:rFonts w:hint="eastAsia" w:ascii="宋体" w:hAnsi="宋体" w:cs="宋体"/>
          <w:color w:val="auto"/>
          <w:sz w:val="24"/>
          <w:highlight w:val="none"/>
        </w:rPr>
        <w:t>，由委托人另行委托成立</w:t>
      </w:r>
      <w:bookmarkEnd w:id="525"/>
      <w:r>
        <w:rPr>
          <w:rFonts w:hint="eastAsia" w:ascii="宋体" w:hAnsi="宋体" w:cs="宋体"/>
          <w:color w:val="auto"/>
          <w:sz w:val="24"/>
          <w:highlight w:val="none"/>
        </w:rPr>
        <w:t>监理试验室。</w:t>
      </w:r>
    </w:p>
    <w:bookmarkEnd w:id="524"/>
    <w:p>
      <w:pPr>
        <w:spacing w:line="360" w:lineRule="auto"/>
        <w:ind w:left="958" w:leftChars="456"/>
        <w:rPr>
          <w:rFonts w:hint="eastAsia" w:ascii="宋体" w:hAnsi="宋体" w:cs="宋体"/>
          <w:color w:val="auto"/>
          <w:sz w:val="24"/>
          <w:highlight w:val="none"/>
        </w:rPr>
      </w:pPr>
      <w:r>
        <w:rPr>
          <w:rFonts w:hint="eastAsia" w:ascii="宋体" w:hAnsi="宋体" w:cs="宋体"/>
          <w:color w:val="auto"/>
          <w:sz w:val="24"/>
          <w:highlight w:val="none"/>
        </w:rPr>
        <w:t>□总监理工程师办公室设立工地试验室，驻地监理工程师办公室不</w:t>
      </w:r>
      <w:bookmarkStart w:id="526" w:name="_Hlk98350824"/>
      <w:r>
        <w:rPr>
          <w:rFonts w:hint="eastAsia" w:ascii="宋体" w:hAnsi="宋体" w:cs="宋体"/>
          <w:color w:val="auto"/>
          <w:sz w:val="24"/>
          <w:highlight w:val="none"/>
        </w:rPr>
        <w:t>设立工地试验室</w:t>
      </w:r>
      <w:bookmarkEnd w:id="526"/>
      <w:r>
        <w:rPr>
          <w:rFonts w:hint="eastAsia" w:ascii="宋体" w:hAnsi="宋体" w:cs="宋体"/>
          <w:color w:val="auto"/>
          <w:sz w:val="24"/>
          <w:highlight w:val="none"/>
        </w:rPr>
        <w:t>，</w:t>
      </w:r>
      <w:bookmarkStart w:id="527" w:name="_Hlk98351049"/>
      <w:r>
        <w:rPr>
          <w:rFonts w:hint="eastAsia" w:ascii="宋体" w:hAnsi="宋体" w:cs="宋体"/>
          <w:color w:val="auto"/>
          <w:sz w:val="24"/>
          <w:highlight w:val="none"/>
        </w:rPr>
        <w:t>总监办工地试验室相应的检查项目和抽检频率：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bookmarkEnd w:id="527"/>
    </w:p>
    <w:p>
      <w:pPr>
        <w:spacing w:line="360" w:lineRule="auto"/>
        <w:ind w:left="958" w:leftChars="456"/>
        <w:rPr>
          <w:rFonts w:hint="eastAsia" w:ascii="宋体" w:hAnsi="宋体" w:cs="宋体"/>
          <w:color w:val="auto"/>
          <w:sz w:val="24"/>
          <w:highlight w:val="none"/>
        </w:rPr>
      </w:pPr>
      <w:r>
        <w:rPr>
          <w:rFonts w:hint="eastAsia" w:ascii="宋体" w:hAnsi="宋体" w:cs="宋体"/>
          <w:color w:val="auto"/>
          <w:sz w:val="24"/>
          <w:highlight w:val="none"/>
        </w:rPr>
        <w:t>□总监理工程师办公室设立工地试验室，驻地监理工程师办公室设立工地试验室，总监办和驻地办工地试验室相应的检查项目和抽检频率：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b/>
          <w:bCs/>
          <w:color w:val="auto"/>
          <w:sz w:val="24"/>
          <w:highlight w:val="none"/>
        </w:rPr>
        <w:t xml:space="preserve">□ </w:t>
      </w:r>
      <w:r>
        <w:rPr>
          <w:rFonts w:hint="eastAsia" w:ascii="宋体" w:hAnsi="宋体" w:cs="宋体"/>
          <w:color w:val="auto"/>
          <w:sz w:val="24"/>
          <w:highlight w:val="none"/>
        </w:rPr>
        <w:t xml:space="preserve">工程只设置总监理工程师办公室 </w:t>
      </w:r>
    </w:p>
    <w:p>
      <w:pPr>
        <w:spacing w:line="360" w:lineRule="auto"/>
        <w:ind w:left="958" w:leftChars="456"/>
        <w:rPr>
          <w:rFonts w:hint="eastAsia" w:ascii="宋体" w:hAnsi="宋体" w:cs="宋体"/>
          <w:color w:val="auto"/>
          <w:sz w:val="24"/>
          <w:highlight w:val="none"/>
        </w:rPr>
      </w:pPr>
      <w:r>
        <w:rPr>
          <w:rFonts w:hint="eastAsia" w:ascii="宋体" w:hAnsi="宋体" w:cs="宋体"/>
          <w:color w:val="auto"/>
          <w:sz w:val="24"/>
          <w:highlight w:val="none"/>
        </w:rPr>
        <w:t>□总监理工程师办公室不设立工地试验室，由委托人另行委托成立监理试验室。</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□总监理工程师办公室设立工地试验室，总监办工地试验室相应的检查项目</w:t>
      </w:r>
    </w:p>
    <w:p>
      <w:pPr>
        <w:spacing w:line="360" w:lineRule="auto"/>
        <w:ind w:firstLine="960" w:firstLineChars="400"/>
        <w:rPr>
          <w:rFonts w:ascii="黑体" w:hAnsi="Times New Roman"/>
          <w:b/>
          <w:color w:val="auto"/>
          <w:sz w:val="24"/>
          <w:highlight w:val="none"/>
        </w:rPr>
      </w:pPr>
      <w:r>
        <w:rPr>
          <w:rFonts w:hint="eastAsia" w:ascii="宋体" w:hAnsi="宋体" w:cs="宋体"/>
          <w:color w:val="auto"/>
          <w:sz w:val="24"/>
          <w:highlight w:val="none"/>
        </w:rPr>
        <w:t>和抽检频率：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bookmarkStart w:id="528" w:name="_Toc523921823"/>
      <w:bookmarkStart w:id="529" w:name="_Toc520709516"/>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5.4 监理文件要求</w:t>
      </w:r>
      <w:bookmarkEnd w:id="528"/>
      <w:bookmarkEnd w:id="52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5.4.3 本工程监理文件还包括的其他监理管理文件如下：</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（1）竣工文件：监理人应按照有关公路工程交竣工验收相关的法律法规、管理条例、实施细则等规定编制竣工图表和文件，在其监理标段全部工程交工后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个月内监理人须向委托人提交</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套合格的竣工文件，缺陷责任期内应补充的竣工资料须在签发缺陷责任终止证书之前提交。若未能按时提交竣工文件，每拖期一天课以人民币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元违约金，由委托人在应付或到期应付给监理人的任何款项中扣除，累计不超过委托人设定的限额（如有）。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（2）其他监理管理文件（如有）：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6"/>
        <w:rPr>
          <w:rFonts w:hint="eastAsia" w:ascii="黑体" w:hAnsi="黑体" w:cs="黑体"/>
          <w:b w:val="0"/>
          <w:bCs w:val="0"/>
          <w:color w:val="auto"/>
          <w:highlight w:val="none"/>
        </w:rPr>
      </w:pPr>
      <w:bookmarkStart w:id="530" w:name="_Toc520709517"/>
      <w:bookmarkStart w:id="531" w:name="_Toc523921824"/>
      <w:r>
        <w:rPr>
          <w:rFonts w:hint="eastAsia" w:ascii="黑体" w:hAnsi="黑体" w:cs="黑体"/>
          <w:b w:val="0"/>
          <w:bCs w:val="0"/>
          <w:color w:val="auto"/>
          <w:highlight w:val="none"/>
        </w:rPr>
        <w:t>5.5 监理服务形式</w:t>
      </w:r>
      <w:bookmarkEnd w:id="530"/>
      <w:bookmarkEnd w:id="53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监理服务机构设置：</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总监理工程师办公室按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（组建原则、设立方式）组建。下设</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个驻地监理工程师办公室。</w:t>
      </w:r>
    </w:p>
    <w:p>
      <w:pPr>
        <w:pStyle w:val="6"/>
        <w:rPr>
          <w:rFonts w:hint="eastAsia" w:ascii="黑体" w:hAnsi="黑体" w:cs="黑体"/>
          <w:b w:val="0"/>
          <w:bCs w:val="0"/>
          <w:color w:val="auto"/>
          <w:highlight w:val="none"/>
        </w:rPr>
      </w:pPr>
      <w:bookmarkStart w:id="532" w:name="_Toc523921825"/>
      <w:bookmarkStart w:id="533" w:name="_Toc520709518"/>
      <w:r>
        <w:rPr>
          <w:rFonts w:hint="eastAsia" w:ascii="黑体" w:hAnsi="黑体" w:cs="黑体"/>
          <w:b w:val="0"/>
          <w:bCs w:val="0"/>
          <w:color w:val="auto"/>
          <w:highlight w:val="none"/>
        </w:rPr>
        <w:t>5.6 监理服务目标</w:t>
      </w:r>
      <w:bookmarkEnd w:id="532"/>
      <w:bookmarkEnd w:id="53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5.6.2 对第三方履约管理的服务目标：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rFonts w:hint="eastAsia" w:ascii="黑体" w:hAnsi="黑体" w:cs="黑体"/>
          <w:b w:val="0"/>
          <w:bCs w:val="0"/>
          <w:color w:val="auto"/>
          <w:highlight w:val="none"/>
        </w:rPr>
      </w:pPr>
      <w:bookmarkStart w:id="534" w:name="_Toc520709519"/>
      <w:bookmarkStart w:id="535" w:name="_Toc523921826"/>
      <w:r>
        <w:rPr>
          <w:rFonts w:hint="eastAsia" w:ascii="黑体" w:hAnsi="黑体" w:cs="黑体"/>
          <w:b w:val="0"/>
          <w:bCs w:val="0"/>
          <w:color w:val="auto"/>
          <w:highlight w:val="none"/>
        </w:rPr>
        <w:t>5.7 委托人对监理人的授权</w:t>
      </w:r>
      <w:bookmarkEnd w:id="534"/>
      <w:bookmarkEnd w:id="535"/>
    </w:p>
    <w:p>
      <w:pPr>
        <w:spacing w:line="360" w:lineRule="auto"/>
        <w:ind w:firstLine="480" w:firstLineChars="200"/>
        <w:rPr>
          <w:rFonts w:hint="eastAsia" w:ascii="黑体" w:hAnsi="黑体" w:eastAsia="黑体" w:cs="黑体"/>
          <w:color w:val="auto"/>
          <w:sz w:val="24"/>
          <w:highlight w:val="none"/>
        </w:rPr>
      </w:pPr>
      <w:r>
        <w:rPr>
          <w:rFonts w:hint="eastAsia" w:ascii="黑体" w:hAnsi="黑体" w:eastAsia="黑体" w:cs="黑体"/>
          <w:color w:val="auto"/>
          <w:sz w:val="24"/>
          <w:highlight w:val="none"/>
        </w:rPr>
        <w:t>5.7.1委托人对监理人的授权权限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在工程质量监理上，委托人授予总监有《公路工程施工监理规范》（JTG G10－2016）要求的全部职责和权力。</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工程费用监理上，委托人授予总监有按合同工程量清单核实已完工程的数量和价格、审核监理人每期计量支付证书的权力，对不符合合同文件要求的工程项目的施工活动，有暂拒计量支付的权力，委托人保留计量支付的终审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在工程进度监理上，委托人授予总监有《公路工程施工监理规范》（JTG G10－2016）要求的进度监理职责和权力。监理人应对监理人计划控制进行监督检查，结合合同事项进行管理，当发现问题和违约风险时应要求纠正。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合同事项管理上，委托人授予总监有对工程变更和索赔的方案、数量、单价、金额的初审权（委托人不授予总监之外的其他监理人员对索赔的方案、数量、单价、金额的初审权），委托人具有工程变更和索赔的方案、数量、单价、金额的最终审定权。除上述权力外，经委托人批准，委托人还授予总监有《公路工程施工监理规范》（JTG G10－2016）要求的其他的合同管理职权。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在安全生产、环境保护、文明施工、农民工管理、品质工程、标准化施工监理上，委托人除授予总监有《公路工程施工监理规范》（JTG G10－2016）要求的全部职责和权力外，还授予监督承包人完成相应施工合同中规定事项的权力。</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在竣工文件编制监理上，委托人授予总监有对监理人竣工文件编制工作进行指导和对完成情况进行监督检查的职责和权力。</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在信息化管理上，委托人授予总监有建立监理资料管理、统一试验检测数据平台、现场监控监测等信息化手段提高监理工作效率的权力。</w:t>
      </w:r>
    </w:p>
    <w:p>
      <w:pPr>
        <w:pStyle w:val="5"/>
        <w:rPr>
          <w:color w:val="auto"/>
          <w:highlight w:val="none"/>
        </w:rPr>
      </w:pPr>
      <w:bookmarkStart w:id="536" w:name="_Toc523921827"/>
      <w:bookmarkStart w:id="537" w:name="_Toc520709520"/>
      <w:bookmarkStart w:id="538" w:name="_Toc513555848"/>
      <w:bookmarkStart w:id="539" w:name="_Toc519777886"/>
      <w:bookmarkStart w:id="540" w:name="_Toc513556683"/>
      <w:bookmarkStart w:id="541" w:name="_Toc519777834"/>
      <w:bookmarkStart w:id="542" w:name="_Toc519601506"/>
      <w:bookmarkStart w:id="543" w:name="_Toc513555604"/>
      <w:bookmarkStart w:id="544" w:name="_Toc519778499"/>
      <w:bookmarkStart w:id="545" w:name="_Toc519777938"/>
      <w:r>
        <w:rPr>
          <w:color w:val="auto"/>
          <w:highlight w:val="none"/>
        </w:rPr>
        <w:t xml:space="preserve">6. </w:t>
      </w:r>
      <w:r>
        <w:rPr>
          <w:rFonts w:hint="eastAsia"/>
          <w:color w:val="auto"/>
          <w:highlight w:val="none"/>
        </w:rPr>
        <w:t>开始监理和完成监理</w:t>
      </w:r>
      <w:bookmarkEnd w:id="536"/>
      <w:bookmarkEnd w:id="537"/>
      <w:bookmarkEnd w:id="538"/>
      <w:bookmarkEnd w:id="539"/>
      <w:bookmarkEnd w:id="540"/>
      <w:bookmarkEnd w:id="541"/>
      <w:bookmarkEnd w:id="542"/>
      <w:bookmarkEnd w:id="543"/>
      <w:bookmarkEnd w:id="544"/>
      <w:bookmarkEnd w:id="545"/>
    </w:p>
    <w:p>
      <w:pPr>
        <w:pStyle w:val="6"/>
        <w:rPr>
          <w:rFonts w:hint="eastAsia" w:ascii="黑体" w:hAnsi="黑体" w:cs="黑体"/>
          <w:b w:val="0"/>
          <w:bCs w:val="0"/>
          <w:color w:val="auto"/>
          <w:highlight w:val="none"/>
        </w:rPr>
      </w:pPr>
      <w:bookmarkStart w:id="546" w:name="_Toc523921828"/>
      <w:bookmarkStart w:id="547" w:name="_Toc520709521"/>
      <w:r>
        <w:rPr>
          <w:rFonts w:hint="eastAsia" w:ascii="黑体" w:hAnsi="黑体" w:cs="黑体"/>
          <w:b w:val="0"/>
          <w:bCs w:val="0"/>
          <w:color w:val="auto"/>
          <w:highlight w:val="none"/>
        </w:rPr>
        <w:t>6.1 开始监理</w:t>
      </w:r>
      <w:bookmarkEnd w:id="546"/>
      <w:bookmarkEnd w:id="54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6.1.1 满足以下条件时，监理人应开始监理工作：</w:t>
      </w:r>
    </w:p>
    <w:p>
      <w:pPr>
        <w:spacing w:line="360" w:lineRule="auto"/>
        <w:ind w:firstLine="480" w:firstLineChars="200"/>
        <w:rPr>
          <w:rFonts w:hint="eastAsia" w:ascii="宋体" w:hAnsi="宋体" w:cs="宋体"/>
          <w:color w:val="auto"/>
          <w:sz w:val="24"/>
          <w:highlight w:val="none"/>
        </w:rPr>
      </w:pPr>
      <w:r>
        <w:rPr>
          <w:rFonts w:hint="eastAsia" w:ascii="Times New Roman" w:hAnsi="宋体" w:cs="宋体"/>
          <w:color w:val="auto"/>
          <w:sz w:val="24"/>
          <w:highlight w:val="none"/>
        </w:rPr>
        <w:t>监理人与委托人签订了合同协议书后，监理人应结合工程施工进程，合理安排监理人员进场，并在技术建议书中写明监理人员的安排计划。</w:t>
      </w:r>
      <w:r>
        <w:rPr>
          <w:rFonts w:hint="eastAsia" w:ascii="Times New Roman" w:hAnsi="宋体"/>
          <w:color w:val="auto"/>
          <w:sz w:val="24"/>
          <w:highlight w:val="none"/>
        </w:rPr>
        <w:t>完成施工监理服务的时间和施工合同一致。监理人在合同协议书或补充协议书规定的期限已满，并实质上办理完了工程的缺陷责任终止证书后方可退场。</w:t>
      </w:r>
      <w:r>
        <w:rPr>
          <w:rFonts w:hint="eastAsia" w:ascii="宋体" w:hAnsi="宋体" w:cs="宋体"/>
          <w:color w:val="auto"/>
          <w:sz w:val="24"/>
          <w:highlight w:val="none"/>
        </w:rPr>
        <w:t xml:space="preserve"> </w:t>
      </w:r>
    </w:p>
    <w:p>
      <w:pPr>
        <w:pStyle w:val="6"/>
        <w:rPr>
          <w:rFonts w:hint="eastAsia" w:ascii="黑体" w:hAnsi="黑体" w:cs="黑体"/>
          <w:b w:val="0"/>
          <w:bCs w:val="0"/>
          <w:color w:val="auto"/>
          <w:highlight w:val="none"/>
        </w:rPr>
      </w:pPr>
      <w:bookmarkStart w:id="548" w:name="_Toc523921829"/>
      <w:bookmarkStart w:id="549" w:name="_Toc520709522"/>
      <w:r>
        <w:rPr>
          <w:rFonts w:hint="eastAsia" w:ascii="黑体" w:hAnsi="黑体" w:cs="黑体"/>
          <w:b w:val="0"/>
          <w:bCs w:val="0"/>
          <w:color w:val="auto"/>
          <w:highlight w:val="none"/>
        </w:rPr>
        <w:t>6.2 监理周期延误</w:t>
      </w:r>
      <w:bookmarkEnd w:id="548"/>
      <w:bookmarkEnd w:id="54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延长监理服务期限的计算方法：</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bookmarkStart w:id="550" w:name="_Hlk100568893"/>
      <w:r>
        <w:rPr>
          <w:rFonts w:hint="eastAsia" w:ascii="宋体" w:hAnsi="宋体" w:cs="宋体"/>
          <w:color w:val="auto"/>
          <w:sz w:val="24"/>
          <w:highlight w:val="none"/>
        </w:rPr>
        <w:t>增加监理服务费用的计算方法：</w:t>
      </w:r>
      <w:bookmarkEnd w:id="550"/>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rFonts w:hint="eastAsia" w:ascii="黑体" w:hAnsi="黑体" w:cs="黑体"/>
          <w:b w:val="0"/>
          <w:bCs w:val="0"/>
          <w:color w:val="auto"/>
          <w:highlight w:val="none"/>
        </w:rPr>
      </w:pPr>
      <w:bookmarkStart w:id="551" w:name="_Toc520709523"/>
      <w:bookmarkStart w:id="552" w:name="_Toc523921830"/>
      <w:r>
        <w:rPr>
          <w:rFonts w:hint="eastAsia" w:ascii="黑体" w:hAnsi="黑体" w:cs="黑体"/>
          <w:b w:val="0"/>
          <w:bCs w:val="0"/>
          <w:color w:val="auto"/>
          <w:highlight w:val="none"/>
        </w:rPr>
        <w:t>6.3 完成监理</w:t>
      </w:r>
      <w:bookmarkEnd w:id="551"/>
      <w:bookmarkEnd w:id="552"/>
      <w:r>
        <w:rPr>
          <w:rFonts w:hint="eastAsia" w:ascii="黑体" w:hAnsi="黑体" w:cs="黑体"/>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6.3.4 监理文件的份数、纸幅、装订格式要求：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5"/>
        <w:rPr>
          <w:color w:val="auto"/>
          <w:highlight w:val="none"/>
        </w:rPr>
      </w:pPr>
      <w:r>
        <w:rPr>
          <w:color w:val="auto"/>
          <w:highlight w:val="none"/>
        </w:rPr>
        <w:t xml:space="preserve">7. </w:t>
      </w:r>
      <w:r>
        <w:rPr>
          <w:rFonts w:hint="eastAsia"/>
          <w:color w:val="auto"/>
          <w:highlight w:val="none"/>
        </w:rPr>
        <w:t>监理责任与保险</w:t>
      </w:r>
    </w:p>
    <w:p>
      <w:pPr>
        <w:pStyle w:val="6"/>
        <w:rPr>
          <w:rFonts w:hint="eastAsia" w:ascii="黑体" w:hAnsi="黑体" w:cs="黑体"/>
          <w:b w:val="0"/>
          <w:bCs w:val="0"/>
          <w:color w:val="auto"/>
          <w:highlight w:val="none"/>
        </w:rPr>
      </w:pPr>
      <w:bookmarkStart w:id="553" w:name="_Toc523921832"/>
      <w:bookmarkStart w:id="554" w:name="_Toc520709525"/>
      <w:r>
        <w:rPr>
          <w:rFonts w:hint="eastAsia" w:ascii="黑体" w:hAnsi="黑体" w:cs="黑体"/>
          <w:b w:val="0"/>
          <w:bCs w:val="0"/>
          <w:color w:val="auto"/>
          <w:highlight w:val="none"/>
        </w:rPr>
        <w:t>7.1 监理责任主体</w:t>
      </w:r>
      <w:bookmarkEnd w:id="553"/>
      <w:bookmarkEnd w:id="55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第7.1.4项细化为：</w:t>
      </w:r>
    </w:p>
    <w:p>
      <w:pPr>
        <w:spacing w:line="360" w:lineRule="auto"/>
        <w:ind w:firstLine="480" w:firstLineChars="200"/>
        <w:rPr>
          <w:rFonts w:hint="eastAsia" w:ascii="宋体" w:hAnsi="宋体" w:cs="宋体"/>
          <w:color w:val="auto"/>
          <w:sz w:val="24"/>
          <w:highlight w:val="none"/>
        </w:rPr>
      </w:pPr>
      <w:bookmarkStart w:id="555" w:name="_Hlk98419951"/>
      <w:r>
        <w:rPr>
          <w:rFonts w:hint="eastAsia" w:ascii="宋体" w:hAnsi="宋体" w:cs="宋体"/>
          <w:color w:val="auto"/>
          <w:sz w:val="24"/>
          <w:highlight w:val="none"/>
        </w:rPr>
        <w:t>（1）监理人与监理试验室的关系</w:t>
      </w:r>
      <w:bookmarkEnd w:id="555"/>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试验室为对应监理标段总监办下辖的试验检测机构，业务上归总监理工程师管理。接受总监办的指导、检查、监督和协调，对监理服务要求的全部试验检测工作以及委托人、上级主管部门要求的有关试验检测工作负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试验室应及时、准确地为监理工程师提供试验报告和分析意见，为监理工程师进行工程质量控制和评估提供依据。监理试验室在总监办的监督和管理下完成主要原材料的平行试验和主要混合料的配合比、路基填料击实试验的验证试验，并负责合同范围内的试验抽检工作。</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当监理工程师对工程材料或实体质量有疑问时，应进行抽检（该项抽检的频率不受上述抽检频率比例的限定）；对承包人外部采购和委托制作的主要工程构配件或设备，监理工程师应核查产品合格证明文件和承包人自检报告，进场后对关键项目进行抽检，验收合格后方可使用。对在施工现场不具备检测条件的，监理工程师应按合同约定到厂监督检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监理工程师有责任和义务配合监理试验室完成抽检工作，并应根据承包人的施工计划及工程进展情况及时通知监理试验室进行现场抽检。</w:t>
      </w:r>
    </w:p>
    <w:p>
      <w:pPr>
        <w:pStyle w:val="294"/>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监理人应定期或不定期核查监理试验室试验检测人员、仪器设备、场地环境、管理制度和试验检测能力是否满足合同要求及工程施工管理需要。</w:t>
      </w:r>
    </w:p>
    <w:p>
      <w:pPr>
        <w:pStyle w:val="294"/>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（2）本项目监理试验室由监理人组建。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1 \* GB3 \* MERGEFORMAT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①</w:t>
      </w:r>
      <w:r>
        <w:rPr>
          <w:rFonts w:hint="eastAsia" w:ascii="宋体" w:hAnsi="宋体" w:cs="宋体"/>
          <w:color w:val="auto"/>
          <w:sz w:val="24"/>
          <w:highlight w:val="none"/>
        </w:rPr>
        <w:fldChar w:fldCharType="end"/>
      </w:r>
      <w:bookmarkStart w:id="556" w:name="_Hlk101187232"/>
      <w:bookmarkStart w:id="557" w:name="_Hlk98352151"/>
      <w:r>
        <w:rPr>
          <w:rFonts w:hint="eastAsia" w:ascii="宋体" w:hAnsi="宋体" w:cs="宋体"/>
          <w:color w:val="auto"/>
          <w:sz w:val="24"/>
          <w:highlight w:val="none"/>
        </w:rPr>
        <w:t>监理人应按照交通运输部《工地试验室标准化建设要点》（厅质监字〔2012〕200号）、</w:t>
      </w:r>
      <w:bookmarkStart w:id="558" w:name="_Hlk98249924"/>
      <w:r>
        <w:rPr>
          <w:rFonts w:hint="eastAsia" w:ascii="宋体" w:hAnsi="宋体" w:cs="宋体"/>
          <w:color w:val="auto"/>
          <w:sz w:val="24"/>
          <w:highlight w:val="none"/>
          <w:shd w:val="clear" w:color="auto" w:fill="FFFFFF"/>
        </w:rPr>
        <w:t>《“两区三厂”建设安全标准化指南》</w:t>
      </w:r>
      <w:r>
        <w:rPr>
          <w:rFonts w:hint="eastAsia" w:ascii="宋体" w:hAnsi="宋体"/>
          <w:color w:val="auto"/>
          <w:sz w:val="24"/>
          <w:highlight w:val="none"/>
        </w:rPr>
        <w:t>以及</w:t>
      </w:r>
      <w:bookmarkStart w:id="559" w:name="_Hlk98409490"/>
      <w:bookmarkStart w:id="560" w:name="_Hlk100761013"/>
      <w:r>
        <w:rPr>
          <w:rFonts w:hint="eastAsia" w:ascii="宋体" w:hAnsi="宋体"/>
          <w:color w:val="auto"/>
          <w:sz w:val="24"/>
          <w:highlight w:val="none"/>
        </w:rPr>
        <w:t>四川省交通运输厅《四川省公路水运工程工地试验室和现场检测项目管理办法》（2022年5月1日起施行）</w:t>
      </w:r>
      <w:bookmarkEnd w:id="558"/>
      <w:bookmarkEnd w:id="559"/>
      <w:r>
        <w:rPr>
          <w:rFonts w:hint="eastAsia" w:ascii="宋体" w:hAnsi="宋体"/>
          <w:color w:val="auto"/>
          <w:sz w:val="24"/>
          <w:highlight w:val="none"/>
        </w:rPr>
        <w:t>的规定</w:t>
      </w:r>
      <w:bookmarkEnd w:id="560"/>
      <w:r>
        <w:rPr>
          <w:rFonts w:hint="eastAsia" w:ascii="宋体" w:hAnsi="宋体" w:cs="宋体"/>
          <w:color w:val="auto"/>
          <w:sz w:val="24"/>
          <w:highlight w:val="none"/>
        </w:rPr>
        <w:t>建设标准化监理试验室。</w:t>
      </w:r>
      <w:bookmarkEnd w:id="556"/>
      <w:r>
        <w:rPr>
          <w:rFonts w:hint="eastAsia" w:ascii="宋体" w:hAnsi="宋体"/>
          <w:color w:val="auto"/>
          <w:sz w:val="24"/>
          <w:highlight w:val="none"/>
        </w:rPr>
        <w:t>经委托人验收后报送项目质监机构，项目质监机构应对监理试验室验收工作进行检查，并对通过验收的监理试验室进行登记备案，取得质监机构“公路水运工程监理试验室备案通知书”</w:t>
      </w:r>
      <w:r>
        <w:rPr>
          <w:rFonts w:hint="eastAsia" w:ascii="宋体" w:hAnsi="宋体" w:cs="宋体"/>
          <w:color w:val="auto"/>
          <w:sz w:val="24"/>
          <w:highlight w:val="none"/>
        </w:rPr>
        <w:t>。</w:t>
      </w:r>
      <w:bookmarkEnd w:id="557"/>
    </w:p>
    <w:p>
      <w:pPr>
        <w:spacing w:line="360" w:lineRule="auto"/>
        <w:ind w:firstLine="480" w:firstLineChars="200"/>
        <w:rPr>
          <w:rFonts w:hint="eastAsia" w:ascii="宋体" w:hAnsi="宋体" w:cs="宋体"/>
          <w:color w:val="auto"/>
          <w:sz w:val="24"/>
          <w:highlight w:val="none"/>
        </w:rPr>
      </w:pPr>
      <w:bookmarkStart w:id="561" w:name="_Hlk98352181"/>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2 \* GB3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②</w:t>
      </w:r>
      <w:r>
        <w:rPr>
          <w:rFonts w:hint="eastAsia" w:ascii="宋体" w:hAnsi="宋体" w:cs="宋体"/>
          <w:color w:val="auto"/>
          <w:sz w:val="24"/>
          <w:highlight w:val="none"/>
        </w:rPr>
        <w:fldChar w:fldCharType="end"/>
      </w:r>
      <w:r>
        <w:rPr>
          <w:rFonts w:hint="eastAsia" w:ascii="宋体" w:hAnsi="宋体" w:cs="宋体"/>
          <w:color w:val="auto"/>
          <w:sz w:val="24"/>
          <w:highlight w:val="none"/>
        </w:rPr>
        <w:t>监理试验室应取得母体试验检测机构授权。授权内容应包括工地试验室可开展的试验检测项目及参数、授权负责人、授权监理试验室的公章、授权期限等。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3 \* GB3 \* MERGEFORMAT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③</w:t>
      </w:r>
      <w:r>
        <w:rPr>
          <w:rFonts w:hint="eastAsia" w:ascii="宋体" w:hAnsi="宋体" w:cs="宋体"/>
          <w:color w:val="auto"/>
          <w:sz w:val="24"/>
          <w:highlight w:val="none"/>
        </w:rPr>
        <w:fldChar w:fldCharType="end"/>
      </w:r>
      <w:r>
        <w:rPr>
          <w:rFonts w:hint="eastAsia" w:ascii="宋体" w:hAnsi="宋体" w:cs="宋体"/>
          <w:color w:val="auto"/>
          <w:sz w:val="24"/>
          <w:highlight w:val="none"/>
        </w:rPr>
        <w:t>监理试验室</w:t>
      </w:r>
      <w:r>
        <w:rPr>
          <w:rFonts w:hint="eastAsia" w:ascii="宋体" w:hAnsi="宋体" w:cs="宋体"/>
          <w:color w:val="auto"/>
          <w:sz w:val="24"/>
          <w:highlight w:val="none"/>
          <w:shd w:val="clear" w:color="auto" w:fill="FFFFFF"/>
        </w:rPr>
        <w:t>应优先配置具有自动采集、储存、处理、上传和打印于一体的智能化检测仪器设备。标准养护室应配置全自动温、湿度同步控制设备；检测区各功能室应具备实时监控功能，用以记录工地试验室检测行为；拌合站也应安装自动采集设备，对相关数据实现自动采集及上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4 \* GB3 \* MERGEFORMAT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④</w:t>
      </w:r>
      <w:r>
        <w:rPr>
          <w:rFonts w:hint="eastAsia" w:ascii="宋体" w:hAnsi="宋体" w:cs="宋体"/>
          <w:color w:val="auto"/>
          <w:sz w:val="24"/>
          <w:highlight w:val="none"/>
        </w:rPr>
        <w:fldChar w:fldCharType="end"/>
      </w:r>
      <w:r>
        <w:rPr>
          <w:rFonts w:hint="eastAsia" w:ascii="宋体" w:hAnsi="宋体" w:cs="宋体"/>
          <w:color w:val="auto"/>
          <w:sz w:val="24"/>
          <w:highlight w:val="none"/>
          <w:shd w:val="clear" w:color="auto" w:fill="FFFFFF"/>
        </w:rPr>
        <w:t>监理试验室应采用信息化手段进行管理，纳入委托人建立的工程质量检测信息监控系统。系统通过关键试验检测设备上安装的自动采集设备，实现对关键材料、结构等检测参数的试验检测数据自动采集、上传，实现试验检测报告实时上传，具有提醒和监控功能，确保检测数据、报告的真实性和可追溯性。同时在系统内</w:t>
      </w:r>
      <w:r>
        <w:rPr>
          <w:rFonts w:hint="eastAsia" w:ascii="宋体" w:hAnsi="宋体"/>
          <w:color w:val="auto"/>
          <w:sz w:val="24"/>
          <w:highlight w:val="none"/>
        </w:rPr>
        <w:t>对检测人员身份进行登记管理。</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5 \* GB3 </w:instrText>
      </w:r>
      <w:r>
        <w:rPr>
          <w:rFonts w:ascii="宋体" w:hAnsi="宋体" w:cs="宋体"/>
          <w:color w:val="auto"/>
          <w:sz w:val="24"/>
          <w:highlight w:val="none"/>
        </w:rPr>
        <w:fldChar w:fldCharType="separate"/>
      </w:r>
      <w:r>
        <w:rPr>
          <w:rFonts w:hint="eastAsia" w:ascii="宋体" w:hAnsi="宋体" w:cs="宋体"/>
          <w:color w:val="auto"/>
          <w:sz w:val="24"/>
          <w:highlight w:val="none"/>
        </w:rPr>
        <w:t>⑤</w:t>
      </w:r>
      <w:r>
        <w:rPr>
          <w:rFonts w:ascii="宋体" w:hAnsi="宋体" w:cs="宋体"/>
          <w:color w:val="auto"/>
          <w:sz w:val="24"/>
          <w:highlight w:val="none"/>
        </w:rPr>
        <w:fldChar w:fldCharType="end"/>
      </w:r>
      <w:r>
        <w:rPr>
          <w:rFonts w:hint="eastAsia" w:ascii="宋体" w:hAnsi="宋体" w:cs="宋体"/>
          <w:color w:val="auto"/>
          <w:sz w:val="24"/>
          <w:highlight w:val="none"/>
        </w:rPr>
        <w:t>对包含在招标要求资质检测范围（含必测和选测）内，但监理试验室有可能不具备该项参数检测资质和能力的或现场不能承担的检测项目，监理人经委托人核准同意后，可委托有相应试验检测资质和能力的试验检测机构来完成，该费用由监理人自行承担，不单独支付。</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shd w:val="clear" w:color="auto" w:fill="FFFFFF"/>
        </w:rPr>
        <w:fldChar w:fldCharType="begin"/>
      </w:r>
      <w:r>
        <w:rPr>
          <w:rFonts w:hint="eastAsia" w:ascii="宋体" w:hAnsi="宋体" w:cs="宋体"/>
          <w:color w:val="auto"/>
          <w:sz w:val="24"/>
          <w:highlight w:val="none"/>
          <w:shd w:val="clear" w:color="auto" w:fill="FFFFFF"/>
        </w:rPr>
        <w:instrText xml:space="preserve"> = 6 \* GB3 </w:instrText>
      </w:r>
      <w:r>
        <w:rPr>
          <w:rFonts w:ascii="宋体" w:hAnsi="宋体" w:cs="宋体"/>
          <w:color w:val="auto"/>
          <w:sz w:val="24"/>
          <w:highlight w:val="none"/>
          <w:shd w:val="clear" w:color="auto" w:fill="FFFFFF"/>
        </w:rPr>
        <w:fldChar w:fldCharType="separate"/>
      </w:r>
      <w:r>
        <w:rPr>
          <w:rFonts w:hint="eastAsia" w:ascii="宋体" w:hAnsi="宋体" w:cs="宋体"/>
          <w:color w:val="auto"/>
          <w:sz w:val="24"/>
          <w:highlight w:val="none"/>
          <w:shd w:val="clear" w:color="auto" w:fill="FFFFFF"/>
        </w:rPr>
        <w:t>⑥</w:t>
      </w:r>
      <w:r>
        <w:rPr>
          <w:rFonts w:ascii="宋体" w:hAnsi="宋体" w:cs="宋体"/>
          <w:color w:val="auto"/>
          <w:sz w:val="24"/>
          <w:highlight w:val="none"/>
          <w:shd w:val="clear" w:color="auto" w:fill="FFFFFF"/>
        </w:rPr>
        <w:fldChar w:fldCharType="end"/>
      </w:r>
      <w:r>
        <w:rPr>
          <w:rFonts w:hint="eastAsia" w:ascii="宋体" w:hAnsi="宋体" w:cs="宋体"/>
          <w:color w:val="auto"/>
          <w:sz w:val="24"/>
          <w:highlight w:val="none"/>
        </w:rPr>
        <w:t>对未包含在招标要求资质检测范围（含必测和选测）的项目，监理人报请委托人同意可委托有相应试验检测资质和能力的试验检测机构来完成，该费用具体约定为：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对需委托第三方试验检测机构的试验项目，由监理试验室负责取样、送样或进行见证。且第三方试验检测资料应归口监理人。</w:t>
      </w:r>
    </w:p>
    <w:p>
      <w:pPr>
        <w:spacing w:line="360" w:lineRule="auto"/>
        <w:ind w:firstLine="480" w:firstLineChars="200"/>
        <w:rPr>
          <w:rFonts w:hint="eastAsia" w:ascii="宋体" w:hAnsi="宋体" w:cs="宋体"/>
          <w:color w:val="auto"/>
          <w:sz w:val="24"/>
          <w:highlight w:val="none"/>
          <w:shd w:val="clear" w:color="auto" w:fill="FFFFFF"/>
        </w:rPr>
      </w:pPr>
      <w:r>
        <w:rPr>
          <w:rFonts w:ascii="宋体" w:hAnsi="宋体"/>
          <w:color w:val="auto"/>
          <w:sz w:val="24"/>
          <w:highlight w:val="none"/>
        </w:rPr>
        <w:fldChar w:fldCharType="begin"/>
      </w:r>
      <w:r>
        <w:rPr>
          <w:rFonts w:hint="eastAsia" w:ascii="宋体" w:hAnsi="宋体"/>
          <w:color w:val="auto"/>
          <w:sz w:val="24"/>
          <w:highlight w:val="none"/>
        </w:rPr>
        <w:instrText xml:space="preserve"> = 7 \* GB3 </w:instrText>
      </w:r>
      <w:r>
        <w:rPr>
          <w:rFonts w:ascii="宋体" w:hAnsi="宋体"/>
          <w:color w:val="auto"/>
          <w:sz w:val="24"/>
          <w:highlight w:val="none"/>
        </w:rPr>
        <w:fldChar w:fldCharType="separate"/>
      </w:r>
      <w:r>
        <w:rPr>
          <w:rFonts w:hint="eastAsia" w:ascii="宋体" w:hAnsi="宋体"/>
          <w:color w:val="auto"/>
          <w:sz w:val="24"/>
          <w:highlight w:val="none"/>
        </w:rPr>
        <w:t>⑦</w:t>
      </w:r>
      <w:r>
        <w:rPr>
          <w:rFonts w:ascii="宋体" w:hAnsi="宋体"/>
          <w:color w:val="auto"/>
          <w:sz w:val="24"/>
          <w:highlight w:val="none"/>
        </w:rPr>
        <w:fldChar w:fldCharType="end"/>
      </w:r>
      <w:bookmarkStart w:id="562" w:name="_Hlk98421524"/>
      <w:r>
        <w:rPr>
          <w:rFonts w:hint="eastAsia" w:ascii="宋体" w:hAnsi="宋体" w:cs="宋体"/>
          <w:color w:val="auto"/>
          <w:sz w:val="24"/>
          <w:highlight w:val="none"/>
          <w:shd w:val="clear" w:color="auto" w:fill="FFFFFF"/>
        </w:rPr>
        <w:t>监理试验室的持证试验检测人员均应在“公路水运工程试验检测管理信息系统”中录入到母体检测机构，且不得同时在两个及两个以上工地试验室从事检测工作。监理试验室试验检测人员应保持稳定，因特殊原因需变更的，须报建设单位审批同意，但变更后的人员资格条件不得降低，同时将变更情况向项目质监机构报备。</w:t>
      </w:r>
      <w:bookmarkEnd w:id="562"/>
    </w:p>
    <w:p>
      <w:pPr>
        <w:spacing w:line="360" w:lineRule="auto"/>
        <w:ind w:firstLine="480" w:firstLineChars="200"/>
        <w:rPr>
          <w:rFonts w:hint="eastAsia" w:ascii="宋体" w:hAnsi="宋体" w:cs="宋体"/>
          <w:color w:val="auto"/>
          <w:sz w:val="24"/>
          <w:highlight w:val="none"/>
          <w:shd w:val="clear" w:color="auto" w:fill="FFFFFF"/>
        </w:rPr>
      </w:pPr>
      <w:r>
        <w:rPr>
          <w:rFonts w:ascii="宋体" w:hAnsi="宋体" w:cs="宋体"/>
          <w:color w:val="auto"/>
          <w:sz w:val="24"/>
          <w:highlight w:val="none"/>
          <w:shd w:val="clear" w:color="auto" w:fill="FFFFFF"/>
        </w:rPr>
        <w:fldChar w:fldCharType="begin"/>
      </w:r>
      <w:r>
        <w:rPr>
          <w:rFonts w:hint="eastAsia" w:ascii="宋体" w:hAnsi="宋体" w:cs="宋体"/>
          <w:color w:val="auto"/>
          <w:sz w:val="24"/>
          <w:highlight w:val="none"/>
          <w:shd w:val="clear" w:color="auto" w:fill="FFFFFF"/>
        </w:rPr>
        <w:instrText xml:space="preserve"> = 8 \* GB3 </w:instrText>
      </w:r>
      <w:r>
        <w:rPr>
          <w:rFonts w:ascii="宋体" w:hAnsi="宋体" w:cs="宋体"/>
          <w:color w:val="auto"/>
          <w:sz w:val="24"/>
          <w:highlight w:val="none"/>
          <w:shd w:val="clear" w:color="auto" w:fill="FFFFFF"/>
        </w:rPr>
        <w:fldChar w:fldCharType="separate"/>
      </w:r>
      <w:r>
        <w:rPr>
          <w:rFonts w:hint="eastAsia" w:ascii="宋体" w:hAnsi="宋体" w:cs="宋体"/>
          <w:color w:val="auto"/>
          <w:sz w:val="24"/>
          <w:highlight w:val="none"/>
          <w:shd w:val="clear" w:color="auto" w:fill="FFFFFF"/>
        </w:rPr>
        <w:t>⑧</w:t>
      </w:r>
      <w:r>
        <w:rPr>
          <w:rFonts w:ascii="宋体" w:hAnsi="宋体" w:cs="宋体"/>
          <w:color w:val="auto"/>
          <w:sz w:val="24"/>
          <w:highlight w:val="none"/>
          <w:shd w:val="clear" w:color="auto" w:fill="FFFFFF"/>
        </w:rPr>
        <w:fldChar w:fldCharType="end"/>
      </w:r>
      <w:r>
        <w:rPr>
          <w:rFonts w:hint="eastAsia" w:ascii="宋体" w:hAnsi="宋体" w:cs="宋体"/>
          <w:color w:val="auto"/>
          <w:sz w:val="24"/>
          <w:highlight w:val="none"/>
        </w:rPr>
        <w:t>试验检测机构应加强对监理试验室履行指导和监管职责，并且定期对其运行情况开展检查，同时应对派驻现场的试验检测人员岗位能力进行考核</w:t>
      </w:r>
      <w:r>
        <w:rPr>
          <w:rFonts w:hint="eastAsia" w:ascii="宋体" w:hAnsi="宋体" w:cs="宋体"/>
          <w:color w:val="auto"/>
          <w:sz w:val="24"/>
          <w:highlight w:val="none"/>
          <w:shd w:val="clear" w:color="auto" w:fill="FFFFFF"/>
        </w:rPr>
        <w:t>。</w:t>
      </w:r>
    </w:p>
    <w:p>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9 \* GB3 </w:instrText>
      </w:r>
      <w:r>
        <w:rPr>
          <w:rFonts w:ascii="宋体" w:hAnsi="宋体"/>
          <w:color w:val="auto"/>
          <w:sz w:val="24"/>
          <w:highlight w:val="none"/>
        </w:rPr>
        <w:fldChar w:fldCharType="separate"/>
      </w:r>
      <w:r>
        <w:rPr>
          <w:rFonts w:hint="eastAsia" w:ascii="宋体" w:hAnsi="宋体"/>
          <w:color w:val="auto"/>
          <w:sz w:val="24"/>
          <w:highlight w:val="none"/>
        </w:rPr>
        <w:t>⑨</w:t>
      </w:r>
      <w:r>
        <w:rPr>
          <w:rFonts w:ascii="宋体" w:hAnsi="宋体"/>
          <w:color w:val="auto"/>
          <w:sz w:val="24"/>
          <w:highlight w:val="none"/>
        </w:rPr>
        <w:fldChar w:fldCharType="end"/>
      </w:r>
      <w:r>
        <w:rPr>
          <w:rFonts w:hint="eastAsia" w:ascii="宋体" w:hAnsi="宋体" w:cs="宋体"/>
          <w:color w:val="auto"/>
          <w:sz w:val="24"/>
          <w:highlight w:val="none"/>
          <w:shd w:val="clear" w:color="auto" w:fill="FFFFFF"/>
        </w:rPr>
        <w:t>监理试验室检测大纲及实施细则应经委托人验收。</w:t>
      </w:r>
    </w:p>
    <w:p>
      <w:pPr>
        <w:spacing w:line="360" w:lineRule="auto"/>
        <w:ind w:firstLine="480" w:firstLineChars="200"/>
        <w:rPr>
          <w:rFonts w:hint="eastAsia" w:ascii="宋体" w:hAnsi="宋体" w:cs="宋体"/>
          <w:color w:val="auto"/>
          <w:sz w:val="24"/>
          <w:highlight w:val="none"/>
          <w:u w:val="single"/>
        </w:rPr>
      </w:pPr>
      <w:r>
        <w:rPr>
          <w:rFonts w:ascii="宋体" w:hAnsi="宋体"/>
          <w:color w:val="auto"/>
          <w:sz w:val="24"/>
          <w:highlight w:val="none"/>
        </w:rPr>
        <w:fldChar w:fldCharType="begin"/>
      </w:r>
      <w:r>
        <w:rPr>
          <w:rFonts w:hint="eastAsia" w:ascii="宋体" w:hAnsi="宋体"/>
          <w:color w:val="auto"/>
          <w:sz w:val="24"/>
          <w:highlight w:val="none"/>
        </w:rPr>
        <w:instrText xml:space="preserve"> = 10 \* GB3 </w:instrText>
      </w:r>
      <w:r>
        <w:rPr>
          <w:rFonts w:ascii="宋体" w:hAnsi="宋体"/>
          <w:color w:val="auto"/>
          <w:sz w:val="24"/>
          <w:highlight w:val="none"/>
        </w:rPr>
        <w:fldChar w:fldCharType="separate"/>
      </w:r>
      <w:r>
        <w:rPr>
          <w:rFonts w:hint="eastAsia" w:ascii="宋体" w:hAnsi="宋体"/>
          <w:color w:val="auto"/>
          <w:sz w:val="24"/>
          <w:highlight w:val="none"/>
        </w:rPr>
        <w:t>⑩</w:t>
      </w:r>
      <w:r>
        <w:rPr>
          <w:rFonts w:ascii="宋体" w:hAnsi="宋体"/>
          <w:color w:val="auto"/>
          <w:sz w:val="24"/>
          <w:highlight w:val="none"/>
        </w:rPr>
        <w:fldChar w:fldCharType="end"/>
      </w:r>
      <w:r>
        <w:rPr>
          <w:rFonts w:hint="eastAsia" w:ascii="宋体" w:hAnsi="宋体"/>
          <w:color w:val="auto"/>
          <w:sz w:val="24"/>
          <w:highlight w:val="none"/>
        </w:rPr>
        <w:t>监理试验室应接受委托人</w:t>
      </w:r>
      <w:r>
        <w:rPr>
          <w:rFonts w:hint="eastAsia" w:ascii="宋体" w:hAnsi="宋体" w:cs="宋体"/>
          <w:color w:val="auto"/>
          <w:sz w:val="24"/>
          <w:highlight w:val="none"/>
          <w:shd w:val="clear" w:color="auto" w:fill="FFFFFF"/>
        </w:rPr>
        <w:t>的管理和检查</w:t>
      </w:r>
      <w:r>
        <w:rPr>
          <w:rFonts w:hint="eastAsia" w:ascii="宋体" w:hAnsi="宋体"/>
          <w:color w:val="auto"/>
          <w:sz w:val="24"/>
          <w:highlight w:val="none"/>
        </w:rPr>
        <w:t>。同时还</w:t>
      </w:r>
      <w:r>
        <w:rPr>
          <w:rFonts w:hint="eastAsia" w:ascii="宋体" w:hAnsi="宋体" w:cs="宋体"/>
          <w:color w:val="auto"/>
          <w:sz w:val="24"/>
          <w:highlight w:val="none"/>
          <w:shd w:val="clear" w:color="auto" w:fill="FFFFFF"/>
        </w:rPr>
        <w:t>应接受交通运输主管部门、项目质监机构采取“双随机一公开”等方式，对其进行定期或不定期的监督检查，及时纠正、查处违规行为。</w:t>
      </w:r>
      <w:bookmarkEnd w:id="561"/>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（3）本项目监理试验室由委托人另行招标确定。</w:t>
      </w:r>
    </w:p>
    <w:p>
      <w:pPr>
        <w:pStyle w:val="6"/>
        <w:rPr>
          <w:rFonts w:hint="eastAsia" w:ascii="黑体" w:hAnsi="黑体" w:cs="黑体"/>
          <w:b w:val="0"/>
          <w:bCs w:val="0"/>
          <w:color w:val="auto"/>
          <w:highlight w:val="none"/>
        </w:rPr>
      </w:pPr>
      <w:bookmarkStart w:id="563" w:name="_Toc523921833"/>
      <w:bookmarkStart w:id="564" w:name="_Toc520709526"/>
      <w:r>
        <w:rPr>
          <w:rFonts w:hint="eastAsia" w:ascii="黑体" w:hAnsi="黑体" w:cs="黑体"/>
          <w:b w:val="0"/>
          <w:bCs w:val="0"/>
          <w:color w:val="auto"/>
          <w:highlight w:val="none"/>
        </w:rPr>
        <w:t>7.2 监理责任保险</w:t>
      </w:r>
      <w:bookmarkEnd w:id="563"/>
      <w:bookmarkEnd w:id="564"/>
      <w:r>
        <w:rPr>
          <w:rFonts w:hint="eastAsia" w:ascii="黑体" w:hAnsi="黑体" w:cs="黑体"/>
          <w:b w:val="0"/>
          <w:bCs w:val="0"/>
          <w:color w:val="auto"/>
          <w:highlight w:val="none"/>
        </w:rPr>
        <w:t xml:space="preserve"> </w:t>
      </w:r>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 xml:space="preserve"> 监理人根据工程情况对监理责任进行保险，并在合同履行期间保持足额、有效。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监理责任保险的费率：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1" w:firstLineChars="200"/>
        <w:rPr>
          <w:rFonts w:hint="eastAsia" w:ascii="宋体" w:hAnsi="宋体" w:cs="宋体"/>
          <w:color w:val="auto"/>
          <w:sz w:val="24"/>
          <w:highlight w:val="none"/>
          <w:u w:val="singl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由监理人自行选择，委托人不做要求。</w:t>
      </w:r>
    </w:p>
    <w:p>
      <w:pPr>
        <w:pStyle w:val="5"/>
        <w:numPr>
          <w:ilvl w:val="255"/>
          <w:numId w:val="0"/>
        </w:numPr>
        <w:rPr>
          <w:color w:val="auto"/>
          <w:highlight w:val="none"/>
        </w:rPr>
      </w:pPr>
      <w:bookmarkStart w:id="565" w:name="_Toc513555606"/>
      <w:bookmarkStart w:id="566" w:name="_Toc519777888"/>
      <w:bookmarkStart w:id="567" w:name="_Toc519777836"/>
      <w:bookmarkStart w:id="568" w:name="_Toc519777940"/>
      <w:bookmarkStart w:id="569" w:name="_Toc513555850"/>
      <w:bookmarkStart w:id="570" w:name="_Toc520709527"/>
      <w:bookmarkStart w:id="571" w:name="_Toc523921834"/>
      <w:bookmarkStart w:id="572" w:name="_Toc519778501"/>
      <w:bookmarkStart w:id="573" w:name="_Toc513556685"/>
      <w:bookmarkStart w:id="574" w:name="_Toc519601508"/>
      <w:r>
        <w:rPr>
          <w:color w:val="auto"/>
          <w:highlight w:val="none"/>
        </w:rPr>
        <w:t xml:space="preserve">8. </w:t>
      </w:r>
      <w:r>
        <w:rPr>
          <w:rFonts w:hint="eastAsia"/>
          <w:color w:val="auto"/>
          <w:highlight w:val="none"/>
        </w:rPr>
        <w:t>合同变更</w:t>
      </w:r>
      <w:bookmarkEnd w:id="565"/>
      <w:bookmarkEnd w:id="566"/>
      <w:bookmarkEnd w:id="567"/>
      <w:bookmarkEnd w:id="568"/>
      <w:bookmarkEnd w:id="569"/>
      <w:bookmarkEnd w:id="570"/>
      <w:bookmarkEnd w:id="571"/>
      <w:bookmarkEnd w:id="572"/>
      <w:bookmarkEnd w:id="573"/>
      <w:bookmarkEnd w:id="574"/>
    </w:p>
    <w:p>
      <w:pPr>
        <w:pStyle w:val="6"/>
        <w:rPr>
          <w:rFonts w:hint="eastAsia" w:ascii="黑体" w:hAnsi="黑体" w:cs="黑体"/>
          <w:b w:val="0"/>
          <w:bCs w:val="0"/>
          <w:color w:val="auto"/>
          <w:highlight w:val="none"/>
        </w:rPr>
      </w:pPr>
      <w:bookmarkStart w:id="575" w:name="_Toc520709528"/>
      <w:bookmarkStart w:id="576" w:name="_Toc523921835"/>
      <w:r>
        <w:rPr>
          <w:rFonts w:hint="eastAsia" w:ascii="黑体" w:hAnsi="黑体" w:cs="黑体"/>
          <w:b w:val="0"/>
          <w:bCs w:val="0"/>
          <w:color w:val="auto"/>
          <w:highlight w:val="none"/>
        </w:rPr>
        <w:t>8.1 变更情形</w:t>
      </w:r>
      <w:bookmarkEnd w:id="575"/>
      <w:bookmarkEnd w:id="576"/>
    </w:p>
    <w:p>
      <w:pPr>
        <w:spacing w:line="360" w:lineRule="auto"/>
        <w:ind w:firstLine="480" w:firstLineChars="200"/>
        <w:rPr>
          <w:rFonts w:hint="eastAsia" w:ascii="宋体" w:hAnsi="宋体" w:cs="宋体"/>
          <w:color w:val="auto"/>
          <w:sz w:val="24"/>
          <w:highlight w:val="none"/>
        </w:rPr>
      </w:pPr>
      <w:bookmarkStart w:id="577" w:name="_Hlk100569066"/>
      <w:r>
        <w:rPr>
          <w:rFonts w:hint="eastAsia" w:ascii="宋体" w:hAnsi="宋体" w:cs="宋体"/>
          <w:color w:val="auto"/>
          <w:sz w:val="24"/>
          <w:highlight w:val="none"/>
        </w:rPr>
        <w:t>8.1.1合同变更时，监理服务费用（含利润）</w:t>
      </w:r>
      <w:bookmarkStart w:id="578" w:name="_Hlk94025395"/>
      <w:r>
        <w:rPr>
          <w:rFonts w:hint="eastAsia" w:ascii="宋体" w:hAnsi="宋体" w:cs="宋体"/>
          <w:color w:val="auto"/>
          <w:sz w:val="24"/>
          <w:highlight w:val="none"/>
        </w:rPr>
        <w:t>的调整方法</w:t>
      </w:r>
      <w:bookmarkEnd w:id="578"/>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（1）监理服务期限调整方法：</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（2）监理人员服务费用的调整方法：</w:t>
      </w:r>
      <w:bookmarkEnd w:id="577"/>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w:t>
      </w:r>
      <w:bookmarkStart w:id="579" w:name="_Hlk100569159"/>
      <w:r>
        <w:rPr>
          <w:rFonts w:hint="eastAsia" w:ascii="宋体" w:hAnsi="宋体" w:cs="宋体"/>
          <w:color w:val="auto"/>
          <w:sz w:val="24"/>
          <w:highlight w:val="none"/>
        </w:rPr>
        <w:t>监理设施设备的调整方法：</w:t>
      </w:r>
      <w:bookmarkEnd w:id="579"/>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rFonts w:hint="eastAsia" w:ascii="黑体" w:hAnsi="黑体" w:cs="黑体"/>
          <w:b w:val="0"/>
          <w:bCs w:val="0"/>
          <w:color w:val="auto"/>
          <w:highlight w:val="none"/>
        </w:rPr>
      </w:pPr>
      <w:bookmarkStart w:id="580" w:name="_Toc520709529"/>
      <w:bookmarkStart w:id="581" w:name="_Toc523921836"/>
      <w:r>
        <w:rPr>
          <w:rFonts w:hint="eastAsia" w:ascii="黑体" w:hAnsi="黑体" w:cs="黑体"/>
          <w:b w:val="0"/>
          <w:bCs w:val="0"/>
          <w:color w:val="auto"/>
          <w:highlight w:val="none"/>
        </w:rPr>
        <w:t>8.2 合理化建议</w:t>
      </w:r>
      <w:bookmarkEnd w:id="580"/>
      <w:bookmarkEnd w:id="58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8.2.2监理人提出的合理化建议降低了工程投资、缩短了施工期限或者提高了工程经济效益的，委托人给予监理人如下奖励：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5"/>
        <w:rPr>
          <w:color w:val="auto"/>
          <w:highlight w:val="none"/>
        </w:rPr>
      </w:pPr>
      <w:bookmarkStart w:id="582" w:name="_Toc513555851"/>
      <w:bookmarkStart w:id="583" w:name="_Toc523921837"/>
      <w:bookmarkStart w:id="584" w:name="_Toc513556686"/>
      <w:bookmarkStart w:id="585" w:name="_Toc519777837"/>
      <w:bookmarkStart w:id="586" w:name="_Toc519601509"/>
      <w:bookmarkStart w:id="587" w:name="_Toc519778502"/>
      <w:bookmarkStart w:id="588" w:name="_Toc513555607"/>
      <w:bookmarkStart w:id="589" w:name="_Toc520709530"/>
      <w:bookmarkStart w:id="590" w:name="_Toc519777889"/>
      <w:bookmarkStart w:id="591" w:name="_Toc519777941"/>
      <w:r>
        <w:rPr>
          <w:color w:val="auto"/>
          <w:highlight w:val="none"/>
        </w:rPr>
        <w:t xml:space="preserve">9. </w:t>
      </w:r>
      <w:r>
        <w:rPr>
          <w:rFonts w:hint="eastAsia"/>
          <w:color w:val="auto"/>
          <w:highlight w:val="none"/>
        </w:rPr>
        <w:t>合同价格与支付</w:t>
      </w:r>
      <w:bookmarkEnd w:id="582"/>
      <w:bookmarkEnd w:id="583"/>
      <w:bookmarkEnd w:id="584"/>
      <w:bookmarkEnd w:id="585"/>
      <w:bookmarkEnd w:id="586"/>
      <w:bookmarkEnd w:id="587"/>
      <w:bookmarkEnd w:id="588"/>
      <w:bookmarkEnd w:id="589"/>
      <w:bookmarkEnd w:id="590"/>
      <w:bookmarkEnd w:id="591"/>
    </w:p>
    <w:p>
      <w:pPr>
        <w:pStyle w:val="6"/>
        <w:rPr>
          <w:rFonts w:hint="eastAsia" w:ascii="黑体" w:hAnsi="黑体" w:cs="黑体"/>
          <w:b w:val="0"/>
          <w:bCs w:val="0"/>
          <w:color w:val="auto"/>
          <w:highlight w:val="none"/>
        </w:rPr>
      </w:pPr>
      <w:bookmarkStart w:id="592" w:name="_Toc520709531"/>
      <w:bookmarkStart w:id="593" w:name="_Toc523921838"/>
      <w:r>
        <w:rPr>
          <w:rFonts w:hint="eastAsia" w:ascii="黑体" w:hAnsi="黑体" w:cs="黑体"/>
          <w:b w:val="0"/>
          <w:bCs w:val="0"/>
          <w:color w:val="auto"/>
          <w:highlight w:val="none"/>
        </w:rPr>
        <w:t>9.1 合同价格</w:t>
      </w:r>
      <w:bookmarkEnd w:id="592"/>
      <w:bookmarkEnd w:id="59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9.1.1本合同的价款确定方式：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监理服务费用组成细化为：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（1）监理人员服务费；</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（2）监理办公设施费；</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（3）监理交通设施费；</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（4）监理生活设施费；</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sym w:font="Wingdings 2" w:char="00A3"/>
      </w:r>
      <w:r>
        <w:rPr>
          <w:rFonts w:hint="eastAsia" w:ascii="宋体" w:hAnsi="宋体" w:cs="宋体"/>
          <w:color w:val="auto"/>
          <w:sz w:val="24"/>
          <w:highlight w:val="none"/>
        </w:rPr>
        <w:t>（5）监理试验设施费；</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（6）专项暂估价；</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（7）暂列金额；</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（8）其他；</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 xml:space="preserve">（9）利润。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在合同实施期间，由于人工、材料、设备等因素的市场价格变化导致本项目监理服务费用变化，合同价格的调整方式和风险范围划分：</w:t>
      </w:r>
      <w:r>
        <w:rPr>
          <w:rFonts w:hint="eastAsia" w:ascii="宋体" w:hAnsi="宋体" w:cs="宋体"/>
          <w:color w:val="auto"/>
          <w:sz w:val="24"/>
          <w:highlight w:val="none"/>
          <w:u w:val="single"/>
        </w:rPr>
        <w:t>合同执行期间不调整</w:t>
      </w:r>
      <w:r>
        <w:rPr>
          <w:rFonts w:hint="eastAsia" w:ascii="宋体" w:hAnsi="宋体" w:cs="宋体"/>
          <w:color w:val="auto"/>
          <w:sz w:val="24"/>
          <w:highlight w:val="none"/>
        </w:rPr>
        <w:t>。</w:t>
      </w:r>
    </w:p>
    <w:p>
      <w:pPr>
        <w:pStyle w:val="6"/>
        <w:rPr>
          <w:rFonts w:hint="eastAsia" w:ascii="黑体" w:hAnsi="黑体" w:cs="黑体"/>
          <w:b w:val="0"/>
          <w:bCs w:val="0"/>
          <w:color w:val="auto"/>
          <w:highlight w:val="none"/>
        </w:rPr>
      </w:pPr>
      <w:bookmarkStart w:id="594" w:name="_Hlk100569350"/>
      <w:bookmarkStart w:id="595" w:name="_Toc523921839"/>
      <w:bookmarkStart w:id="596" w:name="_Toc520709532"/>
      <w:r>
        <w:rPr>
          <w:rFonts w:hint="eastAsia" w:ascii="黑体" w:hAnsi="黑体" w:cs="黑体"/>
          <w:b w:val="0"/>
          <w:bCs w:val="0"/>
          <w:color w:val="auto"/>
          <w:highlight w:val="none"/>
        </w:rPr>
        <w:t>9.2 预付款</w:t>
      </w:r>
    </w:p>
    <w:p>
      <w:pPr>
        <w:spacing w:line="360" w:lineRule="auto"/>
        <w:ind w:firstLine="480" w:firstLineChars="200"/>
        <w:rPr>
          <w:rFonts w:ascii="黑体" w:hAnsi="Times New Roman"/>
          <w:color w:val="auto"/>
          <w:sz w:val="24"/>
          <w:highlight w:val="none"/>
        </w:rPr>
      </w:pPr>
      <w:r>
        <w:rPr>
          <w:rFonts w:hint="eastAsia" w:ascii="宋体" w:hAnsi="宋体" w:cs="宋体"/>
          <w:color w:val="auto"/>
          <w:sz w:val="24"/>
          <w:highlight w:val="none"/>
        </w:rPr>
        <w:t>9.2.1 预付款的额度、支付及抵扣方式约定为：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bookmarkEnd w:id="594"/>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9.3 中期支付</w:t>
      </w:r>
      <w:bookmarkEnd w:id="595"/>
      <w:bookmarkEnd w:id="596"/>
    </w:p>
    <w:p>
      <w:pPr>
        <w:spacing w:line="360" w:lineRule="auto"/>
        <w:ind w:firstLine="360" w:firstLineChars="15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9.3.2 中期支付原则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其中第（1）～（5）目细化为：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（1）施工期间的监理人员服务费根据各级监理人员的人月单价及本月实际完成的监理服务时间（包含变更工程）按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计量，按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支付（各岗位监理人员的人月数以监理人记录并经委托人签字确认的监理人员出勤情况为依据）。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本项目各期累计支付的监理人员服务费总额不得超过监理人在监理服务费报价清单中填报的施工期监理人员服务费合计金额，超过部分委托人将不再予以支付。</w:t>
      </w:r>
    </w:p>
    <w:p>
      <w:pPr>
        <w:numPr>
          <w:ilvl w:val="255"/>
          <w:numId w:val="0"/>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（2）施工期间的监理办公设施费、交通设施费及生活设施费、□试验设施费由监理人包干使用，上述设施费支付方式为：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numPr>
          <w:ilvl w:val="255"/>
          <w:numId w:val="0"/>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人必须保证实际投入本项目的办公设施、交通设施及生活设施、□试验设施费能满足本招标文件的要求和实际工作的需要，且不低于监理人投标文件中所列设施，否则委托人将根据本合同第11.1.1项按违约处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（3）缺陷责任期内的监理人员服务费、监理办公设施费、交通设施费、□试验设施费、生活设施费将在本项目的缺陷责任期开始后，按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方式支付给监理人。</w:t>
      </w:r>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（4）监理服务变更费用经双方协商确认后，在监理服务所对应工作期限内按</w:t>
      </w:r>
      <w:r>
        <w:rPr>
          <w:rFonts w:hint="eastAsia" w:ascii="宋体" w:hAnsi="宋体" w:cs="宋体"/>
          <w:color w:val="auto"/>
          <w:sz w:val="24"/>
          <w:highlight w:val="none"/>
          <w:u w:val="single"/>
        </w:rPr>
        <w:t xml:space="preserve">  </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方式支付。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（5）根据项目专用合同条款第8.2.2项约定对监理人的奖励：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第9.3.2项补充第（8）目：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（8）委托人单列的“其他”项费用计量支付要求：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
        <w:ind w:left="0" w:leftChars="0" w:firstLine="566" w:firstLineChars="236"/>
        <w:rPr>
          <w:color w:val="auto"/>
          <w:sz w:val="24"/>
          <w:szCs w:val="24"/>
          <w:highlight w:val="none"/>
        </w:rPr>
      </w:pPr>
      <w:r>
        <w:rPr>
          <w:rFonts w:hint="eastAsia" w:ascii="宋体" w:hAnsi="宋体" w:cs="宋体"/>
          <w:color w:val="auto"/>
          <w:sz w:val="24"/>
          <w:szCs w:val="24"/>
          <w:highlight w:val="none"/>
        </w:rPr>
        <w:t>注：委托人如有单独列项报价的子项诸如：信息管理费、竣工文件费……，可在此款内容中细化计量支付要求。否则视为包含在报价清单相关子目中，不单独报价。</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9.3.5 最终结清付款涉及政府投资资金的，支付规定如下：</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rFonts w:hint="eastAsia" w:ascii="黑体" w:hAnsi="黑体" w:cs="黑体"/>
          <w:b w:val="0"/>
          <w:bCs w:val="0"/>
          <w:color w:val="auto"/>
          <w:highlight w:val="none"/>
        </w:rPr>
      </w:pPr>
      <w:bookmarkStart w:id="597" w:name="_Toc520709533"/>
      <w:bookmarkStart w:id="598" w:name="_Toc523921840"/>
      <w:r>
        <w:rPr>
          <w:rFonts w:hint="eastAsia" w:ascii="黑体" w:hAnsi="黑体" w:cs="黑体"/>
          <w:b w:val="0"/>
          <w:bCs w:val="0"/>
          <w:color w:val="auto"/>
          <w:highlight w:val="none"/>
        </w:rPr>
        <w:t>9.5 暂列金额</w:t>
      </w:r>
      <w:bookmarkEnd w:id="597"/>
      <w:bookmarkEnd w:id="59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本合同暂列金额为监理服务费的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
        <w:ind w:firstLine="146" w:firstLineChars="61"/>
        <w:rPr>
          <w:rFonts w:hint="eastAsia" w:ascii="宋体" w:hAnsi="宋体" w:cs="宋体"/>
          <w:color w:val="auto"/>
          <w:sz w:val="24"/>
          <w:szCs w:val="24"/>
          <w:highlight w:val="none"/>
        </w:rPr>
      </w:pPr>
      <w:r>
        <w:rPr>
          <w:rFonts w:hint="eastAsia" w:ascii="宋体" w:hAnsi="宋体" w:cs="宋体"/>
          <w:color w:val="auto"/>
          <w:sz w:val="24"/>
          <w:szCs w:val="24"/>
          <w:highlight w:val="none"/>
        </w:rPr>
        <w:t>注：暂列金额最高不宜超过监理服务费用总额的5%。</w:t>
      </w:r>
    </w:p>
    <w:p>
      <w:pPr>
        <w:spacing w:line="360" w:lineRule="auto"/>
        <w:ind w:firstLine="480" w:firstLineChars="200"/>
        <w:rPr>
          <w:rFonts w:hint="eastAsia" w:ascii="宋体" w:hAnsi="宋体" w:cs="宋体"/>
          <w:color w:val="auto"/>
          <w:sz w:val="24"/>
          <w:highlight w:val="none"/>
        </w:rPr>
      </w:pPr>
      <w:bookmarkStart w:id="599" w:name="_Toc513556687"/>
      <w:bookmarkStart w:id="600" w:name="_Toc513555608"/>
      <w:bookmarkStart w:id="601" w:name="_Toc519778503"/>
      <w:bookmarkStart w:id="602" w:name="_Toc513555852"/>
      <w:bookmarkStart w:id="603" w:name="_Toc519777838"/>
      <w:bookmarkStart w:id="604" w:name="_Toc519601510"/>
      <w:bookmarkStart w:id="605" w:name="_Toc519777942"/>
      <w:bookmarkStart w:id="606" w:name="_Toc520709534"/>
      <w:bookmarkStart w:id="607" w:name="_Toc519777890"/>
      <w:r>
        <w:rPr>
          <w:rFonts w:hint="eastAsia" w:ascii="宋体" w:hAnsi="宋体" w:cs="宋体"/>
          <w:color w:val="auto"/>
          <w:sz w:val="24"/>
          <w:highlight w:val="none"/>
        </w:rPr>
        <w:t>本条补充第9.7款：</w:t>
      </w:r>
    </w:p>
    <w:p>
      <w:pPr>
        <w:pStyle w:val="6"/>
        <w:rPr>
          <w:rFonts w:hint="eastAsia" w:ascii="黑体" w:hAnsi="黑体" w:cs="黑体"/>
          <w:b w:val="0"/>
          <w:bCs w:val="0"/>
          <w:color w:val="auto"/>
          <w:highlight w:val="none"/>
        </w:rPr>
      </w:pPr>
      <w:bookmarkStart w:id="608" w:name="_Toc523921841"/>
      <w:r>
        <w:rPr>
          <w:rFonts w:hint="eastAsia" w:ascii="黑体" w:hAnsi="黑体" w:cs="黑体"/>
          <w:b w:val="0"/>
          <w:bCs w:val="0"/>
          <w:color w:val="auto"/>
          <w:highlight w:val="none"/>
        </w:rPr>
        <w:t>9.7 专项暂估价</w:t>
      </w:r>
      <w:bookmarkEnd w:id="608"/>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专项暂估价：指委托人在报价清单中给定的用于支付必然发生但暂时不能确定价格的服务的金额。专项暂估价见监理服务费清单，由委托人据实掌握使用并支付。</w:t>
      </w:r>
    </w:p>
    <w:p>
      <w:pPr>
        <w:pStyle w:val="5"/>
        <w:rPr>
          <w:color w:val="auto"/>
          <w:highlight w:val="none"/>
        </w:rPr>
      </w:pPr>
      <w:bookmarkStart w:id="609" w:name="_Toc523921842"/>
      <w:r>
        <w:rPr>
          <w:color w:val="auto"/>
          <w:highlight w:val="none"/>
        </w:rPr>
        <w:t xml:space="preserve">11. </w:t>
      </w:r>
      <w:r>
        <w:rPr>
          <w:rFonts w:hint="eastAsia"/>
          <w:color w:val="auto"/>
          <w:highlight w:val="none"/>
        </w:rPr>
        <w:t>违约</w:t>
      </w:r>
      <w:bookmarkEnd w:id="599"/>
      <w:bookmarkEnd w:id="600"/>
      <w:bookmarkEnd w:id="601"/>
      <w:bookmarkEnd w:id="602"/>
      <w:bookmarkEnd w:id="603"/>
      <w:bookmarkEnd w:id="604"/>
      <w:bookmarkEnd w:id="605"/>
      <w:bookmarkEnd w:id="606"/>
      <w:bookmarkEnd w:id="607"/>
      <w:bookmarkEnd w:id="609"/>
    </w:p>
    <w:p>
      <w:pPr>
        <w:pStyle w:val="6"/>
        <w:rPr>
          <w:rFonts w:hint="eastAsia" w:ascii="黑体" w:hAnsi="黑体" w:cs="黑体"/>
          <w:b w:val="0"/>
          <w:bCs w:val="0"/>
          <w:color w:val="auto"/>
          <w:highlight w:val="none"/>
        </w:rPr>
      </w:pPr>
      <w:bookmarkStart w:id="610" w:name="_Toc520709535"/>
      <w:bookmarkStart w:id="611" w:name="_Toc523921843"/>
      <w:r>
        <w:rPr>
          <w:rFonts w:hint="eastAsia" w:ascii="黑体" w:hAnsi="黑体" w:cs="黑体"/>
          <w:b w:val="0"/>
          <w:bCs w:val="0"/>
          <w:color w:val="auto"/>
          <w:highlight w:val="none"/>
        </w:rPr>
        <w:t>11.1 监理人违约</w:t>
      </w:r>
      <w:bookmarkEnd w:id="610"/>
      <w:bookmarkEnd w:id="611"/>
    </w:p>
    <w:p>
      <w:pPr>
        <w:spacing w:line="360" w:lineRule="auto"/>
        <w:ind w:firstLine="360" w:firstLineChars="150"/>
        <w:rPr>
          <w:rFonts w:hint="eastAsia" w:ascii="黑体" w:hAnsi="黑体" w:eastAsia="黑体" w:cs="宋体"/>
          <w:color w:val="auto"/>
          <w:sz w:val="24"/>
          <w:highlight w:val="none"/>
        </w:rPr>
      </w:pPr>
      <w:r>
        <w:rPr>
          <w:rFonts w:hint="eastAsia" w:ascii="黑体" w:hAnsi="黑体" w:eastAsia="黑体" w:cs="宋体"/>
          <w:color w:val="auto"/>
          <w:sz w:val="24"/>
          <w:highlight w:val="none"/>
        </w:rPr>
        <w:t>11.1.1监理人的违约情形</w:t>
      </w:r>
    </w:p>
    <w:p>
      <w:pPr>
        <w:adjustRightInd w:val="0"/>
        <w:snapToGrid w:val="0"/>
        <w:spacing w:line="360" w:lineRule="auto"/>
        <w:ind w:firstLine="360" w:firstLineChars="150"/>
        <w:rPr>
          <w:rFonts w:hint="eastAsia" w:ascii="宋体" w:hAnsi="宋体" w:cs="Courier New"/>
          <w:color w:val="auto"/>
          <w:sz w:val="24"/>
          <w:highlight w:val="none"/>
        </w:rPr>
      </w:pPr>
      <w:r>
        <w:rPr>
          <w:rFonts w:hint="eastAsia" w:ascii="宋体" w:hAnsi="宋体" w:cs="Courier New"/>
          <w:color w:val="auto"/>
          <w:sz w:val="24"/>
          <w:highlight w:val="none"/>
        </w:rPr>
        <w:t>第11.1.1项（8）目修改为第（16）目。</w:t>
      </w:r>
    </w:p>
    <w:p>
      <w:pPr>
        <w:spacing w:line="360" w:lineRule="auto"/>
        <w:ind w:firstLine="480" w:firstLineChars="200"/>
        <w:rPr>
          <w:rFonts w:hint="eastAsia" w:ascii="宋体" w:hAnsi="宋体" w:cs="宋体"/>
          <w:color w:val="auto"/>
          <w:kern w:val="0"/>
          <w:sz w:val="24"/>
          <w:highlight w:val="none"/>
          <w:lang w:bidi="ar"/>
        </w:rPr>
      </w:pPr>
      <w:r>
        <w:rPr>
          <w:rFonts w:hint="eastAsia" w:ascii="宋体" w:hAnsi="宋体" w:cs="Courier New"/>
          <w:color w:val="auto"/>
          <w:sz w:val="24"/>
          <w:highlight w:val="none"/>
        </w:rPr>
        <w:t>本项补充第（8）</w:t>
      </w:r>
      <w:r>
        <w:rPr>
          <w:rFonts w:hint="eastAsia" w:ascii="宋体" w:hAnsi="宋体" w:cs="宋体"/>
          <w:color w:val="auto"/>
          <w:sz w:val="24"/>
          <w:highlight w:val="none"/>
        </w:rPr>
        <w:t>～</w:t>
      </w:r>
      <w:r>
        <w:rPr>
          <w:rFonts w:hint="eastAsia" w:ascii="宋体" w:hAnsi="宋体" w:cs="Courier New"/>
          <w:color w:val="auto"/>
          <w:sz w:val="24"/>
          <w:highlight w:val="none"/>
        </w:rPr>
        <w:t>（15）目：</w:t>
      </w:r>
    </w:p>
    <w:p>
      <w:pPr>
        <w:spacing w:line="360" w:lineRule="auto"/>
        <w:ind w:firstLine="480" w:firstLineChars="200"/>
        <w:rPr>
          <w:rFonts w:hint="eastAsia" w:ascii="黑体" w:hAnsi="黑体" w:cs="宋体"/>
          <w:color w:val="auto"/>
          <w:sz w:val="24"/>
          <w:highlight w:val="none"/>
        </w:rPr>
      </w:pPr>
      <w:r>
        <w:rPr>
          <w:rFonts w:hint="eastAsia" w:ascii="宋体" w:hAnsi="宋体" w:cs="宋体"/>
          <w:color w:val="auto"/>
          <w:sz w:val="24"/>
          <w:highlight w:val="none"/>
        </w:rPr>
        <w:t>（8）当监理试验室由监理人组建时，监理人的工地试验室违反专用合同条款第7.1.4项中任一规定。在监理人的监理试验室试验检测过程中，由于监理试验室的试验检测工作不及时，数据缺乏科学真实性，给工程造成损失或损害；</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当委托人发现监理人员有意弄虚作假者，或和承包人有关人员互相勾结，在工程材料、工程质量、工程投资等方面给委托人造成损失或产生不良影响者，或在施工期间玩忽职守，不负责任，对质量问题视而不见，以合格工程签字验收的；</w:t>
      </w:r>
    </w:p>
    <w:p>
      <w:pPr>
        <w:keepLine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质量检测、计量支付、工程变更等资料（指基础资料）相关监理人员签字程序不合理，签字人员不符合要求或未经认真审查草率签字，经委托人审查后发现明显错误或工程计量数量和变更数量不属实的，或无故拒签、签字不及时的；</w:t>
      </w:r>
    </w:p>
    <w:p>
      <w:pPr>
        <w:pStyle w:val="292"/>
        <w:keepLines/>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w:t>
      </w:r>
      <w:r>
        <w:rPr>
          <w:rFonts w:hint="eastAsia" w:ascii="宋体" w:hAnsi="宋体" w:cs="宋体"/>
          <w:color w:val="auto"/>
          <w:kern w:val="0"/>
          <w:sz w:val="24"/>
          <w:szCs w:val="24"/>
          <w:highlight w:val="none"/>
        </w:rPr>
        <w:t>总监办及其各监理人员忽视质量管理工作，所管辖施工标段出现质量事故；</w:t>
      </w:r>
      <w:r>
        <w:rPr>
          <w:rFonts w:hint="eastAsia" w:ascii="宋体" w:hAnsi="宋体" w:cs="宋体"/>
          <w:color w:val="auto"/>
          <w:kern w:val="0"/>
          <w:sz w:val="24"/>
          <w:highlight w:val="none"/>
          <w:lang w:bidi="ar"/>
        </w:rPr>
        <w:t>质量事故定义按交通运输部《公路工程质量事故等级划分和报告制度》（交办安监〔2016〕146号）执行；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（12）总监办及监理人员忽视安全管理，忽视安全隐患，监理不当造成安全事故的；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w:t>
      </w:r>
      <w:r>
        <w:rPr>
          <w:rFonts w:hint="eastAsia" w:ascii="宋体" w:hAnsi="宋体"/>
          <w:color w:val="auto"/>
          <w:sz w:val="24"/>
          <w:highlight w:val="none"/>
        </w:rPr>
        <w:t>监理人</w:t>
      </w:r>
      <w:r>
        <w:rPr>
          <w:rFonts w:hint="eastAsia" w:ascii="宋体" w:hAnsi="宋体" w:cs="宋体"/>
          <w:color w:val="auto"/>
          <w:sz w:val="24"/>
          <w:highlight w:val="none"/>
        </w:rPr>
        <w:t>忽视环境保护及水土保持，造成不良后果的；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（14）总监办及监理人员对委托人通知、指令贯彻不力的，将视情节轻重对监理人课以违约金；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w:t>
      </w:r>
      <w:r>
        <w:rPr>
          <w:rFonts w:hint="eastAsia" w:ascii="宋体" w:hAnsi="宋体"/>
          <w:color w:val="auto"/>
          <w:kern w:val="0"/>
          <w:sz w:val="24"/>
          <w:highlight w:val="none"/>
        </w:rPr>
        <w:t>由于监理人监督不力，造成工程进度滞后；</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第（16）目细化为：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（16）其他违约情形：</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第11.1.2项细化为：</w:t>
      </w:r>
    </w:p>
    <w:p>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监理人发生第11.1.1项违约情况时，委托人可向监理人发出整改通知，要求其在限定的期限内纠正；逾期仍不纠正的，委托人有权解除合同并向监理人发出解除合同通知。</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监理人应当承担由于违约做造成的费用增加、周期延误和委托人损失等。委托人有权向监理人课以违约金，</w:t>
      </w:r>
      <w:r>
        <w:rPr>
          <w:rFonts w:hint="eastAsia" w:ascii="宋体" w:hAnsi="宋体"/>
          <w:color w:val="auto"/>
          <w:sz w:val="24"/>
          <w:highlight w:val="none"/>
        </w:rPr>
        <w:t>具体约定为：</w:t>
      </w:r>
      <w:r>
        <w:rPr>
          <w:rFonts w:hint="eastAsia" w:ascii="宋体" w:hAnsi="宋体"/>
          <w:color w:val="auto"/>
          <w:sz w:val="24"/>
          <w:highlight w:val="none"/>
          <w:u w:val="single"/>
        </w:rPr>
        <w:t xml:space="preserve">                      </w:t>
      </w:r>
      <w:r>
        <w:rPr>
          <w:rFonts w:hint="eastAsia" w:ascii="宋体" w:hAnsi="宋体"/>
          <w:color w:val="auto"/>
          <w:sz w:val="24"/>
          <w:highlight w:val="none"/>
        </w:rPr>
        <w:t>。</w:t>
      </w:r>
      <w:bookmarkStart w:id="612" w:name="_Toc523921844"/>
      <w:bookmarkStart w:id="613" w:name="_Toc520709536"/>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违约金将在监理人的任何款项中扣支，对给委托人造成损失的赔偿金按第11.1.3项相应条款处理。同时将按四川省交通运输厅从业单位信用管理办法规定上报交通运输主管部门，作为不良记录纳入公路建设市场监督管理系统。</w:t>
      </w:r>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11.2 委托人违约</w:t>
      </w:r>
      <w:bookmarkEnd w:id="612"/>
      <w:bookmarkEnd w:id="613"/>
    </w:p>
    <w:p>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11.2.2委托人发生违约情况时，监理人有权向委托人提出违约赔偿，具体约定为：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委托人因违反</w:t>
      </w:r>
      <w:r>
        <w:rPr>
          <w:rFonts w:hint="eastAsia" w:ascii="宋体" w:hAnsi="宋体"/>
          <w:color w:val="auto"/>
          <w:sz w:val="24"/>
          <w:highlight w:val="none"/>
        </w:rPr>
        <w:t>监理</w:t>
      </w:r>
      <w:r>
        <w:rPr>
          <w:rFonts w:hint="eastAsia" w:ascii="宋体" w:hAnsi="宋体" w:cs="宋体"/>
          <w:color w:val="auto"/>
          <w:sz w:val="24"/>
          <w:highlight w:val="none"/>
        </w:rPr>
        <w:t>合同的规定造成</w:t>
      </w:r>
      <w:r>
        <w:rPr>
          <w:rFonts w:hint="eastAsia" w:ascii="宋体" w:hAnsi="宋体"/>
          <w:color w:val="auto"/>
          <w:sz w:val="24"/>
          <w:highlight w:val="none"/>
        </w:rPr>
        <w:t>监理人</w:t>
      </w:r>
      <w:r>
        <w:rPr>
          <w:rFonts w:hint="eastAsia" w:ascii="宋体" w:hAnsi="宋体" w:cs="宋体"/>
          <w:color w:val="auto"/>
          <w:sz w:val="24"/>
          <w:highlight w:val="none"/>
        </w:rPr>
        <w:t>的经济损失时，由</w:t>
      </w:r>
      <w:r>
        <w:rPr>
          <w:rFonts w:hint="eastAsia" w:ascii="宋体" w:hAnsi="宋体"/>
          <w:color w:val="auto"/>
          <w:sz w:val="24"/>
          <w:highlight w:val="none"/>
        </w:rPr>
        <w:t>监理人</w:t>
      </w:r>
      <w:r>
        <w:rPr>
          <w:rFonts w:hint="eastAsia" w:ascii="宋体" w:hAnsi="宋体" w:cs="宋体"/>
          <w:color w:val="auto"/>
          <w:sz w:val="24"/>
          <w:highlight w:val="none"/>
        </w:rPr>
        <w:t>提出处理意见与委托人协商，并由委托人据实向</w:t>
      </w:r>
      <w:r>
        <w:rPr>
          <w:rFonts w:hint="eastAsia" w:ascii="宋体" w:hAnsi="宋体"/>
          <w:color w:val="auto"/>
          <w:sz w:val="24"/>
          <w:highlight w:val="none"/>
        </w:rPr>
        <w:t>监理人</w:t>
      </w:r>
      <w:r>
        <w:rPr>
          <w:rFonts w:hint="eastAsia" w:ascii="宋体" w:hAnsi="宋体" w:cs="宋体"/>
          <w:color w:val="auto"/>
          <w:sz w:val="24"/>
          <w:highlight w:val="none"/>
        </w:rPr>
        <w:t>赔偿经济损失。赔偿金为</w:t>
      </w:r>
      <w:r>
        <w:rPr>
          <w:rFonts w:hint="eastAsia" w:ascii="宋体" w:hAnsi="宋体"/>
          <w:color w:val="auto"/>
          <w:sz w:val="24"/>
          <w:highlight w:val="none"/>
        </w:rPr>
        <w:t>监理人</w:t>
      </w:r>
      <w:r>
        <w:rPr>
          <w:rFonts w:hint="eastAsia" w:ascii="宋体" w:hAnsi="宋体" w:cs="宋体"/>
          <w:color w:val="auto"/>
          <w:sz w:val="24"/>
          <w:highlight w:val="none"/>
        </w:rPr>
        <w:t>的直接经济损失。</w:t>
      </w:r>
    </w:p>
    <w:p>
      <w:pPr>
        <w:pStyle w:val="5"/>
        <w:rPr>
          <w:color w:val="auto"/>
          <w:highlight w:val="none"/>
        </w:rPr>
      </w:pPr>
      <w:bookmarkStart w:id="614" w:name="_Toc519601511"/>
      <w:bookmarkStart w:id="615" w:name="_Toc513555853"/>
      <w:bookmarkStart w:id="616" w:name="_Toc519778504"/>
      <w:bookmarkStart w:id="617" w:name="_Toc520709537"/>
      <w:bookmarkStart w:id="618" w:name="_Toc519777839"/>
      <w:bookmarkStart w:id="619" w:name="_Toc519777943"/>
      <w:bookmarkStart w:id="620" w:name="_Toc513555609"/>
      <w:bookmarkStart w:id="621" w:name="_Toc513556688"/>
      <w:bookmarkStart w:id="622" w:name="_Toc519777891"/>
      <w:bookmarkStart w:id="623" w:name="_Toc523921845"/>
      <w:r>
        <w:rPr>
          <w:color w:val="auto"/>
          <w:highlight w:val="none"/>
        </w:rPr>
        <w:t xml:space="preserve">12. </w:t>
      </w:r>
      <w:r>
        <w:rPr>
          <w:rFonts w:hint="eastAsia"/>
          <w:color w:val="auto"/>
          <w:highlight w:val="none"/>
        </w:rPr>
        <w:t>争议的解决</w:t>
      </w:r>
      <w:bookmarkEnd w:id="614"/>
      <w:bookmarkEnd w:id="615"/>
      <w:bookmarkEnd w:id="616"/>
      <w:bookmarkEnd w:id="617"/>
      <w:bookmarkEnd w:id="618"/>
      <w:bookmarkEnd w:id="619"/>
      <w:bookmarkEnd w:id="620"/>
      <w:bookmarkEnd w:id="621"/>
      <w:bookmarkEnd w:id="622"/>
      <w:bookmarkEnd w:id="62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争议的的最终解决方式：</w:t>
      </w:r>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sym w:font="Wingdings 2" w:char="00A3"/>
      </w:r>
      <w:r>
        <w:rPr>
          <w:rFonts w:hint="eastAsia" w:ascii="宋体" w:hAnsi="宋体" w:cs="宋体"/>
          <w:b/>
          <w:bCs/>
          <w:color w:val="auto"/>
          <w:sz w:val="24"/>
          <w:highlight w:val="none"/>
        </w:rPr>
        <w:t xml:space="preserve"> </w:t>
      </w:r>
      <w:r>
        <w:rPr>
          <w:rFonts w:hint="eastAsia" w:ascii="宋体" w:hAnsi="宋体" w:cs="宋体"/>
          <w:color w:val="auto"/>
          <w:sz w:val="24"/>
          <w:highlight w:val="none"/>
        </w:rPr>
        <w:t>诉讼    诉讼机构名称：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法院。</w:t>
      </w:r>
    </w:p>
    <w:p>
      <w:pPr>
        <w:spacing w:line="360" w:lineRule="auto"/>
        <w:ind w:firstLine="481" w:firstLineChars="200"/>
        <w:rPr>
          <w:rFonts w:hint="eastAsia" w:ascii="宋体" w:hAnsi="宋体" w:cs="宋体"/>
          <w:color w:val="auto"/>
          <w:sz w:val="24"/>
          <w:highlight w:val="none"/>
          <w:u w:val="single"/>
        </w:rPr>
      </w:pPr>
      <w:r>
        <w:rPr>
          <w:rFonts w:hint="eastAsia" w:ascii="宋体" w:hAnsi="宋体" w:cs="宋体"/>
          <w:b/>
          <w:bCs/>
          <w:color w:val="auto"/>
          <w:sz w:val="24"/>
          <w:highlight w:val="none"/>
        </w:rPr>
        <w:sym w:font="Wingdings 2" w:char="00A3"/>
      </w:r>
      <w:r>
        <w:rPr>
          <w:rFonts w:hint="eastAsia" w:ascii="宋体" w:hAnsi="宋体" w:cs="宋体"/>
          <w:b/>
          <w:bCs/>
          <w:color w:val="auto"/>
          <w:sz w:val="24"/>
          <w:highlight w:val="none"/>
        </w:rPr>
        <w:t xml:space="preserve"> </w:t>
      </w:r>
      <w:r>
        <w:rPr>
          <w:rFonts w:hint="eastAsia" w:ascii="宋体" w:hAnsi="宋体" w:cs="宋体"/>
          <w:color w:val="auto"/>
          <w:sz w:val="24"/>
          <w:highlight w:val="none"/>
        </w:rPr>
        <w:t>仲裁    仲裁机构名称：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本节补充第13条：</w:t>
      </w:r>
    </w:p>
    <w:p>
      <w:pPr>
        <w:pStyle w:val="5"/>
        <w:numPr>
          <w:ilvl w:val="255"/>
          <w:numId w:val="0"/>
        </w:numPr>
        <w:rPr>
          <w:color w:val="auto"/>
          <w:highlight w:val="none"/>
        </w:rPr>
      </w:pPr>
      <w:r>
        <w:rPr>
          <w:color w:val="auto"/>
          <w:highlight w:val="none"/>
        </w:rPr>
        <w:t xml:space="preserve">13. </w:t>
      </w:r>
      <w:r>
        <w:rPr>
          <w:rFonts w:hint="eastAsia"/>
          <w:color w:val="auto"/>
          <w:highlight w:val="none"/>
        </w:rPr>
        <w:t>后续管理办法</w:t>
      </w:r>
    </w:p>
    <w:p>
      <w:pPr>
        <w:spacing w:line="360" w:lineRule="auto"/>
        <w:ind w:firstLine="420" w:firstLineChars="200"/>
        <w:rPr>
          <w:rFonts w:hint="eastAsia" w:ascii="宋体" w:hAnsi="宋体" w:cs="宋体"/>
          <w:color w:val="auto"/>
          <w:highlight w:val="none"/>
        </w:rPr>
      </w:pPr>
      <w:r>
        <w:rPr>
          <w:rFonts w:hint="eastAsia" w:hAnsi="宋体" w:cs="宋体"/>
          <w:color w:val="auto"/>
          <w:highlight w:val="none"/>
        </w:rPr>
        <w:t>在工程实施过程中，如果有新的规程、办法、规范的颁布实施，本项目将按上级主管部门的决定采用执行，如有费用增减将合同条款有关规定办理。施工期间，监理人还应执行委托人针对本项目制定的质量、安全、环保、进度、计量、变更、奖励、资金管理等方面的管理办法。</w:t>
      </w:r>
      <w:r>
        <w:rPr>
          <w:rFonts w:hint="eastAsia" w:ascii="宋体" w:hAnsi="宋体" w:cs="宋体"/>
          <w:color w:val="auto"/>
          <w:highlight w:val="none"/>
        </w:rPr>
        <w:br w:type="page"/>
      </w:r>
    </w:p>
    <w:p>
      <w:pPr>
        <w:pStyle w:val="5"/>
        <w:jc w:val="center"/>
        <w:rPr>
          <w:rFonts w:hint="eastAsia" w:ascii="黑体" w:hAnsi="黑体" w:cs="黑体"/>
          <w:b w:val="0"/>
          <w:color w:val="auto"/>
          <w:sz w:val="40"/>
          <w:szCs w:val="40"/>
          <w:highlight w:val="none"/>
        </w:rPr>
      </w:pPr>
      <w:bookmarkStart w:id="624" w:name="_TOC_250048"/>
      <w:bookmarkEnd w:id="624"/>
      <w:bookmarkStart w:id="625" w:name="_Toc519778505"/>
      <w:bookmarkStart w:id="626" w:name="_Toc519777892"/>
      <w:bookmarkStart w:id="627" w:name="_Toc523921846"/>
      <w:bookmarkStart w:id="628" w:name="_Toc519777840"/>
      <w:bookmarkStart w:id="629" w:name="_Toc519777944"/>
      <w:bookmarkStart w:id="630" w:name="_Toc28187731"/>
      <w:r>
        <w:rPr>
          <w:rFonts w:hint="eastAsia" w:ascii="黑体" w:hAnsi="黑体" w:cs="黑体"/>
          <w:b w:val="0"/>
          <w:color w:val="auto"/>
          <w:sz w:val="40"/>
          <w:szCs w:val="40"/>
          <w:highlight w:val="none"/>
        </w:rPr>
        <w:t>第三节</w:t>
      </w:r>
      <w:r>
        <w:rPr>
          <w:rFonts w:hint="eastAsia" w:ascii="黑体" w:hAnsi="黑体" w:cs="黑体"/>
          <w:b w:val="0"/>
          <w:color w:val="auto"/>
          <w:sz w:val="40"/>
          <w:szCs w:val="40"/>
          <w:highlight w:val="none"/>
        </w:rPr>
        <w:tab/>
      </w:r>
      <w:r>
        <w:rPr>
          <w:rFonts w:hint="eastAsia" w:ascii="黑体" w:hAnsi="黑体" w:cs="黑体"/>
          <w:b w:val="0"/>
          <w:color w:val="auto"/>
          <w:sz w:val="40"/>
          <w:szCs w:val="40"/>
          <w:highlight w:val="none"/>
        </w:rPr>
        <w:t xml:space="preserve">  合同附件格式</w:t>
      </w:r>
      <w:bookmarkEnd w:id="625"/>
      <w:bookmarkEnd w:id="626"/>
      <w:bookmarkEnd w:id="627"/>
      <w:bookmarkEnd w:id="628"/>
      <w:bookmarkEnd w:id="629"/>
      <w:bookmarkEnd w:id="630"/>
    </w:p>
    <w:p>
      <w:pPr>
        <w:widowControl/>
        <w:jc w:val="left"/>
        <w:rPr>
          <w:rFonts w:hint="eastAsia" w:ascii="宋体" w:hAnsi="宋体" w:cs="宋体"/>
          <w:b/>
          <w:bCs/>
          <w:color w:val="auto"/>
          <w:kern w:val="44"/>
          <w:sz w:val="30"/>
          <w:szCs w:val="30"/>
          <w:highlight w:val="none"/>
        </w:rPr>
      </w:pPr>
    </w:p>
    <w:p>
      <w:pPr>
        <w:spacing w:line="360" w:lineRule="auto"/>
        <w:outlineLvl w:val="2"/>
        <w:rPr>
          <w:rStyle w:val="111"/>
          <w:b w:val="0"/>
          <w:bCs w:val="0"/>
          <w:color w:val="auto"/>
          <w:highlight w:val="none"/>
        </w:rPr>
      </w:pPr>
      <w:r>
        <w:rPr>
          <w:rFonts w:hint="eastAsia" w:ascii="宋体" w:hAnsi="宋体" w:eastAsia="宋体" w:cs="宋体"/>
          <w:b w:val="0"/>
          <w:bCs w:val="0"/>
          <w:color w:val="auto"/>
          <w:sz w:val="30"/>
          <w:szCs w:val="30"/>
          <w:highlight w:val="none"/>
        </w:rPr>
        <w:br w:type="page"/>
      </w:r>
      <w:bookmarkStart w:id="631" w:name="_Toc523921847"/>
      <w:r>
        <w:rPr>
          <w:rStyle w:val="111"/>
          <w:rFonts w:hint="eastAsia"/>
          <w:b w:val="0"/>
          <w:bCs w:val="0"/>
          <w:color w:val="auto"/>
          <w:highlight w:val="none"/>
        </w:rPr>
        <w:t>附件一</w:t>
      </w:r>
      <w:r>
        <w:rPr>
          <w:rStyle w:val="111"/>
          <w:b w:val="0"/>
          <w:bCs w:val="0"/>
          <w:color w:val="auto"/>
          <w:highlight w:val="none"/>
        </w:rPr>
        <w:t xml:space="preserve"> </w:t>
      </w:r>
      <w:r>
        <w:rPr>
          <w:rStyle w:val="111"/>
          <w:rFonts w:hint="eastAsia"/>
          <w:b w:val="0"/>
          <w:bCs w:val="0"/>
          <w:color w:val="auto"/>
          <w:highlight w:val="none"/>
        </w:rPr>
        <w:t>合同协议书</w:t>
      </w:r>
      <w:bookmarkEnd w:id="631"/>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合 同 协 议 书</w:t>
      </w:r>
    </w:p>
    <w:p>
      <w:pPr>
        <w:pStyle w:val="276"/>
        <w:spacing w:line="360" w:lineRule="auto"/>
        <w:rPr>
          <w:rFonts w:hint="eastAsia" w:ascii="宋体" w:hAnsi="宋体" w:cs="宋体"/>
          <w:color w:val="auto"/>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（委托人名称，以下简称“委托人”）为实施</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（项目名称），已接受</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（监理人名称，以下简称“监理人”）对该项目第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标段施工监理的投标。委托人和监理人共同达成如下协议。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标段由 K</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至 K</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，长约</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km，公路等级为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，设计速度为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路面。有立交</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处；特大桥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座，合计长</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m；大中桥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座，合计长</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m；隧道</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座，合计长</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m以及其他构造物工程等。</w:t>
      </w:r>
    </w:p>
    <w:p>
      <w:pPr>
        <w:spacing w:line="360" w:lineRule="auto"/>
        <w:ind w:firstLine="708" w:firstLineChars="295"/>
        <w:rPr>
          <w:rFonts w:hint="eastAsia" w:ascii="宋体" w:hAnsi="宋体" w:cs="宋体"/>
          <w:color w:val="auto"/>
          <w:sz w:val="24"/>
          <w:highlight w:val="none"/>
        </w:rPr>
      </w:pPr>
      <w:r>
        <w:rPr>
          <w:rFonts w:hint="eastAsia" w:ascii="宋体" w:hAnsi="宋体" w:cs="宋体"/>
          <w:color w:val="auto"/>
          <w:sz w:val="24"/>
          <w:highlight w:val="none"/>
        </w:rPr>
        <w:t>注：该内容可根据招标项目的具体情况进行调整，以适用招标内容。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2.下列文件应视为构成合同文件的组成部分：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（1）本协议书及各种合同附件（含评标期间和合同谈判过程中的澄清文件和补充资料）；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（2）中标通知书；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（3）投标函（含第一个信封、第二个信封）；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（4）项目专用合同条款；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（5）公路工程专用合同条款；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（6）通用合同条款；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（7）委托人要求；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（8）监理服务费用清单；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（9）监理人有关人员、试验检测设备投入的承诺；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（10）其他合同文件。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上述合同文件互相补充和解释，如果合同文件存在矛盾或不一致之处，以上述文件的排列顺序在先者为准。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3.签约合同价：人民币（大写）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元（¥</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r>
        <w:rPr>
          <w:rFonts w:hint="eastAsia"/>
          <w:color w:val="auto"/>
          <w:spacing w:val="4"/>
          <w:sz w:val="24"/>
          <w:highlight w:val="none"/>
        </w:rPr>
        <w:t>（其中增值税税率为</w:t>
      </w:r>
      <w:r>
        <w:rPr>
          <w:color w:val="auto"/>
          <w:spacing w:val="4"/>
          <w:sz w:val="24"/>
          <w:highlight w:val="none"/>
          <w:u w:val="single"/>
        </w:rPr>
        <w:t xml:space="preserve">        </w:t>
      </w:r>
      <w:r>
        <w:rPr>
          <w:rFonts w:hint="eastAsia"/>
          <w:color w:val="auto"/>
          <w:spacing w:val="4"/>
          <w:sz w:val="24"/>
          <w:highlight w:val="none"/>
        </w:rPr>
        <w:t>）</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其中：施工阶段（包括施工准备阶段）</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b/>
          <w:bCs/>
          <w:color w:val="auto"/>
          <w:sz w:val="24"/>
          <w:highlight w:val="none"/>
        </w:rPr>
        <w:t xml:space="preserve"> □ </w:t>
      </w:r>
      <w:r>
        <w:rPr>
          <w:rFonts w:hint="eastAsia" w:ascii="宋体" w:hAnsi="宋体" w:cs="宋体"/>
          <w:color w:val="auto"/>
          <w:sz w:val="24"/>
          <w:highlight w:val="none"/>
        </w:rPr>
        <w:t xml:space="preserve">试运行期阶段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w:t>
      </w:r>
    </w:p>
    <w:p>
      <w:pPr>
        <w:spacing w:line="360" w:lineRule="auto"/>
        <w:ind w:firstLine="1200" w:firstLineChars="500"/>
        <w:rPr>
          <w:rFonts w:hint="eastAsia" w:ascii="宋体" w:hAnsi="宋体" w:cs="宋体"/>
          <w:color w:val="auto"/>
          <w:sz w:val="24"/>
          <w:highlight w:val="none"/>
        </w:rPr>
      </w:pPr>
      <w:r>
        <w:rPr>
          <w:rFonts w:hint="eastAsia" w:ascii="宋体" w:hAnsi="宋体" w:cs="宋体"/>
          <w:color w:val="auto"/>
          <w:sz w:val="24"/>
          <w:highlight w:val="none"/>
        </w:rPr>
        <w:t>缺陷责任期阶段</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4.总监理工程师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sym w:font="Wingdings 2" w:char="00A3"/>
      </w:r>
      <w:r>
        <w:rPr>
          <w:rFonts w:hint="eastAsia" w:ascii="宋体" w:hAnsi="宋体" w:cs="宋体"/>
          <w:b/>
          <w:bCs/>
          <w:color w:val="auto"/>
          <w:sz w:val="24"/>
          <w:highlight w:val="none"/>
        </w:rPr>
        <w:t xml:space="preserve"> </w:t>
      </w:r>
      <w:r>
        <w:rPr>
          <w:rFonts w:hint="eastAsia" w:ascii="宋体" w:hAnsi="宋体" w:cs="宋体"/>
          <w:color w:val="auto"/>
          <w:sz w:val="24"/>
          <w:highlight w:val="none"/>
        </w:rPr>
        <w:t>副总监理工程师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驻地监理工程师：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试验室主任：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5.监理工作质量符合的标准和要求：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。安全目标：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6.监理人承诺按合同约定承担工程的施工监理。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7.委托人承诺按合同约定的条件、时间和方式向监理人支付合同价款。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8.监理人计划开始监理日期：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，实际日期按照合同条款中约定的开始监理日期为准。监理服务期限：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月，其中：施工阶段（含施工准备阶段）监理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月，□试运行期监理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月，缺陷责任阶段监理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9.本协议书在监理人提供履约保证金后，由双方法定代表人或其委托代理人签署并加盖单位章后生效。全部工程完工后经交工验收合格、缺陷责任期满签发缺陷责任终止证书后失效。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10.本协议书正本二份、副本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份，合同双方各执正本一份，副本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份，当正本与副本的内容不一致时，以正本为准。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11.合同未尽事宜，双方另行签订补充协议。补充协议是合同的组成部分。</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（盖单位电子印章/单位章）</w:t>
      </w:r>
      <w:r>
        <w:rPr>
          <w:rFonts w:hint="eastAsia" w:ascii="宋体" w:hAnsi="宋体" w:cs="宋体"/>
          <w:color w:val="auto"/>
          <w:sz w:val="24"/>
          <w:highlight w:val="none"/>
        </w:rPr>
        <w:tab/>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color w:val="auto"/>
          <w:sz w:val="24"/>
          <w:highlight w:val="none"/>
        </w:rPr>
        <w:t>个人电子签名章或个人电子印</w:t>
      </w:r>
      <w:r>
        <w:rPr>
          <w:rFonts w:hint="eastAsia" w:asciiTheme="minorEastAsia" w:hAnsiTheme="minorEastAsia" w:eastAsiaTheme="minorEastAsia"/>
          <w:color w:val="auto"/>
          <w:sz w:val="24"/>
          <w:highlight w:val="none"/>
        </w:rPr>
        <w:t>章/</w:t>
      </w:r>
      <w:r>
        <w:rPr>
          <w:rFonts w:hint="eastAsia" w:cs="宋体" w:asciiTheme="minorEastAsia" w:hAnsiTheme="minorEastAsia" w:eastAsiaTheme="minorEastAsia"/>
          <w:color w:val="auto"/>
          <w:sz w:val="24"/>
          <w:highlight w:val="none"/>
        </w:rPr>
        <w:t>签字</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rPr>
        <w:tab/>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（盖单位电子印章/盖单位章）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color w:val="auto"/>
          <w:sz w:val="24"/>
          <w:highlight w:val="none"/>
        </w:rPr>
        <w:t>个人电子签名章或个人电子印</w:t>
      </w:r>
      <w:r>
        <w:rPr>
          <w:rFonts w:hint="eastAsia" w:asciiTheme="minorEastAsia" w:hAnsiTheme="minorEastAsia" w:eastAsiaTheme="minorEastAsia"/>
          <w:color w:val="auto"/>
          <w:sz w:val="24"/>
          <w:highlight w:val="none"/>
        </w:rPr>
        <w:t>章/</w:t>
      </w:r>
      <w:r>
        <w:rPr>
          <w:rFonts w:hint="eastAsia" w:cs="宋体" w:asciiTheme="minorEastAsia" w:hAnsiTheme="minorEastAsia" w:eastAsiaTheme="minorEastAsia"/>
          <w:color w:val="auto"/>
          <w:sz w:val="24"/>
          <w:highlight w:val="none"/>
        </w:rPr>
        <w:t>签字</w:t>
      </w:r>
      <w:r>
        <w:rPr>
          <w:rFonts w:hint="eastAsia" w:ascii="宋体" w:hAnsi="宋体" w:cs="宋体"/>
          <w:color w:val="auto"/>
          <w:sz w:val="24"/>
          <w:highlight w:val="none"/>
        </w:rPr>
        <w:t>）</w:t>
      </w:r>
    </w:p>
    <w:p>
      <w:pPr>
        <w:spacing w:line="360" w:lineRule="auto"/>
        <w:ind w:firstLine="3000" w:firstLineChars="125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360" w:lineRule="auto"/>
        <w:ind w:firstLine="141" w:firstLineChars="59"/>
        <w:jc w:val="left"/>
        <w:rPr>
          <w:color w:val="auto"/>
          <w:sz w:val="24"/>
          <w:highlight w:val="none"/>
        </w:rPr>
      </w:pPr>
      <w:r>
        <w:rPr>
          <w:rFonts w:hint="eastAsia"/>
          <w:color w:val="auto"/>
          <w:sz w:val="24"/>
          <w:highlight w:val="none"/>
        </w:rPr>
        <w:t>注：在签订合同前，若为联合体形式投标的。如果需要，招标人可以要求投标人提供联合体协议书原件，并加盖联合体所有成员的单位印章。</w:t>
      </w:r>
    </w:p>
    <w:p>
      <w:pPr>
        <w:tabs>
          <w:tab w:val="center" w:pos="4630"/>
        </w:tabs>
        <w:rPr>
          <w:rFonts w:hint="eastAsia" w:ascii="宋体" w:hAnsi="宋体" w:cs="宋体"/>
          <w:color w:val="auto"/>
          <w:sz w:val="24"/>
          <w:highlight w:val="none"/>
        </w:rPr>
        <w:sectPr>
          <w:footerReference r:id="rId15" w:type="default"/>
          <w:footerReference r:id="rId16" w:type="even"/>
          <w:footnotePr>
            <w:numFmt w:val="decimalEnclosedCircleChinese"/>
            <w:numRestart w:val="eachPage"/>
          </w:footnotePr>
          <w:type w:val="nextColumn"/>
          <w:pgSz w:w="11900" w:h="16840"/>
          <w:pgMar w:top="1418" w:right="1418" w:bottom="1418" w:left="1701" w:header="885" w:footer="839" w:gutter="0"/>
          <w:cols w:space="720" w:num="1"/>
          <w:docGrid w:linePitch="286" w:charSpace="0"/>
        </w:sectPr>
      </w:pPr>
      <w:r>
        <w:rPr>
          <w:rFonts w:hint="eastAsia" w:ascii="宋体" w:hAnsi="宋体" w:cs="宋体"/>
          <w:color w:val="auto"/>
          <w:sz w:val="24"/>
          <w:highlight w:val="none"/>
        </w:rPr>
        <w:tab/>
      </w:r>
    </w:p>
    <w:p>
      <w:pPr>
        <w:spacing w:line="360" w:lineRule="auto"/>
        <w:outlineLvl w:val="2"/>
        <w:rPr>
          <w:rStyle w:val="111"/>
          <w:rFonts w:ascii="Times New Roman" w:hAnsi="Times New Roman"/>
          <w:b w:val="0"/>
          <w:color w:val="auto"/>
          <w:highlight w:val="none"/>
        </w:rPr>
      </w:pPr>
      <w:bookmarkStart w:id="632" w:name="_Toc523921848"/>
      <w:r>
        <w:rPr>
          <w:rStyle w:val="111"/>
          <w:rFonts w:hint="eastAsia" w:ascii="Times New Roman" w:hAnsi="Times New Roman"/>
          <w:b w:val="0"/>
          <w:color w:val="auto"/>
          <w:highlight w:val="none"/>
        </w:rPr>
        <w:t>附件二</w:t>
      </w:r>
      <w:r>
        <w:rPr>
          <w:rStyle w:val="111"/>
          <w:rFonts w:ascii="Times New Roman" w:hAnsi="Times New Roman"/>
          <w:b w:val="0"/>
          <w:color w:val="auto"/>
          <w:highlight w:val="none"/>
        </w:rPr>
        <w:t xml:space="preserve"> </w:t>
      </w:r>
      <w:r>
        <w:rPr>
          <w:rStyle w:val="111"/>
          <w:rFonts w:hint="eastAsia" w:ascii="Times New Roman" w:hAnsi="Times New Roman"/>
          <w:b w:val="0"/>
          <w:color w:val="auto"/>
          <w:highlight w:val="none"/>
        </w:rPr>
        <w:t>廉政合同</w:t>
      </w:r>
      <w:bookmarkEnd w:id="632"/>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廉 政 合 同</w:t>
      </w:r>
    </w:p>
    <w:p>
      <w:pPr>
        <w:spacing w:line="360" w:lineRule="auto"/>
        <w:ind w:firstLine="480" w:firstLineChars="200"/>
        <w:jc w:val="left"/>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根据《关于在交通基础设施建设中加强廉政建设的若干意见》以及有关工程建设、廉政建设的规定，为做好工程建设中的党风廉政建设，保证工程建设高效优质， 保证建设资金的安全和有效使用以及投资效益，</w:t>
      </w:r>
      <w:bookmarkStart w:id="633" w:name="_Hlk76574422"/>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w:t>
      </w:r>
      <w:bookmarkEnd w:id="633"/>
      <w:r>
        <w:rPr>
          <w:rFonts w:hint="eastAsia" w:ascii="宋体" w:hAnsi="宋体" w:cs="宋体"/>
          <w:color w:val="auto"/>
          <w:sz w:val="24"/>
          <w:highlight w:val="none"/>
        </w:rPr>
        <w:t>的项目法人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（项目法人名称，以下简称“委托人”）与</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（项目名称）招标第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标段的施工监理单位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（施工监理单位名称，以下简称“监理人”），特订立如下合同。</w:t>
      </w:r>
    </w:p>
    <w:p>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1.委托人和监理人双方的权利和义务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（1）严格遵守党的政策规定和国家有关法律法规及交通运输部、四川省交通运输厅等的有关规定。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（2）严格执行</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（项目名称）招标第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标段合同文件，自觉按合同办事。</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（3）双方的业务活动坚持公开、公正、诚信、透明的原则（法律认定的商业秘密和合同文件另有规定除外），不得损害国家和集体利益，不得违反工程建设管理规章制度。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（4）建立健全廉政制度，开展廉政教育，设立廉政告示牌，公布举报电话，监督并认真查处违法违纪行为。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（5）发现对方在业务活动中有违反廉政规定的行为，有及时提醒对方纠正的权利和义务。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（6）发现对方严重违反本合同义务条款的行为，有向其上级有关部门举报、建议给予处理并要求告知处理结果的权利。</w:t>
      </w:r>
    </w:p>
    <w:p>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2.委托人的义务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（1）委托人及其工作人员不得索要或接受监理人的礼金、有价证券和贵重物品，不得让监理人报销任何应由委托人或委托人工作人员个人支付的费用等。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（2）委托人工作人员不得参加监理人安排的超标准宴请和娱乐活动；不得接受监理人提供的通信工具、交通工具和高档办公用品等。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（3）委托人及其工作人员不得要求或者接受监理人为其住房装修、婚丧嫁娶活动、配偶子女的工作安排以及出国出境、旅游等提供方便等。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（4）委托人工作人员及其配偶、子女不得从事与委托人工程有关的材料设备供应、工程分包、劳务等经济活动等。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（5）委托人及其工作人员不得以任何理由向监理人推荐分包单位或推销材料，不得要求监理人购买合同规定外的材料和设备。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（6）委托人工作人员要秉公办事，不准营私舞弊，不准利用职权从事各种个人有偿中介活动和安排个人施工监理队伍。</w:t>
      </w:r>
    </w:p>
    <w:p>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3.监理人的义务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（1）监理人不得以任何理由向委托人及其工作人员行贿或馈赠礼金、有价证券、贵重礼品。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（2）监理人不得以任何名义为委托人及其工作人员报销应由委托人单位或个人支付的任何费用。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（3）监理人不得以任何理由安排委托人工作人员参加超标准宴请及娱乐活动。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（4）监理人不得为委托人单位和个人购置或提供通信工具、交通工具和高档办公用品等。</w:t>
      </w:r>
    </w:p>
    <w:p>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4.违约责任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（1）委托人及其工作人员违反本合同第1、2条，按管理权限，依据有关规定给予党纪、政纪或组织处理；涉嫌犯罪的，移交司法机关追究刑事责任；给监理人造成经济损失的，应予以赔偿。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监理人及其工作人员违反本合同第1、3条，按管理权限，依据有关规定给予党纪、政纪或组织处理；给委托人单位造成经济损失的，应予以赔偿；情节严重的，委托人建议交通运输主管部门给予监理人一至三年内不得进入其主管的公路建设市场的处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双方约定：本合同由双方或双方上级单位的纪检监察部门负责监督执行。由委托人或委托人上级单位的纪检监察部门约请监理人或监理人上级单位纪检监察部门对本合同执行情况进行检查，提出在本合同规定范围内的裁定意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6.本合同有效期为委托人和监理人签署之日起至该工程项目竣工验收后止。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7.本合同作为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（项目名称）招标第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标段合同的附件，与工程施工监理合同具有同等的法律效力，经合同双方签署后立即生效。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8.本合同一式四份，由委托人和监理人各执一份，送交委托人和监理人的监督单位各一份。</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rPr>
          <w:rFonts w:hint="eastAsia" w:ascii="宋体" w:hAnsi="宋体" w:cs="宋体"/>
          <w:color w:val="auto"/>
          <w:sz w:val="24"/>
          <w:highlight w:val="none"/>
          <w:u w:val="single"/>
        </w:rPr>
      </w:pPr>
      <w:r>
        <w:rPr>
          <w:rFonts w:hint="eastAsia" w:ascii="宋体" w:hAnsi="宋体" w:cs="宋体"/>
          <w:color w:val="auto"/>
          <w:sz w:val="24"/>
          <w:highlight w:val="none"/>
        </w:rPr>
        <w:t>委托人：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（盖单位章） 监理人：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（盖单位章） </w:t>
      </w:r>
    </w:p>
    <w:p>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法定代表人或其委托代理人：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（签字） 法定代表人或其委托代理人：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360" w:lineRule="auto"/>
        <w:rPr>
          <w:rFonts w:hint="eastAsia" w:ascii="宋体" w:hAnsi="宋体" w:cs="宋体"/>
          <w:color w:val="auto"/>
          <w:sz w:val="24"/>
          <w:highlight w:val="none"/>
        </w:rPr>
      </w:pP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委托人监督单位：</w:t>
      </w:r>
      <w:r>
        <w:rPr>
          <w:rFonts w:hint="eastAsia" w:ascii="宋体" w:hAnsi="宋体" w:cs="宋体"/>
          <w:color w:val="auto"/>
          <w:sz w:val="24"/>
          <w:highlight w:val="none"/>
          <w:u w:val="single"/>
        </w:rPr>
        <w:t>（全称）（盖单位章）</w:t>
      </w:r>
      <w:r>
        <w:rPr>
          <w:rFonts w:hint="eastAsia" w:ascii="宋体" w:hAnsi="宋体" w:cs="宋体"/>
          <w:color w:val="auto"/>
          <w:sz w:val="24"/>
          <w:highlight w:val="none"/>
        </w:rPr>
        <w:t xml:space="preserve"> 监理人监督单位：</w:t>
      </w:r>
      <w:r>
        <w:rPr>
          <w:rFonts w:hint="eastAsia" w:ascii="宋体" w:hAnsi="宋体" w:cs="宋体"/>
          <w:color w:val="auto"/>
          <w:sz w:val="24"/>
          <w:highlight w:val="none"/>
          <w:u w:val="single"/>
        </w:rPr>
        <w:t>（全称）（盖单位章）</w:t>
      </w:r>
    </w:p>
    <w:p>
      <w:pPr>
        <w:spacing w:line="360" w:lineRule="auto"/>
        <w:ind w:firstLine="480" w:firstLineChars="200"/>
        <w:rPr>
          <w:rFonts w:hint="eastAsia" w:ascii="宋体" w:hAnsi="宋体" w:cs="宋体"/>
          <w:color w:val="auto"/>
          <w:sz w:val="24"/>
          <w:highlight w:val="none"/>
        </w:rPr>
        <w:sectPr>
          <w:footnotePr>
            <w:numFmt w:val="decimalEnclosedCircleChinese"/>
            <w:numRestart w:val="eachPage"/>
          </w:footnotePr>
          <w:type w:val="nextColumn"/>
          <w:pgSz w:w="11900" w:h="16840"/>
          <w:pgMar w:top="1418" w:right="1418" w:bottom="1418" w:left="1701" w:header="885" w:footer="680" w:gutter="0"/>
          <w:cols w:space="720" w:num="1"/>
          <w:docGrid w:linePitch="286" w:charSpace="0"/>
        </w:sectPr>
      </w:pPr>
    </w:p>
    <w:p>
      <w:pPr>
        <w:spacing w:line="360" w:lineRule="auto"/>
        <w:outlineLvl w:val="2"/>
        <w:rPr>
          <w:rStyle w:val="111"/>
          <w:rFonts w:ascii="Times New Roman" w:hAnsi="Times New Roman"/>
          <w:b w:val="0"/>
          <w:bCs w:val="0"/>
          <w:color w:val="auto"/>
          <w:highlight w:val="none"/>
        </w:rPr>
      </w:pPr>
      <w:bookmarkStart w:id="634" w:name="_Toc523921849"/>
      <w:r>
        <w:rPr>
          <w:rStyle w:val="111"/>
          <w:rFonts w:hint="eastAsia" w:ascii="Times New Roman" w:hAnsi="Times New Roman"/>
          <w:b w:val="0"/>
          <w:bCs w:val="0"/>
          <w:color w:val="auto"/>
          <w:highlight w:val="none"/>
        </w:rPr>
        <w:t>附件三</w:t>
      </w:r>
      <w:r>
        <w:rPr>
          <w:rStyle w:val="111"/>
          <w:rFonts w:ascii="Times New Roman" w:hAnsi="Times New Roman"/>
          <w:b w:val="0"/>
          <w:bCs w:val="0"/>
          <w:color w:val="auto"/>
          <w:highlight w:val="none"/>
        </w:rPr>
        <w:t xml:space="preserve"> </w:t>
      </w:r>
      <w:r>
        <w:rPr>
          <w:rStyle w:val="111"/>
          <w:rFonts w:hint="eastAsia" w:ascii="Times New Roman" w:hAnsi="Times New Roman"/>
          <w:b w:val="0"/>
          <w:bCs w:val="0"/>
          <w:color w:val="auto"/>
          <w:highlight w:val="none"/>
        </w:rPr>
        <w:t>其他主要监理</w:t>
      </w:r>
      <w:r>
        <w:rPr>
          <w:rStyle w:val="111"/>
          <w:rFonts w:hint="eastAsia" w:ascii="黑体" w:hAnsi="黑体"/>
          <w:b w:val="0"/>
          <w:bCs w:val="0"/>
          <w:color w:val="auto"/>
          <w:highlight w:val="none"/>
        </w:rPr>
        <w:t xml:space="preserve"> □</w:t>
      </w:r>
      <w:r>
        <w:rPr>
          <w:rStyle w:val="111"/>
          <w:rFonts w:hint="eastAsia" w:ascii="Times New Roman" w:hAnsi="Times New Roman"/>
          <w:b w:val="0"/>
          <w:bCs w:val="0"/>
          <w:color w:val="auto"/>
          <w:highlight w:val="none"/>
        </w:rPr>
        <w:t>（含监理试验室）人员最低要求</w:t>
      </w:r>
      <w:bookmarkEnd w:id="634"/>
    </w:p>
    <w:tbl>
      <w:tblPr>
        <w:tblStyle w:val="48"/>
        <w:tblW w:w="88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2798"/>
        <w:gridCol w:w="1134"/>
        <w:gridCol w:w="4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7" w:type="dxa"/>
            <w:vAlign w:val="center"/>
          </w:tcPr>
          <w:p>
            <w:pPr>
              <w:pStyle w:val="276"/>
              <w:adjustRightInd w:val="0"/>
              <w:snapToGrid w:val="0"/>
              <w:spacing w:line="36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标段</w:t>
            </w:r>
          </w:p>
        </w:tc>
        <w:tc>
          <w:tcPr>
            <w:tcW w:w="2798" w:type="dxa"/>
            <w:vAlign w:val="center"/>
          </w:tcPr>
          <w:p>
            <w:pPr>
              <w:pStyle w:val="276"/>
              <w:adjustRightInd w:val="0"/>
              <w:snapToGrid w:val="0"/>
              <w:spacing w:line="36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人员</w:t>
            </w:r>
          </w:p>
        </w:tc>
        <w:tc>
          <w:tcPr>
            <w:tcW w:w="1134" w:type="dxa"/>
            <w:vAlign w:val="center"/>
          </w:tcPr>
          <w:p>
            <w:pPr>
              <w:pStyle w:val="276"/>
              <w:adjustRightInd w:val="0"/>
              <w:snapToGrid w:val="0"/>
              <w:spacing w:line="36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数量</w:t>
            </w:r>
          </w:p>
        </w:tc>
        <w:tc>
          <w:tcPr>
            <w:tcW w:w="4112" w:type="dxa"/>
            <w:vAlign w:val="center"/>
          </w:tcPr>
          <w:p>
            <w:pPr>
              <w:pStyle w:val="276"/>
              <w:adjustRightInd w:val="0"/>
              <w:snapToGrid w:val="0"/>
              <w:spacing w:line="36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97" w:type="dxa"/>
            <w:vMerge w:val="restart"/>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pStyle w:val="276"/>
              <w:adjustRightInd w:val="0"/>
              <w:snapToGrid w:val="0"/>
              <w:spacing w:line="360" w:lineRule="exact"/>
              <w:jc w:val="lef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一、监理岗位</w:t>
            </w:r>
          </w:p>
        </w:tc>
        <w:tc>
          <w:tcPr>
            <w:tcW w:w="1134"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u w:val="single"/>
              </w:rPr>
            </w:pP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97" w:type="dxa"/>
            <w:vMerge w:val="continue"/>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pStyle w:val="276"/>
              <w:adjustRightInd w:val="0"/>
              <w:snapToGrid w:val="0"/>
              <w:spacing w:line="360" w:lineRule="exact"/>
              <w:jc w:val="lef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专业监理工程师</w:t>
            </w:r>
          </w:p>
        </w:tc>
        <w:tc>
          <w:tcPr>
            <w:tcW w:w="1134" w:type="dxa"/>
            <w:vAlign w:val="center"/>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97" w:type="dxa"/>
            <w:vMerge w:val="continue"/>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专业监理工程师</w:t>
            </w:r>
          </w:p>
        </w:tc>
        <w:tc>
          <w:tcPr>
            <w:tcW w:w="1134" w:type="dxa"/>
            <w:vAlign w:val="center"/>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continue"/>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u w:val="single"/>
              </w:rPr>
              <w:t xml:space="preserve">           </w:t>
            </w:r>
          </w:p>
        </w:tc>
        <w:tc>
          <w:tcPr>
            <w:tcW w:w="1134" w:type="dxa"/>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continue"/>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u w:val="single"/>
              </w:rPr>
              <w:t xml:space="preserve">           </w:t>
            </w:r>
          </w:p>
        </w:tc>
        <w:tc>
          <w:tcPr>
            <w:tcW w:w="1134" w:type="dxa"/>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continue"/>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u w:val="single"/>
              </w:rPr>
              <w:t xml:space="preserve">           </w:t>
            </w:r>
          </w:p>
        </w:tc>
        <w:tc>
          <w:tcPr>
            <w:tcW w:w="1134" w:type="dxa"/>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continue"/>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u w:val="single"/>
              </w:rPr>
              <w:t xml:space="preserve">           </w:t>
            </w:r>
          </w:p>
        </w:tc>
        <w:tc>
          <w:tcPr>
            <w:tcW w:w="1134" w:type="dxa"/>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continue"/>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二、监理试验室岗位</w:t>
            </w:r>
          </w:p>
        </w:tc>
        <w:tc>
          <w:tcPr>
            <w:tcW w:w="1134"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continue"/>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技术负责人</w:t>
            </w:r>
          </w:p>
        </w:tc>
        <w:tc>
          <w:tcPr>
            <w:tcW w:w="1134" w:type="dxa"/>
            <w:vAlign w:val="center"/>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continue"/>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试验检测工程师</w:t>
            </w:r>
          </w:p>
        </w:tc>
        <w:tc>
          <w:tcPr>
            <w:tcW w:w="1134" w:type="dxa"/>
            <w:vAlign w:val="center"/>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continue"/>
          </w:tcPr>
          <w:p>
            <w:pPr>
              <w:pStyle w:val="276"/>
              <w:adjustRightInd w:val="0"/>
              <w:snapToGrid w:val="0"/>
              <w:spacing w:line="360" w:lineRule="exact"/>
              <w:rPr>
                <w:rFonts w:hint="eastAsia" w:cs="宋体" w:asciiTheme="minorEastAsia" w:hAnsiTheme="minorEastAsia" w:eastAsiaTheme="minorEastAsia"/>
                <w:color w:val="auto"/>
                <w:szCs w:val="21"/>
                <w:highlight w:val="none"/>
              </w:rPr>
            </w:pPr>
          </w:p>
        </w:tc>
        <w:tc>
          <w:tcPr>
            <w:tcW w:w="2798"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u w:val="single"/>
              </w:rPr>
              <w:t xml:space="preserve">           </w:t>
            </w:r>
          </w:p>
        </w:tc>
        <w:tc>
          <w:tcPr>
            <w:tcW w:w="1134" w:type="dxa"/>
            <w:vAlign w:val="center"/>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bl>
    <w:p>
      <w:pPr>
        <w:pStyle w:val="276"/>
        <w:rPr>
          <w:rFonts w:hint="eastAsia" w:ascii="宋体" w:hAnsi="宋体" w:cs="宋体"/>
          <w:color w:val="000000" w:themeColor="text1"/>
          <w:sz w:val="24"/>
          <w:highlight w:val="none"/>
          <w14:textFill>
            <w14:solidFill>
              <w14:schemeClr w14:val="tx1"/>
            </w14:solidFill>
          </w14:textFill>
        </w:rPr>
      </w:pPr>
      <w:bookmarkStart w:id="635" w:name="_Toc523921850"/>
      <w:r>
        <w:rPr>
          <w:rFonts w:hint="eastAsia" w:ascii="宋体" w:hAnsi="宋体" w:cs="宋体"/>
          <w:color w:val="000000" w:themeColor="text1"/>
          <w:sz w:val="24"/>
          <w:highlight w:val="none"/>
          <w14:textFill>
            <w14:solidFill>
              <w14:schemeClr w14:val="tx1"/>
            </w14:solidFill>
          </w14:textFill>
        </w:rPr>
        <w:t>注：其他主要监理（□含监理试验室）人员最低要求的一般规定：</w:t>
      </w:r>
    </w:p>
    <w:p>
      <w:pPr>
        <w:pStyle w:val="276"/>
        <w:ind w:left="143" w:leftChars="67" w:hanging="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a．招标人应在招标文件中规定若投标人在所投标段中标需派驻的其他主要监理（□（含监理试验室）人员。监理人员的岗位、数量及资格条件要求应按照《公路工程施工监理规范》（JTG G10-2016）的规定设置。上述人员的具体人选由招标人和中标人在合同谈判阶段确定，且经招标人审批后作为派驻本标段的主要监理人员。如中标人拟派驻的人员数量和资格条件不满足本表要求，招标人应取消其中标资格。</w:t>
      </w:r>
    </w:p>
    <w:p>
      <w:pPr>
        <w:pStyle w:val="276"/>
        <w:ind w:left="143" w:leftChars="67" w:hanging="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b．本表不适用于已按招标文件要求提供了其他主要监理人员的特殊复杂的特大桥和特长隧道项目主体工程以及其他有特殊要求的工程。</w:t>
      </w:r>
    </w:p>
    <w:p>
      <w:pPr>
        <w:pStyle w:val="276"/>
        <w:ind w:left="143" w:leftChars="67" w:hanging="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c．在第二章“投标人须知”前附表“附录5 资格审查条件（其他主要监理人员最低要求）”中已作要求的专业监理工程师，在“合同附件三其他主要监理人员最低要求”中不得重复设置。</w:t>
      </w:r>
    </w:p>
    <w:p>
      <w:pPr>
        <w:pStyle w:val="276"/>
        <w:ind w:left="143" w:leftChars="67" w:hanging="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d．招标人若在招标文件中设置本表所列人员要求，中标人仅在签订合同时提供。</w:t>
      </w:r>
    </w:p>
    <w:p>
      <w:pPr>
        <w:spacing w:line="360" w:lineRule="auto"/>
        <w:outlineLvl w:val="2"/>
        <w:rPr>
          <w:color w:val="auto"/>
          <w:sz w:val="24"/>
          <w:highlight w:val="none"/>
        </w:rPr>
      </w:pPr>
      <w:r>
        <w:rPr>
          <w:rFonts w:hint="eastAsia" w:ascii="黑体" w:hAnsi="黑体" w:eastAsia="黑体" w:cs="黑体"/>
          <w:color w:val="auto"/>
          <w:sz w:val="30"/>
          <w:szCs w:val="30"/>
          <w:highlight w:val="none"/>
        </w:rPr>
        <w:br w:type="page"/>
      </w:r>
      <w:r>
        <w:rPr>
          <w:rStyle w:val="111"/>
          <w:rFonts w:hint="eastAsia" w:ascii="黑体" w:hAnsi="黑体"/>
          <w:b w:val="0"/>
          <w:color w:val="auto"/>
          <w:highlight w:val="none"/>
        </w:rPr>
        <w:t>□</w:t>
      </w:r>
      <w:r>
        <w:rPr>
          <w:rStyle w:val="111"/>
          <w:rFonts w:ascii="Times New Roman" w:hAnsi="Times New Roman"/>
          <w:b w:val="0"/>
          <w:color w:val="auto"/>
          <w:highlight w:val="none"/>
        </w:rPr>
        <w:t xml:space="preserve"> </w:t>
      </w:r>
      <w:r>
        <w:rPr>
          <w:rStyle w:val="111"/>
          <w:rFonts w:hint="eastAsia" w:ascii="Times New Roman" w:hAnsi="Times New Roman"/>
          <w:b w:val="0"/>
          <w:bCs w:val="0"/>
          <w:color w:val="auto"/>
          <w:highlight w:val="none"/>
        </w:rPr>
        <w:t>附件四</w:t>
      </w:r>
      <w:r>
        <w:rPr>
          <w:rStyle w:val="111"/>
          <w:rFonts w:ascii="Times New Roman" w:hAnsi="Times New Roman"/>
          <w:b w:val="0"/>
          <w:bCs w:val="0"/>
          <w:color w:val="auto"/>
          <w:highlight w:val="none"/>
        </w:rPr>
        <w:t xml:space="preserve"> </w:t>
      </w:r>
      <w:r>
        <w:rPr>
          <w:rStyle w:val="111"/>
          <w:rFonts w:hint="eastAsia" w:ascii="Times New Roman" w:hAnsi="Times New Roman"/>
          <w:b w:val="0"/>
          <w:bCs w:val="0"/>
          <w:color w:val="auto"/>
          <w:highlight w:val="none"/>
        </w:rPr>
        <w:t>主要试验检测设备最低要</w:t>
      </w:r>
      <w:r>
        <w:rPr>
          <w:rStyle w:val="111"/>
          <w:rFonts w:hint="eastAsia" w:ascii="Times New Roman" w:hAnsi="Times New Roman"/>
          <w:b w:val="0"/>
          <w:bCs w:val="0"/>
          <w:color w:val="auto"/>
          <w:szCs w:val="28"/>
          <w:highlight w:val="none"/>
        </w:rPr>
        <w:t>求</w:t>
      </w:r>
    </w:p>
    <w:p>
      <w:pPr>
        <w:autoSpaceDE w:val="0"/>
        <w:autoSpaceDN w:val="0"/>
        <w:adjustRightInd w:val="0"/>
        <w:jc w:val="left"/>
        <w:rPr>
          <w:rFonts w:hint="eastAsia" w:ascii="宋体" w:hAnsi="宋体" w:cs="宋体"/>
          <w:color w:val="auto"/>
          <w:kern w:val="0"/>
          <w:sz w:val="9"/>
          <w:szCs w:val="9"/>
          <w:highlight w:val="none"/>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6"/>
        <w:gridCol w:w="2186"/>
        <w:gridCol w:w="2186"/>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vAlign w:val="center"/>
          </w:tcPr>
          <w:p>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设备名称</w:t>
            </w:r>
          </w:p>
        </w:tc>
        <w:tc>
          <w:tcPr>
            <w:tcW w:w="2186" w:type="dxa"/>
            <w:vAlign w:val="center"/>
          </w:tcPr>
          <w:p>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规格、功率及容量</w:t>
            </w:r>
          </w:p>
        </w:tc>
        <w:tc>
          <w:tcPr>
            <w:tcW w:w="2186" w:type="dxa"/>
            <w:vAlign w:val="center"/>
          </w:tcPr>
          <w:p>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2186" w:type="dxa"/>
            <w:vAlign w:val="center"/>
          </w:tcPr>
          <w:p>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最低数量要求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bl>
    <w:p>
      <w:pPr>
        <w:autoSpaceDE w:val="0"/>
        <w:autoSpaceDN w:val="0"/>
        <w:adjustRightInd w:val="0"/>
        <w:jc w:val="left"/>
        <w:rPr>
          <w:rFonts w:hint="eastAsia" w:ascii="宋体" w:hAnsi="宋体" w:cs="宋体"/>
          <w:color w:val="auto"/>
          <w:kern w:val="0"/>
          <w:sz w:val="9"/>
          <w:szCs w:val="9"/>
          <w:highlight w:val="none"/>
        </w:rPr>
      </w:pPr>
    </w:p>
    <w:p>
      <w:pPr>
        <w:autoSpaceDE w:val="0"/>
        <w:autoSpaceDN w:val="0"/>
        <w:adjustRightInd w:val="0"/>
        <w:jc w:val="left"/>
        <w:rPr>
          <w:rFonts w:hint="eastAsia" w:ascii="宋体" w:hAnsi="宋体" w:cs="宋体"/>
          <w:color w:val="auto"/>
          <w:kern w:val="0"/>
          <w:sz w:val="9"/>
          <w:szCs w:val="9"/>
          <w:highlight w:val="none"/>
        </w:rPr>
      </w:pPr>
    </w:p>
    <w:p>
      <w:pPr>
        <w:autoSpaceDE w:val="0"/>
        <w:autoSpaceDN w:val="0"/>
        <w:adjustRightInd w:val="0"/>
        <w:jc w:val="left"/>
        <w:rPr>
          <w:rFonts w:hint="eastAsia" w:ascii="宋体" w:hAnsi="宋体" w:cs="宋体"/>
          <w:color w:val="auto"/>
          <w:kern w:val="0"/>
          <w:sz w:val="9"/>
          <w:szCs w:val="9"/>
          <w:highlight w:val="none"/>
        </w:rPr>
      </w:pPr>
    </w:p>
    <w:p>
      <w:pPr>
        <w:autoSpaceDE w:val="0"/>
        <w:autoSpaceDN w:val="0"/>
        <w:adjustRightInd w:val="0"/>
        <w:jc w:val="left"/>
        <w:rPr>
          <w:rFonts w:hint="eastAsia" w:ascii="宋体" w:hAnsi="宋体" w:cs="宋体"/>
          <w:color w:val="auto"/>
          <w:kern w:val="0"/>
          <w:sz w:val="9"/>
          <w:szCs w:val="9"/>
          <w:highlight w:val="none"/>
        </w:rPr>
      </w:pPr>
    </w:p>
    <w:p>
      <w:pPr>
        <w:autoSpaceDE w:val="0"/>
        <w:autoSpaceDN w:val="0"/>
        <w:adjustRightInd w:val="0"/>
        <w:jc w:val="left"/>
        <w:rPr>
          <w:rFonts w:hint="eastAsia" w:ascii="宋体" w:hAnsi="宋体" w:cs="宋体"/>
          <w:color w:val="auto"/>
          <w:kern w:val="0"/>
          <w:sz w:val="9"/>
          <w:szCs w:val="9"/>
          <w:highlight w:val="none"/>
        </w:rPr>
      </w:pPr>
    </w:p>
    <w:p>
      <w:pPr>
        <w:autoSpaceDE w:val="0"/>
        <w:autoSpaceDN w:val="0"/>
        <w:adjustRightIn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注：</w:t>
      </w:r>
      <w:r>
        <w:rPr>
          <w:rFonts w:hint="eastAsia" w:ascii="宋体" w:hAnsi="宋体" w:cs="宋体"/>
          <w:color w:val="auto"/>
          <w:kern w:val="0"/>
          <w:highlight w:val="none"/>
        </w:rPr>
        <w:t>当招标范围包含监理试验室时，招标人应在招标文件中规定投标人在所投标段中标须提供的主要试验检测设备。招标人将在合同谈判阶段要求中标人按照本表的最低要求填报为本标段配备的主要试验检测设备，在经招标人审批后作为投入本标段的主要试验检测设备且不允许更换。如中标人拟提供的设备数量和规格指标等不满足本表要求，招标人应取消其中标资格。</w:t>
      </w:r>
    </w:p>
    <w:p>
      <w:pPr>
        <w:rPr>
          <w:color w:val="auto"/>
          <w:sz w:val="24"/>
          <w:highlight w:val="none"/>
        </w:rPr>
      </w:pPr>
    </w:p>
    <w:p>
      <w:pPr>
        <w:rPr>
          <w:color w:val="auto"/>
          <w:sz w:val="24"/>
          <w:highlight w:val="none"/>
        </w:rPr>
      </w:pPr>
    </w:p>
    <w:p>
      <w:pPr>
        <w:spacing w:line="360" w:lineRule="auto"/>
        <w:outlineLvl w:val="2"/>
        <w:rPr>
          <w:rStyle w:val="111"/>
          <w:rFonts w:ascii="Times New Roman" w:hAnsi="Times New Roman"/>
          <w:b w:val="0"/>
          <w:color w:val="auto"/>
          <w:highlight w:val="none"/>
        </w:rPr>
      </w:pPr>
      <w:r>
        <w:rPr>
          <w:rFonts w:hint="eastAsia" w:ascii="宋体" w:hAnsi="宋体" w:eastAsia="宋体" w:cs="宋体"/>
          <w:b w:val="0"/>
          <w:bCs w:val="0"/>
          <w:color w:val="auto"/>
          <w:sz w:val="30"/>
          <w:szCs w:val="30"/>
          <w:highlight w:val="none"/>
        </w:rPr>
        <w:br w:type="page"/>
      </w:r>
      <w:r>
        <w:rPr>
          <w:rStyle w:val="111"/>
          <w:rFonts w:hint="eastAsia" w:ascii="Times New Roman" w:hAnsi="Times New Roman"/>
          <w:b w:val="0"/>
          <w:color w:val="auto"/>
          <w:highlight w:val="none"/>
        </w:rPr>
        <w:t>附件五</w:t>
      </w:r>
      <w:r>
        <w:rPr>
          <w:rStyle w:val="111"/>
          <w:rFonts w:ascii="Times New Roman" w:hAnsi="Times New Roman"/>
          <w:b w:val="0"/>
          <w:color w:val="auto"/>
          <w:highlight w:val="none"/>
        </w:rPr>
        <w:t xml:space="preserve"> </w:t>
      </w:r>
      <w:r>
        <w:rPr>
          <w:rStyle w:val="111"/>
          <w:rFonts w:hint="eastAsia" w:ascii="Times New Roman" w:hAnsi="Times New Roman"/>
          <w:b w:val="0"/>
          <w:color w:val="auto"/>
          <w:highlight w:val="none"/>
        </w:rPr>
        <w:t>履约保证金格式</w:t>
      </w:r>
      <w:bookmarkEnd w:id="635"/>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如采用银行保函，格式如下。</w:t>
      </w:r>
    </w:p>
    <w:p>
      <w:pPr>
        <w:spacing w:line="360" w:lineRule="auto"/>
        <w:ind w:firstLine="560" w:firstLineChars="200"/>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履约保证金</w:t>
      </w:r>
    </w:p>
    <w:p>
      <w:pPr>
        <w:spacing w:line="360" w:lineRule="auto"/>
        <w:ind w:firstLine="480" w:firstLineChars="200"/>
        <w:rPr>
          <w:rFonts w:hint="eastAsia" w:ascii="宋体" w:hAnsi="宋体" w:cs="宋体"/>
          <w:color w:val="auto"/>
          <w:sz w:val="24"/>
          <w:highlight w:val="none"/>
        </w:rPr>
      </w:pPr>
    </w:p>
    <w:p>
      <w:pPr>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（委托人名称）：</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鉴于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（委托人名称，以下简称“委托人”）接受</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（监理人名称）（以下称“监理人”）于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（项目名称）招标第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标段的施工监理投标。我方愿意无条件地、不可撤销地就监理人履行与你方订立的合同，向你方提供担保。</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1.担保金额人民币（大写）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2.担保有效期自委托人与监理人签订的合同生效之日起至委托人签发交工验收证书且监理人按照合同约定提交缺陷责任期保函之日止。</w:t>
      </w:r>
    </w:p>
    <w:p>
      <w:pPr>
        <w:pStyle w:val="2"/>
        <w:spacing w:line="360" w:lineRule="auto"/>
        <w:ind w:left="2" w:leftChars="0" w:firstLine="422" w:firstLineChars="176"/>
        <w:rPr>
          <w:rFonts w:hint="eastAsia" w:ascii="宋体" w:hAnsi="宋体" w:cs="宋体"/>
          <w:color w:val="auto"/>
          <w:sz w:val="24"/>
          <w:szCs w:val="24"/>
          <w:highlight w:val="none"/>
        </w:rPr>
      </w:pPr>
      <w:r>
        <w:rPr>
          <w:rFonts w:hint="eastAsia" w:ascii="宋体" w:hAnsi="宋体" w:cs="宋体"/>
          <w:color w:val="auto"/>
          <w:sz w:val="24"/>
          <w:szCs w:val="24"/>
          <w:highlight w:val="none"/>
        </w:rPr>
        <w:t>注：本条内容可修改为：“本担保自</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szCs w:val="24"/>
          <w:highlight w:val="none"/>
        </w:rPr>
        <w:t>（生效日期）之日起生效，至</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szCs w:val="24"/>
          <w:highlight w:val="none"/>
        </w:rPr>
        <w:t>（失效日期）之日失效。”如委托人接受履约保函采用固定有效期，在项目专用合同条款中应增加保证监理人在履约保函失效日前向委托人出具后续阶段履约保函的约束性条款，直至委托人签发交工验收证书且监理人按照合同约定提交缺陷责任保函之日为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3.在本担保有效期内，因监理人违反合同约定的义务给你方造成经济损失时，我方在收到你方以书面形式提出的在担保金额内的赔偿要求后，在7天内无条件支付，无须你方出具证明或陈述理由。</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4.委托人和监理人按合同条款变更合同时，我方承担本担保规定的义务不变。</w:t>
      </w:r>
    </w:p>
    <w:p>
      <w:pPr>
        <w:spacing w:line="360" w:lineRule="auto"/>
        <w:ind w:firstLine="3240" w:firstLineChars="1350"/>
        <w:rPr>
          <w:rFonts w:hint="eastAsia" w:ascii="宋体" w:hAnsi="宋体" w:cs="宋体"/>
          <w:color w:val="auto"/>
          <w:sz w:val="24"/>
          <w:highlight w:val="none"/>
        </w:rPr>
      </w:pPr>
    </w:p>
    <w:p>
      <w:pPr>
        <w:spacing w:line="360" w:lineRule="auto"/>
        <w:ind w:firstLine="2400" w:firstLineChars="1000"/>
        <w:rPr>
          <w:rFonts w:hint="eastAsia" w:ascii="宋体" w:hAnsi="宋体" w:cs="宋体"/>
          <w:color w:val="auto"/>
          <w:sz w:val="24"/>
          <w:highlight w:val="none"/>
        </w:rPr>
      </w:pPr>
      <w:r>
        <w:rPr>
          <w:rFonts w:hint="eastAsia" w:ascii="宋体" w:hAnsi="宋体" w:cs="宋体"/>
          <w:color w:val="auto"/>
          <w:sz w:val="24"/>
          <w:highlight w:val="none"/>
        </w:rPr>
        <w:t>担 保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（盖单位章或业务专用章）   </w:t>
      </w:r>
    </w:p>
    <w:p>
      <w:pPr>
        <w:spacing w:line="360" w:lineRule="auto"/>
        <w:ind w:firstLine="2400" w:firstLineChars="10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2400" w:firstLineChars="1000"/>
        <w:rPr>
          <w:rFonts w:hint="eastAsia" w:ascii="宋体" w:hAnsi="宋体" w:cs="宋体"/>
          <w:color w:val="auto"/>
          <w:sz w:val="24"/>
          <w:highlight w:val="none"/>
        </w:rPr>
      </w:pPr>
      <w:r>
        <w:rPr>
          <w:rFonts w:hint="eastAsia" w:ascii="宋体" w:hAnsi="宋体" w:cs="宋体"/>
          <w:color w:val="auto"/>
          <w:sz w:val="24"/>
          <w:highlight w:val="none"/>
        </w:rPr>
        <w:t>或单位负责人（或其委托代理人）：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（签字） </w:t>
      </w:r>
    </w:p>
    <w:p>
      <w:pPr>
        <w:spacing w:line="360" w:lineRule="auto"/>
        <w:ind w:firstLine="2400" w:firstLineChars="1000"/>
        <w:rPr>
          <w:rFonts w:hint="eastAsia" w:ascii="宋体" w:hAnsi="宋体" w:cs="宋体"/>
          <w:color w:val="auto"/>
          <w:sz w:val="24"/>
          <w:highlight w:val="none"/>
          <w:u w:val="single"/>
        </w:rPr>
      </w:pPr>
      <w:r>
        <w:rPr>
          <w:rFonts w:hint="eastAsia" w:ascii="宋体" w:hAnsi="宋体" w:cs="宋体"/>
          <w:color w:val="auto"/>
          <w:sz w:val="24"/>
          <w:highlight w:val="none"/>
        </w:rPr>
        <w:t xml:space="preserve">地 </w:t>
      </w:r>
      <w:r>
        <w:rPr>
          <w:rFonts w:hint="eastAsia" w:ascii="宋体" w:hAnsi="宋体" w:cs="宋体"/>
          <w:color w:val="auto"/>
          <w:sz w:val="24"/>
          <w:highlight w:val="none"/>
        </w:rPr>
        <w:tab/>
      </w:r>
      <w:r>
        <w:rPr>
          <w:rFonts w:hint="eastAsia" w:ascii="宋体" w:hAnsi="宋体" w:cs="宋体"/>
          <w:color w:val="auto"/>
          <w:sz w:val="24"/>
          <w:highlight w:val="none"/>
        </w:rPr>
        <w:t xml:space="preserve">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2400" w:firstLineChars="1000"/>
        <w:rPr>
          <w:rFonts w:hint="eastAsia" w:ascii="宋体" w:hAnsi="宋体" w:cs="宋体"/>
          <w:color w:val="auto"/>
          <w:sz w:val="24"/>
          <w:highlight w:val="none"/>
          <w:u w:val="singl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2400" w:firstLineChars="1000"/>
        <w:rPr>
          <w:rFonts w:hint="eastAsia" w:ascii="宋体" w:hAnsi="宋体" w:cs="宋体"/>
          <w:color w:val="auto"/>
          <w:sz w:val="24"/>
          <w:highlight w:val="none"/>
        </w:rPr>
      </w:pPr>
      <w:r>
        <w:rPr>
          <w:rFonts w:hint="eastAsia" w:ascii="宋体" w:hAnsi="宋体" w:cs="宋体"/>
          <w:color w:val="auto"/>
          <w:sz w:val="24"/>
          <w:highlight w:val="none"/>
        </w:rPr>
        <w:t>电</w:t>
      </w:r>
      <w:r>
        <w:rPr>
          <w:rFonts w:hint="eastAsia" w:ascii="宋体" w:hAnsi="宋体" w:cs="宋体"/>
          <w:color w:val="auto"/>
          <w:sz w:val="24"/>
          <w:highlight w:val="none"/>
        </w:rPr>
        <w:tab/>
      </w:r>
      <w:r>
        <w:rPr>
          <w:rFonts w:hint="eastAsia" w:ascii="宋体" w:hAnsi="宋体" w:cs="宋体"/>
          <w:color w:val="auto"/>
          <w:sz w:val="24"/>
          <w:highlight w:val="none"/>
        </w:rPr>
        <w:t xml:space="preserve">  话：</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r>
        <w:rPr>
          <w:rFonts w:hint="eastAsia" w:ascii="宋体" w:hAnsi="宋体" w:cs="宋体"/>
          <w:color w:val="auto"/>
          <w:sz w:val="24"/>
          <w:highlight w:val="none"/>
        </w:rPr>
        <w:tab/>
      </w:r>
      <w:r>
        <w:rPr>
          <w:rFonts w:hint="eastAsia" w:ascii="宋体" w:hAnsi="宋体" w:cs="宋体"/>
          <w:color w:val="auto"/>
          <w:sz w:val="24"/>
          <w:highlight w:val="none"/>
        </w:rPr>
        <w:t xml:space="preserve"> </w:t>
      </w:r>
    </w:p>
    <w:p>
      <w:pPr>
        <w:spacing w:line="360" w:lineRule="auto"/>
        <w:ind w:firstLine="2400" w:firstLineChars="1000"/>
        <w:rPr>
          <w:rFonts w:hint="eastAsia" w:ascii="宋体" w:hAnsi="宋体" w:cs="宋体"/>
          <w:color w:val="auto"/>
          <w:sz w:val="24"/>
          <w:highlight w:val="none"/>
        </w:rPr>
      </w:pPr>
      <w:r>
        <w:rPr>
          <w:rFonts w:hint="eastAsia" w:ascii="宋体" w:hAnsi="宋体" w:cs="宋体"/>
          <w:color w:val="auto"/>
          <w:sz w:val="24"/>
          <w:highlight w:val="none"/>
        </w:rPr>
        <w:t>传</w:t>
      </w:r>
      <w:r>
        <w:rPr>
          <w:rFonts w:hint="eastAsia" w:ascii="宋体" w:hAnsi="宋体" w:cs="宋体"/>
          <w:color w:val="auto"/>
          <w:sz w:val="24"/>
          <w:highlight w:val="none"/>
        </w:rPr>
        <w:tab/>
      </w:r>
      <w:r>
        <w:rPr>
          <w:rFonts w:hint="eastAsia" w:ascii="宋体" w:hAnsi="宋体" w:cs="宋体"/>
          <w:color w:val="auto"/>
          <w:sz w:val="24"/>
          <w:highlight w:val="none"/>
        </w:rPr>
        <w:t xml:space="preserve">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5400" w:firstLineChars="225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360" w:lineRule="auto"/>
        <w:ind w:firstLine="480" w:firstLineChars="200"/>
        <w:rPr>
          <w:rFonts w:hint="eastAsia" w:ascii="宋体" w:hAnsi="宋体" w:cs="宋体"/>
          <w:color w:val="auto"/>
          <w:sz w:val="24"/>
          <w:highlight w:val="none"/>
        </w:rPr>
        <w:sectPr>
          <w:footerReference r:id="rId17" w:type="default"/>
          <w:footerReference r:id="rId18" w:type="even"/>
          <w:footnotePr>
            <w:numFmt w:val="decimalEnclosedCircleChinese"/>
            <w:numRestart w:val="eachPage"/>
          </w:footnotePr>
          <w:type w:val="nextColumn"/>
          <w:pgSz w:w="11900" w:h="16840"/>
          <w:pgMar w:top="1418" w:right="1418" w:bottom="1418" w:left="1701" w:header="885" w:footer="680" w:gutter="0"/>
          <w:cols w:space="720" w:num="1"/>
          <w:docGrid w:linePitch="286" w:charSpace="0"/>
        </w:sect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spacing w:line="240" w:lineRule="auto"/>
        <w:rPr>
          <w:rFonts w:hint="eastAsia" w:ascii="黑体" w:hAnsi="黑体" w:cs="黑体"/>
          <w:color w:val="auto"/>
          <w:sz w:val="76"/>
          <w:szCs w:val="76"/>
          <w:highlight w:val="none"/>
        </w:rPr>
      </w:pPr>
      <w:bookmarkStart w:id="636" w:name="_Toc519601512"/>
      <w:bookmarkStart w:id="637" w:name="_Toc28187732"/>
      <w:r>
        <w:rPr>
          <w:rFonts w:hint="eastAsia" w:ascii="黑体" w:hAnsi="黑体" w:cs="黑体"/>
          <w:color w:val="auto"/>
          <w:sz w:val="76"/>
          <w:szCs w:val="76"/>
          <w:highlight w:val="none"/>
        </w:rPr>
        <w:t>第 二 卷</w:t>
      </w:r>
      <w:bookmarkEnd w:id="636"/>
      <w:bookmarkEnd w:id="637"/>
    </w:p>
    <w:p>
      <w:pPr>
        <w:pStyle w:val="276"/>
        <w:rPr>
          <w:rFonts w:hint="eastAsia" w:ascii="宋体" w:hAnsi="宋体" w:cs="宋体"/>
          <w:color w:val="auto"/>
          <w:highlight w:val="none"/>
        </w:rPr>
      </w:pPr>
      <w:bookmarkStart w:id="638" w:name="_Toc519601513"/>
      <w:bookmarkStart w:id="639" w:name="_Toc519777796"/>
      <w:bookmarkStart w:id="640" w:name="_Toc519777945"/>
      <w:bookmarkStart w:id="641" w:name="_Toc519777893"/>
      <w:bookmarkStart w:id="642" w:name="_Toc519777841"/>
      <w:bookmarkStart w:id="643" w:name="_Toc519778506"/>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rPr>
          <w:rFonts w:hint="eastAsia" w:ascii="黑体" w:hAnsi="黑体" w:cs="黑体"/>
          <w:b w:val="0"/>
          <w:color w:val="auto"/>
          <w:sz w:val="52"/>
          <w:szCs w:val="52"/>
          <w:highlight w:val="none"/>
        </w:rPr>
      </w:pPr>
      <w:bookmarkStart w:id="644" w:name="_Toc28187733"/>
      <w:r>
        <w:rPr>
          <w:rFonts w:hint="eastAsia" w:ascii="黑体" w:hAnsi="黑体" w:cs="黑体"/>
          <w:b w:val="0"/>
          <w:color w:val="auto"/>
          <w:sz w:val="52"/>
          <w:szCs w:val="52"/>
          <w:highlight w:val="none"/>
        </w:rPr>
        <w:t>第五章  委托人要求</w:t>
      </w:r>
      <w:bookmarkEnd w:id="638"/>
      <w:bookmarkEnd w:id="639"/>
      <w:bookmarkEnd w:id="640"/>
      <w:bookmarkEnd w:id="641"/>
      <w:bookmarkEnd w:id="642"/>
      <w:bookmarkEnd w:id="643"/>
      <w:bookmarkEnd w:id="644"/>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sz w:val="24"/>
          <w:highlight w:val="none"/>
        </w:rPr>
      </w:pPr>
      <w:r>
        <w:rPr>
          <w:rFonts w:hint="eastAsia" w:ascii="宋体" w:hAnsi="宋体" w:cs="宋体"/>
          <w:color w:val="auto"/>
          <w:sz w:val="24"/>
          <w:highlight w:val="none"/>
        </w:rPr>
        <w:t>注：招标人可结合招标项目具体特点和实际需要，对本章内容进行补充、细化。</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sectPr>
          <w:headerReference r:id="rId19" w:type="default"/>
          <w:footerReference r:id="rId20" w:type="default"/>
          <w:footnotePr>
            <w:numFmt w:val="decimalEnclosedCircleChinese"/>
            <w:numRestart w:val="eachPage"/>
          </w:footnotePr>
          <w:type w:val="nextColumn"/>
          <w:pgSz w:w="11900" w:h="16840"/>
          <w:pgMar w:top="1418" w:right="1418" w:bottom="1418" w:left="1701" w:header="885" w:footer="680" w:gutter="0"/>
          <w:cols w:space="720" w:num="1"/>
          <w:docGrid w:linePitch="360" w:charSpace="0"/>
        </w:sectPr>
      </w:pPr>
    </w:p>
    <w:p>
      <w:pPr>
        <w:spacing w:line="360" w:lineRule="auto"/>
        <w:jc w:val="center"/>
        <w:rPr>
          <w:rFonts w:hint="eastAsia" w:ascii="黑体" w:hAnsi="黑体" w:eastAsia="黑体" w:cs="宋体"/>
          <w:color w:val="auto"/>
          <w:sz w:val="32"/>
          <w:szCs w:val="32"/>
          <w:highlight w:val="none"/>
        </w:rPr>
      </w:pPr>
      <w:r>
        <w:rPr>
          <w:rFonts w:hint="eastAsia" w:ascii="黑体" w:hAnsi="黑体" w:eastAsia="黑体" w:cs="宋体"/>
          <w:color w:val="auto"/>
          <w:sz w:val="32"/>
          <w:szCs w:val="32"/>
          <w:highlight w:val="none"/>
        </w:rPr>
        <w:t>委 托 人 要 求</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要求应尽可能清晰准确，对于可以进行定量评估的工作，委托人要求不仅应明确规定其功能、用途、质量、环境、安全,并且要规定检验、试验、试运行的具体要求。对于监理人负责提供的有关服务，在委托人要求中应一并明确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委托人要求通常包括但不限于以下内容：</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一、监理要求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招标人应当根据项目情况在本章中明确相应的监理要求，一般应包括以下内容：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（一）项目概况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项目名称、建设单位、建设规模、技术标准、项目地理位置；项目的起讫地点、主要控制点；桥涵的结构形式；独立特大桥的桥型、荷载标准、跨径、桥长、桥宽、基础、水深、引道长度等；独立隧道的长度、宽度、防水排水、衬砌和设施等；附属设施标准、规格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2.项目周边环境、文物情况；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3.水文、气候、气象及地质简况；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4.交通、电力、通信及其他条件等。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（二）监理范围及内容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包括监理范围及主要监理内容，与监理范围对应的施工标段划分及各标段主要工程数量表等。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（三）监理依据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（四）监理人员和试验检测仪器设备要求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（五）其他要求</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二、适用规范标准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（一）通用施工监理规范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执行《公路工程施工监理规范》（JTG G10</w:t>
      </w:r>
      <w:r>
        <w:rPr>
          <w:rFonts w:hint="eastAsia" w:asciiTheme="minorEastAsia" w:hAnsiTheme="minorEastAsia" w:eastAsiaTheme="minorEastAsia" w:cstheme="minorEastAsia"/>
          <w:color w:val="auto"/>
          <w:sz w:val="24"/>
          <w:highlight w:val="none"/>
        </w:rPr>
        <w:t>—</w:t>
      </w:r>
      <w:r>
        <w:rPr>
          <w:rFonts w:hint="eastAsia" w:ascii="宋体" w:hAnsi="宋体" w:cs="宋体"/>
          <w:color w:val="auto"/>
          <w:sz w:val="24"/>
          <w:highlight w:val="none"/>
        </w:rPr>
        <w:t>2016）。</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（二）专用施工监理规范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专用施工监理规范由招标人根据工程的实际情况，在《公路工程施工监理规范》（JTG G10</w:t>
      </w:r>
      <w:r>
        <w:rPr>
          <w:rFonts w:hint="eastAsia" w:asciiTheme="minorEastAsia" w:hAnsiTheme="minorEastAsia" w:eastAsiaTheme="minorEastAsia" w:cstheme="minorEastAsia"/>
          <w:color w:val="auto"/>
          <w:sz w:val="24"/>
          <w:highlight w:val="none"/>
        </w:rPr>
        <w:t>—</w:t>
      </w:r>
      <w:r>
        <w:rPr>
          <w:rFonts w:hint="eastAsia" w:ascii="宋体" w:hAnsi="宋体" w:cs="宋体"/>
          <w:color w:val="auto"/>
          <w:sz w:val="24"/>
          <w:highlight w:val="none"/>
        </w:rPr>
        <w:t>2016）的基础上自行编制并纳入“委托人要求”中，但不得与国家、交通运输部及有关部门的法规、标准、规范等矛盾。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针对本工程或仅在本地区实行的与监理工作有关的管理办法、制度应一并纳入“委托人要求”中。</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（三）施工技术规范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施工技术规范包括以下内容：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1.本工程施工标段招标文件中的技术规范。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2.所有与工程施工有关的国家现行的公路建设标准、规范、规程及相关文件。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（四）国家、行业、项目所在地适用本工程的其他规范、标准或规程</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三、成果文件要求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（一）成果文件的组成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（二）成果文件的深度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（三）成果文件的格式要求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（四）成果文件的份数要求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（五）成果文件的载体要求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1.纸质版的要求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2.电子版的要求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3.其他要求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（六）成果文件的其他要求</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四、委托人财产清单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（一）委托人提供的设备、设施</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1.委托人提供的办公房屋及冷暖设施：如办公室数量及面积、空调等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2.委托人提供的设备清单：如计算机、投影仪、打印机、复印机等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3.委托人提供的设施清单：如办公桌椅、文件柜等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（二）委托人提供的资料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1.施工场地及毗邻区域内的供水、排水、供电、供气、供热、通信、广播电视等地下管线资料、气象和水文观测资料,相邻建筑物和构筑物、地下工程的有关资料，以及其他与公路工程有关的原始资料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2.定位放线的基准点、基准线和基准高程</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3.委托人取得的有关审批、核准和备案材料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4.勘察文件、设计文件等资料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5.技术标准、规范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6.工程承包合同及其他相关合同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7.其他资料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（三）委托人财产使用要求及退还要求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1.委托人财产使用要求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2.委托人财产退还要求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五、委托人提供的便利条件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（一）委托人提供的生活条件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（二）委托人提供的交通条件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（三）委托人提供的网络、通信条件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（四）委托人提供的协助人员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六、监理人需要自备的工作条件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（一）监理人自备的工作手册：如本项目必备的规范标准、图集等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（二）监理人自备的办公设备：如计算机、软件、投影仪、打印机、复印机、照相机等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（三）监理人自备的交通工具：如出行车辆等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（四）监理人自备的现场办公设施：如办公桌椅、文件柜等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（五）监理人自备的安全设施：如安全帽、安全鞋、手电筒等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（六）监理人自备的试验检测仪器、设备、工具</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（七）监理人自备的试验用房、样品用房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七、委托人的其他要求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委托人的其他要求：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rPr>
          <w:rFonts w:hint="eastAsia" w:ascii="宋体" w:hAnsi="宋体" w:eastAsia="宋体" w:cs="宋体"/>
          <w:b w:val="0"/>
          <w:color w:val="auto"/>
          <w:sz w:val="52"/>
          <w:szCs w:val="52"/>
          <w:highlight w:val="none"/>
        </w:rPr>
      </w:pPr>
      <w:bookmarkStart w:id="645" w:name="_Toc519777946"/>
      <w:bookmarkStart w:id="646" w:name="_Toc519777842"/>
      <w:bookmarkStart w:id="647" w:name="_Toc519777797"/>
      <w:bookmarkStart w:id="648" w:name="_Toc28187734"/>
      <w:bookmarkStart w:id="649" w:name="_Toc519601514"/>
      <w:bookmarkStart w:id="650" w:name="_Toc519778507"/>
      <w:bookmarkStart w:id="651" w:name="_Toc519777894"/>
      <w:r>
        <w:rPr>
          <w:rFonts w:hint="eastAsia" w:ascii="黑体" w:hAnsi="黑体" w:cs="黑体"/>
          <w:b w:val="0"/>
          <w:color w:val="auto"/>
          <w:sz w:val="52"/>
          <w:szCs w:val="52"/>
          <w:highlight w:val="none"/>
        </w:rPr>
        <w:t>第六章  图纸和资料（另册）</w:t>
      </w:r>
      <w:bookmarkEnd w:id="645"/>
      <w:bookmarkEnd w:id="646"/>
      <w:bookmarkEnd w:id="647"/>
      <w:bookmarkEnd w:id="648"/>
      <w:bookmarkEnd w:id="649"/>
      <w:bookmarkEnd w:id="650"/>
      <w:bookmarkEnd w:id="651"/>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sectPr>
          <w:headerReference r:id="rId21" w:type="default"/>
          <w:footnotePr>
            <w:numFmt w:val="decimalEnclosedCircleChinese"/>
            <w:numRestart w:val="eachPage"/>
          </w:footnotePr>
          <w:type w:val="nextColumn"/>
          <w:pgSz w:w="11900" w:h="16840"/>
          <w:pgMar w:top="1418" w:right="1418" w:bottom="1418" w:left="1701" w:header="885" w:footer="680" w:gutter="0"/>
          <w:cols w:space="720" w:num="1"/>
          <w:docGrid w:linePitch="286" w:charSpace="0"/>
        </w:sect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spacing w:line="240" w:lineRule="auto"/>
        <w:rPr>
          <w:rFonts w:hint="eastAsia" w:ascii="黑体" w:hAnsi="黑体" w:cs="黑体"/>
          <w:color w:val="auto"/>
          <w:sz w:val="76"/>
          <w:szCs w:val="76"/>
          <w:highlight w:val="none"/>
        </w:rPr>
      </w:pPr>
      <w:bookmarkStart w:id="652" w:name="_Toc28187735"/>
      <w:bookmarkStart w:id="653" w:name="_Toc519601515"/>
      <w:r>
        <w:rPr>
          <w:rFonts w:hint="eastAsia" w:ascii="黑体" w:hAnsi="黑体" w:cs="黑体"/>
          <w:color w:val="auto"/>
          <w:sz w:val="76"/>
          <w:szCs w:val="76"/>
          <w:highlight w:val="none"/>
        </w:rPr>
        <w:t>第 三 卷</w:t>
      </w:r>
      <w:bookmarkEnd w:id="652"/>
      <w:bookmarkEnd w:id="653"/>
    </w:p>
    <w:p>
      <w:pPr>
        <w:pStyle w:val="276"/>
        <w:rPr>
          <w:rFonts w:hint="eastAsia" w:ascii="宋体" w:hAnsi="宋体" w:cs="宋体"/>
          <w:color w:val="auto"/>
          <w:highlight w:val="none"/>
        </w:rPr>
      </w:pPr>
    </w:p>
    <w:p>
      <w:pPr>
        <w:pStyle w:val="276"/>
        <w:rPr>
          <w:rFonts w:hint="eastAsia" w:ascii="宋体" w:hAnsi="宋体" w:cs="宋体"/>
          <w:color w:val="auto"/>
          <w:highlight w:val="none"/>
        </w:rPr>
      </w:pPr>
      <w:bookmarkStart w:id="654" w:name="_Toc519777895"/>
      <w:bookmarkStart w:id="655" w:name="_Toc519778508"/>
      <w:bookmarkStart w:id="656" w:name="_Toc519777947"/>
      <w:bookmarkStart w:id="657" w:name="_Toc519601516"/>
      <w:bookmarkStart w:id="658" w:name="_Toc519777843"/>
      <w:bookmarkStart w:id="659" w:name="_Toc519777798"/>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tabs>
          <w:tab w:val="left" w:pos="1819"/>
        </w:tabs>
        <w:rPr>
          <w:rFonts w:hint="eastAsia" w:ascii="宋体" w:hAnsi="宋体" w:cs="宋体"/>
          <w:color w:val="auto"/>
          <w:highlight w:val="none"/>
        </w:rPr>
      </w:pPr>
      <w:r>
        <w:rPr>
          <w:rFonts w:hint="eastAsia" w:ascii="宋体" w:hAnsi="宋体" w:cs="宋体"/>
          <w:color w:val="auto"/>
          <w:highlight w:val="none"/>
        </w:rPr>
        <w:tab/>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rPr>
          <w:rFonts w:hint="eastAsia" w:ascii="黑体" w:hAnsi="黑体" w:cs="黑体"/>
          <w:b w:val="0"/>
          <w:color w:val="auto"/>
          <w:sz w:val="52"/>
          <w:szCs w:val="52"/>
          <w:highlight w:val="none"/>
        </w:rPr>
      </w:pPr>
      <w:bookmarkStart w:id="660" w:name="_Toc28187736"/>
      <w:r>
        <w:rPr>
          <w:rFonts w:hint="eastAsia" w:ascii="黑体" w:hAnsi="黑体" w:cs="黑体"/>
          <w:b w:val="0"/>
          <w:color w:val="auto"/>
          <w:sz w:val="52"/>
          <w:szCs w:val="52"/>
          <w:highlight w:val="none"/>
        </w:rPr>
        <w:t xml:space="preserve">第七章  </w:t>
      </w:r>
      <w:bookmarkStart w:id="661" w:name="page2"/>
      <w:bookmarkEnd w:id="661"/>
      <w:r>
        <w:rPr>
          <w:rFonts w:hint="eastAsia" w:ascii="黑体" w:hAnsi="黑体" w:cs="黑体"/>
          <w:b w:val="0"/>
          <w:color w:val="auto"/>
          <w:sz w:val="52"/>
          <w:szCs w:val="52"/>
          <w:highlight w:val="none"/>
        </w:rPr>
        <w:t>投标文件格式</w:t>
      </w:r>
      <w:bookmarkEnd w:id="654"/>
      <w:bookmarkEnd w:id="655"/>
      <w:bookmarkEnd w:id="656"/>
      <w:bookmarkEnd w:id="657"/>
      <w:bookmarkEnd w:id="658"/>
      <w:bookmarkEnd w:id="659"/>
      <w:bookmarkEnd w:id="660"/>
      <w:bookmarkStart w:id="662" w:name="page22"/>
      <w:bookmarkEnd w:id="662"/>
      <w:bookmarkStart w:id="663" w:name="page28"/>
      <w:bookmarkEnd w:id="663"/>
      <w:bookmarkStart w:id="664" w:name="page35"/>
      <w:bookmarkEnd w:id="664"/>
      <w:bookmarkStart w:id="665" w:name="page15"/>
      <w:bookmarkEnd w:id="665"/>
      <w:bookmarkStart w:id="666" w:name="page12"/>
      <w:bookmarkEnd w:id="666"/>
      <w:bookmarkStart w:id="667" w:name="page45"/>
      <w:bookmarkEnd w:id="667"/>
      <w:bookmarkStart w:id="668" w:name="page14"/>
      <w:bookmarkEnd w:id="668"/>
      <w:bookmarkStart w:id="669" w:name="page32"/>
      <w:bookmarkEnd w:id="669"/>
      <w:bookmarkStart w:id="670" w:name="page30"/>
      <w:bookmarkEnd w:id="670"/>
      <w:bookmarkStart w:id="671" w:name="page19"/>
      <w:bookmarkEnd w:id="671"/>
      <w:bookmarkStart w:id="672" w:name="page23"/>
      <w:bookmarkEnd w:id="672"/>
      <w:bookmarkStart w:id="673" w:name="page26"/>
      <w:bookmarkEnd w:id="673"/>
      <w:bookmarkStart w:id="674" w:name="page6"/>
      <w:bookmarkEnd w:id="674"/>
      <w:bookmarkStart w:id="675" w:name="page31"/>
      <w:bookmarkEnd w:id="675"/>
      <w:bookmarkStart w:id="676" w:name="page13"/>
      <w:bookmarkEnd w:id="676"/>
      <w:bookmarkStart w:id="677" w:name="page41"/>
      <w:bookmarkEnd w:id="677"/>
      <w:bookmarkStart w:id="678" w:name="page25"/>
      <w:bookmarkEnd w:id="678"/>
      <w:bookmarkStart w:id="679" w:name="page39"/>
      <w:bookmarkEnd w:id="679"/>
      <w:bookmarkStart w:id="680" w:name="page21"/>
      <w:bookmarkEnd w:id="680"/>
      <w:bookmarkStart w:id="681" w:name="page43"/>
      <w:bookmarkEnd w:id="681"/>
      <w:bookmarkStart w:id="682" w:name="page10"/>
      <w:bookmarkEnd w:id="682"/>
      <w:bookmarkStart w:id="683" w:name="page16"/>
      <w:bookmarkEnd w:id="683"/>
      <w:bookmarkStart w:id="684" w:name="page17"/>
      <w:bookmarkEnd w:id="684"/>
      <w:bookmarkStart w:id="685" w:name="page36"/>
      <w:bookmarkEnd w:id="685"/>
      <w:bookmarkStart w:id="686" w:name="page4"/>
      <w:bookmarkEnd w:id="686"/>
      <w:bookmarkStart w:id="687" w:name="page42"/>
      <w:bookmarkEnd w:id="687"/>
      <w:bookmarkStart w:id="688" w:name="page11"/>
      <w:bookmarkEnd w:id="688"/>
      <w:bookmarkStart w:id="689" w:name="page38"/>
      <w:bookmarkEnd w:id="689"/>
      <w:bookmarkStart w:id="690" w:name="page29"/>
      <w:bookmarkEnd w:id="690"/>
      <w:bookmarkStart w:id="691" w:name="page37"/>
      <w:bookmarkEnd w:id="691"/>
      <w:bookmarkStart w:id="692" w:name="page27"/>
      <w:bookmarkEnd w:id="692"/>
      <w:bookmarkStart w:id="693" w:name="page18"/>
      <w:bookmarkEnd w:id="693"/>
      <w:bookmarkStart w:id="694" w:name="page8"/>
      <w:bookmarkEnd w:id="694"/>
      <w:bookmarkStart w:id="695" w:name="page34"/>
      <w:bookmarkEnd w:id="695"/>
      <w:bookmarkStart w:id="696" w:name="page7"/>
      <w:bookmarkEnd w:id="696"/>
      <w:bookmarkStart w:id="697" w:name="page3"/>
      <w:bookmarkEnd w:id="697"/>
      <w:bookmarkStart w:id="698" w:name="page5"/>
      <w:bookmarkEnd w:id="698"/>
      <w:bookmarkStart w:id="699" w:name="page40"/>
      <w:bookmarkEnd w:id="699"/>
      <w:bookmarkStart w:id="700" w:name="page20"/>
      <w:bookmarkEnd w:id="700"/>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360" w:lineRule="auto"/>
        <w:rPr>
          <w:rFonts w:hint="eastAsia" w:ascii="黑体" w:hAnsi="黑体" w:eastAsia="黑体" w:cs="宋体"/>
          <w:color w:val="auto"/>
          <w:sz w:val="32"/>
          <w:szCs w:val="32"/>
          <w:highlight w:val="none"/>
          <w:u w:val="single"/>
        </w:rPr>
      </w:pPr>
    </w:p>
    <w:p>
      <w:pPr>
        <w:rPr>
          <w:rFonts w:hint="eastAsia" w:ascii="黑体" w:hAnsi="黑体" w:eastAsia="黑体" w:cs="宋体"/>
          <w:color w:val="auto"/>
          <w:sz w:val="36"/>
          <w:szCs w:val="36"/>
          <w:highlight w:val="none"/>
          <w:u w:val="single"/>
        </w:rPr>
      </w:pPr>
      <w:r>
        <w:rPr>
          <w:rFonts w:hint="eastAsia" w:ascii="黑体" w:hAnsi="黑体" w:eastAsia="黑体" w:cs="宋体"/>
          <w:color w:val="auto"/>
          <w:sz w:val="36"/>
          <w:szCs w:val="36"/>
          <w:highlight w:val="none"/>
          <w:u w:val="single"/>
        </w:rPr>
        <w:br w:type="page"/>
      </w:r>
    </w:p>
    <w:p>
      <w:pPr>
        <w:pStyle w:val="276"/>
        <w:spacing w:line="360" w:lineRule="auto"/>
        <w:ind w:firstLine="720" w:firstLineChars="200"/>
        <w:rPr>
          <w:rFonts w:hint="eastAsia" w:ascii="黑体" w:hAnsi="黑体" w:eastAsia="黑体" w:cs="宋体"/>
          <w:color w:val="auto"/>
          <w:sz w:val="36"/>
          <w:szCs w:val="36"/>
          <w:highlight w:val="none"/>
          <w:u w:val="single"/>
        </w:rPr>
      </w:pPr>
    </w:p>
    <w:p>
      <w:pPr>
        <w:pStyle w:val="276"/>
        <w:spacing w:line="360" w:lineRule="auto"/>
        <w:ind w:firstLine="600" w:firstLineChars="200"/>
        <w:rPr>
          <w:rFonts w:hint="eastAsia" w:ascii="黑体" w:hAnsi="黑体" w:eastAsia="黑体" w:cs="宋体"/>
          <w:color w:val="auto"/>
          <w:sz w:val="36"/>
          <w:szCs w:val="36"/>
          <w:highlight w:val="none"/>
        </w:rPr>
      </w:pPr>
      <w:r>
        <w:rPr>
          <w:rFonts w:hint="eastAsia" w:ascii="黑体" w:hAnsi="黑体" w:eastAsia="黑体"/>
          <w:color w:val="auto"/>
          <w:sz w:val="30"/>
          <w:szCs w:val="30"/>
          <w:highlight w:val="none"/>
          <w:u w:val="single"/>
        </w:rPr>
        <w:t xml:space="preserve">          </w:t>
      </w:r>
      <w:r>
        <w:rPr>
          <w:rFonts w:hint="eastAsia" w:ascii="黑体" w:hAnsi="黑体" w:eastAsia="黑体"/>
          <w:color w:val="auto"/>
          <w:sz w:val="30"/>
          <w:szCs w:val="30"/>
          <w:highlight w:val="none"/>
        </w:rPr>
        <w:t>（招标项目名称）施工监理_____标段</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5"/>
        <w:jc w:val="center"/>
        <w:rPr>
          <w:rFonts w:hint="eastAsia" w:ascii="黑体" w:hAnsi="黑体" w:cs="宋体"/>
          <w:color w:val="auto"/>
          <w:sz w:val="72"/>
          <w:szCs w:val="72"/>
          <w:highlight w:val="none"/>
        </w:rPr>
      </w:pPr>
      <w:bookmarkStart w:id="701" w:name="_Toc28187737"/>
      <w:bookmarkStart w:id="702" w:name="_Toc523921856"/>
      <w:r>
        <w:rPr>
          <w:rFonts w:hint="eastAsia" w:ascii="黑体" w:hAnsi="黑体" w:cs="宋体"/>
          <w:color w:val="auto"/>
          <w:sz w:val="72"/>
          <w:szCs w:val="72"/>
          <w:highlight w:val="none"/>
        </w:rPr>
        <w:t>投 标 文 件</w:t>
      </w:r>
      <w:bookmarkEnd w:id="701"/>
      <w:bookmarkEnd w:id="702"/>
    </w:p>
    <w:p>
      <w:pPr>
        <w:pStyle w:val="5"/>
        <w:jc w:val="center"/>
        <w:rPr>
          <w:rFonts w:hint="eastAsia" w:ascii="黑体" w:hAnsi="黑体" w:cs="黑体"/>
          <w:b w:val="0"/>
          <w:color w:val="auto"/>
          <w:highlight w:val="none"/>
        </w:rPr>
      </w:pPr>
      <w:bookmarkStart w:id="703" w:name="_Toc523921857"/>
      <w:bookmarkStart w:id="704" w:name="_Toc28187738"/>
      <w:r>
        <w:rPr>
          <w:rFonts w:hint="eastAsia" w:ascii="黑体" w:hAnsi="黑体" w:cs="黑体"/>
          <w:b w:val="0"/>
          <w:color w:val="auto"/>
          <w:highlight w:val="none"/>
        </w:rPr>
        <w:t>第一个信封（商务及技术文件）</w:t>
      </w:r>
      <w:bookmarkEnd w:id="703"/>
      <w:bookmarkEnd w:id="704"/>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ind w:firstLine="1680" w:firstLineChars="6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投标人：</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 xml:space="preserve"> （全称）</w:t>
      </w:r>
    </w:p>
    <w:p>
      <w:pPr>
        <w:pStyle w:val="276"/>
        <w:rPr>
          <w:rFonts w:hint="eastAsia" w:ascii="黑体" w:hAnsi="黑体" w:eastAsia="黑体" w:cs="宋体"/>
          <w:color w:val="auto"/>
          <w:sz w:val="28"/>
          <w:szCs w:val="28"/>
          <w:highlight w:val="none"/>
        </w:rPr>
      </w:pPr>
    </w:p>
    <w:p>
      <w:pPr>
        <w:pStyle w:val="276"/>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 xml:space="preserve">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年</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u w:val="single"/>
        </w:rPr>
        <w:tab/>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月</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日</w:t>
      </w:r>
    </w:p>
    <w:p>
      <w:pPr>
        <w:pStyle w:val="276"/>
        <w:rPr>
          <w:rFonts w:hint="eastAsia" w:ascii="黑体" w:hAnsi="黑体" w:eastAsia="黑体" w:cs="宋体"/>
          <w:color w:val="auto"/>
          <w:highlight w:val="none"/>
        </w:rPr>
      </w:pPr>
    </w:p>
    <w:p>
      <w:pPr>
        <w:pStyle w:val="276"/>
        <w:rPr>
          <w:rFonts w:hint="eastAsia" w:ascii="黑体" w:hAnsi="黑体" w:eastAsia="黑体" w:cs="宋体"/>
          <w:color w:val="auto"/>
          <w:sz w:val="24"/>
          <w:highlight w:val="none"/>
        </w:rPr>
        <w:sectPr>
          <w:headerReference r:id="rId22" w:type="default"/>
          <w:headerReference r:id="rId23" w:type="even"/>
          <w:footerReference r:id="rId24" w:type="even"/>
          <w:footnotePr>
            <w:numFmt w:val="decimalEnclosedCircleChinese"/>
            <w:numRestart w:val="eachPage"/>
          </w:footnotePr>
          <w:type w:val="nextColumn"/>
          <w:pgSz w:w="11900" w:h="16840"/>
          <w:pgMar w:top="1418" w:right="1418" w:bottom="1418" w:left="1701" w:header="885" w:footer="680" w:gutter="0"/>
          <w:cols w:space="720" w:num="1"/>
          <w:docGrid w:linePitch="286" w:charSpace="0"/>
        </w:sectPr>
      </w:pPr>
      <w:r>
        <w:rPr>
          <w:rFonts w:hint="eastAsia" w:ascii="宋体" w:hAnsi="宋体" w:cs="宋体"/>
          <w:color w:val="auto"/>
          <w:sz w:val="24"/>
          <w:highlight w:val="none"/>
        </w:rPr>
        <w:t>注: 以联合体形式投标的，投标人为联合体牵头人单位全称。</w:t>
      </w:r>
    </w:p>
    <w:p>
      <w:pPr>
        <w:spacing w:line="360" w:lineRule="auto"/>
        <w:jc w:val="center"/>
        <w:rPr>
          <w:rFonts w:hint="eastAsia" w:ascii="黑体" w:hAnsi="黑体" w:eastAsia="黑体" w:cs="黑体"/>
          <w:color w:val="auto"/>
          <w:szCs w:val="30"/>
          <w:highlight w:val="none"/>
        </w:rPr>
      </w:pPr>
      <w:bookmarkStart w:id="705" w:name="_TOC_250038"/>
      <w:bookmarkEnd w:id="705"/>
      <w:bookmarkStart w:id="706" w:name="_Toc523921858"/>
      <w:r>
        <w:rPr>
          <w:rFonts w:hint="eastAsia" w:ascii="黑体" w:hAnsi="黑体" w:eastAsia="黑体" w:cs="黑体"/>
          <w:bCs/>
          <w:color w:val="auto"/>
          <w:sz w:val="30"/>
          <w:szCs w:val="30"/>
          <w:highlight w:val="none"/>
        </w:rPr>
        <w:t>目</w:t>
      </w:r>
      <w:r>
        <w:rPr>
          <w:rFonts w:hint="eastAsia" w:ascii="黑体" w:hAnsi="黑体" w:eastAsia="黑体" w:cs="黑体"/>
          <w:bCs/>
          <w:color w:val="auto"/>
          <w:sz w:val="30"/>
          <w:szCs w:val="30"/>
          <w:highlight w:val="none"/>
        </w:rPr>
        <w:tab/>
      </w:r>
      <w:r>
        <w:rPr>
          <w:rFonts w:hint="eastAsia" w:ascii="黑体" w:hAnsi="黑体" w:eastAsia="黑体" w:cs="黑体"/>
          <w:bCs/>
          <w:color w:val="auto"/>
          <w:sz w:val="30"/>
          <w:szCs w:val="30"/>
          <w:highlight w:val="none"/>
        </w:rPr>
        <w:t xml:space="preserve">  录</w:t>
      </w:r>
      <w:bookmarkEnd w:id="706"/>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一、投标函</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二、授权委托书或法定代表人身份证明</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三、联合体协议书（如有）</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 xml:space="preserve">四、投标保证金 </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五、资格审查资料</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六、技术建议书</w:t>
      </w:r>
    </w:p>
    <w:p>
      <w:pPr>
        <w:pStyle w:val="276"/>
        <w:spacing w:line="480" w:lineRule="auto"/>
        <w:rPr>
          <w:rFonts w:hint="eastAsia" w:ascii="宋体" w:hAnsi="宋体" w:cs="宋体"/>
          <w:b/>
          <w:color w:val="auto"/>
          <w:sz w:val="28"/>
          <w:szCs w:val="28"/>
          <w:highlight w:val="none"/>
        </w:rPr>
      </w:pPr>
      <w:r>
        <w:rPr>
          <w:rFonts w:hint="eastAsia" w:ascii="宋体" w:hAnsi="宋体" w:cs="宋体"/>
          <w:color w:val="auto"/>
          <w:sz w:val="24"/>
          <w:highlight w:val="none"/>
        </w:rPr>
        <w:t>七、其他资料（如有）</w:t>
      </w:r>
    </w:p>
    <w:p>
      <w:pPr>
        <w:pStyle w:val="276"/>
        <w:rPr>
          <w:rFonts w:hint="eastAsia" w:ascii="宋体" w:hAnsi="宋体" w:cs="宋体"/>
          <w:color w:val="auto"/>
          <w:sz w:val="28"/>
          <w:szCs w:val="28"/>
          <w:highlight w:val="none"/>
        </w:rPr>
        <w:sectPr>
          <w:footerReference r:id="rId25" w:type="default"/>
          <w:footnotePr>
            <w:numFmt w:val="decimalEnclosedCircleChinese"/>
            <w:numRestart w:val="eachPage"/>
          </w:footnotePr>
          <w:type w:val="nextColumn"/>
          <w:pgSz w:w="11900" w:h="16840"/>
          <w:pgMar w:top="1418" w:right="1418" w:bottom="1418" w:left="1701" w:header="885" w:footer="839" w:gutter="0"/>
          <w:cols w:space="720" w:num="1"/>
          <w:docGrid w:linePitch="286" w:charSpace="0"/>
        </w:sectPr>
      </w:pPr>
    </w:p>
    <w:p>
      <w:pPr>
        <w:pStyle w:val="5"/>
        <w:jc w:val="center"/>
        <w:rPr>
          <w:rFonts w:hint="eastAsia" w:ascii="黑体" w:hAnsi="黑体" w:cs="黑体"/>
          <w:b w:val="0"/>
          <w:color w:val="auto"/>
          <w:sz w:val="30"/>
          <w:szCs w:val="30"/>
          <w:highlight w:val="none"/>
        </w:rPr>
      </w:pPr>
      <w:bookmarkStart w:id="707" w:name="_TOC_250037"/>
      <w:bookmarkEnd w:id="707"/>
      <w:bookmarkStart w:id="708" w:name="_Toc523921859"/>
      <w:bookmarkStart w:id="709" w:name="_Toc28187739"/>
      <w:r>
        <w:rPr>
          <w:rFonts w:hint="eastAsia" w:ascii="黑体" w:hAnsi="黑体" w:cs="黑体"/>
          <w:b w:val="0"/>
          <w:color w:val="auto"/>
          <w:sz w:val="30"/>
          <w:szCs w:val="30"/>
          <w:highlight w:val="none"/>
        </w:rPr>
        <w:t>一、投 标 函</w:t>
      </w:r>
      <w:bookmarkEnd w:id="708"/>
      <w:bookmarkEnd w:id="709"/>
    </w:p>
    <w:p>
      <w:pPr>
        <w:pStyle w:val="276"/>
        <w:spacing w:line="360" w:lineRule="auto"/>
        <w:jc w:val="center"/>
        <w:rPr>
          <w:rFonts w:hint="eastAsia" w:ascii="宋体" w:hAnsi="宋体" w:cs="宋体"/>
          <w:color w:val="auto"/>
          <w:highlight w:val="none"/>
        </w:rPr>
      </w:pPr>
    </w:p>
    <w:p>
      <w:pPr>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（招标人名称）：</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1．我方已仔细研究</w:t>
      </w:r>
      <w:r>
        <w:rPr>
          <w:rFonts w:hint="eastAsia" w:ascii="宋体" w:hAnsi="宋体"/>
          <w:color w:val="auto"/>
          <w:sz w:val="24"/>
          <w:highlight w:val="none"/>
          <w:u w:val="single"/>
        </w:rPr>
        <w:t xml:space="preserve">          </w:t>
      </w:r>
      <w:r>
        <w:rPr>
          <w:rFonts w:hint="eastAsia" w:ascii="宋体" w:hAnsi="宋体"/>
          <w:color w:val="auto"/>
          <w:sz w:val="24"/>
          <w:highlight w:val="none"/>
        </w:rPr>
        <w:t>（招标项目名称）施工监理_____标段</w:t>
      </w:r>
      <w:r>
        <w:rPr>
          <w:rFonts w:hint="eastAsia" w:ascii="宋体" w:hAnsi="宋体" w:cs="宋体"/>
          <w:color w:val="auto"/>
          <w:sz w:val="24"/>
          <w:highlight w:val="none"/>
        </w:rPr>
        <w:t>招标文件的全部内容（含全部补遗书），在考察工程现场后，愿意以第二个信封（报价文件）中的投标总报价，按合同约定完成施工监理工作。</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2．我方承诺在招标文件规定的投标有效期内不撤销投标文件。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3．总监理工程师姓名：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，技术职称：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，监理工程师证书编号：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 质量要求：</w:t>
      </w:r>
      <w:r>
        <w:rPr>
          <w:rFonts w:hint="eastAsia" w:ascii="宋体" w:hAnsi="宋体" w:cs="宋体"/>
          <w:color w:val="auto"/>
          <w:sz w:val="24"/>
          <w:highlight w:val="none"/>
          <w:u w:val="single"/>
        </w:rPr>
        <w:t>同第二章“投标人须知”前附表第1.3.3项</w:t>
      </w:r>
      <w:r>
        <w:rPr>
          <w:rFonts w:hint="eastAsia" w:ascii="宋体" w:hAnsi="宋体" w:cs="宋体"/>
          <w:color w:val="auto"/>
          <w:sz w:val="24"/>
          <w:highlight w:val="none"/>
        </w:rPr>
        <w:t>，安全目标：</w:t>
      </w:r>
      <w:r>
        <w:rPr>
          <w:rFonts w:hint="eastAsia" w:ascii="宋体" w:hAnsi="宋体" w:cs="宋体"/>
          <w:color w:val="auto"/>
          <w:sz w:val="24"/>
          <w:highlight w:val="none"/>
          <w:u w:val="single"/>
        </w:rPr>
        <w:t>同第二章“投标人须知”前附表第1.3.4项</w:t>
      </w:r>
      <w:r>
        <w:rPr>
          <w:rFonts w:hint="eastAsia" w:ascii="宋体" w:hAnsi="宋体" w:cs="宋体"/>
          <w:color w:val="auto"/>
          <w:sz w:val="24"/>
          <w:highlight w:val="none"/>
        </w:rPr>
        <w:t>，监理服务期限：</w:t>
      </w:r>
      <w:r>
        <w:rPr>
          <w:rFonts w:hint="eastAsia" w:ascii="宋体" w:hAnsi="宋体" w:cs="宋体"/>
          <w:color w:val="auto"/>
          <w:sz w:val="24"/>
          <w:highlight w:val="none"/>
          <w:u w:val="single"/>
        </w:rPr>
        <w:t>同第二章“投标人须知”前附表第1.3.2项</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5．如我方中标，我方承诺：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（1）在收到中标通知书后，在中标通知书规定的期限内与你方签订合同；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（2）在签订合同时不向你方提出附加条件；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（3）按照招标文件要求提交履约保证金；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（4）在合同约定的期限内完成合同规定的全部义务；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（5）本标段拟委任的主要人员未在其他项目上任职，或虽在其他项目上任职但本项目中标后能够从该项目撤离。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在你方和我方进行合同谈判之前，我方将按照合同附件提出的最低要求填报派驻本标段的其他主要监理人员及主要设备，经你方审批后作为本标段的主要监理人员和主要设备且不进行更换。如我方拟派驻的人员和设备不满足合同附件要求，你方有权取消我方中标资格。</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注：本条款不包括已按招标文件资格审查条件要求提供了的其他主要监理人员及主要试验检测设备（如有）。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6．我方在此声明，所递交的投标文件及有关资料内容完整、真实和准确，且不存在招标文件第二章“投标人须知”第1.4.3项和第1.4.4项规定的任何一种情形。同时，投标文件中合同权利义务符合第二章“投标人须知”前附表第10.2款的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7．在合同协议书正式签署生效之前，本投标函连同你方的中标通知书将构成我们双方之间共同遵守的文件，对双方具有约束力。</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8．</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（其他补充说明）。</w:t>
      </w:r>
    </w:p>
    <w:p>
      <w:pPr>
        <w:spacing w:line="360" w:lineRule="auto"/>
        <w:ind w:firstLine="480" w:firstLineChars="200"/>
        <w:rPr>
          <w:rFonts w:hint="eastAsia" w:ascii="宋体" w:hAnsi="宋体" w:cs="宋体"/>
          <w:color w:val="auto"/>
          <w:sz w:val="24"/>
          <w:highlight w:val="none"/>
        </w:rPr>
      </w:pPr>
    </w:p>
    <w:p>
      <w:pPr>
        <w:spacing w:line="360" w:lineRule="auto"/>
        <w:ind w:firstLine="2520" w:firstLineChars="1050"/>
        <w:rPr>
          <w:rFonts w:hint="eastAsia" w:ascii="宋体" w:hAnsi="宋体" w:cs="宋体"/>
          <w:color w:val="auto"/>
          <w:sz w:val="24"/>
          <w:highlight w:val="none"/>
        </w:rPr>
      </w:pP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投 标 人：</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w:t>
      </w:r>
      <w:r>
        <w:rPr>
          <w:rFonts w:hint="eastAsia" w:ascii="宋体" w:hAnsi="宋体"/>
          <w:color w:val="auto"/>
          <w:sz w:val="24"/>
          <w:highlight w:val="none"/>
        </w:rPr>
        <w:t>个人电子印章</w:t>
      </w:r>
      <w:r>
        <w:rPr>
          <w:rFonts w:hint="eastAsia" w:ascii="宋体" w:hAnsi="宋体" w:cs="宋体"/>
          <w:color w:val="auto"/>
          <w:sz w:val="24"/>
          <w:highlight w:val="none"/>
        </w:rPr>
        <w:t>）</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网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4560" w:firstLineChars="1900"/>
        <w:rPr>
          <w:rFonts w:hint="eastAsia" w:ascii="宋体" w:hAnsi="宋体" w:cs="宋体"/>
          <w:color w:val="auto"/>
          <w:sz w:val="24"/>
          <w:highlight w:val="none"/>
          <w:u w:val="single"/>
        </w:rPr>
      </w:pPr>
    </w:p>
    <w:p>
      <w:pPr>
        <w:spacing w:line="360" w:lineRule="auto"/>
        <w:ind w:firstLine="4560" w:firstLineChars="190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360" w:lineRule="auto"/>
        <w:ind w:firstLine="480" w:firstLineChars="200"/>
        <w:rPr>
          <w:rFonts w:hint="eastAsia" w:ascii="宋体" w:hAnsi="宋体" w:cs="宋体"/>
          <w:color w:val="auto"/>
          <w:sz w:val="24"/>
          <w:highlight w:val="none"/>
        </w:rPr>
      </w:pPr>
    </w:p>
    <w:p>
      <w:pPr>
        <w:rPr>
          <w:rFonts w:hint="eastAsia" w:ascii="宋体" w:hAnsi="宋体" w:cs="宋体"/>
          <w:color w:val="auto"/>
          <w:sz w:val="24"/>
          <w:highlight w:val="none"/>
        </w:rPr>
      </w:pPr>
    </w:p>
    <w:p>
      <w:pPr>
        <w:pStyle w:val="37"/>
        <w:spacing w:line="360" w:lineRule="auto"/>
        <w:rPr>
          <w:color w:val="auto"/>
          <w:sz w:val="24"/>
          <w:szCs w:val="21"/>
          <w:highlight w:val="none"/>
        </w:rPr>
      </w:pPr>
      <w:r>
        <w:rPr>
          <w:rFonts w:hint="eastAsia" w:ascii="宋体" w:hAnsi="宋体" w:cs="宋体"/>
          <w:color w:val="auto"/>
          <w:sz w:val="24"/>
          <w:highlight w:val="none"/>
        </w:rPr>
        <w:tab/>
      </w:r>
      <w:r>
        <w:rPr>
          <w:rFonts w:hint="eastAsia"/>
          <w:color w:val="auto"/>
          <w:sz w:val="24"/>
          <w:szCs w:val="21"/>
          <w:highlight w:val="none"/>
        </w:rPr>
        <w:t>注：</w:t>
      </w:r>
      <w:r>
        <w:rPr>
          <w:color w:val="auto"/>
          <w:sz w:val="24"/>
          <w:szCs w:val="21"/>
          <w:highlight w:val="none"/>
        </w:rPr>
        <w:t>1.</w:t>
      </w:r>
      <w:r>
        <w:rPr>
          <w:rFonts w:hint="eastAsia"/>
          <w:color w:val="auto"/>
          <w:sz w:val="24"/>
          <w:szCs w:val="21"/>
          <w:highlight w:val="none"/>
        </w:rPr>
        <w:t>以联合体形式投标的，投标人为联合体牵头人单位全称。</w:t>
      </w:r>
    </w:p>
    <w:p>
      <w:pPr>
        <w:pStyle w:val="37"/>
        <w:spacing w:line="360" w:lineRule="auto"/>
        <w:ind w:left="708" w:leftChars="337" w:firstLine="143"/>
        <w:rPr>
          <w:color w:val="auto"/>
          <w:sz w:val="24"/>
          <w:szCs w:val="21"/>
          <w:highlight w:val="none"/>
        </w:rPr>
      </w:pPr>
      <w:r>
        <w:rPr>
          <w:color w:val="auto"/>
          <w:sz w:val="24"/>
          <w:szCs w:val="21"/>
          <w:highlight w:val="none"/>
        </w:rPr>
        <w:t>2.</w:t>
      </w:r>
      <w:r>
        <w:rPr>
          <w:rFonts w:hint="eastAsia"/>
          <w:color w:val="auto"/>
          <w:sz w:val="24"/>
          <w:szCs w:val="21"/>
          <w:highlight w:val="none"/>
        </w:rPr>
        <w:t>以联合体形式投标的，盖单位电子印章只需联合体牵头人盖单位电子印章。</w:t>
      </w:r>
    </w:p>
    <w:p>
      <w:pPr>
        <w:pStyle w:val="37"/>
        <w:spacing w:line="360" w:lineRule="auto"/>
        <w:ind w:left="708" w:leftChars="337" w:firstLine="143"/>
        <w:rPr>
          <w:color w:val="auto"/>
          <w:sz w:val="24"/>
          <w:szCs w:val="21"/>
          <w:highlight w:val="none"/>
        </w:rPr>
      </w:pPr>
      <w:r>
        <w:rPr>
          <w:color w:val="auto"/>
          <w:sz w:val="24"/>
          <w:szCs w:val="21"/>
          <w:highlight w:val="none"/>
        </w:rPr>
        <w:t>3.</w:t>
      </w:r>
      <w:r>
        <w:rPr>
          <w:rFonts w:hint="eastAsia"/>
          <w:color w:val="auto"/>
          <w:sz w:val="24"/>
          <w:szCs w:val="21"/>
          <w:highlight w:val="none"/>
        </w:rPr>
        <w:t>以联合体形式投标的，法定代表人或其委托代理人为联合体牵头人的法定代表人或其委托代理人。</w:t>
      </w:r>
    </w:p>
    <w:p>
      <w:pPr>
        <w:pStyle w:val="37"/>
        <w:spacing w:line="360" w:lineRule="auto"/>
        <w:ind w:left="708" w:leftChars="337" w:firstLine="143"/>
        <w:rPr>
          <w:color w:val="auto"/>
          <w:sz w:val="24"/>
          <w:szCs w:val="21"/>
          <w:highlight w:val="none"/>
        </w:rPr>
      </w:pPr>
      <w:r>
        <w:rPr>
          <w:color w:val="auto"/>
          <w:sz w:val="24"/>
          <w:szCs w:val="21"/>
          <w:highlight w:val="none"/>
        </w:rPr>
        <w:t xml:space="preserve">4. </w:t>
      </w:r>
      <w:r>
        <w:rPr>
          <w:rFonts w:hint="eastAsia"/>
          <w:color w:val="auto"/>
          <w:sz w:val="24"/>
          <w:szCs w:val="21"/>
          <w:highlight w:val="none"/>
        </w:rPr>
        <w:t>注：电话为法定代表人或其委托代理人手机号码，用于接收评标过程中的澄清通知提示短信（不见面开标）或电话通知。</w:t>
      </w:r>
    </w:p>
    <w:p>
      <w:pPr>
        <w:tabs>
          <w:tab w:val="left" w:pos="1659"/>
        </w:tabs>
        <w:rPr>
          <w:rFonts w:hint="eastAsia" w:ascii="宋体" w:hAnsi="宋体" w:cs="宋体"/>
          <w:color w:val="auto"/>
          <w:sz w:val="24"/>
          <w:highlight w:val="none"/>
        </w:rPr>
      </w:pPr>
    </w:p>
    <w:p>
      <w:pPr>
        <w:tabs>
          <w:tab w:val="left" w:pos="1659"/>
        </w:tabs>
        <w:rPr>
          <w:rFonts w:hint="eastAsia" w:ascii="宋体" w:hAnsi="宋体" w:cs="宋体"/>
          <w:color w:val="auto"/>
          <w:sz w:val="24"/>
          <w:highlight w:val="none"/>
        </w:rPr>
        <w:sectPr>
          <w:headerReference r:id="rId26" w:type="even"/>
          <w:footerReference r:id="rId27" w:type="even"/>
          <w:footnotePr>
            <w:numFmt w:val="decimalEnclosedCircleChinese"/>
            <w:numRestart w:val="eachPage"/>
          </w:footnotePr>
          <w:type w:val="nextColumn"/>
          <w:pgSz w:w="11900" w:h="16840"/>
          <w:pgMar w:top="1418" w:right="1418" w:bottom="1418" w:left="1701" w:header="885" w:footer="624" w:gutter="0"/>
          <w:cols w:space="720" w:num="1"/>
          <w:docGrid w:linePitch="286" w:charSpace="0"/>
        </w:sectPr>
      </w:pPr>
      <w:r>
        <w:rPr>
          <w:rFonts w:hint="eastAsia" w:ascii="宋体" w:hAnsi="宋体" w:cs="宋体"/>
          <w:color w:val="auto"/>
          <w:sz w:val="24"/>
          <w:highlight w:val="none"/>
        </w:rPr>
        <w:tab/>
      </w:r>
    </w:p>
    <w:p>
      <w:pPr>
        <w:pStyle w:val="5"/>
        <w:jc w:val="center"/>
        <w:rPr>
          <w:b w:val="0"/>
          <w:bCs w:val="0"/>
          <w:color w:val="auto"/>
          <w:highlight w:val="none"/>
        </w:rPr>
      </w:pPr>
      <w:bookmarkStart w:id="710" w:name="_TOC_250034"/>
      <w:bookmarkEnd w:id="710"/>
      <w:bookmarkStart w:id="711" w:name="_Toc28187740"/>
      <w:bookmarkStart w:id="712" w:name="_Toc523921860"/>
      <w:r>
        <w:rPr>
          <w:rFonts w:hint="eastAsia"/>
          <w:b w:val="0"/>
          <w:bCs w:val="0"/>
          <w:color w:val="auto"/>
          <w:highlight w:val="none"/>
        </w:rPr>
        <w:t>二、授权委托书或法定代表人身份证明</w:t>
      </w:r>
      <w:bookmarkEnd w:id="711"/>
      <w:bookmarkEnd w:id="712"/>
    </w:p>
    <w:p>
      <w:pPr>
        <w:pStyle w:val="6"/>
        <w:ind w:firstLine="3640" w:firstLineChars="1300"/>
        <w:rPr>
          <w:b w:val="0"/>
          <w:bCs w:val="0"/>
          <w:color w:val="auto"/>
          <w:highlight w:val="none"/>
        </w:rPr>
      </w:pPr>
      <w:bookmarkStart w:id="713" w:name="_Toc523921861"/>
      <w:r>
        <w:rPr>
          <w:rFonts w:hint="eastAsia"/>
          <w:b w:val="0"/>
          <w:bCs w:val="0"/>
          <w:color w:val="auto"/>
          <w:highlight w:val="none"/>
        </w:rPr>
        <w:t>授权委托书</w:t>
      </w:r>
      <w:bookmarkEnd w:id="713"/>
    </w:p>
    <w:p>
      <w:pPr>
        <w:pStyle w:val="276"/>
        <w:spacing w:line="360" w:lineRule="auto"/>
        <w:rPr>
          <w:rFonts w:hint="eastAsia" w:ascii="宋体" w:hAnsi="宋体" w:cs="宋体"/>
          <w:color w:val="auto"/>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（姓名）系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（投标人名称）的法定代表人，现委托</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（姓名）为我方代理人。代理人根据授权，以我方名义签署、澄清确认、递交、撤回、修改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（招标项目名称）施工监理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标段投标文件、签订合同和处理有关事宜，其法律后果由我方承担。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委托期限：自本委托书签署之日起至投标有效期满。 </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代理人无转委托权。</w:t>
      </w:r>
    </w:p>
    <w:p>
      <w:pPr>
        <w:spacing w:line="360" w:lineRule="auto"/>
        <w:ind w:firstLine="480" w:firstLineChars="200"/>
        <w:jc w:val="left"/>
        <w:rPr>
          <w:rFonts w:hint="eastAsia" w:ascii="宋体" w:hAnsi="宋体" w:cs="宋体"/>
          <w:color w:val="auto"/>
          <w:sz w:val="24"/>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附：法定代表人身份证、委托代理人身份证原件原色扫描件</w:t>
      </w:r>
    </w:p>
    <w:p>
      <w:pPr>
        <w:spacing w:line="360" w:lineRule="auto"/>
        <w:ind w:firstLine="480" w:firstLineChars="200"/>
        <w:jc w:val="left"/>
        <w:rPr>
          <w:rFonts w:hint="eastAsia" w:ascii="宋体" w:hAnsi="宋体" w:cs="宋体"/>
          <w:color w:val="auto"/>
          <w:sz w:val="24"/>
          <w:highlight w:val="none"/>
        </w:rPr>
      </w:pPr>
    </w:p>
    <w:p>
      <w:pPr>
        <w:spacing w:line="360" w:lineRule="auto"/>
        <w:ind w:left="2520" w:leftChars="1200"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投  标  人： </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w:t>
      </w:r>
    </w:p>
    <w:p>
      <w:pPr>
        <w:spacing w:line="360" w:lineRule="auto"/>
        <w:ind w:left="2520" w:leftChars="1200"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w:t>
      </w:r>
      <w:r>
        <w:rPr>
          <w:rFonts w:hint="eastAsia" w:ascii="宋体" w:hAnsi="宋体"/>
          <w:color w:val="auto"/>
          <w:sz w:val="24"/>
          <w:highlight w:val="none"/>
        </w:rPr>
        <w:t>个人电子印章</w:t>
      </w:r>
      <w:r>
        <w:rPr>
          <w:rFonts w:hint="eastAsia" w:ascii="宋体" w:hAnsi="宋体" w:cs="宋体"/>
          <w:color w:val="auto"/>
          <w:sz w:val="24"/>
          <w:highlight w:val="none"/>
        </w:rPr>
        <w:t>）</w:t>
      </w:r>
    </w:p>
    <w:p>
      <w:pPr>
        <w:spacing w:line="360" w:lineRule="auto"/>
        <w:ind w:left="2520" w:leftChars="1200"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身份证号码： </w:t>
      </w:r>
      <w:r>
        <w:rPr>
          <w:rFonts w:hint="eastAsia" w:ascii="宋体" w:hAnsi="宋体" w:cs="宋体"/>
          <w:color w:val="auto"/>
          <w:sz w:val="24"/>
          <w:highlight w:val="none"/>
          <w:u w:val="single"/>
        </w:rPr>
        <w:t xml:space="preserve">                                 </w:t>
      </w:r>
    </w:p>
    <w:p>
      <w:pPr>
        <w:spacing w:line="360" w:lineRule="auto"/>
        <w:ind w:left="2520" w:leftChars="1200"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w:t>
      </w:r>
      <w:r>
        <w:rPr>
          <w:rFonts w:hint="eastAsia" w:ascii="宋体" w:hAnsi="宋体"/>
          <w:color w:val="auto"/>
          <w:sz w:val="24"/>
          <w:highlight w:val="none"/>
        </w:rPr>
        <w:t>个人电子印章</w:t>
      </w:r>
      <w:r>
        <w:rPr>
          <w:rFonts w:hint="eastAsia" w:ascii="宋体" w:hAnsi="宋体" w:cs="宋体"/>
          <w:color w:val="auto"/>
          <w:sz w:val="24"/>
          <w:highlight w:val="none"/>
        </w:rPr>
        <w:t>）</w:t>
      </w:r>
    </w:p>
    <w:p>
      <w:pPr>
        <w:spacing w:line="360" w:lineRule="auto"/>
        <w:ind w:left="2520" w:leftChars="1200"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left="2520" w:leftChars="1200" w:firstLine="3000" w:firstLineChars="1250"/>
        <w:jc w:val="left"/>
        <w:rPr>
          <w:rFonts w:hint="eastAsia" w:ascii="宋体" w:hAnsi="宋体" w:cs="宋体"/>
          <w:color w:val="auto"/>
          <w:sz w:val="24"/>
          <w:highlight w:val="none"/>
          <w:u w:val="single"/>
        </w:rPr>
      </w:pPr>
    </w:p>
    <w:p>
      <w:pPr>
        <w:spacing w:line="360" w:lineRule="auto"/>
        <w:ind w:left="2520" w:leftChars="1200" w:firstLine="3000" w:firstLineChars="1250"/>
        <w:jc w:val="left"/>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360" w:lineRule="auto"/>
        <w:jc w:val="left"/>
        <w:rPr>
          <w:rFonts w:hint="eastAsia" w:ascii="宋体" w:hAnsi="宋体" w:cs="宋体"/>
          <w:color w:val="auto"/>
          <w:szCs w:val="21"/>
          <w:highlight w:val="none"/>
        </w:rPr>
      </w:pPr>
    </w:p>
    <w:p>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注：</w:t>
      </w:r>
    </w:p>
    <w:p>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1.如果投标文件由委托代理人签署，则投标人须提交授权委托书，授权委托书须满足下列要求：</w:t>
      </w:r>
    </w:p>
    <w:p>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（1）投标人须在授权委托书上加盖投标人单位电子印章；</w:t>
      </w:r>
    </w:p>
    <w:p>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（2）法定代表人和委托代理人必须在授权书上加盖个人电子签名章或个人电子印章；</w:t>
      </w:r>
    </w:p>
    <w:p>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（3）委托代理人只能是一个人，且不能再授予他人，否则其授权无效。</w:t>
      </w:r>
    </w:p>
    <w:p>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2.如果由投标人的委托代理人签署投标文件，则无须提供法定代表人身份证明。</w:t>
      </w:r>
    </w:p>
    <w:p>
      <w:pPr>
        <w:spacing w:line="360" w:lineRule="auto"/>
        <w:ind w:firstLine="420" w:firstLineChars="200"/>
        <w:rPr>
          <w:rFonts w:hint="eastAsia" w:ascii="宋体" w:hAnsi="宋体" w:cs="宋体"/>
          <w:color w:val="auto"/>
          <w:highlight w:val="none"/>
        </w:rPr>
      </w:pPr>
      <w:r>
        <w:rPr>
          <w:rFonts w:hint="eastAsia" w:ascii="宋体" w:hAnsi="宋体" w:cs="宋体"/>
          <w:color w:val="auto"/>
          <w:szCs w:val="21"/>
          <w:highlight w:val="none"/>
        </w:rPr>
        <w:t>3.允许联合体投标时，若以联合体形式投标的，本授权委托书由联合体牵头人提供，且由联合体牵头人的法定代表人或其委托代理人按上述规定加盖个人电子签名章或个人电子印章并加盖联合体牵头人单位电子印章。</w:t>
      </w:r>
    </w:p>
    <w:p>
      <w:pPr>
        <w:pStyle w:val="276"/>
        <w:spacing w:line="360" w:lineRule="auto"/>
        <w:rPr>
          <w:rFonts w:hint="eastAsia" w:ascii="宋体" w:hAnsi="宋体" w:cs="宋体"/>
          <w:color w:val="auto"/>
          <w:highlight w:val="none"/>
        </w:rPr>
        <w:sectPr>
          <w:footerReference r:id="rId28" w:type="default"/>
          <w:footnotePr>
            <w:numFmt w:val="decimalEnclosedCircleChinese"/>
            <w:numRestart w:val="eachPage"/>
          </w:footnotePr>
          <w:type w:val="nextColumn"/>
          <w:pgSz w:w="11900" w:h="16840"/>
          <w:pgMar w:top="1418" w:right="1418" w:bottom="1418" w:left="1701" w:header="885" w:footer="839" w:gutter="0"/>
          <w:cols w:space="720" w:num="1"/>
          <w:docGrid w:linePitch="286" w:charSpace="0"/>
        </w:sectPr>
      </w:pPr>
    </w:p>
    <w:p>
      <w:pPr>
        <w:pStyle w:val="6"/>
        <w:ind w:firstLine="3360" w:firstLineChars="1200"/>
        <w:rPr>
          <w:b w:val="0"/>
          <w:bCs w:val="0"/>
          <w:color w:val="auto"/>
          <w:highlight w:val="none"/>
        </w:rPr>
      </w:pPr>
      <w:bookmarkStart w:id="714" w:name="_Toc523921862"/>
      <w:r>
        <w:rPr>
          <w:rFonts w:hint="eastAsia"/>
          <w:b w:val="0"/>
          <w:bCs w:val="0"/>
          <w:color w:val="auto"/>
          <w:highlight w:val="none"/>
        </w:rPr>
        <w:t>法定代表人身份证明</w:t>
      </w:r>
      <w:bookmarkEnd w:id="714"/>
    </w:p>
    <w:p>
      <w:pPr>
        <w:pStyle w:val="276"/>
        <w:spacing w:line="360" w:lineRule="auto"/>
        <w:rPr>
          <w:rFonts w:hint="eastAsia" w:ascii="宋体" w:hAnsi="宋体" w:cs="宋体"/>
          <w:color w:val="auto"/>
          <w:highlight w:val="none"/>
        </w:rPr>
      </w:pPr>
    </w:p>
    <w:p>
      <w:pPr>
        <w:pStyle w:val="276"/>
        <w:spacing w:line="360" w:lineRule="auto"/>
        <w:rPr>
          <w:rFonts w:hint="eastAsia" w:ascii="宋体" w:hAnsi="宋体" w:cs="宋体"/>
          <w:color w:val="auto"/>
          <w:highlight w:val="none"/>
        </w:rPr>
      </w:pPr>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投标人名称：</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姓名：</w:t>
      </w:r>
      <w:r>
        <w:rPr>
          <w:rFonts w:hint="eastAsia" w:ascii="宋体" w:hAnsi="宋体" w:cs="宋体"/>
          <w:color w:val="auto"/>
          <w:sz w:val="24"/>
          <w:highlight w:val="none"/>
          <w:u w:val="single"/>
        </w:rPr>
        <w:t xml:space="preserve">   （法定代表人签字）    </w:t>
      </w:r>
      <w:r>
        <w:rPr>
          <w:rFonts w:hint="eastAsia" w:ascii="宋体" w:hAnsi="宋体" w:cs="宋体"/>
          <w:color w:val="auto"/>
          <w:sz w:val="24"/>
          <w:highlight w:val="none"/>
        </w:rPr>
        <w:t xml:space="preserve"> 性别：</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职务：</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特此证明。</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附：法定代表人身份证原件原色扫描件</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pStyle w:val="276"/>
        <w:spacing w:line="360" w:lineRule="auto"/>
        <w:rPr>
          <w:rFonts w:hint="eastAsia" w:ascii="宋体" w:hAnsi="宋体" w:cs="宋体"/>
          <w:color w:val="auto"/>
          <w:sz w:val="24"/>
          <w:highlight w:val="none"/>
        </w:rPr>
      </w:pPr>
    </w:p>
    <w:p>
      <w:pPr>
        <w:spacing w:line="360" w:lineRule="auto"/>
        <w:ind w:left="3150" w:leftChars="1500"/>
        <w:rPr>
          <w:rFonts w:hint="eastAsia" w:ascii="宋体" w:hAnsi="宋体" w:cs="宋体"/>
          <w:color w:val="auto"/>
          <w:sz w:val="24"/>
          <w:highlight w:val="none"/>
        </w:rPr>
      </w:pPr>
      <w:r>
        <w:rPr>
          <w:rFonts w:hint="eastAsia" w:ascii="宋体" w:hAnsi="宋体" w:cs="宋体"/>
          <w:color w:val="auto"/>
          <w:sz w:val="24"/>
          <w:highlight w:val="none"/>
        </w:rPr>
        <w:t>投标人：</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w:t>
      </w:r>
    </w:p>
    <w:p>
      <w:pPr>
        <w:spacing w:line="360" w:lineRule="auto"/>
        <w:ind w:left="3150" w:leftChars="1500" w:firstLine="3000" w:firstLineChars="1250"/>
        <w:rPr>
          <w:rFonts w:hint="eastAsia" w:ascii="宋体" w:hAnsi="宋体" w:cs="宋体"/>
          <w:color w:val="auto"/>
          <w:sz w:val="24"/>
          <w:highlight w:val="none"/>
          <w:u w:val="single"/>
        </w:rPr>
      </w:pPr>
    </w:p>
    <w:p>
      <w:pPr>
        <w:spacing w:line="360" w:lineRule="auto"/>
        <w:ind w:left="3150" w:leftChars="1500" w:firstLine="3000" w:firstLineChars="1250"/>
        <w:rPr>
          <w:rFonts w:hint="eastAsia" w:ascii="宋体" w:hAnsi="宋体" w:cs="宋体"/>
          <w:color w:val="auto"/>
          <w:sz w:val="24"/>
          <w:highlight w:val="none"/>
        </w:rPr>
      </w:pP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pPr>
        <w:spacing w:line="360" w:lineRule="auto"/>
        <w:ind w:firstLine="480" w:firstLineChars="200"/>
        <w:rPr>
          <w:rFonts w:hint="eastAsia" w:ascii="宋体" w:hAnsi="宋体" w:cs="宋体"/>
          <w:color w:val="auto"/>
          <w:sz w:val="24"/>
          <w:highlight w:val="none"/>
        </w:rPr>
      </w:pPr>
    </w:p>
    <w:p>
      <w:pPr>
        <w:pStyle w:val="276"/>
        <w:spacing w:line="360" w:lineRule="auto"/>
        <w:rPr>
          <w:rFonts w:hint="eastAsia" w:ascii="宋体" w:hAnsi="宋体" w:cs="宋体"/>
          <w:color w:val="auto"/>
          <w:sz w:val="24"/>
          <w:highlight w:val="none"/>
        </w:rPr>
      </w:pPr>
    </w:p>
    <w:p>
      <w:pPr>
        <w:pStyle w:val="276"/>
        <w:spacing w:line="360" w:lineRule="auto"/>
        <w:rPr>
          <w:rFonts w:hint="eastAsia" w:ascii="宋体" w:hAnsi="宋体" w:cs="宋体"/>
          <w:color w:val="auto"/>
          <w:sz w:val="24"/>
          <w:highlight w:val="none"/>
        </w:rPr>
      </w:pP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1.如果投标文件由法定代表人签署，则投标人须提交法定代表人身份证明，法定代表人身份证明须满足下列要求：</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（1）法定代表人签字指加盖法定代表人个人电子签名章或个人电子印章；</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（2）投标人须在法定代表人身份证明上加盖投标人单位电子印章。</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2.如果由投标人的法定代表人亲自签署投标文件，则无须提交授权委托书。</w:t>
      </w:r>
    </w:p>
    <w:p>
      <w:pPr>
        <w:pStyle w:val="276"/>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3.允许联合体投标时，若以联合体形式投标的，法定代表人身份证明由联合体牵头人提供，且由联合体牵头人的法定代表人加盖其个人电子签名章或个人电子印章并加盖联合体牵头人单位电子印章。</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adjustRightInd w:val="0"/>
        <w:snapToGrid w:val="0"/>
        <w:spacing w:line="360" w:lineRule="auto"/>
        <w:rPr>
          <w:rFonts w:hint="eastAsia" w:ascii="黑体" w:hAnsi="黑体" w:cs="黑体"/>
          <w:color w:val="auto"/>
          <w:sz w:val="30"/>
          <w:szCs w:val="30"/>
          <w:highlight w:val="none"/>
        </w:rPr>
      </w:pPr>
      <w:bookmarkStart w:id="715" w:name="_Toc523921863"/>
      <w:bookmarkStart w:id="716" w:name="_Toc28187741"/>
      <w:r>
        <w:rPr>
          <w:rFonts w:hint="eastAsia" w:ascii="黑体" w:hAnsi="黑体" w:cs="黑体"/>
          <w:color w:val="auto"/>
          <w:sz w:val="30"/>
          <w:szCs w:val="30"/>
          <w:highlight w:val="none"/>
        </w:rPr>
        <w:br w:type="page"/>
      </w:r>
    </w:p>
    <w:p>
      <w:pPr>
        <w:pStyle w:val="5"/>
        <w:jc w:val="center"/>
        <w:rPr>
          <w:b w:val="0"/>
          <w:bCs w:val="0"/>
          <w:color w:val="auto"/>
          <w:highlight w:val="none"/>
        </w:rPr>
      </w:pPr>
      <w:r>
        <w:rPr>
          <w:rFonts w:hint="eastAsia"/>
          <w:b w:val="0"/>
          <w:bCs w:val="0"/>
          <w:color w:val="auto"/>
          <w:highlight w:val="none"/>
        </w:rPr>
        <w:t>三、联合体协议书</w:t>
      </w:r>
      <w:bookmarkEnd w:id="715"/>
      <w:bookmarkEnd w:id="716"/>
      <w:r>
        <w:rPr>
          <w:rFonts w:hint="eastAsia"/>
          <w:b w:val="0"/>
          <w:bCs w:val="0"/>
          <w:color w:val="auto"/>
          <w:highlight w:val="none"/>
        </w:rPr>
        <w:t>（如有）</w:t>
      </w:r>
    </w:p>
    <w:p>
      <w:pPr>
        <w:pStyle w:val="276"/>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 xml:space="preserve"> </w:t>
      </w:r>
    </w:p>
    <w:p>
      <w:pPr>
        <w:adjustRightInd w:val="0"/>
        <w:snapToGrid w:val="0"/>
        <w:spacing w:line="360" w:lineRule="auto"/>
        <w:ind w:firstLine="480" w:firstLineChars="200"/>
        <w:jc w:val="left"/>
        <w:rPr>
          <w:rFonts w:hint="eastAsia" w:ascii="宋体" w:hAnsi="宋体" w:cs="宋体"/>
          <w:color w:val="auto"/>
          <w:sz w:val="24"/>
          <w:highlight w:val="none"/>
        </w:rPr>
      </w:pPr>
      <w:bookmarkStart w:id="717" w:name="_Hlk76573033"/>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bookmarkEnd w:id="717"/>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（所有成员单位名称）自愿组成联合体，共同参加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（招标项目名称）施工监理_____标段投标。现就联合体投标事宜订立如下协议。</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（某成员单位名称）为牵头人。</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3.联合体牵头人在本项目中签署的一切文件和处理的一切事宜，联合体各成员均予以承认。联合体各成员将严格按照招标文件、投标文件和合同的要求全面履行义务，并向招标人承担连带责任。</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4.联合体各成员单位内部的职责分工如下：</w:t>
      </w:r>
      <w:r>
        <w:rPr>
          <w:rFonts w:hint="eastAsia" w:ascii="宋体" w:hAnsi="宋体" w:cs="宋体"/>
          <w:color w:val="auto"/>
          <w:sz w:val="24"/>
          <w:highlight w:val="none"/>
          <w:u w:val="single"/>
        </w:rPr>
        <w:t>（牵头人名称）</w:t>
      </w:r>
      <w:r>
        <w:rPr>
          <w:rFonts w:hint="eastAsia" w:ascii="宋体" w:hAnsi="宋体" w:cs="宋体"/>
          <w:color w:val="auto"/>
          <w:sz w:val="24"/>
          <w:highlight w:val="none"/>
        </w:rPr>
        <w:t>承担</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 占总工程量的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r>
        <w:rPr>
          <w:rFonts w:hint="eastAsia" w:ascii="宋体" w:hAnsi="宋体" w:cs="宋体"/>
          <w:color w:val="auto"/>
          <w:sz w:val="24"/>
          <w:highlight w:val="none"/>
          <w:u w:val="single"/>
        </w:rPr>
        <w:t>（成员一名称）</w:t>
      </w:r>
      <w:r>
        <w:rPr>
          <w:rFonts w:hint="eastAsia" w:ascii="宋体" w:hAnsi="宋体" w:cs="宋体"/>
          <w:color w:val="auto"/>
          <w:sz w:val="24"/>
          <w:highlight w:val="none"/>
        </w:rPr>
        <w:t>承担</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，占总工程量的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5.投标工作和联合体在中标后工程实施过程中的有关费用按各自承担的工作量分摊。</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6.本协议书自所有成员单位法定代表人签字并加盖单位章之日起生效，合同履行完毕后自动失效。</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7.本协议书一式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份，联合体成员和招标人各执一份。</w:t>
      </w:r>
    </w:p>
    <w:p>
      <w:pPr>
        <w:adjustRightInd w:val="0"/>
        <w:snapToGrid w:val="0"/>
        <w:spacing w:line="360" w:lineRule="auto"/>
        <w:ind w:firstLine="480" w:firstLineChars="200"/>
        <w:jc w:val="left"/>
        <w:rPr>
          <w:rFonts w:hint="eastAsia" w:ascii="宋体" w:hAnsi="宋体" w:cs="宋体"/>
          <w:color w:val="auto"/>
          <w:sz w:val="24"/>
          <w:highlight w:val="none"/>
        </w:rPr>
      </w:pPr>
    </w:p>
    <w:p>
      <w:pPr>
        <w:adjustRightInd w:val="0"/>
        <w:snapToGrid w:val="0"/>
        <w:spacing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联合体牵头人名称：</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（盖单位电子印章／盖单位章）</w:t>
      </w:r>
    </w:p>
    <w:p>
      <w:pPr>
        <w:adjustRightInd w:val="0"/>
        <w:snapToGrid w:val="0"/>
        <w:spacing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 xml:space="preserve">法定代表人：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（个人电子签名章或个人电子印章／签字）</w:t>
      </w:r>
    </w:p>
    <w:p>
      <w:pPr>
        <w:adjustRightInd w:val="0"/>
        <w:snapToGrid w:val="0"/>
        <w:spacing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联合体成员名称：</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（盖单位电子印章／盖单位章）</w:t>
      </w:r>
    </w:p>
    <w:p>
      <w:pPr>
        <w:adjustRightInd w:val="0"/>
        <w:snapToGrid w:val="0"/>
        <w:spacing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 xml:space="preserve">法定代表人：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（个人电子签名章或个人电子印章／签字）</w:t>
      </w:r>
    </w:p>
    <w:p>
      <w:pPr>
        <w:spacing w:line="360" w:lineRule="auto"/>
        <w:ind w:firstLine="2040" w:firstLineChars="850"/>
        <w:jc w:val="left"/>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6240" w:firstLineChars="2600"/>
        <w:jc w:val="left"/>
        <w:rPr>
          <w:rFonts w:hint="eastAsia" w:ascii="宋体" w:hAnsi="宋体" w:cs="宋体"/>
          <w:color w:val="auto"/>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pPr>
        <w:pStyle w:val="276"/>
        <w:adjustRightInd w:val="0"/>
        <w:snapToGrid w:val="0"/>
        <w:spacing w:line="360" w:lineRule="auto"/>
        <w:rPr>
          <w:rFonts w:hint="eastAsia" w:ascii="宋体" w:hAnsi="宋体" w:cs="宋体"/>
          <w:color w:val="auto"/>
          <w:sz w:val="24"/>
          <w:highlight w:val="none"/>
        </w:rPr>
      </w:pPr>
      <w:bookmarkStart w:id="718" w:name="_Toc523921864"/>
      <w:r>
        <w:rPr>
          <w:rFonts w:hint="eastAsia" w:ascii="宋体" w:hAnsi="宋体" w:cs="宋体"/>
          <w:color w:val="auto"/>
          <w:sz w:val="24"/>
          <w:highlight w:val="none"/>
        </w:rPr>
        <w:t>注：</w:t>
      </w:r>
    </w:p>
    <w:p>
      <w:pPr>
        <w:pStyle w:val="276"/>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1.若联合体协议书采用线下签署方式，投标人应按上述格式填写完成并签字盖章后再附原件原色扫描件。</w:t>
      </w:r>
    </w:p>
    <w:p>
      <w:pPr>
        <w:spacing w:line="360" w:lineRule="auto"/>
        <w:ind w:firstLine="420"/>
        <w:rPr>
          <w:rFonts w:hint="eastAsia" w:ascii="宋体" w:hAnsi="宋体" w:cs="宋体"/>
          <w:color w:val="auto"/>
          <w:sz w:val="24"/>
          <w:highlight w:val="none"/>
        </w:rPr>
      </w:pPr>
      <w:r>
        <w:rPr>
          <w:rFonts w:hint="eastAsia" w:ascii="宋体" w:hAnsi="宋体" w:cs="宋体"/>
          <w:color w:val="auto"/>
          <w:sz w:val="24"/>
          <w:highlight w:val="none"/>
        </w:rPr>
        <w:t>2.若联合体协议书采用线上电子签署方式，投标人应按上述格式填写并完成电子签章。</w:t>
      </w:r>
    </w:p>
    <w:p>
      <w:pPr>
        <w:pStyle w:val="276"/>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3.联合体协议书采用线上电子签署方式时指加盖联合体牵头人单位电子印章，采用线下签署方式时指加盖联合体牵头人单位章。</w:t>
      </w:r>
    </w:p>
    <w:p>
      <w:pPr>
        <w:pStyle w:val="276"/>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4.联合体协议书采用线上电子签署方式时指联合体牵头人法定代表人个人电子签名章或个人电子印章。采用线下签署方式时指联合体牵头人法定代表人签字。</w:t>
      </w:r>
    </w:p>
    <w:p>
      <w:pPr>
        <w:pStyle w:val="276"/>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5.联合体协议书采用线上电子签署方式时指加盖联合体成员单位电子印章，采用线下签署方式时指加盖联合体成员单位章。</w:t>
      </w:r>
    </w:p>
    <w:p>
      <w:pPr>
        <w:pStyle w:val="276"/>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6.联合体协议书采用线上电子签署方式时指联合体成员法定代表人个人电子签名章或个人电子印章。采用线下签署方式时指联合体成员法定代表人签字。</w:t>
      </w:r>
    </w:p>
    <w:p>
      <w:pPr>
        <w:pStyle w:val="5"/>
        <w:jc w:val="center"/>
        <w:rPr>
          <w:b w:val="0"/>
          <w:bCs w:val="0"/>
          <w:color w:val="auto"/>
          <w:highlight w:val="none"/>
        </w:rPr>
      </w:pPr>
      <w:r>
        <w:rPr>
          <w:rFonts w:hint="eastAsia" w:ascii="宋体" w:hAnsi="宋体" w:eastAsia="宋体" w:cs="宋体"/>
          <w:color w:val="auto"/>
          <w:highlight w:val="none"/>
        </w:rPr>
        <w:br w:type="page"/>
      </w:r>
      <w:bookmarkStart w:id="719" w:name="_Toc28187742"/>
      <w:r>
        <w:rPr>
          <w:rFonts w:hint="eastAsia"/>
          <w:b w:val="0"/>
          <w:bCs w:val="0"/>
          <w:color w:val="auto"/>
          <w:highlight w:val="none"/>
        </w:rPr>
        <w:t>四、投标保证金</w:t>
      </w:r>
      <w:bookmarkEnd w:id="718"/>
      <w:bookmarkEnd w:id="719"/>
    </w:p>
    <w:p>
      <w:pPr>
        <w:pStyle w:val="21"/>
        <w:spacing w:line="360" w:lineRule="auto"/>
        <w:ind w:right="17" w:firstLine="481" w:firstLineChars="200"/>
        <w:rPr>
          <w:rFonts w:hint="eastAsia" w:cs="宋体"/>
          <w:b/>
          <w:color w:val="auto"/>
          <w:highlight w:val="none"/>
        </w:rPr>
      </w:pP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（1）若采用保险合同（电子保险单）、银行电子保函、担保电子保函方式提交投标保证金，无须提供附件资料，以开标时系统中的投标保证金一览表到账名单为准。</w:t>
      </w: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（2）若采用网银在线方式提交投标保证金，投标人应附网银支付回单扫描件、人民银行颁发的基本存款账户开户许可证扫描件或基本存款账户所在银行出具的证明扫描件。</w:t>
      </w: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（3）未要求提交投标保证金的，不需填报。</w:t>
      </w:r>
    </w:p>
    <w:p>
      <w:pPr>
        <w:pStyle w:val="2"/>
        <w:ind w:leftChars="0" w:firstLineChars="0"/>
        <w:rPr>
          <w:color w:val="auto"/>
          <w:highlight w:val="none"/>
        </w:rPr>
      </w:pPr>
    </w:p>
    <w:p>
      <w:pPr>
        <w:spacing w:line="360" w:lineRule="auto"/>
        <w:jc w:val="left"/>
        <w:rPr>
          <w:rFonts w:hint="eastAsia" w:asciiTheme="minorEastAsia" w:hAnsiTheme="minorEastAsia"/>
          <w:color w:val="auto"/>
          <w:sz w:val="24"/>
          <w:highlight w:val="none"/>
        </w:rPr>
      </w:pPr>
    </w:p>
    <w:p>
      <w:pPr>
        <w:pStyle w:val="2"/>
        <w:rPr>
          <w:color w:val="auto"/>
          <w:highlight w:val="none"/>
        </w:rPr>
      </w:pPr>
      <w:r>
        <w:rPr>
          <w:color w:val="auto"/>
          <w:highlight w:val="none"/>
        </w:rPr>
        <w:br w:type="page"/>
      </w:r>
    </w:p>
    <w:p>
      <w:pPr>
        <w:spacing w:line="360" w:lineRule="auto"/>
        <w:jc w:val="left"/>
        <w:rPr>
          <w:rFonts w:hint="eastAsia" w:asciiTheme="minorEastAsia" w:hAnsiTheme="minorEastAsia"/>
          <w:color w:val="auto"/>
          <w:sz w:val="24"/>
          <w:highlight w:val="none"/>
        </w:rPr>
      </w:pPr>
    </w:p>
    <w:p>
      <w:pPr>
        <w:pStyle w:val="5"/>
        <w:jc w:val="center"/>
        <w:rPr>
          <w:b w:val="0"/>
          <w:bCs w:val="0"/>
          <w:color w:val="auto"/>
          <w:highlight w:val="none"/>
        </w:rPr>
      </w:pPr>
      <w:bookmarkStart w:id="720" w:name="_Toc523921865"/>
      <w:bookmarkStart w:id="721" w:name="_Toc28187743"/>
      <w:r>
        <w:rPr>
          <w:rFonts w:hint="eastAsia"/>
          <w:b w:val="0"/>
          <w:bCs w:val="0"/>
          <w:color w:val="auto"/>
          <w:highlight w:val="none"/>
        </w:rPr>
        <w:t>五、资格审查资料</w:t>
      </w:r>
      <w:bookmarkEnd w:id="720"/>
      <w:bookmarkEnd w:id="721"/>
    </w:p>
    <w:p>
      <w:pPr>
        <w:pStyle w:val="6"/>
        <w:jc w:val="center"/>
        <w:rPr>
          <w:b w:val="0"/>
          <w:bCs w:val="0"/>
          <w:color w:val="auto"/>
          <w:highlight w:val="none"/>
        </w:rPr>
      </w:pPr>
      <w:r>
        <w:rPr>
          <w:rFonts w:hint="eastAsia"/>
          <w:b w:val="0"/>
          <w:bCs w:val="0"/>
          <w:color w:val="auto"/>
          <w:highlight w:val="none"/>
        </w:rPr>
        <w:t>（一）投标人基本情况表</w:t>
      </w:r>
    </w:p>
    <w:tbl>
      <w:tblPr>
        <w:tblStyle w:val="4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69"/>
        <w:gridCol w:w="743"/>
        <w:gridCol w:w="909"/>
        <w:gridCol w:w="1102"/>
        <w:gridCol w:w="1179"/>
        <w:gridCol w:w="878"/>
        <w:gridCol w:w="919"/>
        <w:gridCol w:w="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393" w:hRule="atLeast"/>
          <w:jc w:val="center"/>
        </w:trPr>
        <w:tc>
          <w:tcPr>
            <w:tcW w:w="2969" w:type="dxa"/>
            <w:vAlign w:val="center"/>
          </w:tcPr>
          <w:p>
            <w:pPr>
              <w:pStyle w:val="267"/>
              <w:adjustRightInd w:val="0"/>
              <w:snapToGrid w:val="0"/>
              <w:spacing w:line="400" w:lineRule="exact"/>
              <w:jc w:val="center"/>
              <w:rPr>
                <w:rFonts w:hint="eastAsia"/>
                <w:color w:val="auto"/>
                <w:szCs w:val="21"/>
                <w:highlight w:val="none"/>
              </w:rPr>
            </w:pPr>
            <w:r>
              <w:rPr>
                <w:rFonts w:hint="eastAsia"/>
                <w:color w:val="auto"/>
                <w:szCs w:val="21"/>
                <w:highlight w:val="none"/>
              </w:rPr>
              <w:t>投标人名称</w:t>
            </w:r>
          </w:p>
        </w:tc>
        <w:tc>
          <w:tcPr>
            <w:tcW w:w="5730" w:type="dxa"/>
            <w:gridSpan w:val="6"/>
            <w:vAlign w:val="center"/>
          </w:tcPr>
          <w:p>
            <w:pPr>
              <w:adjustRightInd w:val="0"/>
              <w:snapToGrid w:val="0"/>
              <w:spacing w:line="400" w:lineRule="exact"/>
              <w:rPr>
                <w:rFonts w:hint="eastAsia" w:ascii="宋体" w:hAnsi="宋体" w:cs="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393" w:hRule="atLeast"/>
          <w:jc w:val="center"/>
        </w:trPr>
        <w:tc>
          <w:tcPr>
            <w:tcW w:w="2969" w:type="dxa"/>
            <w:vAlign w:val="center"/>
          </w:tcPr>
          <w:p>
            <w:pPr>
              <w:pStyle w:val="267"/>
              <w:adjustRightInd w:val="0"/>
              <w:snapToGrid w:val="0"/>
              <w:spacing w:line="400" w:lineRule="exact"/>
              <w:jc w:val="center"/>
              <w:rPr>
                <w:rFonts w:hint="eastAsia"/>
                <w:color w:val="auto"/>
                <w:szCs w:val="21"/>
                <w:highlight w:val="none"/>
              </w:rPr>
            </w:pPr>
            <w:r>
              <w:rPr>
                <w:rFonts w:hint="eastAsia"/>
                <w:color w:val="auto"/>
                <w:szCs w:val="21"/>
                <w:highlight w:val="none"/>
              </w:rPr>
              <w:t>单位统一社会信用代码</w:t>
            </w:r>
          </w:p>
        </w:tc>
        <w:tc>
          <w:tcPr>
            <w:tcW w:w="5730" w:type="dxa"/>
            <w:gridSpan w:val="6"/>
            <w:vAlign w:val="center"/>
          </w:tcPr>
          <w:p>
            <w:pPr>
              <w:adjustRightInd w:val="0"/>
              <w:snapToGrid w:val="0"/>
              <w:spacing w:line="400" w:lineRule="exact"/>
              <w:rPr>
                <w:rFonts w:hint="eastAsia" w:ascii="宋体" w:hAnsi="宋体" w:cs="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 w:hRule="atLeast"/>
          <w:jc w:val="center"/>
        </w:trPr>
        <w:tc>
          <w:tcPr>
            <w:tcW w:w="2969" w:type="dxa"/>
            <w:vAlign w:val="center"/>
          </w:tcPr>
          <w:p>
            <w:pPr>
              <w:pStyle w:val="267"/>
              <w:adjustRightInd w:val="0"/>
              <w:snapToGrid w:val="0"/>
              <w:spacing w:line="400" w:lineRule="exact"/>
              <w:jc w:val="center"/>
              <w:rPr>
                <w:rFonts w:hint="eastAsia"/>
                <w:color w:val="auto"/>
                <w:szCs w:val="21"/>
                <w:highlight w:val="none"/>
              </w:rPr>
            </w:pPr>
            <w:r>
              <w:rPr>
                <w:rFonts w:hint="eastAsia"/>
                <w:color w:val="auto"/>
                <w:szCs w:val="21"/>
                <w:highlight w:val="none"/>
              </w:rPr>
              <w:t>法定代表人</w:t>
            </w:r>
          </w:p>
        </w:tc>
        <w:tc>
          <w:tcPr>
            <w:tcW w:w="743" w:type="dxa"/>
            <w:vAlign w:val="center"/>
          </w:tcPr>
          <w:p>
            <w:pPr>
              <w:pStyle w:val="267"/>
              <w:adjustRightInd w:val="0"/>
              <w:snapToGrid w:val="0"/>
              <w:spacing w:line="400" w:lineRule="exact"/>
              <w:jc w:val="center"/>
              <w:rPr>
                <w:rFonts w:hint="eastAsia"/>
                <w:color w:val="auto"/>
                <w:szCs w:val="21"/>
                <w:highlight w:val="none"/>
              </w:rPr>
            </w:pPr>
            <w:r>
              <w:rPr>
                <w:rFonts w:hint="eastAsia"/>
                <w:color w:val="auto"/>
                <w:szCs w:val="21"/>
                <w:highlight w:val="none"/>
              </w:rPr>
              <w:t>姓名</w:t>
            </w:r>
          </w:p>
        </w:tc>
        <w:tc>
          <w:tcPr>
            <w:tcW w:w="909" w:type="dxa"/>
            <w:vAlign w:val="center"/>
          </w:tcPr>
          <w:p>
            <w:pPr>
              <w:adjustRightInd w:val="0"/>
              <w:snapToGrid w:val="0"/>
              <w:spacing w:line="400" w:lineRule="exact"/>
              <w:rPr>
                <w:rFonts w:hint="eastAsia" w:ascii="宋体" w:hAnsi="宋体" w:cs="宋体"/>
                <w:color w:val="auto"/>
                <w:szCs w:val="21"/>
                <w:highlight w:val="none"/>
              </w:rPr>
            </w:pPr>
          </w:p>
        </w:tc>
        <w:tc>
          <w:tcPr>
            <w:tcW w:w="1102" w:type="dxa"/>
            <w:vAlign w:val="center"/>
          </w:tcPr>
          <w:p>
            <w:pPr>
              <w:pStyle w:val="267"/>
              <w:adjustRightInd w:val="0"/>
              <w:snapToGrid w:val="0"/>
              <w:spacing w:line="400" w:lineRule="exact"/>
              <w:ind w:left="115"/>
              <w:jc w:val="center"/>
              <w:rPr>
                <w:rFonts w:hint="eastAsia"/>
                <w:color w:val="auto"/>
                <w:szCs w:val="21"/>
                <w:highlight w:val="none"/>
              </w:rPr>
            </w:pPr>
            <w:r>
              <w:rPr>
                <w:rFonts w:hint="eastAsia"/>
                <w:color w:val="auto"/>
                <w:szCs w:val="21"/>
                <w:highlight w:val="none"/>
              </w:rPr>
              <w:t>技术职称</w:t>
            </w:r>
          </w:p>
        </w:tc>
        <w:tc>
          <w:tcPr>
            <w:tcW w:w="1179" w:type="dxa"/>
            <w:vAlign w:val="center"/>
          </w:tcPr>
          <w:p>
            <w:pPr>
              <w:adjustRightInd w:val="0"/>
              <w:snapToGrid w:val="0"/>
              <w:spacing w:line="400" w:lineRule="exact"/>
              <w:rPr>
                <w:rFonts w:hint="eastAsia" w:ascii="宋体" w:hAnsi="宋体" w:cs="宋体"/>
                <w:color w:val="auto"/>
                <w:szCs w:val="21"/>
                <w:highlight w:val="none"/>
              </w:rPr>
            </w:pPr>
          </w:p>
        </w:tc>
        <w:tc>
          <w:tcPr>
            <w:tcW w:w="878" w:type="dxa"/>
            <w:vAlign w:val="center"/>
          </w:tcPr>
          <w:p>
            <w:pPr>
              <w:pStyle w:val="267"/>
              <w:adjustRightInd w:val="0"/>
              <w:snapToGrid w:val="0"/>
              <w:spacing w:line="400" w:lineRule="exact"/>
              <w:jc w:val="center"/>
              <w:rPr>
                <w:rFonts w:hint="eastAsia"/>
                <w:color w:val="auto"/>
                <w:szCs w:val="21"/>
                <w:highlight w:val="none"/>
              </w:rPr>
            </w:pPr>
            <w:r>
              <w:rPr>
                <w:rFonts w:hint="eastAsia"/>
                <w:color w:val="auto"/>
                <w:szCs w:val="21"/>
                <w:highlight w:val="none"/>
              </w:rPr>
              <w:t>电话</w:t>
            </w:r>
          </w:p>
        </w:tc>
        <w:tc>
          <w:tcPr>
            <w:tcW w:w="927" w:type="dxa"/>
            <w:gridSpan w:val="2"/>
            <w:vAlign w:val="center"/>
          </w:tcPr>
          <w:p>
            <w:pPr>
              <w:adjustRightInd w:val="0"/>
              <w:snapToGrid w:val="0"/>
              <w:spacing w:line="400" w:lineRule="exact"/>
              <w:rPr>
                <w:rFonts w:hint="eastAsia" w:ascii="宋体" w:hAnsi="宋体" w:cs="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 w:hRule="atLeast"/>
          <w:jc w:val="center"/>
        </w:trPr>
        <w:tc>
          <w:tcPr>
            <w:tcW w:w="2969" w:type="dxa"/>
            <w:tcBorders>
              <w:right w:val="single" w:color="auto" w:sz="4" w:space="0"/>
            </w:tcBorders>
            <w:vAlign w:val="center"/>
          </w:tcPr>
          <w:p>
            <w:pPr>
              <w:pStyle w:val="267"/>
              <w:adjustRightInd w:val="0"/>
              <w:snapToGrid w:val="0"/>
              <w:spacing w:line="400" w:lineRule="exact"/>
              <w:jc w:val="center"/>
              <w:rPr>
                <w:rFonts w:hint="eastAsia"/>
                <w:color w:val="auto"/>
                <w:szCs w:val="21"/>
                <w:highlight w:val="none"/>
              </w:rPr>
            </w:pPr>
            <w:r>
              <w:rPr>
                <w:rFonts w:hint="eastAsia"/>
                <w:color w:val="auto"/>
                <w:szCs w:val="21"/>
                <w:highlight w:val="none"/>
              </w:rPr>
              <w:t>技术负责人</w:t>
            </w:r>
          </w:p>
        </w:tc>
        <w:tc>
          <w:tcPr>
            <w:tcW w:w="743" w:type="dxa"/>
            <w:tcBorders>
              <w:left w:val="single" w:color="auto" w:sz="4" w:space="0"/>
            </w:tcBorders>
            <w:vAlign w:val="center"/>
          </w:tcPr>
          <w:p>
            <w:pPr>
              <w:pStyle w:val="267"/>
              <w:adjustRightInd w:val="0"/>
              <w:snapToGrid w:val="0"/>
              <w:spacing w:line="400" w:lineRule="exact"/>
              <w:jc w:val="center"/>
              <w:rPr>
                <w:rFonts w:hint="eastAsia"/>
                <w:color w:val="auto"/>
                <w:szCs w:val="21"/>
                <w:highlight w:val="none"/>
              </w:rPr>
            </w:pPr>
            <w:r>
              <w:rPr>
                <w:rFonts w:hint="eastAsia"/>
                <w:color w:val="auto"/>
                <w:szCs w:val="21"/>
                <w:highlight w:val="none"/>
              </w:rPr>
              <w:t>姓名</w:t>
            </w:r>
          </w:p>
        </w:tc>
        <w:tc>
          <w:tcPr>
            <w:tcW w:w="909" w:type="dxa"/>
            <w:vAlign w:val="center"/>
          </w:tcPr>
          <w:p>
            <w:pPr>
              <w:adjustRightInd w:val="0"/>
              <w:snapToGrid w:val="0"/>
              <w:spacing w:line="400" w:lineRule="exact"/>
              <w:rPr>
                <w:rFonts w:hint="eastAsia" w:ascii="宋体" w:hAnsi="宋体" w:cs="宋体"/>
                <w:color w:val="auto"/>
                <w:szCs w:val="21"/>
                <w:highlight w:val="none"/>
              </w:rPr>
            </w:pPr>
          </w:p>
        </w:tc>
        <w:tc>
          <w:tcPr>
            <w:tcW w:w="1102" w:type="dxa"/>
            <w:vAlign w:val="center"/>
          </w:tcPr>
          <w:p>
            <w:pPr>
              <w:pStyle w:val="267"/>
              <w:adjustRightInd w:val="0"/>
              <w:snapToGrid w:val="0"/>
              <w:spacing w:line="400" w:lineRule="exact"/>
              <w:ind w:left="115"/>
              <w:jc w:val="center"/>
              <w:rPr>
                <w:rFonts w:hint="eastAsia"/>
                <w:color w:val="auto"/>
                <w:szCs w:val="21"/>
                <w:highlight w:val="none"/>
              </w:rPr>
            </w:pPr>
            <w:r>
              <w:rPr>
                <w:rFonts w:hint="eastAsia"/>
                <w:color w:val="auto"/>
                <w:szCs w:val="21"/>
                <w:highlight w:val="none"/>
              </w:rPr>
              <w:t>技术职称</w:t>
            </w:r>
          </w:p>
        </w:tc>
        <w:tc>
          <w:tcPr>
            <w:tcW w:w="1179" w:type="dxa"/>
            <w:vAlign w:val="center"/>
          </w:tcPr>
          <w:p>
            <w:pPr>
              <w:adjustRightInd w:val="0"/>
              <w:snapToGrid w:val="0"/>
              <w:spacing w:line="400" w:lineRule="exact"/>
              <w:rPr>
                <w:rFonts w:hint="eastAsia" w:ascii="宋体" w:hAnsi="宋体" w:cs="宋体"/>
                <w:color w:val="auto"/>
                <w:szCs w:val="21"/>
                <w:highlight w:val="none"/>
              </w:rPr>
            </w:pPr>
          </w:p>
        </w:tc>
        <w:tc>
          <w:tcPr>
            <w:tcW w:w="878" w:type="dxa"/>
            <w:vAlign w:val="center"/>
          </w:tcPr>
          <w:p>
            <w:pPr>
              <w:pStyle w:val="267"/>
              <w:adjustRightInd w:val="0"/>
              <w:snapToGrid w:val="0"/>
              <w:spacing w:line="400" w:lineRule="exact"/>
              <w:jc w:val="center"/>
              <w:rPr>
                <w:rFonts w:hint="eastAsia"/>
                <w:color w:val="auto"/>
                <w:szCs w:val="21"/>
                <w:highlight w:val="none"/>
              </w:rPr>
            </w:pPr>
            <w:r>
              <w:rPr>
                <w:rFonts w:hint="eastAsia"/>
                <w:color w:val="auto"/>
                <w:szCs w:val="21"/>
                <w:highlight w:val="none"/>
              </w:rPr>
              <w:t>电话</w:t>
            </w:r>
          </w:p>
        </w:tc>
        <w:tc>
          <w:tcPr>
            <w:tcW w:w="927" w:type="dxa"/>
            <w:gridSpan w:val="2"/>
            <w:vAlign w:val="center"/>
          </w:tcPr>
          <w:p>
            <w:pPr>
              <w:adjustRightInd w:val="0"/>
              <w:snapToGrid w:val="0"/>
              <w:spacing w:line="400" w:lineRule="exact"/>
              <w:rPr>
                <w:rFonts w:hint="eastAsia" w:ascii="宋体" w:hAnsi="宋体" w:cs="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393" w:hRule="atLeast"/>
          <w:jc w:val="center"/>
        </w:trPr>
        <w:tc>
          <w:tcPr>
            <w:tcW w:w="2969" w:type="dxa"/>
            <w:tcBorders>
              <w:right w:val="single" w:color="auto" w:sz="4" w:space="0"/>
            </w:tcBorders>
            <w:vAlign w:val="center"/>
          </w:tcPr>
          <w:p>
            <w:pPr>
              <w:pStyle w:val="267"/>
              <w:adjustRightInd w:val="0"/>
              <w:snapToGrid w:val="0"/>
              <w:spacing w:line="400" w:lineRule="exact"/>
              <w:jc w:val="center"/>
              <w:rPr>
                <w:rFonts w:hint="eastAsia"/>
                <w:color w:val="auto"/>
                <w:szCs w:val="21"/>
                <w:highlight w:val="none"/>
              </w:rPr>
            </w:pPr>
            <w:r>
              <w:rPr>
                <w:rFonts w:hint="eastAsia"/>
                <w:color w:val="auto"/>
                <w:szCs w:val="21"/>
                <w:highlight w:val="none"/>
              </w:rPr>
              <w:t>经营范围</w:t>
            </w:r>
          </w:p>
        </w:tc>
        <w:tc>
          <w:tcPr>
            <w:tcW w:w="5730" w:type="dxa"/>
            <w:gridSpan w:val="6"/>
            <w:tcBorders>
              <w:left w:val="single" w:color="auto" w:sz="4" w:space="0"/>
            </w:tcBorders>
            <w:vAlign w:val="center"/>
          </w:tcPr>
          <w:p>
            <w:pPr>
              <w:adjustRightInd w:val="0"/>
              <w:snapToGrid w:val="0"/>
              <w:spacing w:line="400" w:lineRule="exact"/>
              <w:rPr>
                <w:rFonts w:hint="eastAsia" w:ascii="宋体" w:hAnsi="宋体" w:cs="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393" w:hRule="atLeast"/>
          <w:jc w:val="center"/>
        </w:trPr>
        <w:tc>
          <w:tcPr>
            <w:tcW w:w="2969" w:type="dxa"/>
            <w:tcBorders>
              <w:right w:val="single" w:color="auto" w:sz="4" w:space="0"/>
            </w:tcBorders>
            <w:vAlign w:val="center"/>
          </w:tcPr>
          <w:p>
            <w:pPr>
              <w:pStyle w:val="267"/>
              <w:adjustRightInd w:val="0"/>
              <w:snapToGrid w:val="0"/>
              <w:spacing w:line="400" w:lineRule="exact"/>
              <w:jc w:val="center"/>
              <w:rPr>
                <w:rFonts w:hint="eastAsia"/>
                <w:color w:val="auto"/>
                <w:szCs w:val="21"/>
                <w:highlight w:val="none"/>
              </w:rPr>
            </w:pPr>
            <w:r>
              <w:rPr>
                <w:rFonts w:hint="eastAsia"/>
                <w:color w:val="auto"/>
                <w:szCs w:val="21"/>
                <w:highlight w:val="none"/>
              </w:rPr>
              <w:t>营业执照</w:t>
            </w:r>
          </w:p>
        </w:tc>
        <w:tc>
          <w:tcPr>
            <w:tcW w:w="5730" w:type="dxa"/>
            <w:gridSpan w:val="6"/>
            <w:tcBorders>
              <w:left w:val="single" w:color="auto" w:sz="4" w:space="0"/>
            </w:tcBorders>
            <w:vAlign w:val="center"/>
          </w:tcPr>
          <w:p>
            <w:pPr>
              <w:adjustRightInd w:val="0"/>
              <w:snapToGrid w:val="0"/>
              <w:spacing w:line="400" w:lineRule="exact"/>
              <w:ind w:firstLine="105" w:firstLineChars="50"/>
              <w:jc w:val="left"/>
              <w:rPr>
                <w:rFonts w:hint="eastAsia" w:ascii="宋体" w:hAnsi="宋体" w:cs="宋体"/>
                <w:color w:val="auto"/>
                <w:szCs w:val="21"/>
                <w:highlight w:val="none"/>
              </w:rPr>
            </w:pPr>
            <w:r>
              <w:rPr>
                <w:rFonts w:hint="eastAsia" w:ascii="宋体" w:hAnsi="宋体" w:cs="宋体"/>
                <w:color w:val="auto"/>
                <w:szCs w:val="21"/>
                <w:highlight w:val="none"/>
              </w:rPr>
              <w:t xml:space="preserve">  附件1.1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775" w:hRule="atLeast"/>
          <w:jc w:val="center"/>
        </w:trPr>
        <w:tc>
          <w:tcPr>
            <w:tcW w:w="2969" w:type="dxa"/>
            <w:tcBorders>
              <w:right w:val="single" w:color="auto" w:sz="4" w:space="0"/>
            </w:tcBorders>
            <w:vAlign w:val="center"/>
          </w:tcPr>
          <w:p>
            <w:pPr>
              <w:pStyle w:val="267"/>
              <w:adjustRightInd w:val="0"/>
              <w:snapToGrid w:val="0"/>
              <w:spacing w:line="400" w:lineRule="exact"/>
              <w:jc w:val="center"/>
              <w:rPr>
                <w:rFonts w:hint="eastAsia"/>
                <w:color w:val="auto"/>
                <w:szCs w:val="21"/>
                <w:highlight w:val="none"/>
              </w:rPr>
            </w:pPr>
            <w:r>
              <w:rPr>
                <w:rFonts w:hint="eastAsia" w:asciiTheme="minorEastAsia" w:hAnsiTheme="minorEastAsia" w:eastAsiaTheme="minorEastAsia"/>
                <w:color w:val="auto"/>
                <w:szCs w:val="21"/>
                <w:highlight w:val="none"/>
              </w:rPr>
              <w:t>开户许可证（基本账户或基本存款账户）</w:t>
            </w:r>
            <w:r>
              <w:rPr>
                <w:rFonts w:hint="eastAsia"/>
                <w:color w:val="auto"/>
                <w:szCs w:val="21"/>
                <w:highlight w:val="none"/>
              </w:rPr>
              <w:t>或基本存款账户信息表</w:t>
            </w:r>
          </w:p>
        </w:tc>
        <w:tc>
          <w:tcPr>
            <w:tcW w:w="5730" w:type="dxa"/>
            <w:gridSpan w:val="6"/>
            <w:tcBorders>
              <w:left w:val="single" w:color="auto" w:sz="4" w:space="0"/>
            </w:tcBorders>
            <w:vAlign w:val="center"/>
          </w:tcPr>
          <w:p>
            <w:pPr>
              <w:adjustRightInd w:val="0"/>
              <w:snapToGrid w:val="0"/>
              <w:spacing w:line="400" w:lineRule="exact"/>
              <w:ind w:firstLine="105" w:firstLineChars="50"/>
              <w:jc w:val="left"/>
              <w:rPr>
                <w:rFonts w:hint="eastAsia" w:ascii="宋体" w:hAnsi="宋体" w:cs="宋体"/>
                <w:color w:val="auto"/>
                <w:szCs w:val="21"/>
                <w:highlight w:val="none"/>
              </w:rPr>
            </w:pPr>
            <w:r>
              <w:rPr>
                <w:rFonts w:hint="eastAsia" w:ascii="宋体" w:hAnsi="宋体" w:cs="宋体"/>
                <w:color w:val="auto"/>
                <w:szCs w:val="21"/>
                <w:highlight w:val="none"/>
              </w:rPr>
              <w:t xml:space="preserve">  附件1.2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393" w:hRule="atLeast"/>
          <w:jc w:val="center"/>
        </w:trPr>
        <w:tc>
          <w:tcPr>
            <w:tcW w:w="2969" w:type="dxa"/>
            <w:tcBorders>
              <w:right w:val="single" w:color="auto" w:sz="4" w:space="0"/>
            </w:tcBorders>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企业监理资质证书</w:t>
            </w:r>
          </w:p>
        </w:tc>
        <w:tc>
          <w:tcPr>
            <w:tcW w:w="5730" w:type="dxa"/>
            <w:gridSpan w:val="6"/>
            <w:tcBorders>
              <w:left w:val="single" w:color="auto" w:sz="4" w:space="0"/>
            </w:tcBorders>
            <w:vAlign w:val="center"/>
          </w:tcPr>
          <w:p>
            <w:pPr>
              <w:adjustRightInd w:val="0"/>
              <w:snapToGrid w:val="0"/>
              <w:spacing w:line="400" w:lineRule="exact"/>
              <w:ind w:firstLine="105" w:firstLineChars="50"/>
              <w:rPr>
                <w:rFonts w:hint="eastAsia" w:ascii="宋体" w:hAnsi="宋体" w:cs="宋体"/>
                <w:color w:val="auto"/>
                <w:szCs w:val="21"/>
                <w:highlight w:val="none"/>
              </w:rPr>
            </w:pPr>
            <w:r>
              <w:rPr>
                <w:rFonts w:hint="eastAsia" w:ascii="宋体" w:hAnsi="宋体" w:cs="宋体"/>
                <w:color w:val="auto"/>
                <w:szCs w:val="21"/>
                <w:highlight w:val="none"/>
              </w:rPr>
              <w:t xml:space="preserve">  附件1.3</w:t>
            </w:r>
          </w:p>
          <w:p>
            <w:pPr>
              <w:pStyle w:val="2"/>
              <w:ind w:left="283" w:leftChars="135" w:firstLine="1" w:firstLineChars="0"/>
              <w:rPr>
                <w:color w:val="auto"/>
                <w:highlight w:val="none"/>
              </w:rPr>
            </w:pPr>
            <w:r>
              <w:rPr>
                <w:rFonts w:hint="eastAsia"/>
                <w:color w:val="auto"/>
                <w:highlight w:val="none"/>
              </w:rPr>
              <w:t>注：</w:t>
            </w:r>
            <w:r>
              <w:rPr>
                <w:rFonts w:hint="eastAsia" w:ascii="宋体" w:hAnsi="宋体" w:cs="宋体"/>
                <w:color w:val="auto"/>
                <w:highlight w:val="none"/>
              </w:rPr>
              <w:t>招标人要求的监理资质有多个时应附全部要求的资质证书。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437" w:hRule="atLeast"/>
          <w:jc w:val="center"/>
        </w:trPr>
        <w:tc>
          <w:tcPr>
            <w:tcW w:w="2969" w:type="dxa"/>
            <w:vAlign w:val="center"/>
          </w:tcPr>
          <w:p>
            <w:pPr>
              <w:pStyle w:val="267"/>
              <w:adjustRightInd w:val="0"/>
              <w:snapToGrid w:val="0"/>
              <w:spacing w:line="400" w:lineRule="exact"/>
              <w:jc w:val="center"/>
              <w:rPr>
                <w:rFonts w:hint="eastAsia"/>
                <w:color w:val="auto"/>
                <w:szCs w:val="21"/>
                <w:highlight w:val="none"/>
              </w:rPr>
            </w:pPr>
            <w:r>
              <w:rPr>
                <w:rFonts w:hint="eastAsia"/>
                <w:b/>
                <w:color w:val="auto"/>
                <w:szCs w:val="21"/>
                <w:highlight w:val="none"/>
              </w:rPr>
              <w:t>□</w:t>
            </w:r>
            <w:r>
              <w:rPr>
                <w:rFonts w:hint="eastAsia"/>
                <w:color w:val="auto"/>
                <w:szCs w:val="21"/>
                <w:highlight w:val="none"/>
              </w:rPr>
              <w:t xml:space="preserve"> 试验检测机构等级证书</w:t>
            </w:r>
          </w:p>
        </w:tc>
        <w:tc>
          <w:tcPr>
            <w:tcW w:w="5730" w:type="dxa"/>
            <w:gridSpan w:val="6"/>
            <w:tcBorders>
              <w:top w:val="single" w:color="auto" w:sz="4" w:space="0"/>
              <w:bottom w:val="single" w:color="auto" w:sz="4" w:space="0"/>
            </w:tcBorders>
            <w:vAlign w:val="center"/>
          </w:tcPr>
          <w:p>
            <w:pPr>
              <w:adjustRightInd w:val="0"/>
              <w:snapToGrid w:val="0"/>
              <w:spacing w:line="400" w:lineRule="exact"/>
              <w:ind w:firstLine="105" w:firstLineChars="50"/>
              <w:jc w:val="left"/>
              <w:rPr>
                <w:rFonts w:hint="eastAsia" w:ascii="宋体" w:hAnsi="宋体" w:cs="宋体"/>
                <w:color w:val="auto"/>
                <w:szCs w:val="21"/>
                <w:highlight w:val="none"/>
              </w:rPr>
            </w:pPr>
            <w:r>
              <w:rPr>
                <w:rFonts w:hint="eastAsia" w:ascii="宋体" w:hAnsi="宋体" w:cs="宋体"/>
                <w:color w:val="auto"/>
                <w:szCs w:val="21"/>
                <w:highlight w:val="none"/>
              </w:rPr>
              <w:t xml:space="preserve">  附件1.4</w:t>
            </w:r>
          </w:p>
          <w:p>
            <w:pPr>
              <w:pStyle w:val="2"/>
              <w:ind w:left="283" w:leftChars="135" w:firstLine="1" w:firstLineChars="0"/>
              <w:rPr>
                <w:color w:val="auto"/>
                <w:highlight w:val="none"/>
              </w:rPr>
            </w:pPr>
            <w:r>
              <w:rPr>
                <w:rFonts w:hint="eastAsia"/>
                <w:color w:val="auto"/>
                <w:highlight w:val="none"/>
              </w:rPr>
              <w:t>注：当招标范围包括监理试验室提出资格条件时选择本项内容。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435" w:hRule="atLeast"/>
          <w:jc w:val="center"/>
        </w:trPr>
        <w:tc>
          <w:tcPr>
            <w:tcW w:w="2969" w:type="dxa"/>
            <w:vAlign w:val="center"/>
          </w:tcPr>
          <w:p>
            <w:pPr>
              <w:pStyle w:val="267"/>
              <w:adjustRightInd w:val="0"/>
              <w:snapToGrid w:val="0"/>
              <w:spacing w:line="400" w:lineRule="exact"/>
              <w:jc w:val="center"/>
              <w:rPr>
                <w:rFonts w:hint="eastAsia"/>
                <w:strike/>
                <w:color w:val="auto"/>
                <w:szCs w:val="21"/>
                <w:highlight w:val="none"/>
              </w:rPr>
            </w:pPr>
            <w:r>
              <w:rPr>
                <w:rFonts w:hint="eastAsia"/>
                <w:b/>
                <w:strike/>
                <w:color w:val="auto"/>
                <w:szCs w:val="21"/>
                <w:highlight w:val="none"/>
              </w:rPr>
              <w:t>□</w:t>
            </w:r>
            <w:r>
              <w:rPr>
                <w:rFonts w:hint="eastAsia"/>
                <w:strike/>
                <w:color w:val="auto"/>
                <w:szCs w:val="21"/>
                <w:highlight w:val="none"/>
              </w:rPr>
              <w:t xml:space="preserve"> 检验检测机构资质认定证书</w:t>
            </w:r>
          </w:p>
        </w:tc>
        <w:tc>
          <w:tcPr>
            <w:tcW w:w="5730" w:type="dxa"/>
            <w:gridSpan w:val="6"/>
            <w:tcBorders>
              <w:top w:val="single" w:color="auto" w:sz="4" w:space="0"/>
              <w:bottom w:val="single" w:color="auto" w:sz="4" w:space="0"/>
            </w:tcBorders>
            <w:vAlign w:val="center"/>
          </w:tcPr>
          <w:p>
            <w:pPr>
              <w:adjustRightInd w:val="0"/>
              <w:snapToGrid w:val="0"/>
              <w:spacing w:line="400" w:lineRule="exact"/>
              <w:ind w:firstLine="105" w:firstLineChars="50"/>
              <w:jc w:val="left"/>
              <w:rPr>
                <w:rFonts w:hint="eastAsia" w:ascii="宋体" w:hAnsi="宋体" w:cs="宋体"/>
                <w:strike/>
                <w:color w:val="auto"/>
                <w:szCs w:val="21"/>
                <w:highlight w:val="none"/>
              </w:rPr>
            </w:pPr>
            <w:r>
              <w:rPr>
                <w:rFonts w:hint="eastAsia" w:ascii="宋体" w:hAnsi="宋体" w:cs="宋体"/>
                <w:strike/>
                <w:color w:val="auto"/>
                <w:szCs w:val="21"/>
                <w:highlight w:val="none"/>
              </w:rPr>
              <w:t xml:space="preserve">  附件1.5</w:t>
            </w:r>
          </w:p>
          <w:p>
            <w:pPr>
              <w:pStyle w:val="2"/>
              <w:ind w:left="283" w:leftChars="135" w:firstLine="1" w:firstLineChars="0"/>
              <w:rPr>
                <w:strike/>
                <w:color w:val="auto"/>
                <w:highlight w:val="none"/>
              </w:rPr>
            </w:pPr>
            <w:r>
              <w:rPr>
                <w:rFonts w:hint="eastAsia"/>
                <w:strike/>
                <w:color w:val="auto"/>
                <w:highlight w:val="none"/>
              </w:rPr>
              <w:t>注：当招标范围包括监理试验室提出资格条件时选择本项内容。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393" w:hRule="atLeast"/>
          <w:jc w:val="center"/>
        </w:trPr>
        <w:tc>
          <w:tcPr>
            <w:tcW w:w="2969" w:type="dxa"/>
            <w:vAlign w:val="center"/>
          </w:tcPr>
          <w:p>
            <w:pPr>
              <w:pStyle w:val="267"/>
              <w:adjustRightInd w:val="0"/>
              <w:snapToGrid w:val="0"/>
              <w:spacing w:line="400" w:lineRule="exact"/>
              <w:ind w:left="109" w:right="89"/>
              <w:jc w:val="center"/>
              <w:rPr>
                <w:rFonts w:hint="eastAsia"/>
                <w:color w:val="auto"/>
                <w:szCs w:val="21"/>
                <w:highlight w:val="none"/>
              </w:rPr>
            </w:pPr>
            <w:r>
              <w:rPr>
                <w:rFonts w:hint="eastAsia"/>
                <w:color w:val="auto"/>
                <w:szCs w:val="21"/>
                <w:highlight w:val="none"/>
              </w:rPr>
              <w:t>投标人关联企业情况</w:t>
            </w:r>
          </w:p>
        </w:tc>
        <w:tc>
          <w:tcPr>
            <w:tcW w:w="5730" w:type="dxa"/>
            <w:gridSpan w:val="6"/>
            <w:vAlign w:val="center"/>
          </w:tcPr>
          <w:p>
            <w:pPr>
              <w:pStyle w:val="267"/>
              <w:adjustRightInd w:val="0"/>
              <w:snapToGrid w:val="0"/>
              <w:spacing w:line="400" w:lineRule="exact"/>
              <w:ind w:left="105" w:leftChars="50" w:right="105" w:rightChars="50"/>
              <w:jc w:val="left"/>
              <w:rPr>
                <w:rFonts w:hint="eastAsia"/>
                <w:color w:val="auto"/>
                <w:szCs w:val="21"/>
                <w:highlight w:val="none"/>
              </w:rPr>
            </w:pPr>
            <w:r>
              <w:rPr>
                <w:rFonts w:hint="eastAsia"/>
                <w:color w:val="auto"/>
                <w:szCs w:val="21"/>
                <w:highlight w:val="none"/>
              </w:rPr>
              <w:t xml:space="preserve">  附件1.</w:t>
            </w:r>
            <w:r>
              <w:rPr>
                <w:rFonts w:hint="eastAsia"/>
                <w:color w:val="000000" w:themeColor="text1"/>
                <w:szCs w:val="21"/>
                <w:highlight w:val="none"/>
                <w14:textFill>
                  <w14:solidFill>
                    <w14:schemeClr w14:val="tx1"/>
                  </w14:solidFill>
                </w14:textFill>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1438" w:hRule="atLeast"/>
          <w:jc w:val="center"/>
        </w:trPr>
        <w:tc>
          <w:tcPr>
            <w:tcW w:w="2969" w:type="dxa"/>
            <w:vAlign w:val="center"/>
          </w:tcPr>
          <w:p>
            <w:pPr>
              <w:pStyle w:val="267"/>
              <w:adjustRightInd w:val="0"/>
              <w:snapToGrid w:val="0"/>
              <w:spacing w:line="400" w:lineRule="exact"/>
              <w:ind w:left="109" w:right="89"/>
              <w:jc w:val="center"/>
              <w:rPr>
                <w:rFonts w:hint="eastAsia"/>
                <w:color w:val="auto"/>
                <w:szCs w:val="21"/>
                <w:highlight w:val="none"/>
              </w:rPr>
            </w:pPr>
            <w:r>
              <w:rPr>
                <w:rFonts w:hint="eastAsia"/>
                <w:b/>
                <w:color w:val="auto"/>
                <w:szCs w:val="21"/>
                <w:highlight w:val="none"/>
              </w:rPr>
              <w:t xml:space="preserve">□ </w:t>
            </w:r>
            <w:r>
              <w:rPr>
                <w:rFonts w:hint="eastAsia"/>
                <w:color w:val="auto"/>
                <w:szCs w:val="21"/>
                <w:highlight w:val="none"/>
              </w:rPr>
              <w:t>交通运输部“全国公路建设市场监督管理系统”中的“公路工程施工监理资质企业名录”网页截图</w:t>
            </w:r>
          </w:p>
        </w:tc>
        <w:tc>
          <w:tcPr>
            <w:tcW w:w="5730" w:type="dxa"/>
            <w:gridSpan w:val="6"/>
            <w:vAlign w:val="center"/>
          </w:tcPr>
          <w:p>
            <w:pPr>
              <w:pStyle w:val="267"/>
              <w:adjustRightInd w:val="0"/>
              <w:snapToGrid w:val="0"/>
              <w:spacing w:line="400" w:lineRule="exact"/>
              <w:ind w:left="105" w:leftChars="50" w:right="105" w:rightChars="50"/>
              <w:jc w:val="left"/>
              <w:rPr>
                <w:rFonts w:hint="eastAsia"/>
                <w:color w:val="auto"/>
                <w:szCs w:val="21"/>
                <w:highlight w:val="none"/>
              </w:rPr>
            </w:pPr>
            <w:r>
              <w:rPr>
                <w:rFonts w:hint="eastAsia"/>
                <w:color w:val="auto"/>
                <w:szCs w:val="21"/>
                <w:highlight w:val="none"/>
              </w:rPr>
              <w:t xml:space="preserve">  附件1.</w:t>
            </w:r>
            <w:r>
              <w:rPr>
                <w:rFonts w:hint="eastAsia"/>
                <w:color w:val="000000" w:themeColor="text1"/>
                <w:szCs w:val="21"/>
                <w:highlight w:val="none"/>
                <w14:textFill>
                  <w14:solidFill>
                    <w14:schemeClr w14:val="tx1"/>
                  </w14:solidFill>
                </w14:textFill>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8" w:type="dxa"/>
          <w:trHeight w:val="402" w:hRule="atLeast"/>
          <w:jc w:val="center"/>
        </w:trPr>
        <w:tc>
          <w:tcPr>
            <w:tcW w:w="2969" w:type="dxa"/>
            <w:vAlign w:val="center"/>
          </w:tcPr>
          <w:p>
            <w:pPr>
              <w:pStyle w:val="267"/>
              <w:adjustRightInd w:val="0"/>
              <w:snapToGrid w:val="0"/>
              <w:spacing w:line="400" w:lineRule="exact"/>
              <w:ind w:left="719" w:right="719"/>
              <w:jc w:val="center"/>
              <w:rPr>
                <w:rFonts w:hint="eastAsia"/>
                <w:color w:val="auto"/>
                <w:szCs w:val="21"/>
                <w:highlight w:val="none"/>
              </w:rPr>
            </w:pPr>
            <w:r>
              <w:rPr>
                <w:rFonts w:hint="eastAsia"/>
                <w:color w:val="auto"/>
                <w:szCs w:val="21"/>
                <w:highlight w:val="none"/>
              </w:rPr>
              <w:t>备注</w:t>
            </w:r>
          </w:p>
        </w:tc>
        <w:tc>
          <w:tcPr>
            <w:tcW w:w="5730" w:type="dxa"/>
            <w:gridSpan w:val="6"/>
            <w:vAlign w:val="center"/>
          </w:tcPr>
          <w:p>
            <w:pPr>
              <w:adjustRightInd w:val="0"/>
              <w:snapToGrid w:val="0"/>
              <w:spacing w:line="400" w:lineRule="exact"/>
              <w:rPr>
                <w:rFonts w:hint="eastAsia" w:ascii="宋体" w:hAnsi="宋体" w:cs="宋体"/>
                <w:color w:val="auto"/>
                <w:szCs w:val="21"/>
                <w:highlight w:val="none"/>
              </w:rPr>
            </w:pPr>
          </w:p>
        </w:tc>
      </w:tr>
    </w:tbl>
    <w:p>
      <w:pPr>
        <w:pStyle w:val="37"/>
        <w:spacing w:line="360" w:lineRule="auto"/>
        <w:ind w:left="420" w:hanging="420" w:hangingChars="200"/>
        <w:rPr>
          <w:rFonts w:hint="eastAsia"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rPr>
        <w:t>注：1.投标人应在本表后按附件顺序提供企业法人营业执照（附件1.1）、开户许可证（基本账户或基本存款账户）或基本存款账户信息表（附件1.2）、监理资质证书（附件1.3）、</w:t>
      </w:r>
      <w:r>
        <w:rPr>
          <w:rFonts w:hint="eastAsia" w:cs="宋体" w:asciiTheme="minorEastAsia" w:hAnsiTheme="minorEastAsia" w:eastAsiaTheme="minorEastAsia"/>
          <w:b/>
          <w:bCs/>
          <w:color w:val="auto"/>
          <w:sz w:val="21"/>
          <w:szCs w:val="21"/>
          <w:highlight w:val="none"/>
        </w:rPr>
        <w:t>□</w:t>
      </w:r>
      <w:r>
        <w:rPr>
          <w:rFonts w:hint="eastAsia" w:cs="宋体" w:asciiTheme="minorEastAsia" w:hAnsiTheme="minorEastAsia" w:eastAsiaTheme="minorEastAsia"/>
          <w:color w:val="auto"/>
          <w:sz w:val="21"/>
          <w:szCs w:val="21"/>
          <w:highlight w:val="none"/>
        </w:rPr>
        <w:t>试验检测机构等级证书副本（附件1.4）</w:t>
      </w:r>
      <w:r>
        <w:rPr>
          <w:rFonts w:hint="eastAsia" w:cs="宋体" w:asciiTheme="minorEastAsia" w:hAnsiTheme="minorEastAsia" w:eastAsiaTheme="minorEastAsia"/>
          <w:strike/>
          <w:color w:val="auto"/>
          <w:sz w:val="21"/>
          <w:szCs w:val="21"/>
          <w:highlight w:val="none"/>
        </w:rPr>
        <w:t>、</w:t>
      </w:r>
      <w:r>
        <w:rPr>
          <w:rFonts w:hint="eastAsia" w:cs="宋体" w:asciiTheme="minorEastAsia" w:hAnsiTheme="minorEastAsia" w:eastAsiaTheme="minorEastAsia"/>
          <w:b/>
          <w:bCs/>
          <w:strike/>
          <w:color w:val="auto"/>
          <w:sz w:val="21"/>
          <w:szCs w:val="21"/>
          <w:highlight w:val="none"/>
        </w:rPr>
        <w:sym w:font="Wingdings 2" w:char="00A3"/>
      </w:r>
      <w:r>
        <w:rPr>
          <w:rFonts w:hint="eastAsia" w:cs="宋体" w:asciiTheme="minorEastAsia" w:hAnsiTheme="minorEastAsia" w:eastAsiaTheme="minorEastAsia"/>
          <w:strike/>
          <w:color w:val="auto"/>
          <w:sz w:val="21"/>
          <w:szCs w:val="21"/>
          <w:highlight w:val="none"/>
        </w:rPr>
        <w:t>检验检测机构资质认定证书（附件1.5）</w:t>
      </w:r>
      <w:r>
        <w:rPr>
          <w:rFonts w:hint="eastAsia" w:cs="宋体" w:asciiTheme="minorEastAsia" w:hAnsiTheme="minorEastAsia" w:eastAsiaTheme="minorEastAsia"/>
          <w:color w:val="auto"/>
          <w:sz w:val="21"/>
          <w:szCs w:val="21"/>
          <w:highlight w:val="none"/>
        </w:rPr>
        <w:t>、投标人在国家企业信用信息公示系统中基础信息（体现股东及出资详细信息 ）的网页截图或经登记机关备案的公司章程（体现股东及出资详细信息）（附件1.</w:t>
      </w:r>
      <w:r>
        <w:rPr>
          <w:rFonts w:hint="eastAsia" w:cs="宋体" w:asciiTheme="minorEastAsia" w:hAnsiTheme="minorEastAsia" w:eastAsiaTheme="minorEastAsia"/>
          <w:color w:val="000000" w:themeColor="text1"/>
          <w:sz w:val="21"/>
          <w:szCs w:val="21"/>
          <w:highlight w:val="none"/>
          <w14:textFill>
            <w14:solidFill>
              <w14:schemeClr w14:val="tx1"/>
            </w14:solidFill>
          </w14:textFill>
        </w:rPr>
        <w:t>5</w:t>
      </w:r>
      <w:r>
        <w:rPr>
          <w:rFonts w:hint="eastAsia" w:cs="宋体" w:asciiTheme="minorEastAsia" w:hAnsiTheme="minorEastAsia" w:eastAsiaTheme="minorEastAsia"/>
          <w:color w:val="auto"/>
          <w:sz w:val="21"/>
          <w:szCs w:val="21"/>
          <w:highlight w:val="none"/>
        </w:rPr>
        <w:t>）、</w:t>
      </w:r>
      <w:r>
        <w:rPr>
          <w:rFonts w:hint="eastAsia"/>
          <w:b/>
          <w:color w:val="auto"/>
          <w:sz w:val="21"/>
          <w:szCs w:val="21"/>
          <w:highlight w:val="none"/>
        </w:rPr>
        <w:t>□</w:t>
      </w:r>
      <w:r>
        <w:rPr>
          <w:rFonts w:hint="eastAsia" w:asciiTheme="minorEastAsia" w:hAnsiTheme="minorEastAsia" w:eastAsiaTheme="minorEastAsia"/>
          <w:color w:val="auto"/>
          <w:sz w:val="21"/>
          <w:szCs w:val="21"/>
          <w:highlight w:val="none"/>
        </w:rPr>
        <w:t>交通运输部“</w:t>
      </w:r>
      <w:r>
        <w:rPr>
          <w:rFonts w:hint="eastAsia" w:ascii="宋体" w:hAnsi="宋体" w:cs="宋体"/>
          <w:color w:val="auto"/>
          <w:sz w:val="21"/>
          <w:szCs w:val="21"/>
          <w:highlight w:val="none"/>
        </w:rPr>
        <w:t>全国公路建设市场监督管理系统</w:t>
      </w:r>
      <w:r>
        <w:rPr>
          <w:rFonts w:hint="eastAsia" w:asciiTheme="minorEastAsia" w:hAnsiTheme="minorEastAsia" w:eastAsiaTheme="minorEastAsia"/>
          <w:color w:val="auto"/>
          <w:sz w:val="21"/>
          <w:szCs w:val="21"/>
          <w:highlight w:val="none"/>
        </w:rPr>
        <w:t>”中的“公路工程施工监理资质企业名录”网页截图（a.</w:t>
      </w:r>
      <w:r>
        <w:rPr>
          <w:rFonts w:hint="eastAsia" w:ascii="宋体" w:hAnsi="宋体" w:cs="宋体"/>
          <w:color w:val="auto"/>
          <w:sz w:val="21"/>
          <w:szCs w:val="21"/>
          <w:highlight w:val="none"/>
        </w:rPr>
        <w:t>本项规定仅适用于根据《关于发布公路工程从业企业资质名录的通知》（厅公路字〔2011〕114号）要求，招标人应通过名录对投标人资质条件进行审核的公路施工监理企业。b.投标人名称和资质有变更，与交通运输部“全国公路建设市场监督管理系统（https://hwdms.mot.gov.cn/BMWebSite/）”中的“公路工程施工监理资质企业名录”中的相应企业名称和资质不一致时，投标人应提供相关证明材料。联合体投标的，成员方未要求具备监理资质的，对“公路工程施工监理资质企业名录”不作要求。</w:t>
      </w:r>
      <w:r>
        <w:rPr>
          <w:rFonts w:hint="eastAsia" w:asciiTheme="minorEastAsia" w:hAnsiTheme="minorEastAsia" w:eastAsiaTheme="minorEastAsia"/>
          <w:color w:val="auto"/>
          <w:sz w:val="21"/>
          <w:szCs w:val="21"/>
          <w:highlight w:val="none"/>
        </w:rPr>
        <w:t>）（附件1.</w:t>
      </w:r>
      <w:r>
        <w:rPr>
          <w:rFonts w:hint="eastAsia" w:asciiTheme="minorEastAsia" w:hAnsiTheme="minorEastAsia" w:eastAsiaTheme="minorEastAsia"/>
          <w:color w:val="000000" w:themeColor="text1"/>
          <w:sz w:val="21"/>
          <w:szCs w:val="21"/>
          <w:highlight w:val="none"/>
          <w14:textFill>
            <w14:solidFill>
              <w14:schemeClr w14:val="tx1"/>
            </w14:solidFill>
          </w14:textFill>
        </w:rPr>
        <w:t>6</w:t>
      </w:r>
      <w:r>
        <w:rPr>
          <w:rFonts w:hint="eastAsia" w:asciiTheme="minorEastAsia" w:hAnsiTheme="minorEastAsia" w:eastAsiaTheme="minorEastAsia"/>
          <w:color w:val="auto"/>
          <w:sz w:val="21"/>
          <w:szCs w:val="21"/>
          <w:highlight w:val="none"/>
        </w:rPr>
        <w:t>），除网页截图外的证明材料附件为</w:t>
      </w:r>
      <w:r>
        <w:rPr>
          <w:rFonts w:hint="eastAsia" w:cs="宋体" w:asciiTheme="minorEastAsia" w:hAnsiTheme="minorEastAsia" w:eastAsiaTheme="minorEastAsia"/>
          <w:color w:val="auto"/>
          <w:sz w:val="21"/>
          <w:szCs w:val="21"/>
          <w:highlight w:val="none"/>
        </w:rPr>
        <w:t>原件原色扫描件。</w:t>
      </w:r>
    </w:p>
    <w:p>
      <w:pPr>
        <w:pStyle w:val="276"/>
        <w:adjustRightInd w:val="0"/>
        <w:snapToGrid w:val="0"/>
        <w:spacing w:line="360" w:lineRule="auto"/>
        <w:ind w:left="714" w:leftChars="190" w:hanging="315" w:hangingChars="150"/>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2.</w:t>
      </w:r>
      <w:r>
        <w:rPr>
          <w:rFonts w:hint="eastAsia" w:ascii="宋体" w:hAnsi="宋体" w:cs="宋体"/>
          <w:color w:val="auto"/>
          <w:szCs w:val="21"/>
          <w:highlight w:val="none"/>
        </w:rPr>
        <w:t>允许联合体投标时，若以</w:t>
      </w:r>
      <w:r>
        <w:rPr>
          <w:rFonts w:hint="eastAsia" w:cs="宋体" w:asciiTheme="minorEastAsia" w:hAnsiTheme="minorEastAsia" w:eastAsiaTheme="minorEastAsia"/>
          <w:color w:val="auto"/>
          <w:szCs w:val="21"/>
          <w:highlight w:val="none"/>
        </w:rPr>
        <w:t>联合体形式投标的，联合体各成员应分别填写本表，</w:t>
      </w:r>
      <w:r>
        <w:rPr>
          <w:rFonts w:hint="eastAsia" w:ascii="宋体" w:hAnsi="宋体" w:cs="宋体"/>
          <w:color w:val="auto"/>
          <w:szCs w:val="21"/>
          <w:highlight w:val="none"/>
        </w:rPr>
        <w:t>且均应提供</w:t>
      </w:r>
    </w:p>
    <w:p>
      <w:pPr>
        <w:pStyle w:val="276"/>
        <w:adjustRightInd w:val="0"/>
        <w:snapToGrid w:val="0"/>
        <w:spacing w:line="360" w:lineRule="auto"/>
        <w:ind w:left="703" w:leftChars="285" w:hanging="105" w:hangingChars="50"/>
        <w:rPr>
          <w:rFonts w:hint="eastAsia" w:cs="宋体" w:asciiTheme="minorEastAsia" w:hAnsiTheme="minorEastAsia" w:eastAsiaTheme="minorEastAsia"/>
          <w:color w:val="auto"/>
          <w:szCs w:val="21"/>
          <w:highlight w:val="none"/>
        </w:rPr>
        <w:sectPr>
          <w:headerReference r:id="rId29" w:type="even"/>
          <w:footerReference r:id="rId30" w:type="even"/>
          <w:footnotePr>
            <w:numFmt w:val="decimalEnclosedCircleChinese"/>
            <w:numRestart w:val="eachPage"/>
          </w:footnotePr>
          <w:type w:val="nextColumn"/>
          <w:pgSz w:w="11900" w:h="16840"/>
          <w:pgMar w:top="1418" w:right="1418" w:bottom="1418" w:left="1701" w:header="885" w:footer="839" w:gutter="0"/>
          <w:cols w:space="720" w:num="1"/>
          <w:docGrid w:linePitch="286" w:charSpace="0"/>
        </w:sectPr>
      </w:pPr>
      <w:r>
        <w:rPr>
          <w:rFonts w:hint="eastAsia" w:ascii="宋体" w:hAnsi="宋体" w:cs="宋体"/>
          <w:color w:val="auto"/>
          <w:szCs w:val="21"/>
          <w:highlight w:val="none"/>
        </w:rPr>
        <w:t>资格审查条件要求的上述相应资料</w:t>
      </w:r>
      <w:r>
        <w:rPr>
          <w:rFonts w:hint="eastAsia" w:cs="宋体" w:asciiTheme="minorEastAsia" w:hAnsiTheme="minorEastAsia" w:eastAsiaTheme="minorEastAsia"/>
          <w:color w:val="auto"/>
          <w:szCs w:val="21"/>
          <w:highlight w:val="none"/>
        </w:rPr>
        <w:t>。</w:t>
      </w:r>
    </w:p>
    <w:p>
      <w:pPr>
        <w:pStyle w:val="6"/>
        <w:ind w:firstLine="4760" w:firstLineChars="1700"/>
        <w:rPr>
          <w:b w:val="0"/>
          <w:bCs w:val="0"/>
          <w:color w:val="auto"/>
          <w:highlight w:val="none"/>
        </w:rPr>
      </w:pPr>
      <w:bookmarkStart w:id="722" w:name="_Toc28187745"/>
      <w:bookmarkStart w:id="723" w:name="_Toc523921867"/>
      <w:r>
        <w:rPr>
          <w:rFonts w:hint="eastAsia"/>
          <w:b w:val="0"/>
          <w:bCs w:val="0"/>
          <w:color w:val="auto"/>
          <w:highlight w:val="none"/>
        </w:rPr>
        <w:t>（二）近年完成的类似项目情况表</w:t>
      </w:r>
      <w:bookmarkEnd w:id="722"/>
      <w:bookmarkEnd w:id="723"/>
    </w:p>
    <w:p>
      <w:pPr>
        <w:pStyle w:val="276"/>
        <w:spacing w:line="360" w:lineRule="auto"/>
        <w:ind w:firstLine="4577" w:firstLineChars="1900"/>
        <w:rPr>
          <w:rFonts w:hint="eastAsia" w:ascii="黑体" w:hAnsi="黑体" w:eastAsia="黑体" w:cs="宋体"/>
          <w:color w:val="auto"/>
          <w:sz w:val="24"/>
          <w:highlight w:val="none"/>
        </w:rPr>
      </w:pPr>
      <w:bookmarkStart w:id="724" w:name="_Hlk52812088"/>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近年完成的公路路基土建工程施工监理情况表                          表2.1</w:t>
      </w:r>
    </w:p>
    <w:tbl>
      <w:tblPr>
        <w:tblStyle w:val="48"/>
        <w:tblW w:w="1376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7"/>
        <w:gridCol w:w="1009"/>
        <w:gridCol w:w="1753"/>
        <w:gridCol w:w="608"/>
        <w:gridCol w:w="1065"/>
        <w:gridCol w:w="552"/>
        <w:gridCol w:w="707"/>
        <w:gridCol w:w="981"/>
        <w:gridCol w:w="774"/>
        <w:gridCol w:w="766"/>
        <w:gridCol w:w="950"/>
        <w:gridCol w:w="863"/>
        <w:gridCol w:w="820"/>
        <w:gridCol w:w="1365"/>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trPr>
        <w:tc>
          <w:tcPr>
            <w:tcW w:w="487"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009"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项目</w:t>
            </w:r>
          </w:p>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业主</w:t>
            </w:r>
          </w:p>
        </w:tc>
        <w:tc>
          <w:tcPr>
            <w:tcW w:w="1753"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08"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公路</w:t>
            </w:r>
          </w:p>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等级</w:t>
            </w:r>
          </w:p>
        </w:tc>
        <w:tc>
          <w:tcPr>
            <w:tcW w:w="1065"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项目建设形式</w:t>
            </w:r>
          </w:p>
        </w:tc>
        <w:tc>
          <w:tcPr>
            <w:tcW w:w="552"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标段号</w:t>
            </w:r>
          </w:p>
        </w:tc>
        <w:tc>
          <w:tcPr>
            <w:tcW w:w="707"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开工</w:t>
            </w:r>
          </w:p>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日期</w:t>
            </w:r>
          </w:p>
        </w:tc>
        <w:tc>
          <w:tcPr>
            <w:tcW w:w="981"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完成（交工）日期</w:t>
            </w:r>
          </w:p>
        </w:tc>
        <w:tc>
          <w:tcPr>
            <w:tcW w:w="774"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监理服务期限</w:t>
            </w:r>
          </w:p>
        </w:tc>
        <w:tc>
          <w:tcPr>
            <w:tcW w:w="766"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监理</w:t>
            </w:r>
          </w:p>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内容</w:t>
            </w:r>
          </w:p>
        </w:tc>
        <w:tc>
          <w:tcPr>
            <w:tcW w:w="95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项目总投资</w:t>
            </w:r>
          </w:p>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highlight w:val="none"/>
              </w:rPr>
              <w:t>（万元）</w:t>
            </w:r>
          </w:p>
        </w:tc>
        <w:tc>
          <w:tcPr>
            <w:tcW w:w="863"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合同价格（元）</w:t>
            </w:r>
          </w:p>
        </w:tc>
        <w:tc>
          <w:tcPr>
            <w:tcW w:w="820"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标段长度（km）</w:t>
            </w:r>
          </w:p>
        </w:tc>
        <w:tc>
          <w:tcPr>
            <w:tcW w:w="1365"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总监理工程师或驻地监理工程师</w:t>
            </w:r>
          </w:p>
        </w:tc>
        <w:tc>
          <w:tcPr>
            <w:tcW w:w="1063"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trPr>
        <w:tc>
          <w:tcPr>
            <w:tcW w:w="487" w:type="dxa"/>
            <w:vAlign w:val="center"/>
          </w:tcPr>
          <w:p>
            <w:pPr>
              <w:pStyle w:val="276"/>
              <w:adjustRightInd w:val="0"/>
              <w:snapToGrid w:val="0"/>
              <w:jc w:val="center"/>
              <w:rPr>
                <w:rFonts w:hint="eastAsia" w:ascii="宋体" w:hAnsi="宋体" w:cs="宋体"/>
                <w:color w:val="auto"/>
                <w:szCs w:val="21"/>
                <w:highlight w:val="none"/>
              </w:rPr>
            </w:pPr>
          </w:p>
        </w:tc>
        <w:tc>
          <w:tcPr>
            <w:tcW w:w="1009"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1753"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608" w:type="dxa"/>
          </w:tcPr>
          <w:p>
            <w:pPr>
              <w:pStyle w:val="276"/>
              <w:adjustRightInd w:val="0"/>
              <w:snapToGrid w:val="0"/>
              <w:jc w:val="center"/>
              <w:rPr>
                <w:rFonts w:hint="eastAsia" w:ascii="宋体" w:hAnsi="宋体" w:cs="宋体"/>
                <w:color w:val="auto"/>
                <w:szCs w:val="21"/>
                <w:highlight w:val="none"/>
              </w:rPr>
            </w:pPr>
          </w:p>
        </w:tc>
        <w:tc>
          <w:tcPr>
            <w:tcW w:w="1065"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color w:val="auto"/>
                <w:szCs w:val="21"/>
                <w:highlight w:val="none"/>
              </w:rPr>
            </w:pPr>
            <w:r>
              <w:rPr>
                <w:rFonts w:hint="eastAsia" w:ascii="宋体" w:hAnsi="宋体"/>
                <w:color w:val="auto"/>
                <w:szCs w:val="21"/>
                <w:highlight w:val="none"/>
              </w:rPr>
              <w:t>□改扩建</w:t>
            </w:r>
          </w:p>
        </w:tc>
        <w:tc>
          <w:tcPr>
            <w:tcW w:w="552"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707" w:type="dxa"/>
          </w:tcPr>
          <w:p>
            <w:pPr>
              <w:pStyle w:val="276"/>
              <w:adjustRightInd w:val="0"/>
              <w:snapToGrid w:val="0"/>
              <w:jc w:val="center"/>
              <w:rPr>
                <w:rFonts w:hint="eastAsia" w:ascii="宋体" w:hAnsi="宋体" w:cs="宋体"/>
                <w:color w:val="auto"/>
                <w:szCs w:val="21"/>
                <w:highlight w:val="none"/>
              </w:rPr>
            </w:pPr>
          </w:p>
        </w:tc>
        <w:tc>
          <w:tcPr>
            <w:tcW w:w="981"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774" w:type="dxa"/>
            <w:vAlign w:val="center"/>
          </w:tcPr>
          <w:p>
            <w:pPr>
              <w:pStyle w:val="276"/>
              <w:adjustRightInd w:val="0"/>
              <w:snapToGrid w:val="0"/>
              <w:jc w:val="center"/>
              <w:rPr>
                <w:rFonts w:hint="eastAsia" w:ascii="宋体" w:hAnsi="宋体" w:cs="宋体"/>
                <w:color w:val="auto"/>
                <w:szCs w:val="21"/>
                <w:highlight w:val="none"/>
              </w:rPr>
            </w:pPr>
          </w:p>
        </w:tc>
        <w:tc>
          <w:tcPr>
            <w:tcW w:w="766"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950" w:type="dxa"/>
            <w:vAlign w:val="center"/>
          </w:tcPr>
          <w:p>
            <w:pPr>
              <w:pStyle w:val="276"/>
              <w:adjustRightInd w:val="0"/>
              <w:snapToGrid w:val="0"/>
              <w:jc w:val="center"/>
              <w:rPr>
                <w:rFonts w:hint="eastAsia" w:ascii="宋体" w:hAnsi="宋体" w:cs="宋体"/>
                <w:color w:val="auto"/>
                <w:szCs w:val="21"/>
                <w:highlight w:val="none"/>
              </w:rPr>
            </w:pPr>
          </w:p>
        </w:tc>
        <w:tc>
          <w:tcPr>
            <w:tcW w:w="863"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820" w:type="dxa"/>
          </w:tcPr>
          <w:p>
            <w:pPr>
              <w:pStyle w:val="276"/>
              <w:adjustRightInd w:val="0"/>
              <w:snapToGrid w:val="0"/>
              <w:jc w:val="center"/>
              <w:rPr>
                <w:rFonts w:hint="eastAsia" w:ascii="宋体" w:hAnsi="宋体" w:cs="宋体"/>
                <w:color w:val="auto"/>
                <w:szCs w:val="21"/>
                <w:highlight w:val="none"/>
              </w:rPr>
            </w:pPr>
          </w:p>
        </w:tc>
        <w:tc>
          <w:tcPr>
            <w:tcW w:w="1365"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1063"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附件C1.1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trPr>
        <w:tc>
          <w:tcPr>
            <w:tcW w:w="487" w:type="dxa"/>
            <w:vAlign w:val="center"/>
          </w:tcPr>
          <w:p>
            <w:pPr>
              <w:pStyle w:val="276"/>
              <w:adjustRightInd w:val="0"/>
              <w:snapToGrid w:val="0"/>
              <w:jc w:val="center"/>
              <w:rPr>
                <w:rFonts w:hint="eastAsia" w:ascii="宋体" w:hAnsi="宋体" w:cs="宋体"/>
                <w:color w:val="auto"/>
                <w:szCs w:val="21"/>
                <w:highlight w:val="none"/>
              </w:rPr>
            </w:pPr>
          </w:p>
        </w:tc>
        <w:tc>
          <w:tcPr>
            <w:tcW w:w="1009"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1753"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608" w:type="dxa"/>
          </w:tcPr>
          <w:p>
            <w:pPr>
              <w:pStyle w:val="276"/>
              <w:adjustRightInd w:val="0"/>
              <w:snapToGrid w:val="0"/>
              <w:jc w:val="center"/>
              <w:rPr>
                <w:rFonts w:hint="eastAsia" w:ascii="宋体" w:hAnsi="宋体" w:cs="宋体"/>
                <w:color w:val="auto"/>
                <w:szCs w:val="21"/>
                <w:highlight w:val="none"/>
              </w:rPr>
            </w:pPr>
          </w:p>
        </w:tc>
        <w:tc>
          <w:tcPr>
            <w:tcW w:w="1065"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552"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707" w:type="dxa"/>
          </w:tcPr>
          <w:p>
            <w:pPr>
              <w:pStyle w:val="276"/>
              <w:adjustRightInd w:val="0"/>
              <w:snapToGrid w:val="0"/>
              <w:jc w:val="center"/>
              <w:rPr>
                <w:rFonts w:hint="eastAsia" w:ascii="宋体" w:hAnsi="宋体" w:cs="宋体"/>
                <w:color w:val="auto"/>
                <w:szCs w:val="21"/>
                <w:highlight w:val="none"/>
              </w:rPr>
            </w:pPr>
          </w:p>
        </w:tc>
        <w:tc>
          <w:tcPr>
            <w:tcW w:w="981"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774" w:type="dxa"/>
            <w:vAlign w:val="center"/>
          </w:tcPr>
          <w:p>
            <w:pPr>
              <w:pStyle w:val="276"/>
              <w:adjustRightInd w:val="0"/>
              <w:snapToGrid w:val="0"/>
              <w:jc w:val="center"/>
              <w:rPr>
                <w:rFonts w:hint="eastAsia" w:ascii="宋体" w:hAnsi="宋体" w:cs="宋体"/>
                <w:color w:val="auto"/>
                <w:szCs w:val="21"/>
                <w:highlight w:val="none"/>
              </w:rPr>
            </w:pPr>
          </w:p>
        </w:tc>
        <w:tc>
          <w:tcPr>
            <w:tcW w:w="766"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950" w:type="dxa"/>
            <w:vAlign w:val="center"/>
          </w:tcPr>
          <w:p>
            <w:pPr>
              <w:pStyle w:val="276"/>
              <w:adjustRightInd w:val="0"/>
              <w:snapToGrid w:val="0"/>
              <w:jc w:val="center"/>
              <w:rPr>
                <w:rFonts w:hint="eastAsia" w:ascii="宋体" w:hAnsi="宋体" w:cs="宋体"/>
                <w:color w:val="auto"/>
                <w:szCs w:val="21"/>
                <w:highlight w:val="none"/>
              </w:rPr>
            </w:pPr>
          </w:p>
        </w:tc>
        <w:tc>
          <w:tcPr>
            <w:tcW w:w="863"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820" w:type="dxa"/>
          </w:tcPr>
          <w:p>
            <w:pPr>
              <w:pStyle w:val="276"/>
              <w:adjustRightInd w:val="0"/>
              <w:snapToGrid w:val="0"/>
              <w:jc w:val="center"/>
              <w:rPr>
                <w:rFonts w:hint="eastAsia" w:ascii="宋体" w:hAnsi="宋体" w:cs="宋体"/>
                <w:color w:val="auto"/>
                <w:szCs w:val="21"/>
                <w:highlight w:val="none"/>
              </w:rPr>
            </w:pPr>
          </w:p>
        </w:tc>
        <w:tc>
          <w:tcPr>
            <w:tcW w:w="1365"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1063"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附件C1.2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trPr>
        <w:tc>
          <w:tcPr>
            <w:tcW w:w="487" w:type="dxa"/>
            <w:vAlign w:val="center"/>
          </w:tcPr>
          <w:p>
            <w:pPr>
              <w:pStyle w:val="276"/>
              <w:adjustRightInd w:val="0"/>
              <w:snapToGrid w:val="0"/>
              <w:jc w:val="center"/>
              <w:rPr>
                <w:rFonts w:hint="eastAsia" w:ascii="宋体" w:hAnsi="宋体" w:cs="宋体"/>
                <w:color w:val="auto"/>
                <w:szCs w:val="21"/>
                <w:highlight w:val="none"/>
              </w:rPr>
            </w:pPr>
          </w:p>
        </w:tc>
        <w:tc>
          <w:tcPr>
            <w:tcW w:w="1009"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1753"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608" w:type="dxa"/>
          </w:tcPr>
          <w:p>
            <w:pPr>
              <w:pStyle w:val="276"/>
              <w:adjustRightInd w:val="0"/>
              <w:snapToGrid w:val="0"/>
              <w:jc w:val="center"/>
              <w:rPr>
                <w:rFonts w:hint="eastAsia" w:ascii="宋体" w:hAnsi="宋体" w:cs="宋体"/>
                <w:color w:val="auto"/>
                <w:szCs w:val="21"/>
                <w:highlight w:val="none"/>
              </w:rPr>
            </w:pPr>
          </w:p>
        </w:tc>
        <w:tc>
          <w:tcPr>
            <w:tcW w:w="1065"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552"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707" w:type="dxa"/>
          </w:tcPr>
          <w:p>
            <w:pPr>
              <w:pStyle w:val="276"/>
              <w:adjustRightInd w:val="0"/>
              <w:snapToGrid w:val="0"/>
              <w:jc w:val="center"/>
              <w:rPr>
                <w:rFonts w:hint="eastAsia" w:ascii="宋体" w:hAnsi="宋体" w:cs="宋体"/>
                <w:color w:val="auto"/>
                <w:szCs w:val="21"/>
                <w:highlight w:val="none"/>
              </w:rPr>
            </w:pPr>
          </w:p>
        </w:tc>
        <w:tc>
          <w:tcPr>
            <w:tcW w:w="981"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774" w:type="dxa"/>
            <w:vAlign w:val="center"/>
          </w:tcPr>
          <w:p>
            <w:pPr>
              <w:pStyle w:val="276"/>
              <w:adjustRightInd w:val="0"/>
              <w:snapToGrid w:val="0"/>
              <w:jc w:val="center"/>
              <w:rPr>
                <w:rFonts w:hint="eastAsia" w:ascii="宋体" w:hAnsi="宋体" w:cs="宋体"/>
                <w:color w:val="auto"/>
                <w:szCs w:val="21"/>
                <w:highlight w:val="none"/>
              </w:rPr>
            </w:pPr>
          </w:p>
        </w:tc>
        <w:tc>
          <w:tcPr>
            <w:tcW w:w="766"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950" w:type="dxa"/>
            <w:vAlign w:val="center"/>
          </w:tcPr>
          <w:p>
            <w:pPr>
              <w:pStyle w:val="276"/>
              <w:adjustRightInd w:val="0"/>
              <w:snapToGrid w:val="0"/>
              <w:jc w:val="center"/>
              <w:rPr>
                <w:rFonts w:hint="eastAsia" w:ascii="宋体" w:hAnsi="宋体" w:cs="宋体"/>
                <w:color w:val="auto"/>
                <w:szCs w:val="21"/>
                <w:highlight w:val="none"/>
              </w:rPr>
            </w:pPr>
          </w:p>
        </w:tc>
        <w:tc>
          <w:tcPr>
            <w:tcW w:w="863"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820" w:type="dxa"/>
          </w:tcPr>
          <w:p>
            <w:pPr>
              <w:pStyle w:val="276"/>
              <w:adjustRightInd w:val="0"/>
              <w:snapToGrid w:val="0"/>
              <w:jc w:val="center"/>
              <w:rPr>
                <w:rFonts w:hint="eastAsia" w:ascii="宋体" w:hAnsi="宋体" w:cs="宋体"/>
                <w:color w:val="auto"/>
                <w:szCs w:val="21"/>
                <w:highlight w:val="none"/>
              </w:rPr>
            </w:pPr>
          </w:p>
        </w:tc>
        <w:tc>
          <w:tcPr>
            <w:tcW w:w="1365"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p>
        </w:tc>
        <w:tc>
          <w:tcPr>
            <w:tcW w:w="1063"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附件C1.3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rPr>
        <w:tc>
          <w:tcPr>
            <w:tcW w:w="487"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009"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753"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608" w:type="dxa"/>
            <w:vAlign w:val="center"/>
          </w:tcPr>
          <w:p>
            <w:pPr>
              <w:pStyle w:val="276"/>
              <w:adjustRightInd w:val="0"/>
              <w:snapToGri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065"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552"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07"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81"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74"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66"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50"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863"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820"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365"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063" w:type="dxa"/>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r>
    </w:tbl>
    <w:p>
      <w:pPr>
        <w:pStyle w:val="276"/>
        <w:spacing w:line="340" w:lineRule="exact"/>
        <w:ind w:left="630" w:hanging="630" w:hangingChars="300"/>
        <w:rPr>
          <w:rFonts w:hint="eastAsia" w:ascii="宋体" w:hAnsi="宋体" w:cs="宋体"/>
          <w:color w:val="auto"/>
          <w:spacing w:val="-3"/>
          <w:highlight w:val="none"/>
        </w:rPr>
      </w:pPr>
      <w:bookmarkStart w:id="725" w:name="_Hlk76582030"/>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C1系列（路基土建工程施工监理项目业绩）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highlight w:val="none"/>
        </w:rPr>
        <w:t>）。</w:t>
      </w:r>
    </w:p>
    <w:p>
      <w:pPr>
        <w:pStyle w:val="276"/>
        <w:spacing w:line="34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pStyle w:val="276"/>
        <w:spacing w:line="34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3</w:t>
      </w:r>
      <w:r>
        <w:rPr>
          <w:rFonts w:hint="eastAsia" w:ascii="宋体" w:hAnsi="宋体" w:cs="宋体"/>
          <w:color w:val="auto"/>
          <w:highlight w:val="none"/>
        </w:rPr>
        <w:t>.本表所列合同价格一般为项目结算价格，无结算价格的以签约合同价格为准。</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4.如近年来，投标人法人机构发生合法变更或重组或法人名称变更时，应提供相关部门的合法批件或其他相关证明材料来证明其所附业绩的继承性。</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5.</w:t>
      </w:r>
      <w:r>
        <w:rPr>
          <w:rFonts w:hint="eastAsia" w:ascii="宋体" w:hAnsi="宋体" w:cs="宋体"/>
          <w:color w:val="auto"/>
          <w:highlight w:val="none"/>
          <w:lang w:bidi="ar"/>
        </w:rPr>
        <w:t>路基土建工程指须至少包含“路基工程”的项目。</w:t>
      </w:r>
    </w:p>
    <w:p>
      <w:pPr>
        <w:pStyle w:val="276"/>
        <w:spacing w:line="34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6.表中的“日期”填写</w:t>
      </w:r>
      <w:r>
        <w:rPr>
          <w:rFonts w:hint="eastAsia" w:ascii="宋体" w:hAnsi="宋体"/>
          <w:color w:val="auto"/>
          <w:szCs w:val="21"/>
          <w:highlight w:val="none"/>
        </w:rPr>
        <w:t>的格式统一以阿拉伯数字表示。如：2021年5月1日，填写为20210501；2021年5月，填写为202105。</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以联合体形式投标的，联合体各成员应按照第二章“投标人须知”前附表附录2资格审查条件要求的对应业绩</w:t>
      </w:r>
      <w:bookmarkStart w:id="726" w:name="_Hlk98422543"/>
      <w:r>
        <w:rPr>
          <w:rFonts w:hint="eastAsia" w:ascii="宋体" w:hAnsi="宋体" w:cs="宋体"/>
          <w:color w:val="auto"/>
          <w:highlight w:val="none"/>
        </w:rPr>
        <w:t>及第三章“评标办法”详细评审打分条件（如有）</w:t>
      </w:r>
      <w:bookmarkEnd w:id="726"/>
      <w:r>
        <w:rPr>
          <w:rFonts w:hint="eastAsia" w:ascii="宋体" w:hAnsi="宋体" w:cs="宋体"/>
          <w:color w:val="auto"/>
          <w:highlight w:val="none"/>
        </w:rPr>
        <w:t>填写本表。</w:t>
      </w:r>
      <w:bookmarkEnd w:id="725"/>
    </w:p>
    <w:p>
      <w:pPr>
        <w:pStyle w:val="276"/>
        <w:spacing w:line="360" w:lineRule="auto"/>
        <w:ind w:left="1778" w:firstLine="1680" w:firstLineChars="800"/>
        <w:rPr>
          <w:rFonts w:hint="eastAsia" w:ascii="黑体" w:hAnsi="黑体" w:eastAsia="黑体" w:cs="宋体"/>
          <w:color w:val="auto"/>
          <w:sz w:val="24"/>
          <w:highlight w:val="none"/>
        </w:rPr>
      </w:pPr>
      <w:r>
        <w:rPr>
          <w:rFonts w:hint="eastAsia" w:ascii="宋体" w:hAnsi="宋体" w:cs="宋体"/>
          <w:color w:val="auto"/>
          <w:highlight w:val="none"/>
        </w:rPr>
        <w:br w:type="page"/>
      </w:r>
      <w:r>
        <w:rPr>
          <w:rFonts w:hint="eastAsia" w:ascii="宋体" w:hAnsi="宋体" w:cs="宋体"/>
          <w:color w:val="auto"/>
          <w:highlight w:val="none"/>
        </w:rPr>
        <w:t xml:space="preserve">          </w:t>
      </w: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w:t>
      </w:r>
      <w:r>
        <w:rPr>
          <w:rFonts w:hint="eastAsia" w:ascii="宋体" w:hAnsi="宋体" w:cs="宋体"/>
          <w:color w:val="auto"/>
          <w:highlight w:val="none"/>
        </w:rPr>
        <w:t xml:space="preserve"> </w:t>
      </w:r>
      <w:r>
        <w:rPr>
          <w:rFonts w:hint="eastAsia" w:ascii="黑体" w:hAnsi="黑体" w:eastAsia="黑体" w:cs="宋体"/>
          <w:color w:val="auto"/>
          <w:sz w:val="24"/>
          <w:highlight w:val="none"/>
        </w:rPr>
        <w:t>近年完成的公路桥梁工程施工监理情况表                           表2.2</w:t>
      </w:r>
    </w:p>
    <w:tbl>
      <w:tblPr>
        <w:tblStyle w:val="48"/>
        <w:tblW w:w="138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96"/>
        <w:gridCol w:w="829"/>
        <w:gridCol w:w="1358"/>
        <w:gridCol w:w="616"/>
        <w:gridCol w:w="1062"/>
        <w:gridCol w:w="611"/>
        <w:gridCol w:w="478"/>
        <w:gridCol w:w="909"/>
        <w:gridCol w:w="636"/>
        <w:gridCol w:w="696"/>
        <w:gridCol w:w="787"/>
        <w:gridCol w:w="848"/>
        <w:gridCol w:w="577"/>
        <w:gridCol w:w="810"/>
        <w:gridCol w:w="539"/>
        <w:gridCol w:w="692"/>
        <w:gridCol w:w="1059"/>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3" w:hRule="atLeast"/>
        </w:trPr>
        <w:tc>
          <w:tcPr>
            <w:tcW w:w="39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82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项目</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业主</w:t>
            </w:r>
          </w:p>
        </w:tc>
        <w:tc>
          <w:tcPr>
            <w:tcW w:w="1358"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1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公路</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等级</w:t>
            </w:r>
          </w:p>
        </w:tc>
        <w:tc>
          <w:tcPr>
            <w:tcW w:w="1062"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项目建设形式</w:t>
            </w:r>
          </w:p>
        </w:tc>
        <w:tc>
          <w:tcPr>
            <w:tcW w:w="61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标段号</w:t>
            </w:r>
          </w:p>
        </w:tc>
        <w:tc>
          <w:tcPr>
            <w:tcW w:w="47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开工日期</w:t>
            </w:r>
          </w:p>
        </w:tc>
        <w:tc>
          <w:tcPr>
            <w:tcW w:w="909" w:type="dxa"/>
            <w:tcMar>
              <w:top w:w="0" w:type="dxa"/>
              <w:left w:w="108" w:type="dxa"/>
              <w:bottom w:w="0" w:type="dxa"/>
              <w:right w:w="108" w:type="dxa"/>
            </w:tcMar>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完成（交工）日期</w:t>
            </w:r>
          </w:p>
        </w:tc>
        <w:tc>
          <w:tcPr>
            <w:tcW w:w="63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监理服务期限</w:t>
            </w:r>
          </w:p>
        </w:tc>
        <w:tc>
          <w:tcPr>
            <w:tcW w:w="69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内容</w:t>
            </w:r>
          </w:p>
        </w:tc>
        <w:tc>
          <w:tcPr>
            <w:tcW w:w="78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项目总投资</w:t>
            </w:r>
          </w:p>
          <w:p>
            <w:pPr>
              <w:pStyle w:val="276"/>
              <w:jc w:val="center"/>
              <w:rPr>
                <w:rFonts w:hint="eastAsia" w:ascii="宋体" w:hAnsi="宋体" w:cs="宋体"/>
                <w:color w:val="auto"/>
                <w:szCs w:val="21"/>
                <w:highlight w:val="none"/>
              </w:rPr>
            </w:pPr>
            <w:r>
              <w:rPr>
                <w:rFonts w:hint="eastAsia" w:ascii="宋体" w:hAnsi="宋体" w:cs="宋体"/>
                <w:color w:val="auto"/>
                <w:highlight w:val="none"/>
              </w:rPr>
              <w:t>（万元）</w:t>
            </w:r>
          </w:p>
        </w:tc>
        <w:tc>
          <w:tcPr>
            <w:tcW w:w="848"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合同</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价格（元）</w:t>
            </w:r>
          </w:p>
        </w:tc>
        <w:tc>
          <w:tcPr>
            <w:tcW w:w="577"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桥梁</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名称</w:t>
            </w:r>
          </w:p>
        </w:tc>
        <w:tc>
          <w:tcPr>
            <w:tcW w:w="81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桥梁总长（m）</w:t>
            </w:r>
          </w:p>
        </w:tc>
        <w:tc>
          <w:tcPr>
            <w:tcW w:w="539"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桥梁</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类型</w:t>
            </w:r>
          </w:p>
        </w:tc>
        <w:tc>
          <w:tcPr>
            <w:tcW w:w="692"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主跨跨径长度（m）</w:t>
            </w:r>
          </w:p>
        </w:tc>
        <w:tc>
          <w:tcPr>
            <w:tcW w:w="105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总监理工程师或驻地监理工程师</w:t>
            </w:r>
          </w:p>
        </w:tc>
        <w:tc>
          <w:tcPr>
            <w:tcW w:w="93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2" w:hRule="atLeast"/>
        </w:trPr>
        <w:tc>
          <w:tcPr>
            <w:tcW w:w="396" w:type="dxa"/>
            <w:vAlign w:val="center"/>
          </w:tcPr>
          <w:p>
            <w:pPr>
              <w:pStyle w:val="276"/>
              <w:jc w:val="center"/>
              <w:rPr>
                <w:rFonts w:hint="eastAsia" w:ascii="宋体" w:hAnsi="宋体" w:cs="宋体"/>
                <w:color w:val="auto"/>
                <w:szCs w:val="21"/>
                <w:highlight w:val="none"/>
              </w:rPr>
            </w:pPr>
          </w:p>
        </w:tc>
        <w:tc>
          <w:tcPr>
            <w:tcW w:w="82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358"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16" w:type="dxa"/>
          </w:tcPr>
          <w:p>
            <w:pPr>
              <w:pStyle w:val="276"/>
              <w:jc w:val="center"/>
              <w:rPr>
                <w:rFonts w:hint="eastAsia" w:ascii="宋体" w:hAnsi="宋体" w:cs="宋体"/>
                <w:color w:val="auto"/>
                <w:szCs w:val="21"/>
                <w:highlight w:val="none"/>
              </w:rPr>
            </w:pPr>
          </w:p>
        </w:tc>
        <w:tc>
          <w:tcPr>
            <w:tcW w:w="1062"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color w:val="auto"/>
                <w:szCs w:val="21"/>
                <w:highlight w:val="none"/>
              </w:rPr>
            </w:pPr>
            <w:r>
              <w:rPr>
                <w:rFonts w:hint="eastAsia" w:ascii="宋体" w:hAnsi="宋体"/>
                <w:color w:val="auto"/>
                <w:szCs w:val="21"/>
                <w:highlight w:val="none"/>
              </w:rPr>
              <w:t>□改扩建</w:t>
            </w:r>
          </w:p>
        </w:tc>
        <w:tc>
          <w:tcPr>
            <w:tcW w:w="61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478" w:type="dxa"/>
          </w:tcPr>
          <w:p>
            <w:pPr>
              <w:pStyle w:val="276"/>
              <w:jc w:val="center"/>
              <w:rPr>
                <w:rFonts w:hint="eastAsia" w:ascii="宋体" w:hAnsi="宋体" w:cs="宋体"/>
                <w:color w:val="auto"/>
                <w:szCs w:val="21"/>
                <w:highlight w:val="none"/>
              </w:rPr>
            </w:pPr>
          </w:p>
        </w:tc>
        <w:tc>
          <w:tcPr>
            <w:tcW w:w="90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36" w:type="dxa"/>
            <w:vAlign w:val="center"/>
          </w:tcPr>
          <w:p>
            <w:pPr>
              <w:pStyle w:val="276"/>
              <w:jc w:val="center"/>
              <w:rPr>
                <w:rFonts w:hint="eastAsia" w:ascii="宋体" w:hAnsi="宋体" w:cs="宋体"/>
                <w:color w:val="auto"/>
                <w:szCs w:val="21"/>
                <w:highlight w:val="none"/>
              </w:rPr>
            </w:pPr>
          </w:p>
        </w:tc>
        <w:tc>
          <w:tcPr>
            <w:tcW w:w="69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87" w:type="dxa"/>
            <w:vAlign w:val="center"/>
          </w:tcPr>
          <w:p>
            <w:pPr>
              <w:pStyle w:val="276"/>
              <w:jc w:val="center"/>
              <w:rPr>
                <w:rFonts w:hint="eastAsia" w:ascii="宋体" w:hAnsi="宋体" w:cs="宋体"/>
                <w:color w:val="auto"/>
                <w:szCs w:val="21"/>
                <w:highlight w:val="none"/>
              </w:rPr>
            </w:pPr>
          </w:p>
        </w:tc>
        <w:tc>
          <w:tcPr>
            <w:tcW w:w="848"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577" w:type="dxa"/>
          </w:tcPr>
          <w:p>
            <w:pPr>
              <w:pStyle w:val="276"/>
              <w:jc w:val="center"/>
              <w:rPr>
                <w:rFonts w:hint="eastAsia" w:ascii="宋体" w:hAnsi="宋体" w:cs="宋体"/>
                <w:color w:val="auto"/>
                <w:szCs w:val="21"/>
                <w:highlight w:val="none"/>
              </w:rPr>
            </w:pPr>
          </w:p>
        </w:tc>
        <w:tc>
          <w:tcPr>
            <w:tcW w:w="810" w:type="dxa"/>
          </w:tcPr>
          <w:p>
            <w:pPr>
              <w:pStyle w:val="276"/>
              <w:jc w:val="center"/>
              <w:rPr>
                <w:rFonts w:hint="eastAsia" w:ascii="宋体" w:hAnsi="宋体" w:cs="宋体"/>
                <w:color w:val="auto"/>
                <w:szCs w:val="21"/>
                <w:highlight w:val="none"/>
              </w:rPr>
            </w:pPr>
          </w:p>
        </w:tc>
        <w:tc>
          <w:tcPr>
            <w:tcW w:w="539" w:type="dxa"/>
          </w:tcPr>
          <w:p>
            <w:pPr>
              <w:pStyle w:val="276"/>
              <w:jc w:val="center"/>
              <w:rPr>
                <w:rFonts w:hint="eastAsia" w:ascii="宋体" w:hAnsi="宋体" w:cs="宋体"/>
                <w:color w:val="auto"/>
                <w:szCs w:val="21"/>
                <w:highlight w:val="none"/>
              </w:rPr>
            </w:pPr>
          </w:p>
        </w:tc>
        <w:tc>
          <w:tcPr>
            <w:tcW w:w="692" w:type="dxa"/>
          </w:tcPr>
          <w:p>
            <w:pPr>
              <w:pStyle w:val="276"/>
              <w:jc w:val="center"/>
              <w:rPr>
                <w:rFonts w:hint="eastAsia" w:ascii="宋体" w:hAnsi="宋体" w:cs="宋体"/>
                <w:color w:val="auto"/>
                <w:szCs w:val="21"/>
                <w:highlight w:val="none"/>
              </w:rPr>
            </w:pPr>
          </w:p>
        </w:tc>
        <w:tc>
          <w:tcPr>
            <w:tcW w:w="105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93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附件C2.1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396" w:type="dxa"/>
            <w:vAlign w:val="center"/>
          </w:tcPr>
          <w:p>
            <w:pPr>
              <w:pStyle w:val="276"/>
              <w:jc w:val="center"/>
              <w:rPr>
                <w:rFonts w:hint="eastAsia" w:ascii="宋体" w:hAnsi="宋体" w:cs="宋体"/>
                <w:color w:val="auto"/>
                <w:szCs w:val="21"/>
                <w:highlight w:val="none"/>
              </w:rPr>
            </w:pPr>
          </w:p>
        </w:tc>
        <w:tc>
          <w:tcPr>
            <w:tcW w:w="82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358"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16" w:type="dxa"/>
          </w:tcPr>
          <w:p>
            <w:pPr>
              <w:pStyle w:val="276"/>
              <w:jc w:val="center"/>
              <w:rPr>
                <w:rFonts w:hint="eastAsia" w:ascii="宋体" w:hAnsi="宋体" w:cs="宋体"/>
                <w:color w:val="auto"/>
                <w:szCs w:val="21"/>
                <w:highlight w:val="none"/>
              </w:rPr>
            </w:pPr>
          </w:p>
        </w:tc>
        <w:tc>
          <w:tcPr>
            <w:tcW w:w="1062"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61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478" w:type="dxa"/>
          </w:tcPr>
          <w:p>
            <w:pPr>
              <w:pStyle w:val="276"/>
              <w:jc w:val="center"/>
              <w:rPr>
                <w:rFonts w:hint="eastAsia" w:ascii="宋体" w:hAnsi="宋体" w:cs="宋体"/>
                <w:color w:val="auto"/>
                <w:szCs w:val="21"/>
                <w:highlight w:val="none"/>
              </w:rPr>
            </w:pPr>
          </w:p>
        </w:tc>
        <w:tc>
          <w:tcPr>
            <w:tcW w:w="90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36" w:type="dxa"/>
            <w:vAlign w:val="center"/>
          </w:tcPr>
          <w:p>
            <w:pPr>
              <w:pStyle w:val="276"/>
              <w:jc w:val="center"/>
              <w:rPr>
                <w:rFonts w:hint="eastAsia" w:ascii="宋体" w:hAnsi="宋体" w:cs="宋体"/>
                <w:color w:val="auto"/>
                <w:szCs w:val="21"/>
                <w:highlight w:val="none"/>
              </w:rPr>
            </w:pPr>
          </w:p>
        </w:tc>
        <w:tc>
          <w:tcPr>
            <w:tcW w:w="69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87" w:type="dxa"/>
            <w:vAlign w:val="center"/>
          </w:tcPr>
          <w:p>
            <w:pPr>
              <w:pStyle w:val="276"/>
              <w:jc w:val="center"/>
              <w:rPr>
                <w:rFonts w:hint="eastAsia" w:ascii="宋体" w:hAnsi="宋体" w:cs="宋体"/>
                <w:color w:val="auto"/>
                <w:szCs w:val="21"/>
                <w:highlight w:val="none"/>
              </w:rPr>
            </w:pPr>
          </w:p>
        </w:tc>
        <w:tc>
          <w:tcPr>
            <w:tcW w:w="848"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577" w:type="dxa"/>
          </w:tcPr>
          <w:p>
            <w:pPr>
              <w:pStyle w:val="276"/>
              <w:jc w:val="center"/>
              <w:rPr>
                <w:rFonts w:hint="eastAsia" w:ascii="宋体" w:hAnsi="宋体" w:cs="宋体"/>
                <w:color w:val="auto"/>
                <w:szCs w:val="21"/>
                <w:highlight w:val="none"/>
              </w:rPr>
            </w:pPr>
          </w:p>
        </w:tc>
        <w:tc>
          <w:tcPr>
            <w:tcW w:w="810" w:type="dxa"/>
          </w:tcPr>
          <w:p>
            <w:pPr>
              <w:pStyle w:val="276"/>
              <w:jc w:val="center"/>
              <w:rPr>
                <w:rFonts w:hint="eastAsia" w:ascii="宋体" w:hAnsi="宋体" w:cs="宋体"/>
                <w:color w:val="auto"/>
                <w:szCs w:val="21"/>
                <w:highlight w:val="none"/>
              </w:rPr>
            </w:pPr>
          </w:p>
        </w:tc>
        <w:tc>
          <w:tcPr>
            <w:tcW w:w="539" w:type="dxa"/>
          </w:tcPr>
          <w:p>
            <w:pPr>
              <w:pStyle w:val="276"/>
              <w:jc w:val="center"/>
              <w:rPr>
                <w:rFonts w:hint="eastAsia" w:ascii="宋体" w:hAnsi="宋体" w:cs="宋体"/>
                <w:color w:val="auto"/>
                <w:szCs w:val="21"/>
                <w:highlight w:val="none"/>
              </w:rPr>
            </w:pPr>
          </w:p>
        </w:tc>
        <w:tc>
          <w:tcPr>
            <w:tcW w:w="692" w:type="dxa"/>
          </w:tcPr>
          <w:p>
            <w:pPr>
              <w:pStyle w:val="276"/>
              <w:jc w:val="center"/>
              <w:rPr>
                <w:rFonts w:hint="eastAsia" w:ascii="宋体" w:hAnsi="宋体" w:cs="宋体"/>
                <w:color w:val="auto"/>
                <w:szCs w:val="21"/>
                <w:highlight w:val="none"/>
              </w:rPr>
            </w:pPr>
          </w:p>
        </w:tc>
        <w:tc>
          <w:tcPr>
            <w:tcW w:w="105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93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附件C2.2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396" w:type="dxa"/>
            <w:vAlign w:val="center"/>
          </w:tcPr>
          <w:p>
            <w:pPr>
              <w:pStyle w:val="276"/>
              <w:jc w:val="center"/>
              <w:rPr>
                <w:rFonts w:hint="eastAsia" w:ascii="宋体" w:hAnsi="宋体" w:cs="宋体"/>
                <w:color w:val="auto"/>
                <w:szCs w:val="21"/>
                <w:highlight w:val="none"/>
              </w:rPr>
            </w:pPr>
          </w:p>
        </w:tc>
        <w:tc>
          <w:tcPr>
            <w:tcW w:w="82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358"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16" w:type="dxa"/>
          </w:tcPr>
          <w:p>
            <w:pPr>
              <w:pStyle w:val="276"/>
              <w:jc w:val="center"/>
              <w:rPr>
                <w:rFonts w:hint="eastAsia" w:ascii="宋体" w:hAnsi="宋体" w:cs="宋体"/>
                <w:color w:val="auto"/>
                <w:szCs w:val="21"/>
                <w:highlight w:val="none"/>
              </w:rPr>
            </w:pPr>
          </w:p>
        </w:tc>
        <w:tc>
          <w:tcPr>
            <w:tcW w:w="1062"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61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478" w:type="dxa"/>
          </w:tcPr>
          <w:p>
            <w:pPr>
              <w:pStyle w:val="276"/>
              <w:jc w:val="center"/>
              <w:rPr>
                <w:rFonts w:hint="eastAsia" w:ascii="宋体" w:hAnsi="宋体" w:cs="宋体"/>
                <w:color w:val="auto"/>
                <w:szCs w:val="21"/>
                <w:highlight w:val="none"/>
              </w:rPr>
            </w:pPr>
          </w:p>
        </w:tc>
        <w:tc>
          <w:tcPr>
            <w:tcW w:w="90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36" w:type="dxa"/>
            <w:vAlign w:val="center"/>
          </w:tcPr>
          <w:p>
            <w:pPr>
              <w:pStyle w:val="276"/>
              <w:jc w:val="center"/>
              <w:rPr>
                <w:rFonts w:hint="eastAsia" w:ascii="宋体" w:hAnsi="宋体" w:cs="宋体"/>
                <w:color w:val="auto"/>
                <w:szCs w:val="21"/>
                <w:highlight w:val="none"/>
              </w:rPr>
            </w:pPr>
          </w:p>
        </w:tc>
        <w:tc>
          <w:tcPr>
            <w:tcW w:w="69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87" w:type="dxa"/>
            <w:vAlign w:val="center"/>
          </w:tcPr>
          <w:p>
            <w:pPr>
              <w:pStyle w:val="276"/>
              <w:jc w:val="center"/>
              <w:rPr>
                <w:rFonts w:hint="eastAsia" w:ascii="宋体" w:hAnsi="宋体" w:cs="宋体"/>
                <w:color w:val="auto"/>
                <w:szCs w:val="21"/>
                <w:highlight w:val="none"/>
              </w:rPr>
            </w:pPr>
          </w:p>
        </w:tc>
        <w:tc>
          <w:tcPr>
            <w:tcW w:w="848"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577" w:type="dxa"/>
          </w:tcPr>
          <w:p>
            <w:pPr>
              <w:pStyle w:val="276"/>
              <w:jc w:val="center"/>
              <w:rPr>
                <w:rFonts w:hint="eastAsia" w:ascii="宋体" w:hAnsi="宋体" w:cs="宋体"/>
                <w:color w:val="auto"/>
                <w:szCs w:val="21"/>
                <w:highlight w:val="none"/>
              </w:rPr>
            </w:pPr>
          </w:p>
        </w:tc>
        <w:tc>
          <w:tcPr>
            <w:tcW w:w="810" w:type="dxa"/>
          </w:tcPr>
          <w:p>
            <w:pPr>
              <w:pStyle w:val="276"/>
              <w:jc w:val="center"/>
              <w:rPr>
                <w:rFonts w:hint="eastAsia" w:ascii="宋体" w:hAnsi="宋体" w:cs="宋体"/>
                <w:color w:val="auto"/>
                <w:szCs w:val="21"/>
                <w:highlight w:val="none"/>
              </w:rPr>
            </w:pPr>
          </w:p>
        </w:tc>
        <w:tc>
          <w:tcPr>
            <w:tcW w:w="539" w:type="dxa"/>
          </w:tcPr>
          <w:p>
            <w:pPr>
              <w:pStyle w:val="276"/>
              <w:jc w:val="center"/>
              <w:rPr>
                <w:rFonts w:hint="eastAsia" w:ascii="宋体" w:hAnsi="宋体" w:cs="宋体"/>
                <w:color w:val="auto"/>
                <w:szCs w:val="21"/>
                <w:highlight w:val="none"/>
              </w:rPr>
            </w:pPr>
          </w:p>
        </w:tc>
        <w:tc>
          <w:tcPr>
            <w:tcW w:w="692" w:type="dxa"/>
          </w:tcPr>
          <w:p>
            <w:pPr>
              <w:pStyle w:val="276"/>
              <w:jc w:val="center"/>
              <w:rPr>
                <w:rFonts w:hint="eastAsia" w:ascii="宋体" w:hAnsi="宋体" w:cs="宋体"/>
                <w:color w:val="auto"/>
                <w:szCs w:val="21"/>
                <w:highlight w:val="none"/>
              </w:rPr>
            </w:pPr>
          </w:p>
        </w:tc>
        <w:tc>
          <w:tcPr>
            <w:tcW w:w="105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93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附件C2.3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5" w:hRule="atLeast"/>
        </w:trPr>
        <w:tc>
          <w:tcPr>
            <w:tcW w:w="39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82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358"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616"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062"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61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47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0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63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69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87"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848"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577"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810"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539"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692"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05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3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r>
    </w:tbl>
    <w:p>
      <w:pPr>
        <w:pStyle w:val="276"/>
        <w:spacing w:line="340" w:lineRule="exact"/>
        <w:ind w:left="630" w:hanging="630" w:hangingChars="300"/>
        <w:rPr>
          <w:rFonts w:hint="eastAsia" w:ascii="宋体" w:hAnsi="宋体" w:cs="宋体"/>
          <w:color w:val="auto"/>
          <w:spacing w:val="-3"/>
          <w:highlight w:val="none"/>
        </w:rPr>
      </w:pPr>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C2系列（桥梁工程施工监理项目业绩）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highlight w:val="none"/>
        </w:rPr>
        <w:t>）。</w:t>
      </w:r>
    </w:p>
    <w:p>
      <w:pPr>
        <w:pStyle w:val="276"/>
        <w:spacing w:line="34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pStyle w:val="276"/>
        <w:spacing w:line="34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s="宋体"/>
          <w:color w:val="auto"/>
          <w:spacing w:val="-3"/>
          <w:highlight w:val="none"/>
          <w:lang w:bidi="ar"/>
        </w:rPr>
        <w:t>桥梁工程可为合同中包含该施工监理内容的项目或单独合同的项目。</w:t>
      </w:r>
    </w:p>
    <w:p>
      <w:pPr>
        <w:pStyle w:val="276"/>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4.对于左右幅桥长不相同的桥梁，其桥梁长度以左右幅长度较长的为准；若只有单幅的，则以单幅桥梁长度数据为准。</w:t>
      </w:r>
    </w:p>
    <w:p>
      <w:pPr>
        <w:pStyle w:val="276"/>
        <w:spacing w:line="34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5</w:t>
      </w:r>
      <w:r>
        <w:rPr>
          <w:rFonts w:hint="eastAsia" w:ascii="宋体" w:hAnsi="宋体" w:cs="宋体"/>
          <w:color w:val="auto"/>
          <w:highlight w:val="none"/>
        </w:rPr>
        <w:t>.桥梁类型应从“梁式桥、拱式桥、悬索桥、斜拉桥、刚构桥、组合体系桥、其他”内容中选择填写。</w:t>
      </w:r>
    </w:p>
    <w:p>
      <w:pPr>
        <w:pStyle w:val="276"/>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6.本表所列合同价格一般为项目结算价格，无结算价格的以签约合同价格为准。</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7.如近年来，投标人法人机构发生合法变更或重组或法人名称变更时，应提供相关部门的合法批件或其他相关证明材料来证明其所附业绩的继承性。</w:t>
      </w:r>
    </w:p>
    <w:p>
      <w:pPr>
        <w:pStyle w:val="276"/>
        <w:spacing w:line="34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8.表中的“日期”填写</w:t>
      </w:r>
      <w:r>
        <w:rPr>
          <w:rFonts w:hint="eastAsia" w:ascii="宋体" w:hAnsi="宋体"/>
          <w:color w:val="auto"/>
          <w:szCs w:val="21"/>
          <w:highlight w:val="none"/>
        </w:rPr>
        <w:t>的格式统一以阿拉伯数字表示。如：2021年5月1日，填写为20210501；2021年5月，填写为202105。</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9.</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以联合体形式投标的，联合体各成员应按照第二章“投标人须知”前附表附录2资格审查条件要求的对应业绩</w:t>
      </w:r>
      <w:bookmarkStart w:id="727" w:name="_Hlk98422599"/>
      <w:r>
        <w:rPr>
          <w:rFonts w:hint="eastAsia" w:ascii="宋体" w:hAnsi="宋体" w:cs="宋体"/>
          <w:color w:val="auto"/>
          <w:highlight w:val="none"/>
        </w:rPr>
        <w:t>及第三章“评标办法”详细评审打分条件（如有）</w:t>
      </w:r>
      <w:bookmarkEnd w:id="727"/>
      <w:r>
        <w:rPr>
          <w:rFonts w:hint="eastAsia" w:ascii="宋体" w:hAnsi="宋体" w:cs="宋体"/>
          <w:color w:val="auto"/>
          <w:highlight w:val="none"/>
        </w:rPr>
        <w:t>填写本表。</w:t>
      </w:r>
    </w:p>
    <w:p>
      <w:pPr>
        <w:pStyle w:val="276"/>
        <w:spacing w:line="360" w:lineRule="auto"/>
        <w:ind w:left="1778" w:firstLine="1405" w:firstLineChars="500"/>
        <w:jc w:val="left"/>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p>
    <w:p>
      <w:pPr>
        <w:pStyle w:val="276"/>
        <w:spacing w:line="360" w:lineRule="auto"/>
        <w:ind w:left="1778" w:firstLine="2891" w:firstLineChars="1200"/>
        <w:jc w:val="left"/>
        <w:rPr>
          <w:rFonts w:hint="eastAsia" w:ascii="黑体" w:hAnsi="黑体" w:eastAsia="黑体" w:cs="宋体"/>
          <w:color w:val="auto"/>
          <w:sz w:val="24"/>
          <w:highlight w:val="none"/>
        </w:rPr>
      </w:pP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近年完成的公路隧道工程施工监理情况表                            表2.3</w:t>
      </w:r>
    </w:p>
    <w:tbl>
      <w:tblPr>
        <w:tblStyle w:val="48"/>
        <w:tblW w:w="1377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29"/>
        <w:gridCol w:w="894"/>
        <w:gridCol w:w="1550"/>
        <w:gridCol w:w="563"/>
        <w:gridCol w:w="1078"/>
        <w:gridCol w:w="656"/>
        <w:gridCol w:w="552"/>
        <w:gridCol w:w="940"/>
        <w:gridCol w:w="685"/>
        <w:gridCol w:w="797"/>
        <w:gridCol w:w="798"/>
        <w:gridCol w:w="911"/>
        <w:gridCol w:w="798"/>
        <w:gridCol w:w="865"/>
        <w:gridCol w:w="1269"/>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atLeast"/>
        </w:trPr>
        <w:tc>
          <w:tcPr>
            <w:tcW w:w="429"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894"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项目</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业主</w:t>
            </w:r>
          </w:p>
        </w:tc>
        <w:tc>
          <w:tcPr>
            <w:tcW w:w="155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56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公路</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等级</w:t>
            </w:r>
          </w:p>
        </w:tc>
        <w:tc>
          <w:tcPr>
            <w:tcW w:w="1078"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项目建设形式</w:t>
            </w:r>
          </w:p>
        </w:tc>
        <w:tc>
          <w:tcPr>
            <w:tcW w:w="65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标段号</w:t>
            </w:r>
          </w:p>
        </w:tc>
        <w:tc>
          <w:tcPr>
            <w:tcW w:w="552"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开工日期</w:t>
            </w:r>
          </w:p>
        </w:tc>
        <w:tc>
          <w:tcPr>
            <w:tcW w:w="940" w:type="dxa"/>
            <w:tcMar>
              <w:top w:w="0" w:type="dxa"/>
              <w:left w:w="108" w:type="dxa"/>
              <w:bottom w:w="0" w:type="dxa"/>
              <w:right w:w="108" w:type="dxa"/>
            </w:tcMar>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完成（交工）日期</w:t>
            </w:r>
          </w:p>
        </w:tc>
        <w:tc>
          <w:tcPr>
            <w:tcW w:w="68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监理服务期限</w:t>
            </w:r>
          </w:p>
        </w:tc>
        <w:tc>
          <w:tcPr>
            <w:tcW w:w="797"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内容</w:t>
            </w:r>
          </w:p>
        </w:tc>
        <w:tc>
          <w:tcPr>
            <w:tcW w:w="79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项目总投资</w:t>
            </w:r>
          </w:p>
          <w:p>
            <w:pPr>
              <w:pStyle w:val="276"/>
              <w:jc w:val="center"/>
              <w:rPr>
                <w:rFonts w:hint="eastAsia" w:ascii="宋体" w:hAnsi="宋体" w:cs="宋体"/>
                <w:color w:val="auto"/>
                <w:szCs w:val="21"/>
                <w:highlight w:val="none"/>
              </w:rPr>
            </w:pPr>
            <w:r>
              <w:rPr>
                <w:rFonts w:hint="eastAsia" w:ascii="宋体" w:hAnsi="宋体" w:cs="宋体"/>
                <w:color w:val="auto"/>
                <w:highlight w:val="none"/>
              </w:rPr>
              <w:t>（万元）</w:t>
            </w:r>
          </w:p>
        </w:tc>
        <w:tc>
          <w:tcPr>
            <w:tcW w:w="91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合同</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价格（元）</w:t>
            </w:r>
          </w:p>
        </w:tc>
        <w:tc>
          <w:tcPr>
            <w:tcW w:w="79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隧道</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名称</w:t>
            </w:r>
          </w:p>
        </w:tc>
        <w:tc>
          <w:tcPr>
            <w:tcW w:w="86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隧道长度（m）</w:t>
            </w:r>
          </w:p>
        </w:tc>
        <w:tc>
          <w:tcPr>
            <w:tcW w:w="126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总监理工程师或驻地监理工程师</w:t>
            </w:r>
          </w:p>
        </w:tc>
        <w:tc>
          <w:tcPr>
            <w:tcW w:w="98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rPr>
        <w:tc>
          <w:tcPr>
            <w:tcW w:w="429" w:type="dxa"/>
            <w:vAlign w:val="center"/>
          </w:tcPr>
          <w:p>
            <w:pPr>
              <w:pStyle w:val="276"/>
              <w:jc w:val="center"/>
              <w:rPr>
                <w:rFonts w:hint="eastAsia" w:ascii="宋体" w:hAnsi="宋体" w:cs="宋体"/>
                <w:color w:val="auto"/>
                <w:szCs w:val="21"/>
                <w:highlight w:val="none"/>
              </w:rPr>
            </w:pPr>
          </w:p>
        </w:tc>
        <w:tc>
          <w:tcPr>
            <w:tcW w:w="894"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55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563" w:type="dxa"/>
          </w:tcPr>
          <w:p>
            <w:pPr>
              <w:pStyle w:val="276"/>
              <w:jc w:val="center"/>
              <w:rPr>
                <w:rFonts w:hint="eastAsia" w:ascii="宋体" w:hAnsi="宋体" w:cs="宋体"/>
                <w:color w:val="auto"/>
                <w:szCs w:val="21"/>
                <w:highlight w:val="none"/>
              </w:rPr>
            </w:pPr>
          </w:p>
        </w:tc>
        <w:tc>
          <w:tcPr>
            <w:tcW w:w="1078"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color w:val="auto"/>
                <w:szCs w:val="21"/>
                <w:highlight w:val="none"/>
              </w:rPr>
            </w:pPr>
            <w:r>
              <w:rPr>
                <w:rFonts w:hint="eastAsia" w:ascii="宋体" w:hAnsi="宋体"/>
                <w:color w:val="auto"/>
                <w:szCs w:val="21"/>
                <w:highlight w:val="none"/>
              </w:rPr>
              <w:t>□改扩建</w:t>
            </w:r>
          </w:p>
        </w:tc>
        <w:tc>
          <w:tcPr>
            <w:tcW w:w="65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552" w:type="dxa"/>
          </w:tcPr>
          <w:p>
            <w:pPr>
              <w:pStyle w:val="276"/>
              <w:jc w:val="center"/>
              <w:rPr>
                <w:rFonts w:hint="eastAsia" w:ascii="宋体" w:hAnsi="宋体" w:cs="宋体"/>
                <w:color w:val="auto"/>
                <w:szCs w:val="21"/>
                <w:highlight w:val="none"/>
              </w:rPr>
            </w:pPr>
          </w:p>
        </w:tc>
        <w:tc>
          <w:tcPr>
            <w:tcW w:w="94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85" w:type="dxa"/>
            <w:vAlign w:val="center"/>
          </w:tcPr>
          <w:p>
            <w:pPr>
              <w:pStyle w:val="276"/>
              <w:jc w:val="center"/>
              <w:rPr>
                <w:rFonts w:hint="eastAsia" w:ascii="宋体" w:hAnsi="宋体" w:cs="宋体"/>
                <w:color w:val="auto"/>
                <w:szCs w:val="21"/>
                <w:highlight w:val="none"/>
              </w:rPr>
            </w:pPr>
          </w:p>
        </w:tc>
        <w:tc>
          <w:tcPr>
            <w:tcW w:w="797"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98" w:type="dxa"/>
            <w:vAlign w:val="center"/>
          </w:tcPr>
          <w:p>
            <w:pPr>
              <w:pStyle w:val="276"/>
              <w:jc w:val="center"/>
              <w:rPr>
                <w:rFonts w:hint="eastAsia" w:ascii="宋体" w:hAnsi="宋体" w:cs="宋体"/>
                <w:color w:val="auto"/>
                <w:szCs w:val="21"/>
                <w:highlight w:val="none"/>
              </w:rPr>
            </w:pPr>
          </w:p>
        </w:tc>
        <w:tc>
          <w:tcPr>
            <w:tcW w:w="91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98" w:type="dxa"/>
          </w:tcPr>
          <w:p>
            <w:pPr>
              <w:pStyle w:val="276"/>
              <w:jc w:val="center"/>
              <w:rPr>
                <w:rFonts w:hint="eastAsia" w:ascii="宋体" w:hAnsi="宋体" w:cs="宋体"/>
                <w:color w:val="auto"/>
                <w:szCs w:val="21"/>
                <w:highlight w:val="none"/>
              </w:rPr>
            </w:pPr>
          </w:p>
        </w:tc>
        <w:tc>
          <w:tcPr>
            <w:tcW w:w="865" w:type="dxa"/>
          </w:tcPr>
          <w:p>
            <w:pPr>
              <w:pStyle w:val="276"/>
              <w:jc w:val="center"/>
              <w:rPr>
                <w:rFonts w:hint="eastAsia" w:ascii="宋体" w:hAnsi="宋体" w:cs="宋体"/>
                <w:color w:val="auto"/>
                <w:szCs w:val="21"/>
                <w:highlight w:val="none"/>
              </w:rPr>
            </w:pPr>
          </w:p>
        </w:tc>
        <w:tc>
          <w:tcPr>
            <w:tcW w:w="126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98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附件C3.1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rPr>
        <w:tc>
          <w:tcPr>
            <w:tcW w:w="429" w:type="dxa"/>
            <w:vAlign w:val="center"/>
          </w:tcPr>
          <w:p>
            <w:pPr>
              <w:pStyle w:val="276"/>
              <w:jc w:val="center"/>
              <w:rPr>
                <w:rFonts w:hint="eastAsia" w:ascii="宋体" w:hAnsi="宋体" w:cs="宋体"/>
                <w:color w:val="auto"/>
                <w:szCs w:val="21"/>
                <w:highlight w:val="none"/>
              </w:rPr>
            </w:pPr>
          </w:p>
        </w:tc>
        <w:tc>
          <w:tcPr>
            <w:tcW w:w="894"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55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563" w:type="dxa"/>
          </w:tcPr>
          <w:p>
            <w:pPr>
              <w:pStyle w:val="276"/>
              <w:jc w:val="center"/>
              <w:rPr>
                <w:rFonts w:hint="eastAsia" w:ascii="宋体" w:hAnsi="宋体" w:cs="宋体"/>
                <w:color w:val="auto"/>
                <w:szCs w:val="21"/>
                <w:highlight w:val="none"/>
              </w:rPr>
            </w:pPr>
          </w:p>
        </w:tc>
        <w:tc>
          <w:tcPr>
            <w:tcW w:w="1078"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65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552" w:type="dxa"/>
          </w:tcPr>
          <w:p>
            <w:pPr>
              <w:pStyle w:val="276"/>
              <w:jc w:val="center"/>
              <w:rPr>
                <w:rFonts w:hint="eastAsia" w:ascii="宋体" w:hAnsi="宋体" w:cs="宋体"/>
                <w:color w:val="auto"/>
                <w:szCs w:val="21"/>
                <w:highlight w:val="none"/>
              </w:rPr>
            </w:pPr>
          </w:p>
        </w:tc>
        <w:tc>
          <w:tcPr>
            <w:tcW w:w="94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85" w:type="dxa"/>
            <w:vAlign w:val="center"/>
          </w:tcPr>
          <w:p>
            <w:pPr>
              <w:pStyle w:val="276"/>
              <w:jc w:val="center"/>
              <w:rPr>
                <w:rFonts w:hint="eastAsia" w:ascii="宋体" w:hAnsi="宋体" w:cs="宋体"/>
                <w:color w:val="auto"/>
                <w:szCs w:val="21"/>
                <w:highlight w:val="none"/>
              </w:rPr>
            </w:pPr>
          </w:p>
        </w:tc>
        <w:tc>
          <w:tcPr>
            <w:tcW w:w="797"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98" w:type="dxa"/>
            <w:vAlign w:val="center"/>
          </w:tcPr>
          <w:p>
            <w:pPr>
              <w:pStyle w:val="276"/>
              <w:jc w:val="center"/>
              <w:rPr>
                <w:rFonts w:hint="eastAsia" w:ascii="宋体" w:hAnsi="宋体" w:cs="宋体"/>
                <w:color w:val="auto"/>
                <w:szCs w:val="21"/>
                <w:highlight w:val="none"/>
              </w:rPr>
            </w:pPr>
          </w:p>
        </w:tc>
        <w:tc>
          <w:tcPr>
            <w:tcW w:w="91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98" w:type="dxa"/>
          </w:tcPr>
          <w:p>
            <w:pPr>
              <w:pStyle w:val="276"/>
              <w:jc w:val="center"/>
              <w:rPr>
                <w:rFonts w:hint="eastAsia" w:ascii="宋体" w:hAnsi="宋体" w:cs="宋体"/>
                <w:color w:val="auto"/>
                <w:szCs w:val="21"/>
                <w:highlight w:val="none"/>
              </w:rPr>
            </w:pPr>
          </w:p>
        </w:tc>
        <w:tc>
          <w:tcPr>
            <w:tcW w:w="865" w:type="dxa"/>
          </w:tcPr>
          <w:p>
            <w:pPr>
              <w:pStyle w:val="276"/>
              <w:jc w:val="center"/>
              <w:rPr>
                <w:rFonts w:hint="eastAsia" w:ascii="宋体" w:hAnsi="宋体" w:cs="宋体"/>
                <w:color w:val="auto"/>
                <w:szCs w:val="21"/>
                <w:highlight w:val="none"/>
              </w:rPr>
            </w:pPr>
          </w:p>
        </w:tc>
        <w:tc>
          <w:tcPr>
            <w:tcW w:w="126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98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附件C3.2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rPr>
        <w:tc>
          <w:tcPr>
            <w:tcW w:w="429" w:type="dxa"/>
            <w:vAlign w:val="center"/>
          </w:tcPr>
          <w:p>
            <w:pPr>
              <w:pStyle w:val="276"/>
              <w:jc w:val="center"/>
              <w:rPr>
                <w:rFonts w:hint="eastAsia" w:ascii="宋体" w:hAnsi="宋体" w:cs="宋体"/>
                <w:color w:val="auto"/>
                <w:szCs w:val="21"/>
                <w:highlight w:val="none"/>
              </w:rPr>
            </w:pPr>
          </w:p>
        </w:tc>
        <w:tc>
          <w:tcPr>
            <w:tcW w:w="894"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55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563" w:type="dxa"/>
          </w:tcPr>
          <w:p>
            <w:pPr>
              <w:pStyle w:val="276"/>
              <w:jc w:val="center"/>
              <w:rPr>
                <w:rFonts w:hint="eastAsia" w:ascii="宋体" w:hAnsi="宋体" w:cs="宋体"/>
                <w:color w:val="auto"/>
                <w:szCs w:val="21"/>
                <w:highlight w:val="none"/>
              </w:rPr>
            </w:pPr>
          </w:p>
        </w:tc>
        <w:tc>
          <w:tcPr>
            <w:tcW w:w="1078"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65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552" w:type="dxa"/>
          </w:tcPr>
          <w:p>
            <w:pPr>
              <w:pStyle w:val="276"/>
              <w:jc w:val="center"/>
              <w:rPr>
                <w:rFonts w:hint="eastAsia" w:ascii="宋体" w:hAnsi="宋体" w:cs="宋体"/>
                <w:color w:val="auto"/>
                <w:szCs w:val="21"/>
                <w:highlight w:val="none"/>
              </w:rPr>
            </w:pPr>
          </w:p>
        </w:tc>
        <w:tc>
          <w:tcPr>
            <w:tcW w:w="94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85" w:type="dxa"/>
            <w:vAlign w:val="center"/>
          </w:tcPr>
          <w:p>
            <w:pPr>
              <w:pStyle w:val="276"/>
              <w:jc w:val="center"/>
              <w:rPr>
                <w:rFonts w:hint="eastAsia" w:ascii="宋体" w:hAnsi="宋体" w:cs="宋体"/>
                <w:color w:val="auto"/>
                <w:szCs w:val="21"/>
                <w:highlight w:val="none"/>
              </w:rPr>
            </w:pPr>
          </w:p>
        </w:tc>
        <w:tc>
          <w:tcPr>
            <w:tcW w:w="797"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98" w:type="dxa"/>
            <w:vAlign w:val="center"/>
          </w:tcPr>
          <w:p>
            <w:pPr>
              <w:pStyle w:val="276"/>
              <w:jc w:val="center"/>
              <w:rPr>
                <w:rFonts w:hint="eastAsia" w:ascii="宋体" w:hAnsi="宋体" w:cs="宋体"/>
                <w:color w:val="auto"/>
                <w:szCs w:val="21"/>
                <w:highlight w:val="none"/>
              </w:rPr>
            </w:pPr>
          </w:p>
        </w:tc>
        <w:tc>
          <w:tcPr>
            <w:tcW w:w="91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98" w:type="dxa"/>
          </w:tcPr>
          <w:p>
            <w:pPr>
              <w:pStyle w:val="276"/>
              <w:jc w:val="center"/>
              <w:rPr>
                <w:rFonts w:hint="eastAsia" w:ascii="宋体" w:hAnsi="宋体" w:cs="宋体"/>
                <w:color w:val="auto"/>
                <w:szCs w:val="21"/>
                <w:highlight w:val="none"/>
              </w:rPr>
            </w:pPr>
          </w:p>
        </w:tc>
        <w:tc>
          <w:tcPr>
            <w:tcW w:w="865" w:type="dxa"/>
          </w:tcPr>
          <w:p>
            <w:pPr>
              <w:pStyle w:val="276"/>
              <w:jc w:val="center"/>
              <w:rPr>
                <w:rFonts w:hint="eastAsia" w:ascii="宋体" w:hAnsi="宋体" w:cs="宋体"/>
                <w:color w:val="auto"/>
                <w:szCs w:val="21"/>
                <w:highlight w:val="none"/>
              </w:rPr>
            </w:pPr>
          </w:p>
        </w:tc>
        <w:tc>
          <w:tcPr>
            <w:tcW w:w="126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98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附件C3.2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4" w:hRule="atLeast"/>
        </w:trPr>
        <w:tc>
          <w:tcPr>
            <w:tcW w:w="429"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894"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55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563"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07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65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552"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4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68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97"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9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1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98"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865"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269"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8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r>
    </w:tbl>
    <w:p>
      <w:pPr>
        <w:pStyle w:val="276"/>
        <w:spacing w:line="340" w:lineRule="exact"/>
        <w:ind w:left="630" w:hanging="630" w:hangingChars="300"/>
        <w:rPr>
          <w:rFonts w:hint="eastAsia" w:ascii="宋体" w:hAnsi="宋体" w:cs="宋体"/>
          <w:color w:val="auto"/>
          <w:spacing w:val="-3"/>
          <w:highlight w:val="none"/>
        </w:rPr>
      </w:pPr>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C3系列（隧道工程施工监理项目业绩）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highlight w:val="none"/>
        </w:rPr>
        <w:t>）。</w:t>
      </w:r>
    </w:p>
    <w:p>
      <w:pPr>
        <w:pStyle w:val="276"/>
        <w:spacing w:line="34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pStyle w:val="276"/>
        <w:spacing w:line="34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s="宋体"/>
          <w:color w:val="auto"/>
          <w:spacing w:val="-3"/>
          <w:highlight w:val="none"/>
          <w:lang w:bidi="ar"/>
        </w:rPr>
        <w:t>隧道工程可为合同中包含该施工监理内容的项目或单独合同的项目。</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4.对于具有双洞的隧道，其隧道长度以左右线隧道长度较长的为准；若只有单洞的，则以单洞隧道长度数据为准。隧道单洞长度不含</w:t>
      </w:r>
      <w:r>
        <w:rPr>
          <w:rFonts w:hint="eastAsia"/>
          <w:color w:val="auto"/>
          <w:szCs w:val="21"/>
          <w:highlight w:val="none"/>
        </w:rPr>
        <w:t>斜井、竖井、支洞。</w:t>
      </w:r>
    </w:p>
    <w:p>
      <w:pPr>
        <w:pStyle w:val="276"/>
        <w:spacing w:line="34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5</w:t>
      </w:r>
      <w:r>
        <w:rPr>
          <w:rFonts w:hint="eastAsia" w:ascii="宋体" w:hAnsi="宋体" w:cs="宋体"/>
          <w:color w:val="auto"/>
          <w:highlight w:val="none"/>
        </w:rPr>
        <w:t>.本表所列合同价格一般为项目结算价格，无结算价格的以签约合同价格为准。</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6.如近年来，投标人法人机构发生合法变更或重组或法人名称变更时，应提供相关部门的合法批件或其他相关证明材料来证明其所附业绩的继承性。</w:t>
      </w:r>
    </w:p>
    <w:p>
      <w:pPr>
        <w:pStyle w:val="276"/>
        <w:spacing w:line="34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7.表中的“日期”填写</w:t>
      </w:r>
      <w:r>
        <w:rPr>
          <w:rFonts w:hint="eastAsia" w:ascii="宋体" w:hAnsi="宋体"/>
          <w:color w:val="auto"/>
          <w:szCs w:val="21"/>
          <w:highlight w:val="none"/>
        </w:rPr>
        <w:t>的格式统一以阿拉伯数字表示。如：2021年5月1日，填写为20210501；2021年5月，填写为202105。</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8.</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以联合体形式投标的，联合体各成员应按照第二章“投标人须知”前附表附录2资格审查条件要求的对应业绩及第三章“评标办法”详细评审打分条件（如有）填写本表。</w:t>
      </w:r>
    </w:p>
    <w:p>
      <w:pPr>
        <w:pStyle w:val="276"/>
        <w:spacing w:line="360" w:lineRule="auto"/>
        <w:ind w:firstLine="3654" w:firstLineChars="1300"/>
        <w:rPr>
          <w:rFonts w:hint="eastAsia" w:ascii="黑体" w:hAnsi="黑体" w:eastAsia="黑体" w:cs="宋体"/>
          <w:color w:val="auto"/>
          <w:sz w:val="24"/>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 xml:space="preserve">      </w:t>
      </w: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近年完成的公路路面工程施工监理情况表                               表2.4</w:t>
      </w:r>
    </w:p>
    <w:tbl>
      <w:tblPr>
        <w:tblStyle w:val="48"/>
        <w:tblW w:w="1379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8"/>
        <w:gridCol w:w="930"/>
        <w:gridCol w:w="1551"/>
        <w:gridCol w:w="658"/>
        <w:gridCol w:w="1144"/>
        <w:gridCol w:w="624"/>
        <w:gridCol w:w="551"/>
        <w:gridCol w:w="1006"/>
        <w:gridCol w:w="714"/>
        <w:gridCol w:w="833"/>
        <w:gridCol w:w="833"/>
        <w:gridCol w:w="835"/>
        <w:gridCol w:w="766"/>
        <w:gridCol w:w="734"/>
        <w:gridCol w:w="1261"/>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2" w:hRule="atLeast"/>
        </w:trPr>
        <w:tc>
          <w:tcPr>
            <w:tcW w:w="44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93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w:t>
            </w:r>
          </w:p>
          <w:p>
            <w:pPr>
              <w:pStyle w:val="276"/>
              <w:jc w:val="center"/>
              <w:rPr>
                <w:rFonts w:hint="eastAsia" w:ascii="宋体" w:hAnsi="宋体" w:cs="宋体"/>
                <w:color w:val="auto"/>
                <w:highlight w:val="none"/>
              </w:rPr>
            </w:pPr>
            <w:r>
              <w:rPr>
                <w:rFonts w:hint="eastAsia" w:ascii="宋体" w:hAnsi="宋体" w:cs="宋体"/>
                <w:color w:val="auto"/>
                <w:highlight w:val="none"/>
              </w:rPr>
              <w:t>业主</w:t>
            </w:r>
          </w:p>
        </w:tc>
        <w:tc>
          <w:tcPr>
            <w:tcW w:w="155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项目名称</w:t>
            </w:r>
          </w:p>
        </w:tc>
        <w:tc>
          <w:tcPr>
            <w:tcW w:w="65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公路</w:t>
            </w:r>
          </w:p>
          <w:p>
            <w:pPr>
              <w:pStyle w:val="276"/>
              <w:jc w:val="center"/>
              <w:rPr>
                <w:rFonts w:hint="eastAsia" w:ascii="宋体" w:hAnsi="宋体" w:cs="宋体"/>
                <w:color w:val="auto"/>
                <w:highlight w:val="none"/>
              </w:rPr>
            </w:pPr>
            <w:r>
              <w:rPr>
                <w:rFonts w:hint="eastAsia" w:ascii="宋体" w:hAnsi="宋体" w:cs="宋体"/>
                <w:color w:val="auto"/>
                <w:highlight w:val="none"/>
              </w:rPr>
              <w:t>等级</w:t>
            </w:r>
          </w:p>
        </w:tc>
        <w:tc>
          <w:tcPr>
            <w:tcW w:w="1144"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项目建设形式</w:t>
            </w:r>
          </w:p>
        </w:tc>
        <w:tc>
          <w:tcPr>
            <w:tcW w:w="62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标段号</w:t>
            </w:r>
          </w:p>
        </w:tc>
        <w:tc>
          <w:tcPr>
            <w:tcW w:w="55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开工日期</w:t>
            </w:r>
          </w:p>
        </w:tc>
        <w:tc>
          <w:tcPr>
            <w:tcW w:w="100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完成（交工）日期</w:t>
            </w:r>
          </w:p>
        </w:tc>
        <w:tc>
          <w:tcPr>
            <w:tcW w:w="71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监理服务期限</w:t>
            </w:r>
          </w:p>
        </w:tc>
        <w:tc>
          <w:tcPr>
            <w:tcW w:w="83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w:t>
            </w:r>
          </w:p>
          <w:p>
            <w:pPr>
              <w:pStyle w:val="276"/>
              <w:jc w:val="center"/>
              <w:rPr>
                <w:rFonts w:hint="eastAsia" w:ascii="宋体" w:hAnsi="宋体" w:cs="宋体"/>
                <w:color w:val="auto"/>
                <w:highlight w:val="none"/>
              </w:rPr>
            </w:pPr>
            <w:r>
              <w:rPr>
                <w:rFonts w:hint="eastAsia" w:ascii="宋体" w:hAnsi="宋体" w:cs="宋体"/>
                <w:color w:val="auto"/>
                <w:highlight w:val="none"/>
              </w:rPr>
              <w:t>内容</w:t>
            </w:r>
          </w:p>
        </w:tc>
        <w:tc>
          <w:tcPr>
            <w:tcW w:w="83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项目总投资</w:t>
            </w:r>
          </w:p>
          <w:p>
            <w:pPr>
              <w:pStyle w:val="276"/>
              <w:jc w:val="center"/>
              <w:rPr>
                <w:rFonts w:hint="eastAsia" w:ascii="宋体" w:hAnsi="宋体" w:cs="宋体"/>
                <w:color w:val="auto"/>
                <w:highlight w:val="none"/>
              </w:rPr>
            </w:pPr>
            <w:r>
              <w:rPr>
                <w:rFonts w:hint="eastAsia" w:ascii="宋体" w:hAnsi="宋体" w:cs="宋体"/>
                <w:color w:val="auto"/>
                <w:highlight w:val="none"/>
              </w:rPr>
              <w:t>（万元）</w:t>
            </w:r>
          </w:p>
        </w:tc>
        <w:tc>
          <w:tcPr>
            <w:tcW w:w="83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合同价格（元）</w:t>
            </w:r>
          </w:p>
        </w:tc>
        <w:tc>
          <w:tcPr>
            <w:tcW w:w="76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路面结构类型</w:t>
            </w:r>
          </w:p>
        </w:tc>
        <w:tc>
          <w:tcPr>
            <w:tcW w:w="73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标段长度（m）</w:t>
            </w:r>
          </w:p>
        </w:tc>
        <w:tc>
          <w:tcPr>
            <w:tcW w:w="126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总监理工程师或驻地监理工程师</w:t>
            </w:r>
          </w:p>
        </w:tc>
        <w:tc>
          <w:tcPr>
            <w:tcW w:w="905" w:type="dxa"/>
            <w:vAlign w:val="center"/>
          </w:tcPr>
          <w:p>
            <w:pPr>
              <w:pStyle w:val="276"/>
              <w:jc w:val="center"/>
              <w:rPr>
                <w:rFonts w:hint="eastAsia" w:ascii="宋体" w:hAnsi="宋体" w:cs="宋体"/>
                <w:color w:val="auto"/>
                <w:highlight w:val="none"/>
              </w:rPr>
            </w:pPr>
            <w:r>
              <w:rPr>
                <w:rFonts w:hint="eastAsia" w:ascii="宋体" w:hAnsi="宋体" w:cs="宋体"/>
                <w:color w:val="auto"/>
                <w:szCs w:val="21"/>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7" w:hRule="atLeast"/>
        </w:trPr>
        <w:tc>
          <w:tcPr>
            <w:tcW w:w="448" w:type="dxa"/>
            <w:vAlign w:val="center"/>
          </w:tcPr>
          <w:p>
            <w:pPr>
              <w:pStyle w:val="276"/>
              <w:jc w:val="center"/>
              <w:rPr>
                <w:rFonts w:hint="eastAsia" w:ascii="宋体" w:hAnsi="宋体" w:cs="宋体"/>
                <w:color w:val="auto"/>
                <w:highlight w:val="none"/>
              </w:rPr>
            </w:pPr>
          </w:p>
        </w:tc>
        <w:tc>
          <w:tcPr>
            <w:tcW w:w="93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55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58" w:type="dxa"/>
          </w:tcPr>
          <w:p>
            <w:pPr>
              <w:pStyle w:val="276"/>
              <w:jc w:val="center"/>
              <w:rPr>
                <w:rFonts w:hint="eastAsia" w:ascii="宋体" w:hAnsi="宋体" w:cs="宋体"/>
                <w:color w:val="auto"/>
                <w:highlight w:val="none"/>
              </w:rPr>
            </w:pPr>
          </w:p>
        </w:tc>
        <w:tc>
          <w:tcPr>
            <w:tcW w:w="1144"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color w:val="auto"/>
                <w:szCs w:val="21"/>
                <w:highlight w:val="none"/>
              </w:rPr>
            </w:pPr>
            <w:r>
              <w:rPr>
                <w:rFonts w:hint="eastAsia" w:ascii="宋体" w:hAnsi="宋体"/>
                <w:color w:val="auto"/>
                <w:szCs w:val="21"/>
                <w:highlight w:val="none"/>
              </w:rPr>
              <w:t>□改扩建</w:t>
            </w:r>
          </w:p>
        </w:tc>
        <w:tc>
          <w:tcPr>
            <w:tcW w:w="62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51" w:type="dxa"/>
          </w:tcPr>
          <w:p>
            <w:pPr>
              <w:pStyle w:val="276"/>
              <w:jc w:val="center"/>
              <w:rPr>
                <w:rFonts w:hint="eastAsia" w:ascii="宋体" w:hAnsi="宋体" w:cs="宋体"/>
                <w:color w:val="auto"/>
                <w:highlight w:val="none"/>
              </w:rPr>
            </w:pPr>
          </w:p>
        </w:tc>
        <w:tc>
          <w:tcPr>
            <w:tcW w:w="100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14" w:type="dxa"/>
            <w:vAlign w:val="center"/>
          </w:tcPr>
          <w:p>
            <w:pPr>
              <w:pStyle w:val="276"/>
              <w:jc w:val="center"/>
              <w:rPr>
                <w:rFonts w:hint="eastAsia" w:ascii="宋体" w:hAnsi="宋体" w:cs="宋体"/>
                <w:color w:val="auto"/>
                <w:highlight w:val="none"/>
              </w:rPr>
            </w:pPr>
          </w:p>
        </w:tc>
        <w:tc>
          <w:tcPr>
            <w:tcW w:w="83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83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66" w:type="dxa"/>
          </w:tcPr>
          <w:p>
            <w:pPr>
              <w:pStyle w:val="276"/>
              <w:jc w:val="center"/>
              <w:rPr>
                <w:rFonts w:hint="eastAsia" w:ascii="宋体" w:hAnsi="宋体" w:cs="宋体"/>
                <w:color w:val="auto"/>
                <w:highlight w:val="none"/>
              </w:rPr>
            </w:pPr>
          </w:p>
        </w:tc>
        <w:tc>
          <w:tcPr>
            <w:tcW w:w="734" w:type="dxa"/>
          </w:tcPr>
          <w:p>
            <w:pPr>
              <w:pStyle w:val="276"/>
              <w:jc w:val="center"/>
              <w:rPr>
                <w:rFonts w:hint="eastAsia" w:ascii="宋体" w:hAnsi="宋体" w:cs="宋体"/>
                <w:color w:val="auto"/>
                <w:highlight w:val="none"/>
              </w:rPr>
            </w:pPr>
          </w:p>
        </w:tc>
        <w:tc>
          <w:tcPr>
            <w:tcW w:w="126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7" w:hRule="atLeast"/>
        </w:trPr>
        <w:tc>
          <w:tcPr>
            <w:tcW w:w="448" w:type="dxa"/>
            <w:vAlign w:val="center"/>
          </w:tcPr>
          <w:p>
            <w:pPr>
              <w:pStyle w:val="276"/>
              <w:jc w:val="center"/>
              <w:rPr>
                <w:rFonts w:hint="eastAsia" w:ascii="宋体" w:hAnsi="宋体" w:cs="宋体"/>
                <w:color w:val="auto"/>
                <w:highlight w:val="none"/>
              </w:rPr>
            </w:pPr>
          </w:p>
        </w:tc>
        <w:tc>
          <w:tcPr>
            <w:tcW w:w="93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55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58" w:type="dxa"/>
          </w:tcPr>
          <w:p>
            <w:pPr>
              <w:pStyle w:val="276"/>
              <w:jc w:val="center"/>
              <w:rPr>
                <w:rFonts w:hint="eastAsia" w:ascii="宋体" w:hAnsi="宋体" w:cs="宋体"/>
                <w:color w:val="auto"/>
                <w:highlight w:val="none"/>
              </w:rPr>
            </w:pPr>
          </w:p>
        </w:tc>
        <w:tc>
          <w:tcPr>
            <w:tcW w:w="1144"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62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51" w:type="dxa"/>
          </w:tcPr>
          <w:p>
            <w:pPr>
              <w:pStyle w:val="276"/>
              <w:jc w:val="center"/>
              <w:rPr>
                <w:rFonts w:hint="eastAsia" w:ascii="宋体" w:hAnsi="宋体" w:cs="宋体"/>
                <w:color w:val="auto"/>
                <w:highlight w:val="none"/>
              </w:rPr>
            </w:pPr>
          </w:p>
        </w:tc>
        <w:tc>
          <w:tcPr>
            <w:tcW w:w="100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14" w:type="dxa"/>
            <w:vAlign w:val="center"/>
          </w:tcPr>
          <w:p>
            <w:pPr>
              <w:pStyle w:val="276"/>
              <w:jc w:val="center"/>
              <w:rPr>
                <w:rFonts w:hint="eastAsia" w:ascii="宋体" w:hAnsi="宋体" w:cs="宋体"/>
                <w:color w:val="auto"/>
                <w:highlight w:val="none"/>
              </w:rPr>
            </w:pPr>
          </w:p>
        </w:tc>
        <w:tc>
          <w:tcPr>
            <w:tcW w:w="83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83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66" w:type="dxa"/>
          </w:tcPr>
          <w:p>
            <w:pPr>
              <w:pStyle w:val="276"/>
              <w:jc w:val="center"/>
              <w:rPr>
                <w:rFonts w:hint="eastAsia" w:ascii="宋体" w:hAnsi="宋体" w:cs="宋体"/>
                <w:color w:val="auto"/>
                <w:highlight w:val="none"/>
              </w:rPr>
            </w:pPr>
          </w:p>
        </w:tc>
        <w:tc>
          <w:tcPr>
            <w:tcW w:w="734" w:type="dxa"/>
          </w:tcPr>
          <w:p>
            <w:pPr>
              <w:pStyle w:val="276"/>
              <w:jc w:val="center"/>
              <w:rPr>
                <w:rFonts w:hint="eastAsia" w:ascii="宋体" w:hAnsi="宋体" w:cs="宋体"/>
                <w:color w:val="auto"/>
                <w:highlight w:val="none"/>
              </w:rPr>
            </w:pPr>
          </w:p>
        </w:tc>
        <w:tc>
          <w:tcPr>
            <w:tcW w:w="126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7" w:hRule="atLeast"/>
        </w:trPr>
        <w:tc>
          <w:tcPr>
            <w:tcW w:w="448" w:type="dxa"/>
            <w:vAlign w:val="center"/>
          </w:tcPr>
          <w:p>
            <w:pPr>
              <w:pStyle w:val="276"/>
              <w:jc w:val="center"/>
              <w:rPr>
                <w:rFonts w:hint="eastAsia" w:ascii="宋体" w:hAnsi="宋体" w:cs="宋体"/>
                <w:color w:val="auto"/>
                <w:highlight w:val="none"/>
              </w:rPr>
            </w:pPr>
          </w:p>
        </w:tc>
        <w:tc>
          <w:tcPr>
            <w:tcW w:w="93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55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58" w:type="dxa"/>
          </w:tcPr>
          <w:p>
            <w:pPr>
              <w:pStyle w:val="276"/>
              <w:jc w:val="center"/>
              <w:rPr>
                <w:rFonts w:hint="eastAsia" w:ascii="宋体" w:hAnsi="宋体" w:cs="宋体"/>
                <w:color w:val="auto"/>
                <w:highlight w:val="none"/>
              </w:rPr>
            </w:pPr>
          </w:p>
        </w:tc>
        <w:tc>
          <w:tcPr>
            <w:tcW w:w="1144"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62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51" w:type="dxa"/>
          </w:tcPr>
          <w:p>
            <w:pPr>
              <w:pStyle w:val="276"/>
              <w:jc w:val="center"/>
              <w:rPr>
                <w:rFonts w:hint="eastAsia" w:ascii="宋体" w:hAnsi="宋体" w:cs="宋体"/>
                <w:color w:val="auto"/>
                <w:highlight w:val="none"/>
              </w:rPr>
            </w:pPr>
          </w:p>
        </w:tc>
        <w:tc>
          <w:tcPr>
            <w:tcW w:w="100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14" w:type="dxa"/>
            <w:vAlign w:val="center"/>
          </w:tcPr>
          <w:p>
            <w:pPr>
              <w:pStyle w:val="276"/>
              <w:jc w:val="center"/>
              <w:rPr>
                <w:rFonts w:hint="eastAsia" w:ascii="宋体" w:hAnsi="宋体" w:cs="宋体"/>
                <w:color w:val="auto"/>
                <w:highlight w:val="none"/>
              </w:rPr>
            </w:pPr>
          </w:p>
        </w:tc>
        <w:tc>
          <w:tcPr>
            <w:tcW w:w="83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83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66" w:type="dxa"/>
          </w:tcPr>
          <w:p>
            <w:pPr>
              <w:pStyle w:val="276"/>
              <w:jc w:val="center"/>
              <w:rPr>
                <w:rFonts w:hint="eastAsia" w:ascii="宋体" w:hAnsi="宋体" w:cs="宋体"/>
                <w:color w:val="auto"/>
                <w:highlight w:val="none"/>
              </w:rPr>
            </w:pPr>
          </w:p>
        </w:tc>
        <w:tc>
          <w:tcPr>
            <w:tcW w:w="734" w:type="dxa"/>
          </w:tcPr>
          <w:p>
            <w:pPr>
              <w:pStyle w:val="276"/>
              <w:jc w:val="center"/>
              <w:rPr>
                <w:rFonts w:hint="eastAsia" w:ascii="宋体" w:hAnsi="宋体" w:cs="宋体"/>
                <w:color w:val="auto"/>
                <w:highlight w:val="none"/>
              </w:rPr>
            </w:pPr>
          </w:p>
        </w:tc>
        <w:tc>
          <w:tcPr>
            <w:tcW w:w="126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2" w:hRule="atLeast"/>
        </w:trPr>
        <w:tc>
          <w:tcPr>
            <w:tcW w:w="448"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3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55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658"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144"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62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551"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00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14"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3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33"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3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66"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734"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26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05"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r>
    </w:tbl>
    <w:p>
      <w:pPr>
        <w:pStyle w:val="276"/>
        <w:spacing w:line="340" w:lineRule="exact"/>
        <w:ind w:left="630" w:hanging="630" w:hangingChars="300"/>
        <w:rPr>
          <w:rFonts w:hint="eastAsia" w:ascii="宋体" w:hAnsi="宋体" w:cs="宋体"/>
          <w:color w:val="auto"/>
          <w:highlight w:val="none"/>
        </w:rPr>
      </w:pPr>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C4系列（路面工程施工监理项目业绩）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highlight w:val="none"/>
        </w:rPr>
        <w:t>）。</w:t>
      </w:r>
    </w:p>
    <w:p>
      <w:pPr>
        <w:pStyle w:val="276"/>
        <w:spacing w:line="34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pStyle w:val="276"/>
        <w:spacing w:line="34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s="宋体"/>
          <w:color w:val="auto"/>
          <w:spacing w:val="-3"/>
          <w:highlight w:val="none"/>
          <w:lang w:bidi="ar"/>
        </w:rPr>
        <w:t>路面工程可为合同中包含该施工监理内容的项目或单独合同的项目。</w:t>
      </w:r>
    </w:p>
    <w:p>
      <w:pPr>
        <w:pStyle w:val="276"/>
        <w:spacing w:line="34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4</w:t>
      </w:r>
      <w:r>
        <w:rPr>
          <w:rFonts w:hint="eastAsia" w:ascii="宋体" w:hAnsi="宋体" w:cs="宋体"/>
          <w:color w:val="auto"/>
          <w:highlight w:val="none"/>
        </w:rPr>
        <w:t>.本表所列合同价格一般为项目结算价格，无结算价格的以签约合同价格为准。</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1.如近年来，投标人法人机构发生合法变更或重组或法人名称变更时，应提供相关部门的合法批件或其他相关证明材料来证明其所附业绩的继承性。</w:t>
      </w:r>
    </w:p>
    <w:p>
      <w:pPr>
        <w:pStyle w:val="276"/>
        <w:spacing w:line="34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6.表中的“日期”填写</w:t>
      </w:r>
      <w:r>
        <w:rPr>
          <w:rFonts w:hint="eastAsia" w:ascii="宋体" w:hAnsi="宋体"/>
          <w:color w:val="auto"/>
          <w:szCs w:val="21"/>
          <w:highlight w:val="none"/>
        </w:rPr>
        <w:t>的格式统一以阿拉伯数字表示。如：2021年5月1日，填写为20210501；2021年5月，填写为202105。</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以联合体形式投标的，联合体各成员应按照第二章“投标人须知”前附表附录2资格审查条件要求的对应业绩及第三章“评标办法”详细评审打分条件（如有）填写本表。</w:t>
      </w:r>
    </w:p>
    <w:p>
      <w:pPr>
        <w:pStyle w:val="276"/>
        <w:spacing w:line="360" w:lineRule="auto"/>
        <w:ind w:firstLine="3232" w:firstLineChars="1150"/>
        <w:rPr>
          <w:rFonts w:hint="eastAsia" w:ascii="黑体" w:hAnsi="黑体" w:eastAsia="黑体" w:cs="宋体"/>
          <w:color w:val="auto"/>
          <w:sz w:val="24"/>
          <w:highlight w:val="none"/>
        </w:rPr>
      </w:pPr>
      <w:r>
        <w:rPr>
          <w:rFonts w:hint="eastAsia" w:ascii="宋体" w:hAnsi="宋体" w:cs="宋体"/>
          <w:b/>
          <w:color w:val="auto"/>
          <w:sz w:val="28"/>
          <w:szCs w:val="28"/>
          <w:highlight w:val="none"/>
        </w:rPr>
        <w:br w:type="page"/>
      </w:r>
      <w:bookmarkEnd w:id="724"/>
      <w:bookmarkStart w:id="728" w:name="_Hlk52812117"/>
      <w:r>
        <w:rPr>
          <w:rFonts w:hint="eastAsia" w:ascii="宋体" w:hAnsi="宋体" w:cs="宋体"/>
          <w:b/>
          <w:color w:val="auto"/>
          <w:sz w:val="28"/>
          <w:szCs w:val="28"/>
          <w:highlight w:val="none"/>
        </w:rPr>
        <w:t xml:space="preserve">       </w:t>
      </w: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近年完成的公路交通安全设施工程施工监理情况表                         表2.5</w:t>
      </w:r>
    </w:p>
    <w:bookmarkEnd w:id="728"/>
    <w:tbl>
      <w:tblPr>
        <w:tblStyle w:val="48"/>
        <w:tblW w:w="1375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2"/>
        <w:gridCol w:w="942"/>
        <w:gridCol w:w="1438"/>
        <w:gridCol w:w="561"/>
        <w:gridCol w:w="1057"/>
        <w:gridCol w:w="656"/>
        <w:gridCol w:w="617"/>
        <w:gridCol w:w="959"/>
        <w:gridCol w:w="723"/>
        <w:gridCol w:w="841"/>
        <w:gridCol w:w="842"/>
        <w:gridCol w:w="857"/>
        <w:gridCol w:w="793"/>
        <w:gridCol w:w="794"/>
        <w:gridCol w:w="1267"/>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54" w:hRule="atLeast"/>
        </w:trPr>
        <w:tc>
          <w:tcPr>
            <w:tcW w:w="45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94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w:t>
            </w:r>
          </w:p>
          <w:p>
            <w:pPr>
              <w:pStyle w:val="276"/>
              <w:jc w:val="center"/>
              <w:rPr>
                <w:rFonts w:hint="eastAsia" w:ascii="宋体" w:hAnsi="宋体" w:cs="宋体"/>
                <w:color w:val="auto"/>
                <w:highlight w:val="none"/>
              </w:rPr>
            </w:pPr>
            <w:r>
              <w:rPr>
                <w:rFonts w:hint="eastAsia" w:ascii="宋体" w:hAnsi="宋体" w:cs="宋体"/>
                <w:color w:val="auto"/>
                <w:highlight w:val="none"/>
              </w:rPr>
              <w:t>业主</w:t>
            </w:r>
          </w:p>
        </w:tc>
        <w:tc>
          <w:tcPr>
            <w:tcW w:w="143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项目名称</w:t>
            </w:r>
          </w:p>
        </w:tc>
        <w:tc>
          <w:tcPr>
            <w:tcW w:w="56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公路</w:t>
            </w:r>
          </w:p>
          <w:p>
            <w:pPr>
              <w:pStyle w:val="276"/>
              <w:jc w:val="center"/>
              <w:rPr>
                <w:rFonts w:hint="eastAsia" w:ascii="宋体" w:hAnsi="宋体" w:cs="宋体"/>
                <w:color w:val="auto"/>
                <w:highlight w:val="none"/>
              </w:rPr>
            </w:pPr>
            <w:r>
              <w:rPr>
                <w:rFonts w:hint="eastAsia" w:ascii="宋体" w:hAnsi="宋体" w:cs="宋体"/>
                <w:color w:val="auto"/>
                <w:highlight w:val="none"/>
              </w:rPr>
              <w:t>等级</w:t>
            </w:r>
          </w:p>
        </w:tc>
        <w:tc>
          <w:tcPr>
            <w:tcW w:w="1057"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highlight w:val="none"/>
              </w:rPr>
            </w:pPr>
            <w:r>
              <w:rPr>
                <w:rFonts w:hint="eastAsia" w:ascii="宋体" w:hAnsi="宋体" w:cs="宋体"/>
                <w:color w:val="auto"/>
                <w:szCs w:val="21"/>
                <w:highlight w:val="none"/>
              </w:rPr>
              <w:t>项目建设形式</w:t>
            </w:r>
          </w:p>
        </w:tc>
        <w:tc>
          <w:tcPr>
            <w:tcW w:w="65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标段号</w:t>
            </w:r>
          </w:p>
        </w:tc>
        <w:tc>
          <w:tcPr>
            <w:tcW w:w="61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开工</w:t>
            </w:r>
          </w:p>
          <w:p>
            <w:pPr>
              <w:pStyle w:val="276"/>
              <w:jc w:val="center"/>
              <w:rPr>
                <w:rFonts w:hint="eastAsia" w:ascii="宋体" w:hAnsi="宋体" w:cs="宋体"/>
                <w:color w:val="auto"/>
                <w:highlight w:val="none"/>
              </w:rPr>
            </w:pPr>
            <w:r>
              <w:rPr>
                <w:rFonts w:hint="eastAsia" w:ascii="宋体" w:hAnsi="宋体" w:cs="宋体"/>
                <w:color w:val="auto"/>
                <w:highlight w:val="none"/>
              </w:rPr>
              <w:t>日期</w:t>
            </w:r>
          </w:p>
        </w:tc>
        <w:tc>
          <w:tcPr>
            <w:tcW w:w="959"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完成（交工）日期</w:t>
            </w:r>
          </w:p>
        </w:tc>
        <w:tc>
          <w:tcPr>
            <w:tcW w:w="72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监理服务期限</w:t>
            </w:r>
          </w:p>
        </w:tc>
        <w:tc>
          <w:tcPr>
            <w:tcW w:w="84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w:t>
            </w:r>
          </w:p>
          <w:p>
            <w:pPr>
              <w:pStyle w:val="276"/>
              <w:jc w:val="center"/>
              <w:rPr>
                <w:rFonts w:hint="eastAsia" w:ascii="宋体" w:hAnsi="宋体" w:cs="宋体"/>
                <w:color w:val="auto"/>
                <w:highlight w:val="none"/>
              </w:rPr>
            </w:pPr>
            <w:r>
              <w:rPr>
                <w:rFonts w:hint="eastAsia" w:ascii="宋体" w:hAnsi="宋体" w:cs="宋体"/>
                <w:color w:val="auto"/>
                <w:highlight w:val="none"/>
              </w:rPr>
              <w:t>内容</w:t>
            </w:r>
          </w:p>
        </w:tc>
        <w:tc>
          <w:tcPr>
            <w:tcW w:w="84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项目总投资</w:t>
            </w:r>
          </w:p>
          <w:p>
            <w:pPr>
              <w:pStyle w:val="276"/>
              <w:jc w:val="center"/>
              <w:rPr>
                <w:rFonts w:hint="eastAsia" w:ascii="宋体" w:hAnsi="宋体" w:cs="宋体"/>
                <w:color w:val="auto"/>
                <w:highlight w:val="none"/>
              </w:rPr>
            </w:pPr>
            <w:r>
              <w:rPr>
                <w:rFonts w:hint="eastAsia" w:ascii="宋体" w:hAnsi="宋体" w:cs="宋体"/>
                <w:color w:val="auto"/>
                <w:highlight w:val="none"/>
              </w:rPr>
              <w:t>（万元）</w:t>
            </w:r>
          </w:p>
        </w:tc>
        <w:tc>
          <w:tcPr>
            <w:tcW w:w="85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合同价格（元）</w:t>
            </w:r>
          </w:p>
        </w:tc>
        <w:tc>
          <w:tcPr>
            <w:tcW w:w="79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交通安全设施包含类型</w:t>
            </w:r>
          </w:p>
        </w:tc>
        <w:tc>
          <w:tcPr>
            <w:tcW w:w="79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标段长度（m）</w:t>
            </w:r>
          </w:p>
        </w:tc>
        <w:tc>
          <w:tcPr>
            <w:tcW w:w="126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总监理工程师或驻地监理工程师</w:t>
            </w:r>
          </w:p>
        </w:tc>
        <w:tc>
          <w:tcPr>
            <w:tcW w:w="953" w:type="dxa"/>
            <w:vAlign w:val="center"/>
          </w:tcPr>
          <w:p>
            <w:pPr>
              <w:pStyle w:val="276"/>
              <w:jc w:val="center"/>
              <w:rPr>
                <w:rFonts w:hint="eastAsia" w:ascii="宋体" w:hAnsi="宋体" w:cs="宋体"/>
                <w:color w:val="auto"/>
                <w:highlight w:val="none"/>
              </w:rPr>
            </w:pPr>
            <w:r>
              <w:rPr>
                <w:rFonts w:hint="eastAsia" w:ascii="宋体" w:hAnsi="宋体" w:cs="宋体"/>
                <w:color w:val="auto"/>
                <w:szCs w:val="21"/>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trPr>
        <w:tc>
          <w:tcPr>
            <w:tcW w:w="452" w:type="dxa"/>
            <w:vAlign w:val="center"/>
          </w:tcPr>
          <w:p>
            <w:pPr>
              <w:pStyle w:val="276"/>
              <w:jc w:val="center"/>
              <w:rPr>
                <w:rFonts w:hint="eastAsia" w:ascii="宋体" w:hAnsi="宋体" w:cs="宋体"/>
                <w:color w:val="auto"/>
                <w:highlight w:val="none"/>
              </w:rPr>
            </w:pPr>
          </w:p>
        </w:tc>
        <w:tc>
          <w:tcPr>
            <w:tcW w:w="94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43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61" w:type="dxa"/>
          </w:tcPr>
          <w:p>
            <w:pPr>
              <w:pStyle w:val="276"/>
              <w:jc w:val="center"/>
              <w:rPr>
                <w:rFonts w:hint="eastAsia" w:ascii="宋体" w:hAnsi="宋体" w:cs="宋体"/>
                <w:color w:val="auto"/>
                <w:highlight w:val="none"/>
              </w:rPr>
            </w:pPr>
          </w:p>
        </w:tc>
        <w:tc>
          <w:tcPr>
            <w:tcW w:w="1057"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highlight w:val="none"/>
              </w:rPr>
            </w:pPr>
            <w:r>
              <w:rPr>
                <w:rFonts w:hint="eastAsia" w:ascii="宋体" w:hAnsi="宋体"/>
                <w:color w:val="auto"/>
                <w:szCs w:val="21"/>
                <w:highlight w:val="none"/>
              </w:rPr>
              <w:t>□改扩建</w:t>
            </w:r>
          </w:p>
        </w:tc>
        <w:tc>
          <w:tcPr>
            <w:tcW w:w="65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17" w:type="dxa"/>
          </w:tcPr>
          <w:p>
            <w:pPr>
              <w:pStyle w:val="276"/>
              <w:jc w:val="center"/>
              <w:rPr>
                <w:rFonts w:hint="eastAsia" w:ascii="宋体" w:hAnsi="宋体" w:cs="宋体"/>
                <w:color w:val="auto"/>
                <w:highlight w:val="none"/>
              </w:rPr>
            </w:pPr>
          </w:p>
        </w:tc>
        <w:tc>
          <w:tcPr>
            <w:tcW w:w="959"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23" w:type="dxa"/>
            <w:vAlign w:val="center"/>
          </w:tcPr>
          <w:p>
            <w:pPr>
              <w:pStyle w:val="276"/>
              <w:jc w:val="center"/>
              <w:rPr>
                <w:rFonts w:hint="eastAsia" w:ascii="宋体" w:hAnsi="宋体" w:cs="宋体"/>
                <w:color w:val="auto"/>
                <w:highlight w:val="none"/>
              </w:rPr>
            </w:pPr>
          </w:p>
        </w:tc>
        <w:tc>
          <w:tcPr>
            <w:tcW w:w="84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42" w:type="dxa"/>
            <w:vAlign w:val="center"/>
          </w:tcPr>
          <w:p>
            <w:pPr>
              <w:pStyle w:val="276"/>
              <w:jc w:val="center"/>
              <w:rPr>
                <w:rFonts w:hint="eastAsia" w:ascii="宋体" w:hAnsi="宋体" w:cs="宋体"/>
                <w:color w:val="auto"/>
                <w:highlight w:val="none"/>
              </w:rPr>
            </w:pPr>
          </w:p>
        </w:tc>
        <w:tc>
          <w:tcPr>
            <w:tcW w:w="85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93" w:type="dxa"/>
          </w:tcPr>
          <w:p>
            <w:pPr>
              <w:pStyle w:val="276"/>
              <w:jc w:val="center"/>
              <w:rPr>
                <w:rFonts w:hint="eastAsia" w:ascii="宋体" w:hAnsi="宋体" w:cs="宋体"/>
                <w:color w:val="auto"/>
                <w:highlight w:val="none"/>
              </w:rPr>
            </w:pPr>
          </w:p>
        </w:tc>
        <w:tc>
          <w:tcPr>
            <w:tcW w:w="794" w:type="dxa"/>
          </w:tcPr>
          <w:p>
            <w:pPr>
              <w:pStyle w:val="276"/>
              <w:jc w:val="center"/>
              <w:rPr>
                <w:rFonts w:hint="eastAsia" w:ascii="宋体" w:hAnsi="宋体" w:cs="宋体"/>
                <w:color w:val="auto"/>
                <w:highlight w:val="none"/>
              </w:rPr>
            </w:pPr>
          </w:p>
        </w:tc>
        <w:tc>
          <w:tcPr>
            <w:tcW w:w="126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5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trPr>
        <w:tc>
          <w:tcPr>
            <w:tcW w:w="452" w:type="dxa"/>
            <w:vAlign w:val="center"/>
          </w:tcPr>
          <w:p>
            <w:pPr>
              <w:pStyle w:val="276"/>
              <w:jc w:val="center"/>
              <w:rPr>
                <w:rFonts w:hint="eastAsia" w:ascii="宋体" w:hAnsi="宋体" w:cs="宋体"/>
                <w:color w:val="auto"/>
                <w:highlight w:val="none"/>
              </w:rPr>
            </w:pPr>
          </w:p>
        </w:tc>
        <w:tc>
          <w:tcPr>
            <w:tcW w:w="94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43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61" w:type="dxa"/>
          </w:tcPr>
          <w:p>
            <w:pPr>
              <w:pStyle w:val="276"/>
              <w:jc w:val="center"/>
              <w:rPr>
                <w:rFonts w:hint="eastAsia" w:ascii="宋体" w:hAnsi="宋体" w:cs="宋体"/>
                <w:color w:val="auto"/>
                <w:highlight w:val="none"/>
              </w:rPr>
            </w:pPr>
          </w:p>
        </w:tc>
        <w:tc>
          <w:tcPr>
            <w:tcW w:w="1057"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highlight w:val="none"/>
              </w:rPr>
            </w:pPr>
            <w:r>
              <w:rPr>
                <w:rFonts w:hint="eastAsia" w:ascii="宋体" w:hAnsi="宋体"/>
                <w:color w:val="auto"/>
                <w:szCs w:val="21"/>
                <w:highlight w:val="none"/>
              </w:rPr>
              <w:t>□改扩建</w:t>
            </w:r>
          </w:p>
        </w:tc>
        <w:tc>
          <w:tcPr>
            <w:tcW w:w="65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17" w:type="dxa"/>
          </w:tcPr>
          <w:p>
            <w:pPr>
              <w:pStyle w:val="276"/>
              <w:jc w:val="center"/>
              <w:rPr>
                <w:rFonts w:hint="eastAsia" w:ascii="宋体" w:hAnsi="宋体" w:cs="宋体"/>
                <w:color w:val="auto"/>
                <w:highlight w:val="none"/>
              </w:rPr>
            </w:pPr>
          </w:p>
        </w:tc>
        <w:tc>
          <w:tcPr>
            <w:tcW w:w="959"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23" w:type="dxa"/>
            <w:vAlign w:val="center"/>
          </w:tcPr>
          <w:p>
            <w:pPr>
              <w:pStyle w:val="276"/>
              <w:jc w:val="center"/>
              <w:rPr>
                <w:rFonts w:hint="eastAsia" w:ascii="宋体" w:hAnsi="宋体" w:cs="宋体"/>
                <w:color w:val="auto"/>
                <w:highlight w:val="none"/>
              </w:rPr>
            </w:pPr>
          </w:p>
        </w:tc>
        <w:tc>
          <w:tcPr>
            <w:tcW w:w="84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42" w:type="dxa"/>
            <w:vAlign w:val="center"/>
          </w:tcPr>
          <w:p>
            <w:pPr>
              <w:pStyle w:val="276"/>
              <w:jc w:val="center"/>
              <w:rPr>
                <w:rFonts w:hint="eastAsia" w:ascii="宋体" w:hAnsi="宋体" w:cs="宋体"/>
                <w:color w:val="auto"/>
                <w:highlight w:val="none"/>
              </w:rPr>
            </w:pPr>
          </w:p>
        </w:tc>
        <w:tc>
          <w:tcPr>
            <w:tcW w:w="85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93" w:type="dxa"/>
          </w:tcPr>
          <w:p>
            <w:pPr>
              <w:pStyle w:val="276"/>
              <w:jc w:val="center"/>
              <w:rPr>
                <w:rFonts w:hint="eastAsia" w:ascii="宋体" w:hAnsi="宋体" w:cs="宋体"/>
                <w:color w:val="auto"/>
                <w:highlight w:val="none"/>
              </w:rPr>
            </w:pPr>
          </w:p>
        </w:tc>
        <w:tc>
          <w:tcPr>
            <w:tcW w:w="794" w:type="dxa"/>
          </w:tcPr>
          <w:p>
            <w:pPr>
              <w:pStyle w:val="276"/>
              <w:jc w:val="center"/>
              <w:rPr>
                <w:rFonts w:hint="eastAsia" w:ascii="宋体" w:hAnsi="宋体" w:cs="宋体"/>
                <w:color w:val="auto"/>
                <w:highlight w:val="none"/>
              </w:rPr>
            </w:pPr>
          </w:p>
        </w:tc>
        <w:tc>
          <w:tcPr>
            <w:tcW w:w="126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5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trPr>
        <w:tc>
          <w:tcPr>
            <w:tcW w:w="452" w:type="dxa"/>
            <w:vAlign w:val="center"/>
          </w:tcPr>
          <w:p>
            <w:pPr>
              <w:pStyle w:val="276"/>
              <w:jc w:val="center"/>
              <w:rPr>
                <w:rFonts w:hint="eastAsia" w:ascii="宋体" w:hAnsi="宋体" w:cs="宋体"/>
                <w:color w:val="auto"/>
                <w:highlight w:val="none"/>
              </w:rPr>
            </w:pPr>
          </w:p>
        </w:tc>
        <w:tc>
          <w:tcPr>
            <w:tcW w:w="94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43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61" w:type="dxa"/>
          </w:tcPr>
          <w:p>
            <w:pPr>
              <w:pStyle w:val="276"/>
              <w:jc w:val="center"/>
              <w:rPr>
                <w:rFonts w:hint="eastAsia" w:ascii="宋体" w:hAnsi="宋体" w:cs="宋体"/>
                <w:color w:val="auto"/>
                <w:highlight w:val="none"/>
              </w:rPr>
            </w:pPr>
          </w:p>
        </w:tc>
        <w:tc>
          <w:tcPr>
            <w:tcW w:w="1057"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highlight w:val="none"/>
              </w:rPr>
            </w:pPr>
            <w:r>
              <w:rPr>
                <w:rFonts w:hint="eastAsia" w:ascii="宋体" w:hAnsi="宋体"/>
                <w:color w:val="auto"/>
                <w:szCs w:val="21"/>
                <w:highlight w:val="none"/>
              </w:rPr>
              <w:t>□改扩建</w:t>
            </w:r>
          </w:p>
        </w:tc>
        <w:tc>
          <w:tcPr>
            <w:tcW w:w="65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17" w:type="dxa"/>
          </w:tcPr>
          <w:p>
            <w:pPr>
              <w:pStyle w:val="276"/>
              <w:jc w:val="center"/>
              <w:rPr>
                <w:rFonts w:hint="eastAsia" w:ascii="宋体" w:hAnsi="宋体" w:cs="宋体"/>
                <w:color w:val="auto"/>
                <w:highlight w:val="none"/>
              </w:rPr>
            </w:pPr>
          </w:p>
        </w:tc>
        <w:tc>
          <w:tcPr>
            <w:tcW w:w="959"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23" w:type="dxa"/>
            <w:vAlign w:val="center"/>
          </w:tcPr>
          <w:p>
            <w:pPr>
              <w:pStyle w:val="276"/>
              <w:jc w:val="center"/>
              <w:rPr>
                <w:rFonts w:hint="eastAsia" w:ascii="宋体" w:hAnsi="宋体" w:cs="宋体"/>
                <w:color w:val="auto"/>
                <w:highlight w:val="none"/>
              </w:rPr>
            </w:pPr>
          </w:p>
        </w:tc>
        <w:tc>
          <w:tcPr>
            <w:tcW w:w="84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42" w:type="dxa"/>
            <w:vAlign w:val="center"/>
          </w:tcPr>
          <w:p>
            <w:pPr>
              <w:pStyle w:val="276"/>
              <w:jc w:val="center"/>
              <w:rPr>
                <w:rFonts w:hint="eastAsia" w:ascii="宋体" w:hAnsi="宋体" w:cs="宋体"/>
                <w:color w:val="auto"/>
                <w:highlight w:val="none"/>
              </w:rPr>
            </w:pPr>
          </w:p>
        </w:tc>
        <w:tc>
          <w:tcPr>
            <w:tcW w:w="85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93" w:type="dxa"/>
          </w:tcPr>
          <w:p>
            <w:pPr>
              <w:pStyle w:val="276"/>
              <w:jc w:val="center"/>
              <w:rPr>
                <w:rFonts w:hint="eastAsia" w:ascii="宋体" w:hAnsi="宋体" w:cs="宋体"/>
                <w:color w:val="auto"/>
                <w:highlight w:val="none"/>
              </w:rPr>
            </w:pPr>
          </w:p>
        </w:tc>
        <w:tc>
          <w:tcPr>
            <w:tcW w:w="794" w:type="dxa"/>
          </w:tcPr>
          <w:p>
            <w:pPr>
              <w:pStyle w:val="276"/>
              <w:jc w:val="center"/>
              <w:rPr>
                <w:rFonts w:hint="eastAsia" w:ascii="宋体" w:hAnsi="宋体" w:cs="宋体"/>
                <w:color w:val="auto"/>
                <w:highlight w:val="none"/>
              </w:rPr>
            </w:pPr>
          </w:p>
        </w:tc>
        <w:tc>
          <w:tcPr>
            <w:tcW w:w="126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5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rPr>
        <w:tc>
          <w:tcPr>
            <w:tcW w:w="452"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4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43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561"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057" w:type="dxa"/>
            <w:tcMar>
              <w:top w:w="0" w:type="dxa"/>
              <w:left w:w="108" w:type="dxa"/>
              <w:bottom w:w="0" w:type="dxa"/>
              <w:right w:w="108" w:type="dxa"/>
            </w:tcMar>
            <w:vAlign w:val="center"/>
          </w:tcPr>
          <w:p>
            <w:pPr>
              <w:jc w:val="center"/>
              <w:rPr>
                <w:rFonts w:hint="eastAsia" w:ascii="宋体" w:hAnsi="宋体" w:cs="宋体"/>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65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617"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59"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23"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4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42"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5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93"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794"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26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53"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r>
    </w:tbl>
    <w:p>
      <w:pPr>
        <w:pStyle w:val="276"/>
        <w:spacing w:line="340" w:lineRule="exact"/>
        <w:ind w:left="630" w:hanging="630" w:hangingChars="300"/>
        <w:rPr>
          <w:rFonts w:hint="eastAsia" w:ascii="宋体" w:hAnsi="宋体" w:cs="宋体"/>
          <w:color w:val="auto"/>
          <w:spacing w:val="-3"/>
          <w:highlight w:val="none"/>
        </w:rPr>
      </w:pPr>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C5系列（交通安全设施工程施工监理项目业绩）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highlight w:val="none"/>
        </w:rPr>
        <w:t>）。</w:t>
      </w:r>
    </w:p>
    <w:p>
      <w:pPr>
        <w:pStyle w:val="276"/>
        <w:spacing w:line="34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pStyle w:val="276"/>
        <w:spacing w:line="34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s="宋体"/>
          <w:color w:val="auto"/>
          <w:spacing w:val="-3"/>
          <w:highlight w:val="none"/>
          <w:lang w:bidi="ar"/>
        </w:rPr>
        <w:t>交通安全设施工程可为合同中包含该施工监理内容的项目或单独合同的项目。</w:t>
      </w:r>
    </w:p>
    <w:p>
      <w:pPr>
        <w:pStyle w:val="276"/>
        <w:spacing w:line="34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4</w:t>
      </w:r>
      <w:r>
        <w:rPr>
          <w:rFonts w:hint="eastAsia" w:ascii="宋体" w:hAnsi="宋体" w:cs="宋体"/>
          <w:color w:val="auto"/>
          <w:highlight w:val="none"/>
        </w:rPr>
        <w:t>.本表所列合同价格一般为项目结算价格，无结算价格的以签约合同价格为准。</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5.如近年来，投标人法人机构发生合法变更或重组或法人名称变更时，应提供相关部门的合法批件或其他相关证明材料来证明其所附业绩的继承性。</w:t>
      </w:r>
    </w:p>
    <w:p>
      <w:pPr>
        <w:pStyle w:val="276"/>
        <w:spacing w:line="34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6.表中的“日期”填写</w:t>
      </w:r>
      <w:r>
        <w:rPr>
          <w:rFonts w:hint="eastAsia" w:ascii="宋体" w:hAnsi="宋体"/>
          <w:color w:val="auto"/>
          <w:szCs w:val="21"/>
          <w:highlight w:val="none"/>
        </w:rPr>
        <w:t>的格式统一以阿拉伯数字表示。如：2021年5月1日，填写为20210501；2021年5月，填写为202105。</w:t>
      </w:r>
    </w:p>
    <w:p>
      <w:pPr>
        <w:pStyle w:val="276"/>
        <w:spacing w:line="340" w:lineRule="exact"/>
        <w:ind w:left="609" w:leftChars="190" w:hanging="210" w:hangingChars="100"/>
        <w:jc w:val="left"/>
        <w:rPr>
          <w:rFonts w:hint="eastAsia" w:ascii="宋体" w:hAnsi="宋体" w:cs="宋体"/>
          <w:color w:val="auto"/>
          <w:sz w:val="28"/>
          <w:szCs w:val="28"/>
          <w:highlight w:val="none"/>
        </w:r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以联合体形式投标的，联合体各成员应按照第二章“投标人须知”前附表附录2资格审查条件要求的对应业绩及第三章“评标办法”详细评审打分条件（如有）填写本表。</w:t>
      </w:r>
    </w:p>
    <w:p>
      <w:pPr>
        <w:pStyle w:val="276"/>
        <w:spacing w:line="360" w:lineRule="auto"/>
        <w:ind w:firstLine="3734" w:firstLineChars="1550"/>
        <w:rPr>
          <w:rFonts w:hint="eastAsia" w:ascii="黑体" w:hAnsi="黑体" w:eastAsia="黑体" w:cs="宋体"/>
          <w:bCs/>
          <w:color w:val="auto"/>
          <w:sz w:val="24"/>
          <w:highlight w:val="none"/>
        </w:rPr>
      </w:pPr>
      <w:r>
        <w:rPr>
          <w:rFonts w:hint="eastAsia" w:ascii="黑体" w:hAnsi="黑体" w:eastAsia="黑体" w:cs="宋体"/>
          <w:b/>
          <w:color w:val="auto"/>
          <w:sz w:val="24"/>
          <w:highlight w:val="none"/>
        </w:rPr>
        <w:t xml:space="preserve">       □  </w:t>
      </w:r>
      <w:r>
        <w:rPr>
          <w:rFonts w:hint="eastAsia" w:ascii="黑体" w:hAnsi="黑体" w:eastAsia="黑体" w:cs="宋体"/>
          <w:bCs/>
          <w:color w:val="auto"/>
          <w:sz w:val="24"/>
          <w:highlight w:val="none"/>
        </w:rPr>
        <w:t>近年完成的公路机电工程施工监理情况表                             表2.6</w:t>
      </w:r>
    </w:p>
    <w:tbl>
      <w:tblPr>
        <w:tblStyle w:val="48"/>
        <w:tblW w:w="13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9"/>
        <w:gridCol w:w="913"/>
        <w:gridCol w:w="1402"/>
        <w:gridCol w:w="528"/>
        <w:gridCol w:w="1078"/>
        <w:gridCol w:w="591"/>
        <w:gridCol w:w="559"/>
        <w:gridCol w:w="965"/>
        <w:gridCol w:w="699"/>
        <w:gridCol w:w="814"/>
        <w:gridCol w:w="1107"/>
        <w:gridCol w:w="830"/>
        <w:gridCol w:w="1430"/>
        <w:gridCol w:w="1335"/>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2" w:hRule="atLeast"/>
          <w:jc w:val="center"/>
        </w:trPr>
        <w:tc>
          <w:tcPr>
            <w:tcW w:w="439" w:type="dxa"/>
            <w:vAlign w:val="center"/>
          </w:tcPr>
          <w:p>
            <w:pPr>
              <w:jc w:val="center"/>
              <w:rPr>
                <w:color w:val="auto"/>
                <w:highlight w:val="none"/>
              </w:rPr>
            </w:pPr>
            <w:r>
              <w:rPr>
                <w:rFonts w:hint="eastAsia"/>
                <w:color w:val="auto"/>
                <w:highlight w:val="none"/>
              </w:rPr>
              <w:t>序号</w:t>
            </w:r>
          </w:p>
        </w:tc>
        <w:tc>
          <w:tcPr>
            <w:tcW w:w="913" w:type="dxa"/>
            <w:tcMar>
              <w:top w:w="0" w:type="dxa"/>
              <w:left w:w="108" w:type="dxa"/>
              <w:bottom w:w="0" w:type="dxa"/>
              <w:right w:w="108" w:type="dxa"/>
            </w:tcMar>
            <w:vAlign w:val="center"/>
          </w:tcPr>
          <w:p>
            <w:pPr>
              <w:jc w:val="center"/>
              <w:rPr>
                <w:color w:val="auto"/>
                <w:highlight w:val="none"/>
              </w:rPr>
            </w:pPr>
            <w:r>
              <w:rPr>
                <w:rFonts w:hint="eastAsia"/>
                <w:color w:val="auto"/>
                <w:highlight w:val="none"/>
              </w:rPr>
              <w:t>项目</w:t>
            </w:r>
          </w:p>
          <w:p>
            <w:pPr>
              <w:jc w:val="center"/>
              <w:rPr>
                <w:color w:val="auto"/>
                <w:highlight w:val="none"/>
              </w:rPr>
            </w:pPr>
            <w:r>
              <w:rPr>
                <w:rFonts w:hint="eastAsia"/>
                <w:color w:val="auto"/>
                <w:highlight w:val="none"/>
              </w:rPr>
              <w:t>业主</w:t>
            </w:r>
          </w:p>
        </w:tc>
        <w:tc>
          <w:tcPr>
            <w:tcW w:w="1402" w:type="dxa"/>
            <w:tcMar>
              <w:top w:w="0" w:type="dxa"/>
              <w:left w:w="108" w:type="dxa"/>
              <w:bottom w:w="0" w:type="dxa"/>
              <w:right w:w="108" w:type="dxa"/>
            </w:tcMar>
            <w:vAlign w:val="center"/>
          </w:tcPr>
          <w:p>
            <w:pPr>
              <w:jc w:val="center"/>
              <w:rPr>
                <w:color w:val="auto"/>
                <w:highlight w:val="none"/>
              </w:rPr>
            </w:pPr>
            <w:r>
              <w:rPr>
                <w:rFonts w:hint="eastAsia"/>
                <w:color w:val="auto"/>
                <w:highlight w:val="none"/>
              </w:rPr>
              <w:t>项目名称</w:t>
            </w:r>
          </w:p>
        </w:tc>
        <w:tc>
          <w:tcPr>
            <w:tcW w:w="528" w:type="dxa"/>
            <w:vAlign w:val="center"/>
          </w:tcPr>
          <w:p>
            <w:pPr>
              <w:jc w:val="center"/>
              <w:rPr>
                <w:color w:val="auto"/>
                <w:highlight w:val="none"/>
              </w:rPr>
            </w:pPr>
            <w:r>
              <w:rPr>
                <w:rFonts w:hint="eastAsia"/>
                <w:color w:val="auto"/>
                <w:highlight w:val="none"/>
              </w:rPr>
              <w:t>公路等级</w:t>
            </w:r>
          </w:p>
        </w:tc>
        <w:tc>
          <w:tcPr>
            <w:tcW w:w="1078" w:type="dxa"/>
            <w:tcMar>
              <w:top w:w="0" w:type="dxa"/>
              <w:left w:w="108" w:type="dxa"/>
              <w:bottom w:w="0" w:type="dxa"/>
              <w:right w:w="108" w:type="dxa"/>
            </w:tcMar>
            <w:vAlign w:val="center"/>
          </w:tcPr>
          <w:p>
            <w:pPr>
              <w:pStyle w:val="276"/>
              <w:adjustRightInd w:val="0"/>
              <w:snapToGrid w:val="0"/>
              <w:jc w:val="center"/>
              <w:rPr>
                <w:color w:val="auto"/>
                <w:highlight w:val="none"/>
              </w:rPr>
            </w:pPr>
            <w:r>
              <w:rPr>
                <w:rFonts w:hint="eastAsia" w:ascii="宋体" w:hAnsi="宋体" w:cs="宋体"/>
                <w:color w:val="auto"/>
                <w:szCs w:val="21"/>
                <w:highlight w:val="none"/>
              </w:rPr>
              <w:t>项目建设形式</w:t>
            </w:r>
          </w:p>
        </w:tc>
        <w:tc>
          <w:tcPr>
            <w:tcW w:w="591" w:type="dxa"/>
            <w:tcMar>
              <w:top w:w="0" w:type="dxa"/>
              <w:left w:w="108" w:type="dxa"/>
              <w:bottom w:w="0" w:type="dxa"/>
              <w:right w:w="108" w:type="dxa"/>
            </w:tcMar>
            <w:vAlign w:val="center"/>
          </w:tcPr>
          <w:p>
            <w:pPr>
              <w:jc w:val="center"/>
              <w:rPr>
                <w:color w:val="auto"/>
                <w:highlight w:val="none"/>
              </w:rPr>
            </w:pPr>
            <w:r>
              <w:rPr>
                <w:rFonts w:hint="eastAsia"/>
                <w:color w:val="auto"/>
                <w:highlight w:val="none"/>
              </w:rPr>
              <w:t>标段号</w:t>
            </w:r>
          </w:p>
        </w:tc>
        <w:tc>
          <w:tcPr>
            <w:tcW w:w="559" w:type="dxa"/>
            <w:vAlign w:val="center"/>
          </w:tcPr>
          <w:p>
            <w:pPr>
              <w:jc w:val="center"/>
              <w:rPr>
                <w:color w:val="auto"/>
                <w:highlight w:val="none"/>
              </w:rPr>
            </w:pPr>
            <w:r>
              <w:rPr>
                <w:rFonts w:hint="eastAsia"/>
                <w:color w:val="auto"/>
                <w:highlight w:val="none"/>
              </w:rPr>
              <w:t>开工日期</w:t>
            </w:r>
          </w:p>
        </w:tc>
        <w:tc>
          <w:tcPr>
            <w:tcW w:w="965" w:type="dxa"/>
            <w:tcMar>
              <w:top w:w="0" w:type="dxa"/>
              <w:left w:w="108" w:type="dxa"/>
              <w:bottom w:w="0" w:type="dxa"/>
              <w:right w:w="108" w:type="dxa"/>
            </w:tcMar>
            <w:vAlign w:val="center"/>
          </w:tcPr>
          <w:p>
            <w:pPr>
              <w:jc w:val="center"/>
              <w:rPr>
                <w:color w:val="auto"/>
                <w:highlight w:val="none"/>
              </w:rPr>
            </w:pPr>
            <w:r>
              <w:rPr>
                <w:rFonts w:hint="eastAsia"/>
                <w:color w:val="auto"/>
                <w:highlight w:val="none"/>
              </w:rPr>
              <w:t>完成（交工）日期</w:t>
            </w:r>
          </w:p>
        </w:tc>
        <w:tc>
          <w:tcPr>
            <w:tcW w:w="699" w:type="dxa"/>
            <w:vAlign w:val="center"/>
          </w:tcPr>
          <w:p>
            <w:pPr>
              <w:jc w:val="center"/>
              <w:rPr>
                <w:color w:val="auto"/>
                <w:highlight w:val="none"/>
              </w:rPr>
            </w:pPr>
            <w:r>
              <w:rPr>
                <w:rFonts w:hint="eastAsia"/>
                <w:color w:val="auto"/>
                <w:highlight w:val="none"/>
              </w:rPr>
              <w:t>监理服务期限</w:t>
            </w:r>
          </w:p>
        </w:tc>
        <w:tc>
          <w:tcPr>
            <w:tcW w:w="814" w:type="dxa"/>
            <w:tcMar>
              <w:top w:w="0" w:type="dxa"/>
              <w:left w:w="108" w:type="dxa"/>
              <w:bottom w:w="0" w:type="dxa"/>
              <w:right w:w="108" w:type="dxa"/>
            </w:tcMar>
            <w:vAlign w:val="center"/>
          </w:tcPr>
          <w:p>
            <w:pPr>
              <w:jc w:val="center"/>
              <w:rPr>
                <w:color w:val="auto"/>
                <w:highlight w:val="none"/>
              </w:rPr>
            </w:pPr>
            <w:r>
              <w:rPr>
                <w:rFonts w:hint="eastAsia"/>
                <w:color w:val="auto"/>
                <w:highlight w:val="none"/>
              </w:rPr>
              <w:t>监理</w:t>
            </w:r>
          </w:p>
          <w:p>
            <w:pPr>
              <w:jc w:val="center"/>
              <w:rPr>
                <w:color w:val="auto"/>
                <w:highlight w:val="none"/>
              </w:rPr>
            </w:pPr>
            <w:r>
              <w:rPr>
                <w:rFonts w:hint="eastAsia"/>
                <w:color w:val="auto"/>
                <w:highlight w:val="none"/>
              </w:rPr>
              <w:t>内容</w:t>
            </w:r>
          </w:p>
        </w:tc>
        <w:tc>
          <w:tcPr>
            <w:tcW w:w="1107" w:type="dxa"/>
            <w:vAlign w:val="center"/>
          </w:tcPr>
          <w:p>
            <w:pPr>
              <w:jc w:val="center"/>
              <w:rPr>
                <w:color w:val="auto"/>
                <w:highlight w:val="none"/>
              </w:rPr>
            </w:pPr>
            <w:r>
              <w:rPr>
                <w:rFonts w:hint="eastAsia"/>
                <w:color w:val="auto"/>
                <w:highlight w:val="none"/>
              </w:rPr>
              <w:t>项目总投资（万元）</w:t>
            </w:r>
          </w:p>
        </w:tc>
        <w:tc>
          <w:tcPr>
            <w:tcW w:w="830" w:type="dxa"/>
            <w:tcMar>
              <w:top w:w="0" w:type="dxa"/>
              <w:left w:w="108" w:type="dxa"/>
              <w:bottom w:w="0" w:type="dxa"/>
              <w:right w:w="108" w:type="dxa"/>
            </w:tcMar>
            <w:vAlign w:val="center"/>
          </w:tcPr>
          <w:p>
            <w:pPr>
              <w:jc w:val="center"/>
              <w:rPr>
                <w:color w:val="auto"/>
                <w:highlight w:val="none"/>
              </w:rPr>
            </w:pPr>
            <w:r>
              <w:rPr>
                <w:rFonts w:hint="eastAsia"/>
                <w:color w:val="auto"/>
                <w:highlight w:val="none"/>
              </w:rPr>
              <w:t>合同价格（元）</w:t>
            </w:r>
          </w:p>
        </w:tc>
        <w:tc>
          <w:tcPr>
            <w:tcW w:w="1430" w:type="dxa"/>
            <w:vAlign w:val="center"/>
          </w:tcPr>
          <w:p>
            <w:pPr>
              <w:jc w:val="center"/>
              <w:rPr>
                <w:color w:val="auto"/>
                <w:highlight w:val="none"/>
              </w:rPr>
            </w:pPr>
            <w:r>
              <w:rPr>
                <w:rFonts w:hint="eastAsia"/>
                <w:color w:val="auto"/>
                <w:highlight w:val="none"/>
              </w:rPr>
              <w:t>机电工程</w:t>
            </w:r>
          </w:p>
          <w:p>
            <w:pPr>
              <w:jc w:val="center"/>
              <w:rPr>
                <w:color w:val="auto"/>
                <w:highlight w:val="none"/>
              </w:rPr>
            </w:pPr>
            <w:r>
              <w:rPr>
                <w:rFonts w:hint="eastAsia"/>
                <w:color w:val="auto"/>
                <w:highlight w:val="none"/>
              </w:rPr>
              <w:t>（包含系统及完成长度）</w:t>
            </w:r>
            <w:r>
              <w:rPr>
                <w:color w:val="auto"/>
                <w:highlight w:val="none"/>
              </w:rPr>
              <w:t xml:space="preserve">   </w:t>
            </w:r>
            <w:r>
              <w:rPr>
                <w:rFonts w:hint="eastAsia"/>
                <w:color w:val="auto"/>
                <w:highlight w:val="none"/>
              </w:rPr>
              <w:t>（</w:t>
            </w:r>
            <w:r>
              <w:rPr>
                <w:color w:val="auto"/>
                <w:highlight w:val="none"/>
              </w:rPr>
              <w:t>km</w:t>
            </w:r>
            <w:r>
              <w:rPr>
                <w:rFonts w:hint="eastAsia"/>
                <w:color w:val="auto"/>
                <w:highlight w:val="none"/>
              </w:rPr>
              <w:t>）</w:t>
            </w:r>
          </w:p>
        </w:tc>
        <w:tc>
          <w:tcPr>
            <w:tcW w:w="1335" w:type="dxa"/>
            <w:tcMar>
              <w:top w:w="0" w:type="dxa"/>
              <w:left w:w="108" w:type="dxa"/>
              <w:bottom w:w="0" w:type="dxa"/>
              <w:right w:w="108" w:type="dxa"/>
            </w:tcMar>
            <w:vAlign w:val="center"/>
          </w:tcPr>
          <w:p>
            <w:pPr>
              <w:jc w:val="center"/>
              <w:rPr>
                <w:color w:val="auto"/>
                <w:highlight w:val="none"/>
              </w:rPr>
            </w:pPr>
            <w:r>
              <w:rPr>
                <w:rFonts w:hint="eastAsia"/>
                <w:color w:val="auto"/>
                <w:highlight w:val="none"/>
              </w:rPr>
              <w:t>总监理工程师或驻地监理工程师</w:t>
            </w:r>
          </w:p>
        </w:tc>
        <w:tc>
          <w:tcPr>
            <w:tcW w:w="1243" w:type="dxa"/>
            <w:vAlign w:val="center"/>
          </w:tcPr>
          <w:p>
            <w:pPr>
              <w:jc w:val="center"/>
              <w:rPr>
                <w:color w:val="auto"/>
                <w:highlight w:val="none"/>
              </w:rPr>
            </w:pPr>
            <w:r>
              <w:rPr>
                <w:rFonts w:hint="eastAsia"/>
                <w:color w:val="auto"/>
                <w:highlight w:val="none"/>
              </w:rPr>
              <w:t>业绩证明</w:t>
            </w:r>
          </w:p>
          <w:p>
            <w:pPr>
              <w:jc w:val="center"/>
              <w:rPr>
                <w:color w:val="auto"/>
                <w:highlight w:val="none"/>
              </w:rPr>
            </w:pPr>
            <w:r>
              <w:rPr>
                <w:rFonts w:hint="eastAsia"/>
                <w:color w:val="auto"/>
                <w:highlight w:val="none"/>
              </w:rPr>
              <w:t>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1" w:hRule="atLeast"/>
          <w:jc w:val="center"/>
        </w:trPr>
        <w:tc>
          <w:tcPr>
            <w:tcW w:w="439" w:type="dxa"/>
            <w:vAlign w:val="center"/>
          </w:tcPr>
          <w:p>
            <w:pPr>
              <w:jc w:val="center"/>
              <w:rPr>
                <w:color w:val="auto"/>
                <w:highlight w:val="none"/>
              </w:rPr>
            </w:pPr>
          </w:p>
        </w:tc>
        <w:tc>
          <w:tcPr>
            <w:tcW w:w="913" w:type="dxa"/>
            <w:tcMar>
              <w:top w:w="0" w:type="dxa"/>
              <w:left w:w="108" w:type="dxa"/>
              <w:bottom w:w="0" w:type="dxa"/>
              <w:right w:w="108" w:type="dxa"/>
            </w:tcMar>
            <w:vAlign w:val="center"/>
          </w:tcPr>
          <w:p>
            <w:pPr>
              <w:jc w:val="center"/>
              <w:rPr>
                <w:color w:val="auto"/>
                <w:highlight w:val="none"/>
              </w:rPr>
            </w:pPr>
          </w:p>
        </w:tc>
        <w:tc>
          <w:tcPr>
            <w:tcW w:w="1402" w:type="dxa"/>
            <w:tcMar>
              <w:top w:w="0" w:type="dxa"/>
              <w:left w:w="108" w:type="dxa"/>
              <w:bottom w:w="0" w:type="dxa"/>
              <w:right w:w="108" w:type="dxa"/>
            </w:tcMar>
            <w:vAlign w:val="center"/>
          </w:tcPr>
          <w:p>
            <w:pPr>
              <w:jc w:val="center"/>
              <w:rPr>
                <w:color w:val="auto"/>
                <w:highlight w:val="none"/>
              </w:rPr>
            </w:pPr>
          </w:p>
        </w:tc>
        <w:tc>
          <w:tcPr>
            <w:tcW w:w="528" w:type="dxa"/>
            <w:vAlign w:val="center"/>
          </w:tcPr>
          <w:p>
            <w:pPr>
              <w:jc w:val="center"/>
              <w:rPr>
                <w:color w:val="auto"/>
                <w:highlight w:val="none"/>
              </w:rPr>
            </w:pPr>
          </w:p>
        </w:tc>
        <w:tc>
          <w:tcPr>
            <w:tcW w:w="1078"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color w:val="auto"/>
                <w:highlight w:val="none"/>
              </w:rPr>
            </w:pPr>
            <w:r>
              <w:rPr>
                <w:rFonts w:hint="eastAsia" w:ascii="宋体" w:hAnsi="宋体"/>
                <w:color w:val="auto"/>
                <w:szCs w:val="21"/>
                <w:highlight w:val="none"/>
              </w:rPr>
              <w:t>□改扩建</w:t>
            </w:r>
          </w:p>
        </w:tc>
        <w:tc>
          <w:tcPr>
            <w:tcW w:w="591" w:type="dxa"/>
            <w:tcMar>
              <w:top w:w="0" w:type="dxa"/>
              <w:left w:w="108" w:type="dxa"/>
              <w:bottom w:w="0" w:type="dxa"/>
              <w:right w:w="108" w:type="dxa"/>
            </w:tcMar>
            <w:vAlign w:val="center"/>
          </w:tcPr>
          <w:p>
            <w:pPr>
              <w:jc w:val="center"/>
              <w:rPr>
                <w:color w:val="auto"/>
                <w:highlight w:val="none"/>
              </w:rPr>
            </w:pPr>
          </w:p>
        </w:tc>
        <w:tc>
          <w:tcPr>
            <w:tcW w:w="559" w:type="dxa"/>
            <w:vAlign w:val="center"/>
          </w:tcPr>
          <w:p>
            <w:pPr>
              <w:jc w:val="center"/>
              <w:rPr>
                <w:color w:val="auto"/>
                <w:highlight w:val="none"/>
              </w:rPr>
            </w:pPr>
          </w:p>
        </w:tc>
        <w:tc>
          <w:tcPr>
            <w:tcW w:w="965" w:type="dxa"/>
            <w:tcMar>
              <w:top w:w="0" w:type="dxa"/>
              <w:left w:w="108" w:type="dxa"/>
              <w:bottom w:w="0" w:type="dxa"/>
              <w:right w:w="108" w:type="dxa"/>
            </w:tcMar>
            <w:vAlign w:val="center"/>
          </w:tcPr>
          <w:p>
            <w:pPr>
              <w:jc w:val="center"/>
              <w:rPr>
                <w:color w:val="auto"/>
                <w:highlight w:val="none"/>
              </w:rPr>
            </w:pPr>
          </w:p>
        </w:tc>
        <w:tc>
          <w:tcPr>
            <w:tcW w:w="699" w:type="dxa"/>
            <w:vAlign w:val="center"/>
          </w:tcPr>
          <w:p>
            <w:pPr>
              <w:jc w:val="center"/>
              <w:rPr>
                <w:color w:val="auto"/>
                <w:highlight w:val="none"/>
              </w:rPr>
            </w:pPr>
          </w:p>
        </w:tc>
        <w:tc>
          <w:tcPr>
            <w:tcW w:w="814" w:type="dxa"/>
            <w:tcMar>
              <w:top w:w="0" w:type="dxa"/>
              <w:left w:w="108" w:type="dxa"/>
              <w:bottom w:w="0" w:type="dxa"/>
              <w:right w:w="108" w:type="dxa"/>
            </w:tcMar>
            <w:vAlign w:val="center"/>
          </w:tcPr>
          <w:p>
            <w:pPr>
              <w:jc w:val="center"/>
              <w:rPr>
                <w:color w:val="auto"/>
                <w:highlight w:val="none"/>
              </w:rPr>
            </w:pPr>
          </w:p>
        </w:tc>
        <w:tc>
          <w:tcPr>
            <w:tcW w:w="1107" w:type="dxa"/>
            <w:vAlign w:val="center"/>
          </w:tcPr>
          <w:p>
            <w:pPr>
              <w:jc w:val="center"/>
              <w:rPr>
                <w:color w:val="auto"/>
                <w:highlight w:val="none"/>
              </w:rPr>
            </w:pPr>
          </w:p>
        </w:tc>
        <w:tc>
          <w:tcPr>
            <w:tcW w:w="830" w:type="dxa"/>
            <w:tcMar>
              <w:top w:w="0" w:type="dxa"/>
              <w:left w:w="108" w:type="dxa"/>
              <w:bottom w:w="0" w:type="dxa"/>
              <w:right w:w="108" w:type="dxa"/>
            </w:tcMar>
            <w:vAlign w:val="center"/>
          </w:tcPr>
          <w:p>
            <w:pPr>
              <w:jc w:val="center"/>
              <w:rPr>
                <w:color w:val="auto"/>
                <w:highlight w:val="none"/>
              </w:rPr>
            </w:pPr>
          </w:p>
        </w:tc>
        <w:tc>
          <w:tcPr>
            <w:tcW w:w="1430" w:type="dxa"/>
            <w:vAlign w:val="center"/>
          </w:tcPr>
          <w:p>
            <w:pPr>
              <w:jc w:val="center"/>
              <w:rPr>
                <w:color w:val="auto"/>
                <w:highlight w:val="none"/>
              </w:rPr>
            </w:pPr>
          </w:p>
        </w:tc>
        <w:tc>
          <w:tcPr>
            <w:tcW w:w="1335" w:type="dxa"/>
            <w:tcMar>
              <w:top w:w="0" w:type="dxa"/>
              <w:left w:w="108" w:type="dxa"/>
              <w:bottom w:w="0" w:type="dxa"/>
              <w:right w:w="108" w:type="dxa"/>
            </w:tcMar>
            <w:vAlign w:val="center"/>
          </w:tcPr>
          <w:p>
            <w:pPr>
              <w:jc w:val="center"/>
              <w:rPr>
                <w:color w:val="auto"/>
                <w:highlight w:val="none"/>
              </w:rPr>
            </w:pPr>
          </w:p>
        </w:tc>
        <w:tc>
          <w:tcPr>
            <w:tcW w:w="1243" w:type="dxa"/>
            <w:vAlign w:val="center"/>
          </w:tcPr>
          <w:p>
            <w:pPr>
              <w:jc w:val="center"/>
              <w:rPr>
                <w:color w:val="auto"/>
                <w:highlight w:val="none"/>
              </w:rPr>
            </w:pPr>
            <w:r>
              <w:rPr>
                <w:rFonts w:hint="eastAsia"/>
                <w:color w:val="auto"/>
                <w:highlight w:val="none"/>
              </w:rPr>
              <w:t>附件</w:t>
            </w:r>
            <w:r>
              <w:rPr>
                <w:color w:val="auto"/>
                <w:highlight w:val="none"/>
              </w:rPr>
              <w:t>C6.1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7" w:hRule="atLeast"/>
          <w:jc w:val="center"/>
        </w:trPr>
        <w:tc>
          <w:tcPr>
            <w:tcW w:w="439" w:type="dxa"/>
            <w:vAlign w:val="center"/>
          </w:tcPr>
          <w:p>
            <w:pPr>
              <w:jc w:val="center"/>
              <w:rPr>
                <w:color w:val="auto"/>
                <w:highlight w:val="none"/>
              </w:rPr>
            </w:pPr>
          </w:p>
        </w:tc>
        <w:tc>
          <w:tcPr>
            <w:tcW w:w="913" w:type="dxa"/>
            <w:tcMar>
              <w:top w:w="0" w:type="dxa"/>
              <w:left w:w="108" w:type="dxa"/>
              <w:bottom w:w="0" w:type="dxa"/>
              <w:right w:w="108" w:type="dxa"/>
            </w:tcMar>
            <w:vAlign w:val="center"/>
          </w:tcPr>
          <w:p>
            <w:pPr>
              <w:jc w:val="center"/>
              <w:rPr>
                <w:color w:val="auto"/>
                <w:highlight w:val="none"/>
              </w:rPr>
            </w:pPr>
          </w:p>
        </w:tc>
        <w:tc>
          <w:tcPr>
            <w:tcW w:w="1402" w:type="dxa"/>
            <w:tcMar>
              <w:top w:w="0" w:type="dxa"/>
              <w:left w:w="108" w:type="dxa"/>
              <w:bottom w:w="0" w:type="dxa"/>
              <w:right w:w="108" w:type="dxa"/>
            </w:tcMar>
            <w:vAlign w:val="center"/>
          </w:tcPr>
          <w:p>
            <w:pPr>
              <w:jc w:val="center"/>
              <w:rPr>
                <w:color w:val="auto"/>
                <w:highlight w:val="none"/>
              </w:rPr>
            </w:pPr>
          </w:p>
        </w:tc>
        <w:tc>
          <w:tcPr>
            <w:tcW w:w="528" w:type="dxa"/>
            <w:vAlign w:val="center"/>
          </w:tcPr>
          <w:p>
            <w:pPr>
              <w:jc w:val="center"/>
              <w:rPr>
                <w:color w:val="auto"/>
                <w:highlight w:val="none"/>
              </w:rPr>
            </w:pPr>
          </w:p>
        </w:tc>
        <w:tc>
          <w:tcPr>
            <w:tcW w:w="1078"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color w:val="auto"/>
                <w:highlight w:val="none"/>
              </w:rPr>
            </w:pPr>
            <w:r>
              <w:rPr>
                <w:rFonts w:hint="eastAsia" w:ascii="宋体" w:hAnsi="宋体"/>
                <w:color w:val="auto"/>
                <w:szCs w:val="21"/>
                <w:highlight w:val="none"/>
              </w:rPr>
              <w:t>□改扩建</w:t>
            </w:r>
          </w:p>
        </w:tc>
        <w:tc>
          <w:tcPr>
            <w:tcW w:w="591" w:type="dxa"/>
            <w:tcMar>
              <w:top w:w="0" w:type="dxa"/>
              <w:left w:w="108" w:type="dxa"/>
              <w:bottom w:w="0" w:type="dxa"/>
              <w:right w:w="108" w:type="dxa"/>
            </w:tcMar>
            <w:vAlign w:val="center"/>
          </w:tcPr>
          <w:p>
            <w:pPr>
              <w:jc w:val="center"/>
              <w:rPr>
                <w:color w:val="auto"/>
                <w:highlight w:val="none"/>
              </w:rPr>
            </w:pPr>
          </w:p>
        </w:tc>
        <w:tc>
          <w:tcPr>
            <w:tcW w:w="559" w:type="dxa"/>
            <w:vAlign w:val="center"/>
          </w:tcPr>
          <w:p>
            <w:pPr>
              <w:jc w:val="center"/>
              <w:rPr>
                <w:color w:val="auto"/>
                <w:highlight w:val="none"/>
              </w:rPr>
            </w:pPr>
          </w:p>
        </w:tc>
        <w:tc>
          <w:tcPr>
            <w:tcW w:w="965" w:type="dxa"/>
            <w:tcMar>
              <w:top w:w="0" w:type="dxa"/>
              <w:left w:w="108" w:type="dxa"/>
              <w:bottom w:w="0" w:type="dxa"/>
              <w:right w:w="108" w:type="dxa"/>
            </w:tcMar>
            <w:vAlign w:val="center"/>
          </w:tcPr>
          <w:p>
            <w:pPr>
              <w:jc w:val="center"/>
              <w:rPr>
                <w:color w:val="auto"/>
                <w:highlight w:val="none"/>
              </w:rPr>
            </w:pPr>
          </w:p>
        </w:tc>
        <w:tc>
          <w:tcPr>
            <w:tcW w:w="699" w:type="dxa"/>
            <w:vAlign w:val="center"/>
          </w:tcPr>
          <w:p>
            <w:pPr>
              <w:jc w:val="center"/>
              <w:rPr>
                <w:color w:val="auto"/>
                <w:highlight w:val="none"/>
              </w:rPr>
            </w:pPr>
          </w:p>
        </w:tc>
        <w:tc>
          <w:tcPr>
            <w:tcW w:w="814" w:type="dxa"/>
            <w:tcMar>
              <w:top w:w="0" w:type="dxa"/>
              <w:left w:w="108" w:type="dxa"/>
              <w:bottom w:w="0" w:type="dxa"/>
              <w:right w:w="108" w:type="dxa"/>
            </w:tcMar>
            <w:vAlign w:val="center"/>
          </w:tcPr>
          <w:p>
            <w:pPr>
              <w:jc w:val="center"/>
              <w:rPr>
                <w:color w:val="auto"/>
                <w:highlight w:val="none"/>
              </w:rPr>
            </w:pPr>
          </w:p>
        </w:tc>
        <w:tc>
          <w:tcPr>
            <w:tcW w:w="1107" w:type="dxa"/>
            <w:vAlign w:val="center"/>
          </w:tcPr>
          <w:p>
            <w:pPr>
              <w:jc w:val="center"/>
              <w:rPr>
                <w:color w:val="auto"/>
                <w:highlight w:val="none"/>
              </w:rPr>
            </w:pPr>
          </w:p>
        </w:tc>
        <w:tc>
          <w:tcPr>
            <w:tcW w:w="830" w:type="dxa"/>
            <w:tcMar>
              <w:top w:w="0" w:type="dxa"/>
              <w:left w:w="108" w:type="dxa"/>
              <w:bottom w:w="0" w:type="dxa"/>
              <w:right w:w="108" w:type="dxa"/>
            </w:tcMar>
            <w:vAlign w:val="center"/>
          </w:tcPr>
          <w:p>
            <w:pPr>
              <w:jc w:val="center"/>
              <w:rPr>
                <w:color w:val="auto"/>
                <w:highlight w:val="none"/>
              </w:rPr>
            </w:pPr>
          </w:p>
        </w:tc>
        <w:tc>
          <w:tcPr>
            <w:tcW w:w="1430" w:type="dxa"/>
            <w:vAlign w:val="center"/>
          </w:tcPr>
          <w:p>
            <w:pPr>
              <w:jc w:val="center"/>
              <w:rPr>
                <w:color w:val="auto"/>
                <w:highlight w:val="none"/>
              </w:rPr>
            </w:pPr>
          </w:p>
        </w:tc>
        <w:tc>
          <w:tcPr>
            <w:tcW w:w="1335" w:type="dxa"/>
            <w:tcMar>
              <w:top w:w="0" w:type="dxa"/>
              <w:left w:w="108" w:type="dxa"/>
              <w:bottom w:w="0" w:type="dxa"/>
              <w:right w:w="108" w:type="dxa"/>
            </w:tcMar>
            <w:vAlign w:val="center"/>
          </w:tcPr>
          <w:p>
            <w:pPr>
              <w:jc w:val="center"/>
              <w:rPr>
                <w:color w:val="auto"/>
                <w:highlight w:val="none"/>
              </w:rPr>
            </w:pPr>
          </w:p>
        </w:tc>
        <w:tc>
          <w:tcPr>
            <w:tcW w:w="1243" w:type="dxa"/>
            <w:vAlign w:val="center"/>
          </w:tcPr>
          <w:p>
            <w:pPr>
              <w:jc w:val="center"/>
              <w:rPr>
                <w:color w:val="auto"/>
                <w:highlight w:val="none"/>
              </w:rPr>
            </w:pPr>
            <w:r>
              <w:rPr>
                <w:rFonts w:hint="eastAsia"/>
                <w:color w:val="auto"/>
                <w:highlight w:val="none"/>
              </w:rPr>
              <w:t>附件</w:t>
            </w:r>
            <w:r>
              <w:rPr>
                <w:color w:val="auto"/>
                <w:highlight w:val="none"/>
              </w:rPr>
              <w:t>C6.2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2" w:hRule="atLeast"/>
          <w:jc w:val="center"/>
        </w:trPr>
        <w:tc>
          <w:tcPr>
            <w:tcW w:w="439" w:type="dxa"/>
            <w:vAlign w:val="center"/>
          </w:tcPr>
          <w:p>
            <w:pPr>
              <w:jc w:val="center"/>
              <w:rPr>
                <w:color w:val="auto"/>
                <w:highlight w:val="none"/>
              </w:rPr>
            </w:pPr>
          </w:p>
        </w:tc>
        <w:tc>
          <w:tcPr>
            <w:tcW w:w="913" w:type="dxa"/>
            <w:tcMar>
              <w:top w:w="0" w:type="dxa"/>
              <w:left w:w="108" w:type="dxa"/>
              <w:bottom w:w="0" w:type="dxa"/>
              <w:right w:w="108" w:type="dxa"/>
            </w:tcMar>
            <w:vAlign w:val="center"/>
          </w:tcPr>
          <w:p>
            <w:pPr>
              <w:jc w:val="center"/>
              <w:rPr>
                <w:color w:val="auto"/>
                <w:highlight w:val="none"/>
              </w:rPr>
            </w:pPr>
          </w:p>
        </w:tc>
        <w:tc>
          <w:tcPr>
            <w:tcW w:w="1402" w:type="dxa"/>
            <w:tcMar>
              <w:top w:w="0" w:type="dxa"/>
              <w:left w:w="108" w:type="dxa"/>
              <w:bottom w:w="0" w:type="dxa"/>
              <w:right w:w="108" w:type="dxa"/>
            </w:tcMar>
            <w:vAlign w:val="center"/>
          </w:tcPr>
          <w:p>
            <w:pPr>
              <w:jc w:val="center"/>
              <w:rPr>
                <w:color w:val="auto"/>
                <w:highlight w:val="none"/>
              </w:rPr>
            </w:pPr>
          </w:p>
        </w:tc>
        <w:tc>
          <w:tcPr>
            <w:tcW w:w="528" w:type="dxa"/>
            <w:vAlign w:val="center"/>
          </w:tcPr>
          <w:p>
            <w:pPr>
              <w:jc w:val="center"/>
              <w:rPr>
                <w:color w:val="auto"/>
                <w:highlight w:val="none"/>
              </w:rPr>
            </w:pPr>
          </w:p>
        </w:tc>
        <w:tc>
          <w:tcPr>
            <w:tcW w:w="1078"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color w:val="auto"/>
                <w:highlight w:val="none"/>
              </w:rPr>
            </w:pPr>
            <w:r>
              <w:rPr>
                <w:rFonts w:hint="eastAsia" w:ascii="宋体" w:hAnsi="宋体"/>
                <w:color w:val="auto"/>
                <w:szCs w:val="21"/>
                <w:highlight w:val="none"/>
              </w:rPr>
              <w:t>□改扩建</w:t>
            </w:r>
          </w:p>
        </w:tc>
        <w:tc>
          <w:tcPr>
            <w:tcW w:w="591" w:type="dxa"/>
            <w:tcMar>
              <w:top w:w="0" w:type="dxa"/>
              <w:left w:w="108" w:type="dxa"/>
              <w:bottom w:w="0" w:type="dxa"/>
              <w:right w:w="108" w:type="dxa"/>
            </w:tcMar>
            <w:vAlign w:val="center"/>
          </w:tcPr>
          <w:p>
            <w:pPr>
              <w:jc w:val="center"/>
              <w:rPr>
                <w:color w:val="auto"/>
                <w:highlight w:val="none"/>
              </w:rPr>
            </w:pPr>
          </w:p>
        </w:tc>
        <w:tc>
          <w:tcPr>
            <w:tcW w:w="559" w:type="dxa"/>
            <w:vAlign w:val="center"/>
          </w:tcPr>
          <w:p>
            <w:pPr>
              <w:jc w:val="center"/>
              <w:rPr>
                <w:color w:val="auto"/>
                <w:highlight w:val="none"/>
              </w:rPr>
            </w:pPr>
          </w:p>
        </w:tc>
        <w:tc>
          <w:tcPr>
            <w:tcW w:w="965" w:type="dxa"/>
            <w:tcMar>
              <w:top w:w="0" w:type="dxa"/>
              <w:left w:w="108" w:type="dxa"/>
              <w:bottom w:w="0" w:type="dxa"/>
              <w:right w:w="108" w:type="dxa"/>
            </w:tcMar>
            <w:vAlign w:val="center"/>
          </w:tcPr>
          <w:p>
            <w:pPr>
              <w:jc w:val="center"/>
              <w:rPr>
                <w:color w:val="auto"/>
                <w:highlight w:val="none"/>
              </w:rPr>
            </w:pPr>
          </w:p>
        </w:tc>
        <w:tc>
          <w:tcPr>
            <w:tcW w:w="699" w:type="dxa"/>
            <w:vAlign w:val="center"/>
          </w:tcPr>
          <w:p>
            <w:pPr>
              <w:jc w:val="center"/>
              <w:rPr>
                <w:color w:val="auto"/>
                <w:highlight w:val="none"/>
              </w:rPr>
            </w:pPr>
          </w:p>
        </w:tc>
        <w:tc>
          <w:tcPr>
            <w:tcW w:w="814" w:type="dxa"/>
            <w:tcMar>
              <w:top w:w="0" w:type="dxa"/>
              <w:left w:w="108" w:type="dxa"/>
              <w:bottom w:w="0" w:type="dxa"/>
              <w:right w:w="108" w:type="dxa"/>
            </w:tcMar>
            <w:vAlign w:val="center"/>
          </w:tcPr>
          <w:p>
            <w:pPr>
              <w:jc w:val="center"/>
              <w:rPr>
                <w:color w:val="auto"/>
                <w:highlight w:val="none"/>
              </w:rPr>
            </w:pPr>
          </w:p>
        </w:tc>
        <w:tc>
          <w:tcPr>
            <w:tcW w:w="1107" w:type="dxa"/>
            <w:vAlign w:val="center"/>
          </w:tcPr>
          <w:p>
            <w:pPr>
              <w:jc w:val="center"/>
              <w:rPr>
                <w:color w:val="auto"/>
                <w:highlight w:val="none"/>
              </w:rPr>
            </w:pPr>
          </w:p>
        </w:tc>
        <w:tc>
          <w:tcPr>
            <w:tcW w:w="830" w:type="dxa"/>
            <w:tcMar>
              <w:top w:w="0" w:type="dxa"/>
              <w:left w:w="108" w:type="dxa"/>
              <w:bottom w:w="0" w:type="dxa"/>
              <w:right w:w="108" w:type="dxa"/>
            </w:tcMar>
            <w:vAlign w:val="center"/>
          </w:tcPr>
          <w:p>
            <w:pPr>
              <w:jc w:val="center"/>
              <w:rPr>
                <w:color w:val="auto"/>
                <w:highlight w:val="none"/>
              </w:rPr>
            </w:pPr>
          </w:p>
        </w:tc>
        <w:tc>
          <w:tcPr>
            <w:tcW w:w="1430" w:type="dxa"/>
            <w:vAlign w:val="center"/>
          </w:tcPr>
          <w:p>
            <w:pPr>
              <w:jc w:val="center"/>
              <w:rPr>
                <w:color w:val="auto"/>
                <w:highlight w:val="none"/>
              </w:rPr>
            </w:pPr>
          </w:p>
        </w:tc>
        <w:tc>
          <w:tcPr>
            <w:tcW w:w="1335" w:type="dxa"/>
            <w:tcMar>
              <w:top w:w="0" w:type="dxa"/>
              <w:left w:w="108" w:type="dxa"/>
              <w:bottom w:w="0" w:type="dxa"/>
              <w:right w:w="108" w:type="dxa"/>
            </w:tcMar>
            <w:vAlign w:val="center"/>
          </w:tcPr>
          <w:p>
            <w:pPr>
              <w:jc w:val="center"/>
              <w:rPr>
                <w:color w:val="auto"/>
                <w:highlight w:val="none"/>
              </w:rPr>
            </w:pPr>
          </w:p>
        </w:tc>
        <w:tc>
          <w:tcPr>
            <w:tcW w:w="1243" w:type="dxa"/>
            <w:vAlign w:val="center"/>
          </w:tcPr>
          <w:p>
            <w:pPr>
              <w:jc w:val="center"/>
              <w:rPr>
                <w:color w:val="auto"/>
                <w:highlight w:val="none"/>
              </w:rPr>
            </w:pPr>
            <w:r>
              <w:rPr>
                <w:rFonts w:hint="eastAsia"/>
                <w:color w:val="auto"/>
                <w:highlight w:val="none"/>
              </w:rPr>
              <w:t>附件</w:t>
            </w:r>
            <w:r>
              <w:rPr>
                <w:color w:val="auto"/>
                <w:highlight w:val="none"/>
              </w:rPr>
              <w:t>C6.2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jc w:val="center"/>
        </w:trPr>
        <w:tc>
          <w:tcPr>
            <w:tcW w:w="439" w:type="dxa"/>
            <w:vAlign w:val="center"/>
          </w:tcPr>
          <w:p>
            <w:pPr>
              <w:jc w:val="center"/>
              <w:rPr>
                <w:color w:val="auto"/>
                <w:highlight w:val="none"/>
              </w:rPr>
            </w:pPr>
            <w:r>
              <w:rPr>
                <w:color w:val="auto"/>
                <w:highlight w:val="none"/>
              </w:rPr>
              <w:t>…</w:t>
            </w:r>
          </w:p>
        </w:tc>
        <w:tc>
          <w:tcPr>
            <w:tcW w:w="913" w:type="dxa"/>
            <w:tcMar>
              <w:top w:w="0" w:type="dxa"/>
              <w:left w:w="108" w:type="dxa"/>
              <w:bottom w:w="0" w:type="dxa"/>
              <w:right w:w="108" w:type="dxa"/>
            </w:tcMar>
            <w:vAlign w:val="center"/>
          </w:tcPr>
          <w:p>
            <w:pPr>
              <w:jc w:val="center"/>
              <w:rPr>
                <w:color w:val="auto"/>
                <w:highlight w:val="none"/>
              </w:rPr>
            </w:pPr>
            <w:r>
              <w:rPr>
                <w:color w:val="auto"/>
                <w:highlight w:val="none"/>
              </w:rPr>
              <w:t>…</w:t>
            </w:r>
          </w:p>
        </w:tc>
        <w:tc>
          <w:tcPr>
            <w:tcW w:w="1402" w:type="dxa"/>
            <w:tcMar>
              <w:top w:w="0" w:type="dxa"/>
              <w:left w:w="108" w:type="dxa"/>
              <w:bottom w:w="0" w:type="dxa"/>
              <w:right w:w="108" w:type="dxa"/>
            </w:tcMar>
            <w:vAlign w:val="center"/>
          </w:tcPr>
          <w:p>
            <w:pPr>
              <w:jc w:val="center"/>
              <w:rPr>
                <w:color w:val="auto"/>
                <w:highlight w:val="none"/>
              </w:rPr>
            </w:pPr>
            <w:r>
              <w:rPr>
                <w:color w:val="auto"/>
                <w:highlight w:val="none"/>
              </w:rPr>
              <w:t>…</w:t>
            </w:r>
          </w:p>
        </w:tc>
        <w:tc>
          <w:tcPr>
            <w:tcW w:w="528" w:type="dxa"/>
            <w:vAlign w:val="center"/>
          </w:tcPr>
          <w:p>
            <w:pPr>
              <w:jc w:val="center"/>
              <w:rPr>
                <w:color w:val="auto"/>
                <w:highlight w:val="none"/>
              </w:rPr>
            </w:pPr>
            <w:r>
              <w:rPr>
                <w:color w:val="auto"/>
                <w:highlight w:val="none"/>
              </w:rPr>
              <w:t>…</w:t>
            </w:r>
          </w:p>
        </w:tc>
        <w:tc>
          <w:tcPr>
            <w:tcW w:w="1078" w:type="dxa"/>
            <w:tcMar>
              <w:top w:w="0" w:type="dxa"/>
              <w:left w:w="108" w:type="dxa"/>
              <w:bottom w:w="0" w:type="dxa"/>
              <w:right w:w="108" w:type="dxa"/>
            </w:tcMar>
            <w:vAlign w:val="center"/>
          </w:tcPr>
          <w:p>
            <w:pPr>
              <w:jc w:val="center"/>
              <w:rPr>
                <w:color w:val="auto"/>
                <w:highlight w:val="none"/>
              </w:rPr>
            </w:pPr>
            <w:r>
              <w:rPr>
                <w:color w:val="auto"/>
                <w:highlight w:val="none"/>
              </w:rPr>
              <w:t>…</w:t>
            </w:r>
          </w:p>
        </w:tc>
        <w:tc>
          <w:tcPr>
            <w:tcW w:w="591" w:type="dxa"/>
            <w:tcMar>
              <w:top w:w="0" w:type="dxa"/>
              <w:left w:w="108" w:type="dxa"/>
              <w:bottom w:w="0" w:type="dxa"/>
              <w:right w:w="108" w:type="dxa"/>
            </w:tcMar>
            <w:vAlign w:val="center"/>
          </w:tcPr>
          <w:p>
            <w:pPr>
              <w:jc w:val="center"/>
              <w:rPr>
                <w:color w:val="auto"/>
                <w:highlight w:val="none"/>
              </w:rPr>
            </w:pPr>
            <w:r>
              <w:rPr>
                <w:color w:val="auto"/>
                <w:highlight w:val="none"/>
              </w:rPr>
              <w:t>…</w:t>
            </w:r>
          </w:p>
        </w:tc>
        <w:tc>
          <w:tcPr>
            <w:tcW w:w="559" w:type="dxa"/>
            <w:vAlign w:val="center"/>
          </w:tcPr>
          <w:p>
            <w:pPr>
              <w:jc w:val="center"/>
              <w:rPr>
                <w:color w:val="auto"/>
                <w:highlight w:val="none"/>
              </w:rPr>
            </w:pPr>
            <w:r>
              <w:rPr>
                <w:color w:val="auto"/>
                <w:highlight w:val="none"/>
              </w:rPr>
              <w:t>…</w:t>
            </w:r>
          </w:p>
        </w:tc>
        <w:tc>
          <w:tcPr>
            <w:tcW w:w="965" w:type="dxa"/>
            <w:tcMar>
              <w:top w:w="0" w:type="dxa"/>
              <w:left w:w="108" w:type="dxa"/>
              <w:bottom w:w="0" w:type="dxa"/>
              <w:right w:w="108" w:type="dxa"/>
            </w:tcMar>
            <w:vAlign w:val="center"/>
          </w:tcPr>
          <w:p>
            <w:pPr>
              <w:jc w:val="center"/>
              <w:rPr>
                <w:color w:val="auto"/>
                <w:highlight w:val="none"/>
              </w:rPr>
            </w:pPr>
            <w:r>
              <w:rPr>
                <w:color w:val="auto"/>
                <w:highlight w:val="none"/>
              </w:rPr>
              <w:t>…</w:t>
            </w:r>
          </w:p>
        </w:tc>
        <w:tc>
          <w:tcPr>
            <w:tcW w:w="699" w:type="dxa"/>
            <w:vAlign w:val="center"/>
          </w:tcPr>
          <w:p>
            <w:pPr>
              <w:jc w:val="center"/>
              <w:rPr>
                <w:color w:val="auto"/>
                <w:highlight w:val="none"/>
              </w:rPr>
            </w:pPr>
            <w:r>
              <w:rPr>
                <w:color w:val="auto"/>
                <w:highlight w:val="none"/>
              </w:rPr>
              <w:t>…</w:t>
            </w:r>
          </w:p>
        </w:tc>
        <w:tc>
          <w:tcPr>
            <w:tcW w:w="814" w:type="dxa"/>
            <w:tcMar>
              <w:top w:w="0" w:type="dxa"/>
              <w:left w:w="108" w:type="dxa"/>
              <w:bottom w:w="0" w:type="dxa"/>
              <w:right w:w="108" w:type="dxa"/>
            </w:tcMar>
            <w:vAlign w:val="center"/>
          </w:tcPr>
          <w:p>
            <w:pPr>
              <w:jc w:val="center"/>
              <w:rPr>
                <w:color w:val="auto"/>
                <w:highlight w:val="none"/>
              </w:rPr>
            </w:pPr>
            <w:r>
              <w:rPr>
                <w:color w:val="auto"/>
                <w:highlight w:val="none"/>
              </w:rPr>
              <w:t>…</w:t>
            </w:r>
          </w:p>
        </w:tc>
        <w:tc>
          <w:tcPr>
            <w:tcW w:w="1107" w:type="dxa"/>
            <w:vAlign w:val="center"/>
          </w:tcPr>
          <w:p>
            <w:pPr>
              <w:jc w:val="center"/>
              <w:rPr>
                <w:color w:val="auto"/>
                <w:highlight w:val="none"/>
              </w:rPr>
            </w:pPr>
            <w:r>
              <w:rPr>
                <w:color w:val="auto"/>
                <w:highlight w:val="none"/>
              </w:rPr>
              <w:t>…</w:t>
            </w:r>
          </w:p>
        </w:tc>
        <w:tc>
          <w:tcPr>
            <w:tcW w:w="830" w:type="dxa"/>
            <w:tcMar>
              <w:top w:w="0" w:type="dxa"/>
              <w:left w:w="108" w:type="dxa"/>
              <w:bottom w:w="0" w:type="dxa"/>
              <w:right w:w="108" w:type="dxa"/>
            </w:tcMar>
            <w:vAlign w:val="center"/>
          </w:tcPr>
          <w:p>
            <w:pPr>
              <w:jc w:val="center"/>
              <w:rPr>
                <w:color w:val="auto"/>
                <w:highlight w:val="none"/>
              </w:rPr>
            </w:pPr>
            <w:r>
              <w:rPr>
                <w:color w:val="auto"/>
                <w:highlight w:val="none"/>
              </w:rPr>
              <w:t>…</w:t>
            </w:r>
          </w:p>
        </w:tc>
        <w:tc>
          <w:tcPr>
            <w:tcW w:w="1430" w:type="dxa"/>
            <w:vAlign w:val="center"/>
          </w:tcPr>
          <w:p>
            <w:pPr>
              <w:jc w:val="center"/>
              <w:rPr>
                <w:color w:val="auto"/>
                <w:highlight w:val="none"/>
              </w:rPr>
            </w:pPr>
            <w:r>
              <w:rPr>
                <w:color w:val="auto"/>
                <w:highlight w:val="none"/>
              </w:rPr>
              <w:t>…</w:t>
            </w:r>
          </w:p>
        </w:tc>
        <w:tc>
          <w:tcPr>
            <w:tcW w:w="1335" w:type="dxa"/>
            <w:tcMar>
              <w:top w:w="0" w:type="dxa"/>
              <w:left w:w="108" w:type="dxa"/>
              <w:bottom w:w="0" w:type="dxa"/>
              <w:right w:w="108" w:type="dxa"/>
            </w:tcMar>
            <w:vAlign w:val="center"/>
          </w:tcPr>
          <w:p>
            <w:pPr>
              <w:jc w:val="center"/>
              <w:rPr>
                <w:color w:val="auto"/>
                <w:highlight w:val="none"/>
              </w:rPr>
            </w:pPr>
            <w:r>
              <w:rPr>
                <w:color w:val="auto"/>
                <w:highlight w:val="none"/>
              </w:rPr>
              <w:t>…</w:t>
            </w:r>
          </w:p>
        </w:tc>
        <w:tc>
          <w:tcPr>
            <w:tcW w:w="1243" w:type="dxa"/>
            <w:vAlign w:val="center"/>
          </w:tcPr>
          <w:p>
            <w:pPr>
              <w:jc w:val="center"/>
              <w:rPr>
                <w:color w:val="auto"/>
                <w:highlight w:val="none"/>
              </w:rPr>
            </w:pPr>
            <w:r>
              <w:rPr>
                <w:color w:val="auto"/>
                <w:highlight w:val="none"/>
              </w:rPr>
              <w:t>…</w:t>
            </w:r>
          </w:p>
        </w:tc>
      </w:tr>
    </w:tbl>
    <w:p>
      <w:pPr>
        <w:pStyle w:val="276"/>
        <w:spacing w:line="340" w:lineRule="exact"/>
        <w:ind w:left="630" w:hanging="630" w:hangingChars="300"/>
        <w:rPr>
          <w:rFonts w:hint="eastAsia" w:ascii="宋体" w:hAnsi="宋体" w:cs="宋体"/>
          <w:color w:val="auto"/>
          <w:spacing w:val="-3"/>
          <w:highlight w:val="none"/>
        </w:rPr>
      </w:pPr>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C6系列（机电工程施工监理项目业绩）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highlight w:val="none"/>
        </w:rPr>
        <w:t>）。</w:t>
      </w:r>
    </w:p>
    <w:p>
      <w:pPr>
        <w:pStyle w:val="276"/>
        <w:spacing w:line="34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pStyle w:val="276"/>
        <w:spacing w:line="34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s="宋体"/>
          <w:color w:val="auto"/>
          <w:spacing w:val="-3"/>
          <w:highlight w:val="none"/>
          <w:lang w:bidi="ar"/>
        </w:rPr>
        <w:t>该机电工程可为合同中包含该施工监理内容的项目或单独合同的项目。</w:t>
      </w:r>
    </w:p>
    <w:p>
      <w:pPr>
        <w:pStyle w:val="276"/>
        <w:spacing w:line="34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4</w:t>
      </w:r>
      <w:r>
        <w:rPr>
          <w:rFonts w:hint="eastAsia" w:ascii="宋体" w:hAnsi="宋体" w:cs="宋体"/>
          <w:color w:val="auto"/>
          <w:highlight w:val="none"/>
        </w:rPr>
        <w:t>.本表所列合同价格一般为项目结算价格，无结算价格的以签约合同价格为准。</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5.如近年来，投标人法人机构发生合法变更或重组或法人名称变更时，应提供相关部门的合法批件或其他相关证明材料来证明其所附业绩的继承性。</w:t>
      </w:r>
    </w:p>
    <w:p>
      <w:pPr>
        <w:pStyle w:val="276"/>
        <w:spacing w:line="34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6.表中的“日期”填写</w:t>
      </w:r>
      <w:r>
        <w:rPr>
          <w:rFonts w:hint="eastAsia" w:ascii="宋体" w:hAnsi="宋体"/>
          <w:color w:val="auto"/>
          <w:szCs w:val="21"/>
          <w:highlight w:val="none"/>
        </w:rPr>
        <w:t>的格式统一以阿拉伯数字表示。如：2021年5月1日，填写为20210501；2021年5月，填写为202105。</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以联合体形式投标的，联合体各成员应按照第二章“投标人须知”前附表附录2资格审查条件要求的对应业绩及第三章“评标办法”详细评审打分条件（如有）填写本表。</w:t>
      </w:r>
    </w:p>
    <w:p>
      <w:pPr>
        <w:pStyle w:val="276"/>
        <w:spacing w:line="360" w:lineRule="auto"/>
        <w:ind w:firstLine="3373" w:firstLineChars="1200"/>
        <w:rPr>
          <w:rFonts w:hint="eastAsia" w:ascii="黑体" w:hAnsi="黑体" w:eastAsia="黑体" w:cs="宋体"/>
          <w:color w:val="auto"/>
          <w:sz w:val="24"/>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 xml:space="preserve">     </w:t>
      </w: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近年完成的公路隧道机电工程施工监理情况表                             表2.7</w:t>
      </w:r>
    </w:p>
    <w:tbl>
      <w:tblPr>
        <w:tblStyle w:val="48"/>
        <w:tblW w:w="1377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73"/>
        <w:gridCol w:w="772"/>
        <w:gridCol w:w="1061"/>
        <w:gridCol w:w="518"/>
        <w:gridCol w:w="1068"/>
        <w:gridCol w:w="464"/>
        <w:gridCol w:w="648"/>
        <w:gridCol w:w="744"/>
        <w:gridCol w:w="691"/>
        <w:gridCol w:w="637"/>
        <w:gridCol w:w="906"/>
        <w:gridCol w:w="896"/>
        <w:gridCol w:w="723"/>
        <w:gridCol w:w="906"/>
        <w:gridCol w:w="1176"/>
        <w:gridCol w:w="1084"/>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3" w:hRule="atLeast"/>
        </w:trPr>
        <w:tc>
          <w:tcPr>
            <w:tcW w:w="37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77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w:t>
            </w:r>
          </w:p>
          <w:p>
            <w:pPr>
              <w:pStyle w:val="276"/>
              <w:jc w:val="center"/>
              <w:rPr>
                <w:rFonts w:hint="eastAsia" w:ascii="宋体" w:hAnsi="宋体" w:cs="宋体"/>
                <w:color w:val="auto"/>
                <w:highlight w:val="none"/>
              </w:rPr>
            </w:pPr>
            <w:r>
              <w:rPr>
                <w:rFonts w:hint="eastAsia" w:ascii="宋体" w:hAnsi="宋体" w:cs="宋体"/>
                <w:color w:val="auto"/>
                <w:highlight w:val="none"/>
              </w:rPr>
              <w:t>业主</w:t>
            </w:r>
          </w:p>
        </w:tc>
        <w:tc>
          <w:tcPr>
            <w:tcW w:w="106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项目名称</w:t>
            </w:r>
          </w:p>
        </w:tc>
        <w:tc>
          <w:tcPr>
            <w:tcW w:w="51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公路等级</w:t>
            </w:r>
          </w:p>
        </w:tc>
        <w:tc>
          <w:tcPr>
            <w:tcW w:w="1068"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highlight w:val="none"/>
              </w:rPr>
            </w:pPr>
            <w:r>
              <w:rPr>
                <w:rFonts w:hint="eastAsia" w:ascii="宋体" w:hAnsi="宋体" w:cs="宋体"/>
                <w:color w:val="auto"/>
                <w:szCs w:val="21"/>
                <w:highlight w:val="none"/>
              </w:rPr>
              <w:t>项目建设形式</w:t>
            </w:r>
          </w:p>
        </w:tc>
        <w:tc>
          <w:tcPr>
            <w:tcW w:w="4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标段号</w:t>
            </w:r>
          </w:p>
        </w:tc>
        <w:tc>
          <w:tcPr>
            <w:tcW w:w="64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开工日期</w:t>
            </w:r>
          </w:p>
        </w:tc>
        <w:tc>
          <w:tcPr>
            <w:tcW w:w="744" w:type="dxa"/>
            <w:tcMar>
              <w:top w:w="0" w:type="dxa"/>
              <w:left w:w="108" w:type="dxa"/>
              <w:bottom w:w="0" w:type="dxa"/>
              <w:right w:w="108" w:type="dxa"/>
            </w:tcMar>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完成（交工）日期</w:t>
            </w:r>
          </w:p>
        </w:tc>
        <w:tc>
          <w:tcPr>
            <w:tcW w:w="69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监理服务期限</w:t>
            </w:r>
          </w:p>
        </w:tc>
        <w:tc>
          <w:tcPr>
            <w:tcW w:w="63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w:t>
            </w:r>
          </w:p>
          <w:p>
            <w:pPr>
              <w:pStyle w:val="276"/>
              <w:jc w:val="center"/>
              <w:rPr>
                <w:rFonts w:hint="eastAsia" w:ascii="宋体" w:hAnsi="宋体" w:cs="宋体"/>
                <w:color w:val="auto"/>
                <w:highlight w:val="none"/>
              </w:rPr>
            </w:pPr>
            <w:r>
              <w:rPr>
                <w:rFonts w:hint="eastAsia" w:ascii="宋体" w:hAnsi="宋体" w:cs="宋体"/>
                <w:color w:val="auto"/>
                <w:highlight w:val="none"/>
              </w:rPr>
              <w:t>内容</w:t>
            </w:r>
          </w:p>
        </w:tc>
        <w:tc>
          <w:tcPr>
            <w:tcW w:w="90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项目总投资（万元）</w:t>
            </w:r>
          </w:p>
        </w:tc>
        <w:tc>
          <w:tcPr>
            <w:tcW w:w="89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合同价格（元）</w:t>
            </w:r>
          </w:p>
        </w:tc>
        <w:tc>
          <w:tcPr>
            <w:tcW w:w="72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隧道</w:t>
            </w:r>
          </w:p>
          <w:p>
            <w:pPr>
              <w:pStyle w:val="276"/>
              <w:jc w:val="center"/>
              <w:rPr>
                <w:rFonts w:hint="eastAsia" w:ascii="宋体" w:hAnsi="宋体" w:cs="宋体"/>
                <w:color w:val="auto"/>
                <w:highlight w:val="none"/>
              </w:rPr>
            </w:pPr>
            <w:r>
              <w:rPr>
                <w:rFonts w:hint="eastAsia" w:ascii="宋体" w:hAnsi="宋体" w:cs="宋体"/>
                <w:color w:val="auto"/>
                <w:highlight w:val="none"/>
              </w:rPr>
              <w:t>名称</w:t>
            </w:r>
          </w:p>
        </w:tc>
        <w:tc>
          <w:tcPr>
            <w:tcW w:w="90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隧道长度（m）</w:t>
            </w:r>
          </w:p>
        </w:tc>
        <w:tc>
          <w:tcPr>
            <w:tcW w:w="117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隧道机电（包含系统及完成长度）（km）</w:t>
            </w:r>
          </w:p>
        </w:tc>
        <w:tc>
          <w:tcPr>
            <w:tcW w:w="108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总监理工程师或驻地监理工程师</w:t>
            </w:r>
          </w:p>
        </w:tc>
        <w:tc>
          <w:tcPr>
            <w:tcW w:w="110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5" w:hRule="atLeast"/>
        </w:trPr>
        <w:tc>
          <w:tcPr>
            <w:tcW w:w="373" w:type="dxa"/>
            <w:vAlign w:val="center"/>
          </w:tcPr>
          <w:p>
            <w:pPr>
              <w:pStyle w:val="276"/>
              <w:jc w:val="center"/>
              <w:rPr>
                <w:rFonts w:hint="eastAsia" w:ascii="宋体" w:hAnsi="宋体" w:cs="宋体"/>
                <w:color w:val="auto"/>
                <w:highlight w:val="none"/>
              </w:rPr>
            </w:pPr>
          </w:p>
        </w:tc>
        <w:tc>
          <w:tcPr>
            <w:tcW w:w="77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06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18" w:type="dxa"/>
          </w:tcPr>
          <w:p>
            <w:pPr>
              <w:pStyle w:val="276"/>
              <w:jc w:val="center"/>
              <w:rPr>
                <w:rFonts w:hint="eastAsia" w:ascii="宋体" w:hAnsi="宋体" w:cs="宋体"/>
                <w:color w:val="auto"/>
                <w:highlight w:val="none"/>
              </w:rPr>
            </w:pPr>
          </w:p>
        </w:tc>
        <w:tc>
          <w:tcPr>
            <w:tcW w:w="1068"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highlight w:val="none"/>
              </w:rPr>
            </w:pPr>
            <w:r>
              <w:rPr>
                <w:rFonts w:hint="eastAsia" w:ascii="宋体" w:hAnsi="宋体"/>
                <w:color w:val="auto"/>
                <w:szCs w:val="21"/>
                <w:highlight w:val="none"/>
              </w:rPr>
              <w:t>□改扩建</w:t>
            </w:r>
          </w:p>
        </w:tc>
        <w:tc>
          <w:tcPr>
            <w:tcW w:w="4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48" w:type="dxa"/>
          </w:tcPr>
          <w:p>
            <w:pPr>
              <w:pStyle w:val="276"/>
              <w:jc w:val="center"/>
              <w:rPr>
                <w:rFonts w:hint="eastAsia" w:ascii="宋体" w:hAnsi="宋体" w:cs="宋体"/>
                <w:color w:val="auto"/>
                <w:highlight w:val="none"/>
              </w:rPr>
            </w:pPr>
          </w:p>
        </w:tc>
        <w:tc>
          <w:tcPr>
            <w:tcW w:w="74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63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6" w:type="dxa"/>
            <w:vAlign w:val="center"/>
          </w:tcPr>
          <w:p>
            <w:pPr>
              <w:pStyle w:val="276"/>
              <w:jc w:val="center"/>
              <w:rPr>
                <w:rFonts w:hint="eastAsia" w:ascii="宋体" w:hAnsi="宋体" w:cs="宋体"/>
                <w:color w:val="auto"/>
                <w:highlight w:val="none"/>
              </w:rPr>
            </w:pPr>
          </w:p>
        </w:tc>
        <w:tc>
          <w:tcPr>
            <w:tcW w:w="89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23" w:type="dxa"/>
          </w:tcPr>
          <w:p>
            <w:pPr>
              <w:pStyle w:val="276"/>
              <w:jc w:val="center"/>
              <w:rPr>
                <w:rFonts w:hint="eastAsia" w:ascii="宋体" w:hAnsi="宋体" w:cs="宋体"/>
                <w:color w:val="auto"/>
                <w:highlight w:val="none"/>
              </w:rPr>
            </w:pPr>
          </w:p>
        </w:tc>
        <w:tc>
          <w:tcPr>
            <w:tcW w:w="906" w:type="dxa"/>
          </w:tcPr>
          <w:p>
            <w:pPr>
              <w:pStyle w:val="276"/>
              <w:jc w:val="center"/>
              <w:rPr>
                <w:rFonts w:hint="eastAsia" w:ascii="宋体" w:hAnsi="宋体" w:cs="宋体"/>
                <w:color w:val="auto"/>
                <w:highlight w:val="none"/>
              </w:rPr>
            </w:pPr>
          </w:p>
        </w:tc>
        <w:tc>
          <w:tcPr>
            <w:tcW w:w="1176" w:type="dxa"/>
          </w:tcPr>
          <w:p>
            <w:pPr>
              <w:pStyle w:val="276"/>
              <w:jc w:val="center"/>
              <w:rPr>
                <w:rFonts w:hint="eastAsia" w:ascii="宋体" w:hAnsi="宋体" w:cs="宋体"/>
                <w:color w:val="auto"/>
                <w:highlight w:val="none"/>
              </w:rPr>
            </w:pPr>
          </w:p>
        </w:tc>
        <w:tc>
          <w:tcPr>
            <w:tcW w:w="108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10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0" w:hRule="atLeast"/>
        </w:trPr>
        <w:tc>
          <w:tcPr>
            <w:tcW w:w="373" w:type="dxa"/>
            <w:vAlign w:val="center"/>
          </w:tcPr>
          <w:p>
            <w:pPr>
              <w:pStyle w:val="276"/>
              <w:jc w:val="center"/>
              <w:rPr>
                <w:rFonts w:hint="eastAsia" w:ascii="宋体" w:hAnsi="宋体" w:cs="宋体"/>
                <w:color w:val="auto"/>
                <w:highlight w:val="none"/>
              </w:rPr>
            </w:pPr>
          </w:p>
        </w:tc>
        <w:tc>
          <w:tcPr>
            <w:tcW w:w="77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06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18" w:type="dxa"/>
          </w:tcPr>
          <w:p>
            <w:pPr>
              <w:pStyle w:val="276"/>
              <w:jc w:val="center"/>
              <w:rPr>
                <w:rFonts w:hint="eastAsia" w:ascii="宋体" w:hAnsi="宋体" w:cs="宋体"/>
                <w:color w:val="auto"/>
                <w:highlight w:val="none"/>
              </w:rPr>
            </w:pPr>
          </w:p>
        </w:tc>
        <w:tc>
          <w:tcPr>
            <w:tcW w:w="1068"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highlight w:val="none"/>
              </w:rPr>
            </w:pPr>
            <w:r>
              <w:rPr>
                <w:rFonts w:hint="eastAsia" w:ascii="宋体" w:hAnsi="宋体"/>
                <w:color w:val="auto"/>
                <w:szCs w:val="21"/>
                <w:highlight w:val="none"/>
              </w:rPr>
              <w:t>□改扩建</w:t>
            </w:r>
          </w:p>
        </w:tc>
        <w:tc>
          <w:tcPr>
            <w:tcW w:w="4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48" w:type="dxa"/>
          </w:tcPr>
          <w:p>
            <w:pPr>
              <w:pStyle w:val="276"/>
              <w:jc w:val="center"/>
              <w:rPr>
                <w:rFonts w:hint="eastAsia" w:ascii="宋体" w:hAnsi="宋体" w:cs="宋体"/>
                <w:color w:val="auto"/>
                <w:highlight w:val="none"/>
              </w:rPr>
            </w:pPr>
          </w:p>
        </w:tc>
        <w:tc>
          <w:tcPr>
            <w:tcW w:w="74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63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6" w:type="dxa"/>
            <w:vAlign w:val="center"/>
          </w:tcPr>
          <w:p>
            <w:pPr>
              <w:pStyle w:val="276"/>
              <w:jc w:val="center"/>
              <w:rPr>
                <w:rFonts w:hint="eastAsia" w:ascii="宋体" w:hAnsi="宋体" w:cs="宋体"/>
                <w:color w:val="auto"/>
                <w:highlight w:val="none"/>
              </w:rPr>
            </w:pPr>
          </w:p>
        </w:tc>
        <w:tc>
          <w:tcPr>
            <w:tcW w:w="89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23" w:type="dxa"/>
          </w:tcPr>
          <w:p>
            <w:pPr>
              <w:pStyle w:val="276"/>
              <w:jc w:val="center"/>
              <w:rPr>
                <w:rFonts w:hint="eastAsia" w:ascii="宋体" w:hAnsi="宋体" w:cs="宋体"/>
                <w:color w:val="auto"/>
                <w:highlight w:val="none"/>
              </w:rPr>
            </w:pPr>
          </w:p>
        </w:tc>
        <w:tc>
          <w:tcPr>
            <w:tcW w:w="906" w:type="dxa"/>
          </w:tcPr>
          <w:p>
            <w:pPr>
              <w:pStyle w:val="276"/>
              <w:jc w:val="center"/>
              <w:rPr>
                <w:rFonts w:hint="eastAsia" w:ascii="宋体" w:hAnsi="宋体" w:cs="宋体"/>
                <w:color w:val="auto"/>
                <w:highlight w:val="none"/>
              </w:rPr>
            </w:pPr>
          </w:p>
        </w:tc>
        <w:tc>
          <w:tcPr>
            <w:tcW w:w="1176" w:type="dxa"/>
          </w:tcPr>
          <w:p>
            <w:pPr>
              <w:pStyle w:val="276"/>
              <w:jc w:val="center"/>
              <w:rPr>
                <w:rFonts w:hint="eastAsia" w:ascii="宋体" w:hAnsi="宋体" w:cs="宋体"/>
                <w:color w:val="auto"/>
                <w:highlight w:val="none"/>
              </w:rPr>
            </w:pPr>
          </w:p>
        </w:tc>
        <w:tc>
          <w:tcPr>
            <w:tcW w:w="108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10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6" w:hRule="atLeast"/>
        </w:trPr>
        <w:tc>
          <w:tcPr>
            <w:tcW w:w="373" w:type="dxa"/>
            <w:vAlign w:val="center"/>
          </w:tcPr>
          <w:p>
            <w:pPr>
              <w:pStyle w:val="276"/>
              <w:jc w:val="center"/>
              <w:rPr>
                <w:rFonts w:hint="eastAsia" w:ascii="宋体" w:hAnsi="宋体" w:cs="宋体"/>
                <w:color w:val="auto"/>
                <w:highlight w:val="none"/>
              </w:rPr>
            </w:pPr>
          </w:p>
        </w:tc>
        <w:tc>
          <w:tcPr>
            <w:tcW w:w="77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06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18" w:type="dxa"/>
          </w:tcPr>
          <w:p>
            <w:pPr>
              <w:pStyle w:val="276"/>
              <w:jc w:val="center"/>
              <w:rPr>
                <w:rFonts w:hint="eastAsia" w:ascii="宋体" w:hAnsi="宋体" w:cs="宋体"/>
                <w:color w:val="auto"/>
                <w:highlight w:val="none"/>
              </w:rPr>
            </w:pPr>
          </w:p>
        </w:tc>
        <w:tc>
          <w:tcPr>
            <w:tcW w:w="1068"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highlight w:val="none"/>
              </w:rPr>
            </w:pPr>
            <w:r>
              <w:rPr>
                <w:rFonts w:hint="eastAsia" w:ascii="宋体" w:hAnsi="宋体"/>
                <w:color w:val="auto"/>
                <w:szCs w:val="21"/>
                <w:highlight w:val="none"/>
              </w:rPr>
              <w:t>□改扩建</w:t>
            </w:r>
          </w:p>
        </w:tc>
        <w:tc>
          <w:tcPr>
            <w:tcW w:w="4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48" w:type="dxa"/>
          </w:tcPr>
          <w:p>
            <w:pPr>
              <w:pStyle w:val="276"/>
              <w:jc w:val="center"/>
              <w:rPr>
                <w:rFonts w:hint="eastAsia" w:ascii="宋体" w:hAnsi="宋体" w:cs="宋体"/>
                <w:color w:val="auto"/>
                <w:highlight w:val="none"/>
              </w:rPr>
            </w:pPr>
          </w:p>
        </w:tc>
        <w:tc>
          <w:tcPr>
            <w:tcW w:w="74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63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6" w:type="dxa"/>
            <w:vAlign w:val="center"/>
          </w:tcPr>
          <w:p>
            <w:pPr>
              <w:pStyle w:val="276"/>
              <w:jc w:val="center"/>
              <w:rPr>
                <w:rFonts w:hint="eastAsia" w:ascii="宋体" w:hAnsi="宋体" w:cs="宋体"/>
                <w:color w:val="auto"/>
                <w:highlight w:val="none"/>
              </w:rPr>
            </w:pPr>
          </w:p>
        </w:tc>
        <w:tc>
          <w:tcPr>
            <w:tcW w:w="89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23" w:type="dxa"/>
          </w:tcPr>
          <w:p>
            <w:pPr>
              <w:pStyle w:val="276"/>
              <w:jc w:val="center"/>
              <w:rPr>
                <w:rFonts w:hint="eastAsia" w:ascii="宋体" w:hAnsi="宋体" w:cs="宋体"/>
                <w:color w:val="auto"/>
                <w:highlight w:val="none"/>
              </w:rPr>
            </w:pPr>
          </w:p>
        </w:tc>
        <w:tc>
          <w:tcPr>
            <w:tcW w:w="906" w:type="dxa"/>
          </w:tcPr>
          <w:p>
            <w:pPr>
              <w:pStyle w:val="276"/>
              <w:jc w:val="center"/>
              <w:rPr>
                <w:rFonts w:hint="eastAsia" w:ascii="宋体" w:hAnsi="宋体" w:cs="宋体"/>
                <w:color w:val="auto"/>
                <w:highlight w:val="none"/>
              </w:rPr>
            </w:pPr>
          </w:p>
        </w:tc>
        <w:tc>
          <w:tcPr>
            <w:tcW w:w="1176" w:type="dxa"/>
          </w:tcPr>
          <w:p>
            <w:pPr>
              <w:pStyle w:val="276"/>
              <w:jc w:val="center"/>
              <w:rPr>
                <w:rFonts w:hint="eastAsia" w:ascii="宋体" w:hAnsi="宋体" w:cs="宋体"/>
                <w:color w:val="auto"/>
                <w:highlight w:val="none"/>
              </w:rPr>
            </w:pPr>
          </w:p>
        </w:tc>
        <w:tc>
          <w:tcPr>
            <w:tcW w:w="108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10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2" w:hRule="atLeast"/>
        </w:trPr>
        <w:tc>
          <w:tcPr>
            <w:tcW w:w="373"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7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06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518"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068" w:type="dxa"/>
            <w:tcMar>
              <w:top w:w="0" w:type="dxa"/>
              <w:left w:w="108" w:type="dxa"/>
              <w:bottom w:w="0" w:type="dxa"/>
              <w:right w:w="108" w:type="dxa"/>
            </w:tcMar>
            <w:vAlign w:val="center"/>
          </w:tcPr>
          <w:p>
            <w:pPr>
              <w:jc w:val="center"/>
              <w:rPr>
                <w:rFonts w:hint="eastAsia" w:ascii="宋体" w:hAnsi="宋体" w:cs="宋体"/>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4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648"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4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691"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637"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06"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9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23" w:type="dxa"/>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906" w:type="dxa"/>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176" w:type="dxa"/>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08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104"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r>
    </w:tbl>
    <w:p>
      <w:pPr>
        <w:pStyle w:val="276"/>
        <w:spacing w:line="300" w:lineRule="exact"/>
        <w:ind w:left="630" w:hanging="630" w:hangingChars="300"/>
        <w:rPr>
          <w:rFonts w:hint="eastAsia" w:ascii="宋体" w:hAnsi="宋体" w:cs="宋体"/>
          <w:color w:val="auto"/>
          <w:spacing w:val="-3"/>
          <w:szCs w:val="21"/>
          <w:highlight w:val="none"/>
        </w:rPr>
      </w:pPr>
      <w:r>
        <w:rPr>
          <w:rFonts w:hint="eastAsia" w:ascii="宋体" w:hAnsi="宋体" w:cs="宋体"/>
          <w:color w:val="auto"/>
          <w:szCs w:val="21"/>
          <w:highlight w:val="none"/>
        </w:rPr>
        <w:t>注：1.</w:t>
      </w:r>
      <w:r>
        <w:rPr>
          <w:rFonts w:hint="eastAsia" w:ascii="宋体" w:hAnsi="宋体" w:cs="宋体"/>
          <w:color w:val="auto"/>
          <w:spacing w:val="-3"/>
          <w:szCs w:val="21"/>
          <w:highlight w:val="none"/>
        </w:rPr>
        <w:t>投标人应在本表后提供相关业绩证明材料附件</w:t>
      </w:r>
      <w:r>
        <w:rPr>
          <w:rFonts w:hint="eastAsia" w:ascii="宋体" w:hAnsi="宋体" w:cs="宋体"/>
          <w:color w:val="auto"/>
          <w:szCs w:val="21"/>
          <w:highlight w:val="none"/>
        </w:rPr>
        <w:t>C7系列（隧道机电工程施工监理项目业绩）</w:t>
      </w:r>
      <w:r>
        <w:rPr>
          <w:rFonts w:hint="eastAsia" w:ascii="宋体" w:hAnsi="宋体" w:cs="宋体"/>
          <w:color w:val="auto"/>
          <w:spacing w:val="-3"/>
          <w:szCs w:val="21"/>
          <w:highlight w:val="none"/>
        </w:rPr>
        <w:t>：</w:t>
      </w:r>
      <w:r>
        <w:rPr>
          <w:rFonts w:hint="eastAsia" w:ascii="宋体" w:hAnsi="宋体" w:cs="宋体"/>
          <w:color w:val="auto"/>
          <w:szCs w:val="21"/>
          <w:highlight w:val="none"/>
        </w:rPr>
        <w:t>在交通运输部“全国公路建设市场监督管理系统”中查询到的企业“业绩信息”相关项目网页截图</w:t>
      </w:r>
      <w:bookmarkStart w:id="729" w:name="_Hlk94029339"/>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szCs w:val="21"/>
          <w:highlight w:val="none"/>
        </w:rPr>
        <w:t>）</w:t>
      </w:r>
      <w:bookmarkEnd w:id="729"/>
      <w:r>
        <w:rPr>
          <w:rFonts w:hint="eastAsia" w:ascii="宋体" w:hAnsi="宋体" w:cs="宋体"/>
          <w:color w:val="auto"/>
          <w:szCs w:val="21"/>
          <w:highlight w:val="none"/>
        </w:rPr>
        <w:t>。</w:t>
      </w:r>
    </w:p>
    <w:p>
      <w:pPr>
        <w:pStyle w:val="276"/>
        <w:spacing w:line="300" w:lineRule="exact"/>
        <w:ind w:firstLine="408" w:firstLineChars="200"/>
        <w:rPr>
          <w:rFonts w:hint="eastAsia" w:ascii="宋体" w:hAnsi="宋体" w:cs="宋体"/>
          <w:color w:val="auto"/>
          <w:szCs w:val="21"/>
          <w:highlight w:val="none"/>
        </w:rPr>
      </w:pPr>
      <w:r>
        <w:rPr>
          <w:rFonts w:hint="eastAsia" w:ascii="宋体" w:hAnsi="宋体" w:cs="宋体"/>
          <w:color w:val="auto"/>
          <w:spacing w:val="-3"/>
          <w:szCs w:val="21"/>
          <w:highlight w:val="none"/>
        </w:rPr>
        <w:t>2.因投标人自身原因未提供附件或提供的附件不能与所证明的内容相匹配，造成业绩或其他内容不予认可时，投标人自行承担相关责任。</w:t>
      </w:r>
    </w:p>
    <w:p>
      <w:pPr>
        <w:pStyle w:val="276"/>
        <w:spacing w:line="30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s="宋体"/>
          <w:color w:val="auto"/>
          <w:spacing w:val="-3"/>
          <w:highlight w:val="none"/>
          <w:lang w:bidi="ar"/>
        </w:rPr>
        <w:t>隧道机电工程可为合同中包含该施工监理内容的项目或单独合同的项目。</w:t>
      </w:r>
    </w:p>
    <w:p>
      <w:pPr>
        <w:pStyle w:val="276"/>
        <w:spacing w:line="300" w:lineRule="exact"/>
        <w:ind w:left="603" w:leftChars="190" w:hanging="204" w:hangingChars="100"/>
        <w:rPr>
          <w:rFonts w:hint="eastAsia" w:ascii="宋体" w:hAnsi="宋体" w:cs="宋体"/>
          <w:color w:val="auto"/>
          <w:szCs w:val="21"/>
          <w:highlight w:val="none"/>
        </w:rPr>
      </w:pPr>
      <w:r>
        <w:rPr>
          <w:rFonts w:hint="eastAsia" w:ascii="宋体" w:hAnsi="宋体" w:cs="宋体"/>
          <w:color w:val="auto"/>
          <w:spacing w:val="-3"/>
          <w:szCs w:val="21"/>
          <w:highlight w:val="none"/>
        </w:rPr>
        <w:t>4</w:t>
      </w:r>
      <w:r>
        <w:rPr>
          <w:rFonts w:hint="eastAsia" w:ascii="宋体" w:hAnsi="宋体" w:cs="宋体"/>
          <w:color w:val="auto"/>
          <w:szCs w:val="21"/>
          <w:highlight w:val="none"/>
        </w:rPr>
        <w:t>.</w:t>
      </w:r>
      <w:r>
        <w:rPr>
          <w:rFonts w:hint="eastAsia" w:ascii="宋体" w:hAnsi="宋体" w:cs="宋体"/>
          <w:color w:val="auto"/>
          <w:highlight w:val="none"/>
        </w:rPr>
        <w:t>对于具有双洞的隧道，其隧道长度以左右线隧道长度较长的为准；若只有单洞的，则以单洞隧道长度数据为准。隧道单洞长度不含</w:t>
      </w:r>
      <w:r>
        <w:rPr>
          <w:rFonts w:hint="eastAsia"/>
          <w:color w:val="auto"/>
          <w:szCs w:val="21"/>
          <w:highlight w:val="none"/>
        </w:rPr>
        <w:t>斜井、竖井、支洞。</w:t>
      </w:r>
    </w:p>
    <w:p>
      <w:pPr>
        <w:pStyle w:val="276"/>
        <w:spacing w:line="3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5.本表所列合同价格一般为项目结算价格，无结算价格的以签约合同价格为准。</w:t>
      </w:r>
    </w:p>
    <w:p>
      <w:pPr>
        <w:pStyle w:val="276"/>
        <w:spacing w:line="300" w:lineRule="exact"/>
        <w:ind w:left="609" w:leftChars="190" w:hanging="210" w:hangingChars="100"/>
        <w:rPr>
          <w:rFonts w:hint="eastAsia" w:ascii="宋体" w:hAnsi="宋体" w:cs="宋体"/>
          <w:color w:val="auto"/>
          <w:szCs w:val="21"/>
          <w:highlight w:val="none"/>
        </w:rPr>
      </w:pPr>
      <w:r>
        <w:rPr>
          <w:rFonts w:hint="eastAsia" w:ascii="宋体" w:hAnsi="宋体" w:cs="宋体"/>
          <w:color w:val="auto"/>
          <w:szCs w:val="21"/>
          <w:highlight w:val="none"/>
        </w:rPr>
        <w:t>6.如近年来，投标人法人机构发生合法变更或重组或法人名称变更时，应提供相关部门的合法批件或其他相关证明材料来证明其所附业绩的继承性。</w:t>
      </w:r>
    </w:p>
    <w:p>
      <w:pPr>
        <w:pStyle w:val="276"/>
        <w:spacing w:line="3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7.表中的“日期”填写</w:t>
      </w:r>
      <w:r>
        <w:rPr>
          <w:rFonts w:hint="eastAsia" w:ascii="宋体" w:hAnsi="宋体"/>
          <w:color w:val="auto"/>
          <w:szCs w:val="21"/>
          <w:highlight w:val="none"/>
        </w:rPr>
        <w:t>的格式统一以阿拉伯数字表示。如：2021年5月1日，填写为20210501；2021年5月，填写为202105。</w:t>
      </w:r>
    </w:p>
    <w:p>
      <w:pPr>
        <w:pStyle w:val="276"/>
        <w:spacing w:line="300" w:lineRule="exact"/>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8.允许联合体投标时，若以联合体形式投标的，联合体各成员应按照第二章“投标人须知”前附表附录2资格审查条件要求的对应业绩及</w:t>
      </w:r>
      <w:r>
        <w:rPr>
          <w:rFonts w:hint="eastAsia" w:ascii="宋体" w:hAnsi="宋体" w:cs="宋体"/>
          <w:color w:val="auto"/>
          <w:highlight w:val="none"/>
        </w:rPr>
        <w:t>第三章“评标办法”</w:t>
      </w:r>
      <w:r>
        <w:rPr>
          <w:rFonts w:hint="eastAsia" w:ascii="宋体" w:hAnsi="宋体" w:cs="宋体"/>
          <w:color w:val="auto"/>
          <w:szCs w:val="21"/>
          <w:highlight w:val="none"/>
        </w:rPr>
        <w:t>详细评审打分条件（如有）填写本表。</w:t>
      </w:r>
    </w:p>
    <w:p>
      <w:pPr>
        <w:pStyle w:val="276"/>
        <w:spacing w:line="276" w:lineRule="auto"/>
        <w:ind w:left="609" w:leftChars="190" w:hanging="210" w:hangingChars="100"/>
        <w:jc w:val="left"/>
        <w:rPr>
          <w:rFonts w:hint="eastAsia" w:ascii="黑体" w:hAnsi="黑体" w:eastAsia="黑体" w:cs="宋体"/>
          <w:color w:val="auto"/>
          <w:sz w:val="24"/>
          <w:highlight w:val="none"/>
        </w:rPr>
      </w:pPr>
      <w:r>
        <w:rPr>
          <w:rFonts w:hint="eastAsia" w:ascii="宋体" w:hAnsi="宋体" w:cs="宋体"/>
          <w:color w:val="auto"/>
          <w:highlight w:val="none"/>
        </w:rPr>
        <w:br w:type="page"/>
      </w:r>
      <w:r>
        <w:rPr>
          <w:rFonts w:hint="eastAsia" w:ascii="黑体" w:hAnsi="黑体" w:eastAsia="黑体" w:cs="宋体"/>
          <w:color w:val="auto"/>
          <w:sz w:val="24"/>
          <w:highlight w:val="none"/>
        </w:rPr>
        <w:t xml:space="preserve">                                      </w:t>
      </w: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近年完成的房建工程施工监理情况表                             表2.8</w:t>
      </w:r>
    </w:p>
    <w:tbl>
      <w:tblPr>
        <w:tblStyle w:val="48"/>
        <w:tblW w:w="1365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2"/>
        <w:gridCol w:w="961"/>
        <w:gridCol w:w="1670"/>
        <w:gridCol w:w="707"/>
        <w:gridCol w:w="645"/>
        <w:gridCol w:w="966"/>
        <w:gridCol w:w="737"/>
        <w:gridCol w:w="860"/>
        <w:gridCol w:w="859"/>
        <w:gridCol w:w="983"/>
        <w:gridCol w:w="1097"/>
        <w:gridCol w:w="1186"/>
        <w:gridCol w:w="1334"/>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2" w:type="dxa"/>
            <w:vMerge w:val="restart"/>
            <w:vAlign w:val="center"/>
          </w:tcPr>
          <w:p>
            <w:pPr>
              <w:pStyle w:val="276"/>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961" w:type="dxa"/>
            <w:vMerge w:val="restart"/>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项目</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业主</w:t>
            </w:r>
          </w:p>
        </w:tc>
        <w:tc>
          <w:tcPr>
            <w:tcW w:w="1670" w:type="dxa"/>
            <w:vMerge w:val="restart"/>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7" w:type="dxa"/>
            <w:vMerge w:val="restart"/>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标段号</w:t>
            </w:r>
          </w:p>
        </w:tc>
        <w:tc>
          <w:tcPr>
            <w:tcW w:w="645" w:type="dxa"/>
            <w:vMerge w:val="restart"/>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开工日期</w:t>
            </w:r>
          </w:p>
        </w:tc>
        <w:tc>
          <w:tcPr>
            <w:tcW w:w="966" w:type="dxa"/>
            <w:vMerge w:val="restart"/>
            <w:tcMar>
              <w:top w:w="0" w:type="dxa"/>
              <w:left w:w="108" w:type="dxa"/>
              <w:bottom w:w="0" w:type="dxa"/>
              <w:right w:w="108" w:type="dxa"/>
            </w:tcMar>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完成（交工）日期</w:t>
            </w:r>
          </w:p>
        </w:tc>
        <w:tc>
          <w:tcPr>
            <w:tcW w:w="737" w:type="dxa"/>
            <w:vMerge w:val="restart"/>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监理服务期限</w:t>
            </w:r>
          </w:p>
        </w:tc>
        <w:tc>
          <w:tcPr>
            <w:tcW w:w="860" w:type="dxa"/>
            <w:vMerge w:val="restart"/>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内容</w:t>
            </w:r>
          </w:p>
        </w:tc>
        <w:tc>
          <w:tcPr>
            <w:tcW w:w="859" w:type="dxa"/>
            <w:vMerge w:val="restart"/>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项目总投资</w:t>
            </w:r>
          </w:p>
        </w:tc>
        <w:tc>
          <w:tcPr>
            <w:tcW w:w="983" w:type="dxa"/>
            <w:vMerge w:val="restart"/>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合同</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价格（元）</w:t>
            </w:r>
          </w:p>
        </w:tc>
        <w:tc>
          <w:tcPr>
            <w:tcW w:w="2283" w:type="dxa"/>
            <w:gridSpan w:val="2"/>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房建工程</w:t>
            </w:r>
          </w:p>
        </w:tc>
        <w:tc>
          <w:tcPr>
            <w:tcW w:w="1334" w:type="dxa"/>
            <w:vMerge w:val="restart"/>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总监理工程师或驻地监理工程师</w:t>
            </w:r>
          </w:p>
        </w:tc>
        <w:tc>
          <w:tcPr>
            <w:tcW w:w="1186" w:type="dxa"/>
            <w:vMerge w:val="restart"/>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rPr>
        <w:tc>
          <w:tcPr>
            <w:tcW w:w="462" w:type="dxa"/>
            <w:vMerge w:val="continue"/>
            <w:vAlign w:val="center"/>
          </w:tcPr>
          <w:p>
            <w:pPr>
              <w:pStyle w:val="276"/>
              <w:jc w:val="center"/>
              <w:rPr>
                <w:rFonts w:hint="eastAsia" w:ascii="宋体" w:hAnsi="宋体" w:cs="宋体"/>
                <w:color w:val="auto"/>
                <w:szCs w:val="21"/>
                <w:highlight w:val="none"/>
              </w:rPr>
            </w:pPr>
          </w:p>
        </w:tc>
        <w:tc>
          <w:tcPr>
            <w:tcW w:w="961" w:type="dxa"/>
            <w:vMerge w:val="continue"/>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670" w:type="dxa"/>
            <w:vMerge w:val="continue"/>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07" w:type="dxa"/>
            <w:vMerge w:val="continue"/>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45" w:type="dxa"/>
            <w:vMerge w:val="continue"/>
            <w:vAlign w:val="center"/>
          </w:tcPr>
          <w:p>
            <w:pPr>
              <w:pStyle w:val="276"/>
              <w:jc w:val="center"/>
              <w:rPr>
                <w:rFonts w:hint="eastAsia" w:ascii="宋体" w:hAnsi="宋体" w:cs="宋体"/>
                <w:color w:val="auto"/>
                <w:szCs w:val="21"/>
                <w:highlight w:val="none"/>
              </w:rPr>
            </w:pPr>
          </w:p>
        </w:tc>
        <w:tc>
          <w:tcPr>
            <w:tcW w:w="966" w:type="dxa"/>
            <w:vMerge w:val="continue"/>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37" w:type="dxa"/>
            <w:vMerge w:val="continue"/>
            <w:vAlign w:val="center"/>
          </w:tcPr>
          <w:p>
            <w:pPr>
              <w:pStyle w:val="276"/>
              <w:jc w:val="center"/>
              <w:rPr>
                <w:rFonts w:hint="eastAsia" w:ascii="宋体" w:hAnsi="宋体" w:cs="宋体"/>
                <w:color w:val="auto"/>
                <w:szCs w:val="21"/>
                <w:highlight w:val="none"/>
              </w:rPr>
            </w:pPr>
          </w:p>
        </w:tc>
        <w:tc>
          <w:tcPr>
            <w:tcW w:w="860" w:type="dxa"/>
            <w:vMerge w:val="continue"/>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859" w:type="dxa"/>
            <w:vMerge w:val="continue"/>
            <w:vAlign w:val="center"/>
          </w:tcPr>
          <w:p>
            <w:pPr>
              <w:pStyle w:val="276"/>
              <w:jc w:val="center"/>
              <w:rPr>
                <w:rFonts w:hint="eastAsia" w:ascii="宋体" w:hAnsi="宋体" w:cs="宋体"/>
                <w:color w:val="auto"/>
                <w:szCs w:val="21"/>
                <w:highlight w:val="none"/>
              </w:rPr>
            </w:pPr>
          </w:p>
        </w:tc>
        <w:tc>
          <w:tcPr>
            <w:tcW w:w="983" w:type="dxa"/>
            <w:vMerge w:val="continue"/>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097"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主体建筑结构类型</w:t>
            </w:r>
          </w:p>
        </w:tc>
        <w:tc>
          <w:tcPr>
            <w:tcW w:w="118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累计建筑面积（m</w:t>
            </w:r>
            <w:r>
              <w:rPr>
                <w:rFonts w:hint="eastAsia" w:ascii="宋体" w:hAnsi="宋体" w:cs="宋体"/>
                <w:color w:val="auto"/>
                <w:szCs w:val="21"/>
                <w:highlight w:val="none"/>
                <w:vertAlign w:val="superscript"/>
              </w:rPr>
              <w:t>2</w:t>
            </w:r>
            <w:r>
              <w:rPr>
                <w:rFonts w:hint="eastAsia" w:ascii="宋体" w:hAnsi="宋体" w:cs="宋体"/>
                <w:color w:val="auto"/>
                <w:szCs w:val="21"/>
                <w:highlight w:val="none"/>
              </w:rPr>
              <w:t>）</w:t>
            </w:r>
          </w:p>
        </w:tc>
        <w:tc>
          <w:tcPr>
            <w:tcW w:w="1334" w:type="dxa"/>
            <w:vMerge w:val="continue"/>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186" w:type="dxa"/>
            <w:vMerge w:val="continue"/>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4" w:hRule="atLeast"/>
        </w:trPr>
        <w:tc>
          <w:tcPr>
            <w:tcW w:w="462" w:type="dxa"/>
            <w:vAlign w:val="center"/>
          </w:tcPr>
          <w:p>
            <w:pPr>
              <w:pStyle w:val="276"/>
              <w:jc w:val="center"/>
              <w:rPr>
                <w:rFonts w:hint="eastAsia" w:ascii="宋体" w:hAnsi="宋体" w:cs="宋体"/>
                <w:color w:val="auto"/>
                <w:szCs w:val="21"/>
                <w:highlight w:val="none"/>
              </w:rPr>
            </w:pPr>
          </w:p>
        </w:tc>
        <w:tc>
          <w:tcPr>
            <w:tcW w:w="96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67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07"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45" w:type="dxa"/>
          </w:tcPr>
          <w:p>
            <w:pPr>
              <w:pStyle w:val="276"/>
              <w:jc w:val="center"/>
              <w:rPr>
                <w:rFonts w:hint="eastAsia" w:ascii="宋体" w:hAnsi="宋体" w:cs="宋体"/>
                <w:color w:val="auto"/>
                <w:szCs w:val="21"/>
                <w:highlight w:val="none"/>
              </w:rPr>
            </w:pPr>
          </w:p>
        </w:tc>
        <w:tc>
          <w:tcPr>
            <w:tcW w:w="96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37" w:type="dxa"/>
            <w:vAlign w:val="center"/>
          </w:tcPr>
          <w:p>
            <w:pPr>
              <w:pStyle w:val="276"/>
              <w:jc w:val="center"/>
              <w:rPr>
                <w:rFonts w:hint="eastAsia" w:ascii="宋体" w:hAnsi="宋体" w:cs="宋体"/>
                <w:color w:val="auto"/>
                <w:szCs w:val="21"/>
                <w:highlight w:val="none"/>
              </w:rPr>
            </w:pPr>
          </w:p>
        </w:tc>
        <w:tc>
          <w:tcPr>
            <w:tcW w:w="86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859" w:type="dxa"/>
            <w:vAlign w:val="center"/>
          </w:tcPr>
          <w:p>
            <w:pPr>
              <w:pStyle w:val="276"/>
              <w:jc w:val="center"/>
              <w:rPr>
                <w:rFonts w:hint="eastAsia" w:ascii="宋体" w:hAnsi="宋体" w:cs="宋体"/>
                <w:color w:val="auto"/>
                <w:szCs w:val="21"/>
                <w:highlight w:val="none"/>
              </w:rPr>
            </w:pPr>
          </w:p>
        </w:tc>
        <w:tc>
          <w:tcPr>
            <w:tcW w:w="983"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097" w:type="dxa"/>
          </w:tcPr>
          <w:p>
            <w:pPr>
              <w:pStyle w:val="276"/>
              <w:jc w:val="center"/>
              <w:rPr>
                <w:rFonts w:hint="eastAsia" w:ascii="宋体" w:hAnsi="宋体" w:cs="宋体"/>
                <w:color w:val="auto"/>
                <w:szCs w:val="21"/>
                <w:highlight w:val="none"/>
              </w:rPr>
            </w:pPr>
          </w:p>
        </w:tc>
        <w:tc>
          <w:tcPr>
            <w:tcW w:w="1186" w:type="dxa"/>
          </w:tcPr>
          <w:p>
            <w:pPr>
              <w:pStyle w:val="276"/>
              <w:jc w:val="center"/>
              <w:rPr>
                <w:rFonts w:hint="eastAsia" w:ascii="宋体" w:hAnsi="宋体" w:cs="宋体"/>
                <w:color w:val="auto"/>
                <w:szCs w:val="21"/>
                <w:highlight w:val="none"/>
              </w:rPr>
            </w:pPr>
          </w:p>
        </w:tc>
        <w:tc>
          <w:tcPr>
            <w:tcW w:w="1334"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18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附件C8.1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462" w:type="dxa"/>
            <w:vAlign w:val="center"/>
          </w:tcPr>
          <w:p>
            <w:pPr>
              <w:pStyle w:val="276"/>
              <w:jc w:val="center"/>
              <w:rPr>
                <w:rFonts w:hint="eastAsia" w:ascii="宋体" w:hAnsi="宋体" w:cs="宋体"/>
                <w:color w:val="auto"/>
                <w:szCs w:val="21"/>
                <w:highlight w:val="none"/>
              </w:rPr>
            </w:pPr>
          </w:p>
        </w:tc>
        <w:tc>
          <w:tcPr>
            <w:tcW w:w="96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67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07"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45" w:type="dxa"/>
          </w:tcPr>
          <w:p>
            <w:pPr>
              <w:pStyle w:val="276"/>
              <w:jc w:val="center"/>
              <w:rPr>
                <w:rFonts w:hint="eastAsia" w:ascii="宋体" w:hAnsi="宋体" w:cs="宋体"/>
                <w:color w:val="auto"/>
                <w:szCs w:val="21"/>
                <w:highlight w:val="none"/>
              </w:rPr>
            </w:pPr>
          </w:p>
        </w:tc>
        <w:tc>
          <w:tcPr>
            <w:tcW w:w="96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37" w:type="dxa"/>
            <w:vAlign w:val="center"/>
          </w:tcPr>
          <w:p>
            <w:pPr>
              <w:pStyle w:val="276"/>
              <w:jc w:val="center"/>
              <w:rPr>
                <w:rFonts w:hint="eastAsia" w:ascii="宋体" w:hAnsi="宋体" w:cs="宋体"/>
                <w:color w:val="auto"/>
                <w:szCs w:val="21"/>
                <w:highlight w:val="none"/>
              </w:rPr>
            </w:pPr>
          </w:p>
        </w:tc>
        <w:tc>
          <w:tcPr>
            <w:tcW w:w="86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859" w:type="dxa"/>
            <w:vAlign w:val="center"/>
          </w:tcPr>
          <w:p>
            <w:pPr>
              <w:pStyle w:val="276"/>
              <w:jc w:val="center"/>
              <w:rPr>
                <w:rFonts w:hint="eastAsia" w:ascii="宋体" w:hAnsi="宋体" w:cs="宋体"/>
                <w:color w:val="auto"/>
                <w:szCs w:val="21"/>
                <w:highlight w:val="none"/>
              </w:rPr>
            </w:pPr>
          </w:p>
        </w:tc>
        <w:tc>
          <w:tcPr>
            <w:tcW w:w="983"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097" w:type="dxa"/>
          </w:tcPr>
          <w:p>
            <w:pPr>
              <w:pStyle w:val="276"/>
              <w:jc w:val="center"/>
              <w:rPr>
                <w:rFonts w:hint="eastAsia" w:ascii="宋体" w:hAnsi="宋体" w:cs="宋体"/>
                <w:color w:val="auto"/>
                <w:szCs w:val="21"/>
                <w:highlight w:val="none"/>
              </w:rPr>
            </w:pPr>
          </w:p>
        </w:tc>
        <w:tc>
          <w:tcPr>
            <w:tcW w:w="1186" w:type="dxa"/>
          </w:tcPr>
          <w:p>
            <w:pPr>
              <w:pStyle w:val="276"/>
              <w:jc w:val="center"/>
              <w:rPr>
                <w:rFonts w:hint="eastAsia" w:ascii="宋体" w:hAnsi="宋体" w:cs="宋体"/>
                <w:color w:val="auto"/>
                <w:szCs w:val="21"/>
                <w:highlight w:val="none"/>
              </w:rPr>
            </w:pPr>
          </w:p>
        </w:tc>
        <w:tc>
          <w:tcPr>
            <w:tcW w:w="1334"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18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附件C8.2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atLeast"/>
        </w:trPr>
        <w:tc>
          <w:tcPr>
            <w:tcW w:w="462" w:type="dxa"/>
            <w:vAlign w:val="center"/>
          </w:tcPr>
          <w:p>
            <w:pPr>
              <w:pStyle w:val="276"/>
              <w:jc w:val="center"/>
              <w:rPr>
                <w:rFonts w:hint="eastAsia" w:ascii="宋体" w:hAnsi="宋体" w:cs="宋体"/>
                <w:color w:val="auto"/>
                <w:szCs w:val="21"/>
                <w:highlight w:val="none"/>
              </w:rPr>
            </w:pPr>
          </w:p>
        </w:tc>
        <w:tc>
          <w:tcPr>
            <w:tcW w:w="96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67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07"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645" w:type="dxa"/>
          </w:tcPr>
          <w:p>
            <w:pPr>
              <w:pStyle w:val="276"/>
              <w:jc w:val="center"/>
              <w:rPr>
                <w:rFonts w:hint="eastAsia" w:ascii="宋体" w:hAnsi="宋体" w:cs="宋体"/>
                <w:color w:val="auto"/>
                <w:szCs w:val="21"/>
                <w:highlight w:val="none"/>
              </w:rPr>
            </w:pPr>
          </w:p>
        </w:tc>
        <w:tc>
          <w:tcPr>
            <w:tcW w:w="96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737" w:type="dxa"/>
            <w:vAlign w:val="center"/>
          </w:tcPr>
          <w:p>
            <w:pPr>
              <w:pStyle w:val="276"/>
              <w:jc w:val="center"/>
              <w:rPr>
                <w:rFonts w:hint="eastAsia" w:ascii="宋体" w:hAnsi="宋体" w:cs="宋体"/>
                <w:color w:val="auto"/>
                <w:szCs w:val="21"/>
                <w:highlight w:val="none"/>
              </w:rPr>
            </w:pPr>
          </w:p>
        </w:tc>
        <w:tc>
          <w:tcPr>
            <w:tcW w:w="86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859" w:type="dxa"/>
            <w:vAlign w:val="center"/>
          </w:tcPr>
          <w:p>
            <w:pPr>
              <w:pStyle w:val="276"/>
              <w:jc w:val="center"/>
              <w:rPr>
                <w:rFonts w:hint="eastAsia" w:ascii="宋体" w:hAnsi="宋体" w:cs="宋体"/>
                <w:color w:val="auto"/>
                <w:szCs w:val="21"/>
                <w:highlight w:val="none"/>
              </w:rPr>
            </w:pPr>
          </w:p>
        </w:tc>
        <w:tc>
          <w:tcPr>
            <w:tcW w:w="983"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097" w:type="dxa"/>
          </w:tcPr>
          <w:p>
            <w:pPr>
              <w:pStyle w:val="276"/>
              <w:jc w:val="center"/>
              <w:rPr>
                <w:rFonts w:hint="eastAsia" w:ascii="宋体" w:hAnsi="宋体" w:cs="宋体"/>
                <w:color w:val="auto"/>
                <w:szCs w:val="21"/>
                <w:highlight w:val="none"/>
              </w:rPr>
            </w:pPr>
          </w:p>
        </w:tc>
        <w:tc>
          <w:tcPr>
            <w:tcW w:w="1186" w:type="dxa"/>
          </w:tcPr>
          <w:p>
            <w:pPr>
              <w:pStyle w:val="276"/>
              <w:jc w:val="center"/>
              <w:rPr>
                <w:rFonts w:hint="eastAsia" w:ascii="宋体" w:hAnsi="宋体" w:cs="宋体"/>
                <w:color w:val="auto"/>
                <w:szCs w:val="21"/>
                <w:highlight w:val="none"/>
              </w:rPr>
            </w:pPr>
          </w:p>
        </w:tc>
        <w:tc>
          <w:tcPr>
            <w:tcW w:w="1334"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p>
        </w:tc>
        <w:tc>
          <w:tcPr>
            <w:tcW w:w="118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附件C8.2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4" w:hRule="atLeast"/>
        </w:trPr>
        <w:tc>
          <w:tcPr>
            <w:tcW w:w="462"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61"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67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07"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64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66"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37"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860"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859"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83"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097"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186"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334" w:type="dxa"/>
            <w:tcMar>
              <w:top w:w="0" w:type="dxa"/>
              <w:left w:w="108" w:type="dxa"/>
              <w:bottom w:w="0" w:type="dxa"/>
              <w:right w:w="108" w:type="dxa"/>
            </w:tcMar>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18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r>
    </w:tbl>
    <w:p>
      <w:pPr>
        <w:pStyle w:val="276"/>
        <w:spacing w:line="340" w:lineRule="exact"/>
        <w:rPr>
          <w:rFonts w:hint="eastAsia" w:ascii="宋体" w:hAnsi="宋体" w:cs="宋体"/>
          <w:color w:val="auto"/>
          <w:spacing w:val="-3"/>
          <w:highlight w:val="none"/>
        </w:rPr>
      </w:pPr>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C8系列（房建工程施工监理项目业绩）</w:t>
      </w:r>
      <w:r>
        <w:rPr>
          <w:rFonts w:hint="eastAsia" w:ascii="宋体" w:hAnsi="宋体" w:cs="宋体"/>
          <w:color w:val="auto"/>
          <w:spacing w:val="-3"/>
          <w:highlight w:val="none"/>
        </w:rPr>
        <w:t>：</w:t>
      </w:r>
    </w:p>
    <w:p>
      <w:pPr>
        <w:spacing w:line="340" w:lineRule="exact"/>
        <w:ind w:left="820" w:leftChars="190" w:hanging="421" w:hangingChars="200"/>
        <w:rPr>
          <w:rFonts w:hint="eastAsia" w:ascii="宋体" w:hAnsi="宋体" w:cs="宋体"/>
          <w:color w:val="auto"/>
          <w:highlight w:val="none"/>
        </w:rPr>
      </w:pPr>
      <w:r>
        <w:rPr>
          <w:rFonts w:hint="eastAsia" w:ascii="宋体" w:hAnsi="宋体" w:cs="宋体"/>
          <w:b/>
          <w:bCs/>
          <w:color w:val="auto"/>
          <w:highlight w:val="none"/>
        </w:rPr>
        <w:t>□</w:t>
      </w:r>
      <w:r>
        <w:rPr>
          <w:rFonts w:hint="eastAsia" w:ascii="宋体" w:hAnsi="宋体" w:cs="宋体"/>
          <w:color w:val="auto"/>
          <w:highlight w:val="none"/>
        </w:rPr>
        <w:t xml:space="preserve"> 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highlight w:val="none"/>
        </w:rPr>
        <w:t>）。</w:t>
      </w:r>
      <w:r>
        <w:rPr>
          <w:rFonts w:hint="eastAsia" w:ascii="宋体" w:hAnsi="宋体" w:cs="宋体"/>
          <w:color w:val="auto"/>
          <w:highlight w:val="none"/>
        </w:rPr>
        <w:sym w:font="Wingdings 2" w:char="00A3"/>
      </w:r>
      <w:r>
        <w:rPr>
          <w:rFonts w:hint="eastAsia" w:ascii="宋体" w:hAnsi="宋体" w:cs="宋体"/>
          <w:color w:val="auto"/>
          <w:highlight w:val="none"/>
        </w:rPr>
        <w:t>或</w:t>
      </w:r>
    </w:p>
    <w:p>
      <w:pPr>
        <w:spacing w:line="340" w:lineRule="exact"/>
        <w:ind w:firstLine="421" w:firstLineChars="200"/>
        <w:rPr>
          <w:rFonts w:hint="eastAsia" w:ascii="宋体" w:hAnsi="宋体" w:cs="宋体"/>
          <w:color w:val="auto"/>
          <w:highlight w:val="none"/>
        </w:rPr>
      </w:pPr>
      <w:r>
        <w:rPr>
          <w:rFonts w:hint="eastAsia" w:ascii="宋体" w:hAnsi="宋体" w:cs="宋体"/>
          <w:b/>
          <w:bCs/>
          <w:color w:val="auto"/>
          <w:highlight w:val="none"/>
        </w:rPr>
        <w:t>□</w:t>
      </w:r>
      <w:r>
        <w:rPr>
          <w:rFonts w:hint="eastAsia" w:ascii="宋体" w:hAnsi="宋体" w:cs="宋体"/>
          <w:color w:val="auto"/>
          <w:highlight w:val="none"/>
        </w:rPr>
        <w:t xml:space="preserve"> </w:t>
      </w:r>
      <w:r>
        <w:rPr>
          <w:rFonts w:hint="eastAsia" w:ascii="宋体" w:hAnsi="宋体" w:cs="宋体"/>
          <w:color w:val="auto"/>
          <w:szCs w:val="21"/>
          <w:highlight w:val="none"/>
        </w:rPr>
        <w:t>在</w:t>
      </w:r>
      <w:r>
        <w:rPr>
          <w:rFonts w:hint="eastAsia" w:ascii="宋体" w:hAnsi="宋体" w:cs="宋体"/>
          <w:color w:val="auto"/>
          <w:spacing w:val="-3"/>
          <w:highlight w:val="none"/>
        </w:rPr>
        <w:t>“全国建筑市场监管公共服务平台”中查询到的企业数据“工程项目”</w:t>
      </w:r>
      <w:r>
        <w:rPr>
          <w:rFonts w:hint="eastAsia" w:ascii="宋体" w:hAnsi="宋体" w:cs="宋体"/>
          <w:color w:val="auto"/>
          <w:highlight w:val="none"/>
        </w:rPr>
        <w:t>网页截图（</w:t>
      </w:r>
      <w:r>
        <w:rPr>
          <w:rFonts w:hint="eastAsia"/>
          <w:color w:val="auto"/>
          <w:highlight w:val="none"/>
        </w:rPr>
        <w:t>适用于</w:t>
      </w:r>
      <w:r>
        <w:rPr>
          <w:rFonts w:hint="eastAsia" w:ascii="宋体" w:hAnsi="宋体" w:cs="宋体"/>
          <w:color w:val="auto"/>
          <w:szCs w:val="21"/>
          <w:highlight w:val="none"/>
        </w:rPr>
        <w:t>招标人设定的业绩为房建工程或市政类施工监理项目</w:t>
      </w:r>
      <w:r>
        <w:rPr>
          <w:rFonts w:hint="eastAsia" w:ascii="宋体" w:hAnsi="宋体" w:cs="宋体"/>
          <w:color w:val="auto"/>
          <w:highlight w:val="none"/>
        </w:rPr>
        <w:t>）。</w:t>
      </w:r>
    </w:p>
    <w:p>
      <w:pPr>
        <w:pStyle w:val="276"/>
        <w:spacing w:line="340" w:lineRule="exact"/>
        <w:ind w:firstLine="420" w:firstLineChars="200"/>
        <w:rPr>
          <w:rFonts w:hint="eastAsia" w:ascii="宋体" w:hAnsi="宋体" w:cs="宋体"/>
          <w:color w:val="auto"/>
          <w:spacing w:val="-3"/>
          <w:highlight w:val="none"/>
        </w:rPr>
      </w:pPr>
      <w:r>
        <w:rPr>
          <w:rFonts w:hint="eastAsia" w:ascii="宋体" w:hAnsi="宋体" w:cs="宋体"/>
          <w:color w:val="auto"/>
          <w:highlight w:val="none"/>
        </w:rPr>
        <w:t>2</w:t>
      </w:r>
      <w:r>
        <w:rPr>
          <w:rFonts w:hint="eastAsia" w:ascii="宋体" w:hAnsi="宋体" w:cs="宋体"/>
          <w:color w:val="auto"/>
          <w:spacing w:val="-3"/>
          <w:highlight w:val="none"/>
        </w:rPr>
        <w:t>.因投标人自身原因未提供附件或提供的附件不能与所证明的内容相匹配，造成业绩或其他内容不予认可时，投标人自行承担相关责任。</w:t>
      </w:r>
    </w:p>
    <w:p>
      <w:pPr>
        <w:pStyle w:val="276"/>
        <w:spacing w:line="34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3</w:t>
      </w:r>
      <w:r>
        <w:rPr>
          <w:rFonts w:hint="eastAsia" w:ascii="宋体" w:hAnsi="宋体" w:cs="宋体"/>
          <w:color w:val="auto"/>
          <w:highlight w:val="none"/>
        </w:rPr>
        <w:t>.本表所列合同价格一般为项目结算价格，无结算价格的以签约合同价格为准。</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4.</w:t>
      </w:r>
      <w:r>
        <w:rPr>
          <w:rFonts w:hint="eastAsia" w:ascii="宋体" w:hAnsi="宋体"/>
          <w:color w:val="auto"/>
          <w:highlight w:val="none"/>
        </w:rPr>
        <w:t>房建</w:t>
      </w:r>
      <w:r>
        <w:rPr>
          <w:rFonts w:hint="eastAsia" w:ascii="宋体" w:hAnsi="宋体" w:cs="宋体"/>
          <w:color w:val="auto"/>
          <w:spacing w:val="-3"/>
          <w:highlight w:val="none"/>
          <w:lang w:bidi="ar"/>
        </w:rPr>
        <w:t>工程可为合同中包含该施工监理内容的项目或单独合同的项目。</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5.如近年来，投标人法人机构发生合法变更或重组或法人名称变更时，应提供相关部门的合法批件或其他相关证明材料来证明其所附业绩的继承性。</w:t>
      </w:r>
    </w:p>
    <w:p>
      <w:pPr>
        <w:pStyle w:val="276"/>
        <w:spacing w:line="34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6.表中的“日期”填写</w:t>
      </w:r>
      <w:r>
        <w:rPr>
          <w:rFonts w:hint="eastAsia" w:ascii="宋体" w:hAnsi="宋体"/>
          <w:color w:val="auto"/>
          <w:szCs w:val="21"/>
          <w:highlight w:val="none"/>
        </w:rPr>
        <w:t>的格式统一以阿拉伯数字表示。如：2021年5月1日，填写为20210501；2021年5月，填写为202105。</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以联合体形式投标的，联合体各成员应按照第二章“投标人须知”前附表附录2资格审查条件要求的对应业绩及第三章“评标办法”详细评审打分条件（如有）填写本表。</w:t>
      </w:r>
    </w:p>
    <w:p>
      <w:pPr>
        <w:pStyle w:val="276"/>
        <w:spacing w:line="360" w:lineRule="auto"/>
        <w:rPr>
          <w:rFonts w:hint="eastAsia" w:ascii="宋体" w:hAnsi="宋体" w:cs="宋体"/>
          <w:color w:val="auto"/>
          <w:highlight w:val="none"/>
        </w:rPr>
        <w:sectPr>
          <w:footnotePr>
            <w:numFmt w:val="decimalEnclosedCircleChinese"/>
            <w:numRestart w:val="eachPage"/>
          </w:footnotePr>
          <w:pgSz w:w="16840" w:h="11900" w:orient="landscape"/>
          <w:pgMar w:top="1418" w:right="1418" w:bottom="1418" w:left="1701" w:header="885" w:footer="680" w:gutter="0"/>
          <w:cols w:space="720" w:num="1"/>
          <w:docGrid w:linePitch="286" w:charSpace="0"/>
        </w:sectPr>
      </w:pPr>
    </w:p>
    <w:p>
      <w:pPr>
        <w:pStyle w:val="6"/>
        <w:ind w:firstLine="2520" w:firstLineChars="900"/>
        <w:rPr>
          <w:rFonts w:hint="eastAsia" w:ascii="黑体" w:hAnsi="黑体" w:cs="宋体"/>
          <w:b w:val="0"/>
          <w:color w:val="auto"/>
          <w:highlight w:val="none"/>
        </w:rPr>
      </w:pPr>
      <w:bookmarkStart w:id="730" w:name="_Toc28187746"/>
      <w:bookmarkStart w:id="731" w:name="_Toc523921868"/>
      <w:r>
        <w:rPr>
          <w:rFonts w:hint="eastAsia"/>
          <w:b w:val="0"/>
          <w:bCs w:val="0"/>
          <w:color w:val="auto"/>
          <w:highlight w:val="none"/>
        </w:rPr>
        <w:t>（三）投标人的信誉情况</w:t>
      </w:r>
      <w:bookmarkEnd w:id="730"/>
      <w:bookmarkEnd w:id="731"/>
      <w:r>
        <w:rPr>
          <w:rFonts w:hint="eastAsia"/>
          <w:b w:val="0"/>
          <w:bCs w:val="0"/>
          <w:color w:val="auto"/>
          <w:highlight w:val="none"/>
        </w:rPr>
        <w:t>表</w:t>
      </w:r>
    </w:p>
    <w:p>
      <w:pPr>
        <w:pStyle w:val="276"/>
        <w:rPr>
          <w:rFonts w:hint="eastAsia" w:ascii="宋体" w:hAnsi="宋体" w:cs="宋体"/>
          <w:color w:val="auto"/>
          <w:highlight w:val="none"/>
        </w:rPr>
      </w:pPr>
    </w:p>
    <w:tbl>
      <w:tblPr>
        <w:tblStyle w:val="48"/>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1"/>
        <w:gridCol w:w="4040"/>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8905" w:type="dxa"/>
            <w:gridSpan w:val="3"/>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3681" w:type="dxa"/>
            <w:vAlign w:val="center"/>
          </w:tcPr>
          <w:p>
            <w:pPr>
              <w:spacing w:line="400" w:lineRule="exact"/>
              <w:jc w:val="center"/>
              <w:rPr>
                <w:rFonts w:hint="eastAsia" w:ascii="宋体" w:hAnsi="宋体" w:cs="宋体"/>
                <w:color w:val="auto"/>
                <w:szCs w:val="21"/>
                <w:highlight w:val="none"/>
              </w:rPr>
            </w:pPr>
            <w:bookmarkStart w:id="732" w:name="_Toc513556694"/>
            <w:bookmarkStart w:id="733" w:name="_Toc519777896"/>
            <w:bookmarkStart w:id="734" w:name="_Toc519601517"/>
            <w:bookmarkStart w:id="735" w:name="_Toc513555854"/>
            <w:bookmarkStart w:id="736" w:name="_Toc519778509"/>
            <w:bookmarkStart w:id="737" w:name="_Toc519777844"/>
            <w:bookmarkStart w:id="738" w:name="_Toc513555610"/>
            <w:r>
              <w:rPr>
                <w:rFonts w:hint="eastAsia" w:ascii="宋体" w:hAnsi="宋体" w:cs="宋体"/>
                <w:color w:val="auto"/>
                <w:szCs w:val="21"/>
                <w:highlight w:val="none"/>
              </w:rPr>
              <w:t>资料类型</w:t>
            </w:r>
          </w:p>
        </w:tc>
        <w:tc>
          <w:tcPr>
            <w:tcW w:w="404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评价内容</w:t>
            </w:r>
          </w:p>
        </w:tc>
        <w:tc>
          <w:tcPr>
            <w:tcW w:w="1184"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信誉情况附件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3681" w:type="dxa"/>
            <w:vAlign w:val="center"/>
          </w:tcPr>
          <w:p>
            <w:pPr>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四川省交通运输厅网站公布的</w:t>
            </w:r>
            <w:r>
              <w:rPr>
                <w:rFonts w:hint="eastAsia" w:ascii="宋体" w:hAnsi="宋体"/>
                <w:color w:val="auto"/>
                <w:szCs w:val="21"/>
                <w:highlight w:val="none"/>
              </w:rPr>
              <w:t>下述信用评价等级</w:t>
            </w:r>
            <w:r>
              <w:rPr>
                <w:rFonts w:hint="eastAsia" w:asciiTheme="minorEastAsia" w:hAnsiTheme="minorEastAsia" w:eastAsiaTheme="minorEastAsia"/>
                <w:color w:val="auto"/>
                <w:szCs w:val="21"/>
                <w:highlight w:val="none"/>
              </w:rPr>
              <w:t>网页截图：</w:t>
            </w:r>
          </w:p>
          <w:p>
            <w:pPr>
              <w:widowControl/>
              <w:spacing w:line="400" w:lineRule="exact"/>
              <w:ind w:firstLine="210" w:firstLineChars="1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 xml:space="preserve">四川省重点公路建设从业单位信用评价等级；  </w:t>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或</w:t>
            </w:r>
          </w:p>
          <w:p>
            <w:pPr>
              <w:spacing w:line="400" w:lineRule="exact"/>
              <w:ind w:firstLine="210" w:firstLineChars="100"/>
              <w:jc w:val="left"/>
              <w:rPr>
                <w:rFonts w:hint="eastAsia" w:ascii="宋体" w:hAnsi="宋体" w:cs="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四川省农村公路建设从业单位信用评价等级</w:t>
            </w:r>
          </w:p>
        </w:tc>
        <w:tc>
          <w:tcPr>
            <w:tcW w:w="4040" w:type="dxa"/>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信用等级：□AA+ □AA  □A  □B  □C</w:t>
            </w:r>
          </w:p>
        </w:tc>
        <w:tc>
          <w:tcPr>
            <w:tcW w:w="1184"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附件H1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trPr>
        <w:tc>
          <w:tcPr>
            <w:tcW w:w="3681"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国家企业信用信息公示系统网页截图</w:t>
            </w:r>
          </w:p>
        </w:tc>
        <w:tc>
          <w:tcPr>
            <w:tcW w:w="4040" w:type="dxa"/>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未列入严重违法失信企业</w:t>
            </w:r>
          </w:p>
        </w:tc>
        <w:tc>
          <w:tcPr>
            <w:tcW w:w="1184"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附件H2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3681" w:type="dxa"/>
            <w:vAlign w:val="center"/>
          </w:tcPr>
          <w:p>
            <w:pPr>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spacing w:val="-4"/>
                <w:highlight w:val="none"/>
              </w:rPr>
              <w:t>通过“信用中国”</w:t>
            </w:r>
            <w:r>
              <w:rPr>
                <w:rFonts w:hint="eastAsia" w:asciiTheme="minorEastAsia" w:hAnsiTheme="minorEastAsia" w:eastAsiaTheme="minorEastAsia"/>
                <w:color w:val="auto"/>
                <w:highlight w:val="none"/>
              </w:rPr>
              <w:t>查询“失信被执行人”链接“中国执行信息公开网</w:t>
            </w:r>
            <w:r>
              <w:rPr>
                <w:rFonts w:hint="eastAsia" w:asciiTheme="minorEastAsia" w:hAnsiTheme="minorEastAsia" w:eastAsiaTheme="minorEastAsia"/>
                <w:color w:val="auto"/>
                <w:szCs w:val="21"/>
                <w:highlight w:val="none"/>
              </w:rPr>
              <w:t>”网页截图</w:t>
            </w:r>
          </w:p>
        </w:tc>
        <w:tc>
          <w:tcPr>
            <w:tcW w:w="4040" w:type="dxa"/>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未列入失信被执行人名单</w:t>
            </w:r>
          </w:p>
        </w:tc>
        <w:tc>
          <w:tcPr>
            <w:tcW w:w="1184"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附件H3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3681"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无行贿犯罪的承诺函</w:t>
            </w:r>
          </w:p>
        </w:tc>
        <w:tc>
          <w:tcPr>
            <w:tcW w:w="4040" w:type="dxa"/>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没有被人民法院生效判决或裁定认定为行贿犯罪（包括行贿罪、单位行贿罪、对单位行贿罪、介绍贿赂罪等）</w:t>
            </w:r>
          </w:p>
        </w:tc>
        <w:tc>
          <w:tcPr>
            <w:tcW w:w="1184"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附件H4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3681" w:type="dxa"/>
            <w:vAlign w:val="center"/>
          </w:tcPr>
          <w:p>
            <w:pPr>
              <w:pStyle w:val="174"/>
              <w:numPr>
                <w:ilvl w:val="0"/>
                <w:numId w:val="2"/>
              </w:numPr>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其他信誉条件</w:t>
            </w:r>
          </w:p>
        </w:tc>
        <w:tc>
          <w:tcPr>
            <w:tcW w:w="4040"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满足： </w:t>
            </w:r>
            <w:r>
              <w:rPr>
                <w:rFonts w:hint="eastAsia" w:ascii="宋体" w:hAnsi="宋体" w:cs="宋体"/>
                <w:color w:val="auto"/>
                <w:szCs w:val="21"/>
                <w:highlight w:val="none"/>
                <w:u w:val="single"/>
              </w:rPr>
              <w:t xml:space="preserve">                 </w:t>
            </w:r>
          </w:p>
        </w:tc>
        <w:tc>
          <w:tcPr>
            <w:tcW w:w="1184"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附件H5</w:t>
            </w:r>
          </w:p>
        </w:tc>
      </w:tr>
    </w:tbl>
    <w:p>
      <w:pPr>
        <w:spacing w:line="360" w:lineRule="auto"/>
        <w:ind w:firstLine="480" w:firstLineChars="200"/>
        <w:jc w:val="left"/>
        <w:rPr>
          <w:rFonts w:hint="eastAsia" w:ascii="宋体" w:hAnsi="宋体" w:cs="宋体"/>
          <w:color w:val="auto"/>
          <w:sz w:val="24"/>
          <w:highlight w:val="none"/>
        </w:rPr>
      </w:pPr>
    </w:p>
    <w:p>
      <w:pPr>
        <w:spacing w:line="360" w:lineRule="auto"/>
        <w:ind w:left="630" w:hanging="630" w:hangingChars="300"/>
        <w:jc w:val="left"/>
        <w:rPr>
          <w:rFonts w:hint="eastAsia" w:ascii="宋体" w:hAnsi="宋体" w:cs="宋体"/>
          <w:color w:val="auto"/>
          <w:szCs w:val="21"/>
          <w:highlight w:val="none"/>
        </w:rPr>
      </w:pPr>
      <w:r>
        <w:rPr>
          <w:rFonts w:hint="eastAsia" w:ascii="宋体" w:hAnsi="宋体" w:cs="宋体"/>
          <w:color w:val="auto"/>
          <w:szCs w:val="21"/>
          <w:highlight w:val="none"/>
        </w:rPr>
        <w:t>注：1.投标人应按第二章“投标人须知”前附表附录3资格审查条件（信誉最低要求）的要求提供信誉情况相关结果查询网页截图、承诺函等证明材料附件H系列。其中附件H4无行贿犯罪的承诺函格式附后</w:t>
      </w:r>
      <w:bookmarkEnd w:id="732"/>
      <w:bookmarkEnd w:id="733"/>
      <w:bookmarkEnd w:id="734"/>
      <w:bookmarkEnd w:id="735"/>
      <w:bookmarkEnd w:id="736"/>
      <w:bookmarkEnd w:id="737"/>
      <w:bookmarkEnd w:id="738"/>
      <w:r>
        <w:rPr>
          <w:rFonts w:hint="eastAsia" w:ascii="宋体" w:hAnsi="宋体" w:cs="宋体"/>
          <w:color w:val="auto"/>
          <w:szCs w:val="21"/>
          <w:highlight w:val="none"/>
        </w:rPr>
        <w:t>。</w:t>
      </w:r>
    </w:p>
    <w:p>
      <w:pPr>
        <w:spacing w:line="360" w:lineRule="auto"/>
        <w:ind w:left="609" w:leftChars="190" w:hanging="210" w:hangingChars="100"/>
        <w:jc w:val="left"/>
        <w:rPr>
          <w:rFonts w:hint="eastAsia" w:ascii="宋体" w:hAnsi="宋体"/>
          <w:color w:val="auto"/>
          <w:highlight w:val="none"/>
        </w:rPr>
      </w:pPr>
      <w:r>
        <w:rPr>
          <w:rFonts w:hint="eastAsia" w:ascii="宋体" w:hAnsi="宋体" w:cs="宋体"/>
          <w:color w:val="auto"/>
          <w:szCs w:val="21"/>
          <w:highlight w:val="none"/>
        </w:rPr>
        <w:t>2.允许联合体投标时，若</w:t>
      </w:r>
      <w:r>
        <w:rPr>
          <w:rFonts w:hint="eastAsia" w:ascii="宋体" w:hAnsi="宋体"/>
          <w:color w:val="auto"/>
          <w:highlight w:val="none"/>
        </w:rPr>
        <w:t>以联合体形式投标的，联合体牵头人及所有成员方均应提供上述信誉情况资料。无行贿犯罪的承诺函由联合体牵头人出具对联合体所有成员的共同承诺。</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3.以联合体形式投标的，投标扔名称指联合体牵头人及所有成员方，并对应提供联合体各方的上述信誉情况资料。</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4.其他信誉条件，根据招标文件第二章“投标人须知”前附表附录3资格审查条件（信誉最低要求）的其他要求内容，明确所需信誉情况资料。</w:t>
      </w:r>
    </w:p>
    <w:p>
      <w:pPr>
        <w:spacing w:line="360" w:lineRule="auto"/>
        <w:jc w:val="left"/>
        <w:rPr>
          <w:rFonts w:hint="eastAsia" w:ascii="宋体" w:hAnsi="宋体" w:cs="宋体"/>
          <w:color w:val="auto"/>
          <w:szCs w:val="21"/>
          <w:highlight w:val="none"/>
        </w:rPr>
      </w:pPr>
    </w:p>
    <w:p>
      <w:pPr>
        <w:spacing w:line="360" w:lineRule="auto"/>
        <w:jc w:val="center"/>
        <w:rPr>
          <w:rFonts w:hint="eastAsia" w:ascii="黑体" w:hAnsi="黑体" w:eastAsia="黑体" w:cs="宋体"/>
          <w:color w:val="auto"/>
          <w:sz w:val="24"/>
          <w:highlight w:val="none"/>
        </w:rPr>
      </w:pPr>
      <w:r>
        <w:rPr>
          <w:rFonts w:hint="eastAsia" w:ascii="宋体" w:hAnsi="宋体" w:cs="宋体"/>
          <w:b/>
          <w:color w:val="auto"/>
          <w:kern w:val="0"/>
          <w:sz w:val="28"/>
          <w:szCs w:val="28"/>
          <w:highlight w:val="none"/>
        </w:rPr>
        <w:br w:type="page"/>
      </w:r>
      <w:r>
        <w:rPr>
          <w:rFonts w:hint="eastAsia" w:ascii="黑体" w:hAnsi="黑体" w:eastAsia="黑体" w:cs="宋体"/>
          <w:color w:val="auto"/>
          <w:kern w:val="0"/>
          <w:sz w:val="24"/>
          <w:highlight w:val="none"/>
        </w:rPr>
        <w:t>附件H4 无行贿犯罪的承诺函</w:t>
      </w:r>
    </w:p>
    <w:p>
      <w:pPr>
        <w:spacing w:line="360" w:lineRule="auto"/>
        <w:ind w:firstLine="420" w:firstLineChars="200"/>
        <w:rPr>
          <w:rFonts w:hint="eastAsia" w:ascii="宋体" w:hAnsi="宋体" w:cs="宋体"/>
          <w:color w:val="auto"/>
          <w:szCs w:val="21"/>
          <w:highlight w:val="none"/>
        </w:rPr>
      </w:pPr>
    </w:p>
    <w:p>
      <w:pPr>
        <w:spacing w:line="360" w:lineRule="auto"/>
        <w:ind w:firstLine="420" w:firstLineChars="200"/>
        <w:rPr>
          <w:rFonts w:hint="eastAsia" w:ascii="宋体" w:hAnsi="宋体" w:cs="宋体"/>
          <w:color w:val="auto"/>
          <w:szCs w:val="21"/>
          <w:highlight w:val="none"/>
        </w:rPr>
      </w:pPr>
    </w:p>
    <w:p>
      <w:pPr>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（招标人名称）   </w:t>
      </w:r>
      <w:r>
        <w:rPr>
          <w:rFonts w:hint="eastAsia" w:ascii="宋体" w:hAnsi="宋体" w:cs="宋体"/>
          <w:color w:val="auto"/>
          <w:sz w:val="24"/>
          <w:highlight w:val="none"/>
        </w:rPr>
        <w:t>：</w:t>
      </w:r>
    </w:p>
    <w:p>
      <w:pPr>
        <w:spacing w:line="360" w:lineRule="auto"/>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我公司</w:t>
      </w:r>
      <w:r>
        <w:rPr>
          <w:rFonts w:hint="eastAsia" w:ascii="宋体" w:hAnsi="宋体" w:cs="宋体"/>
          <w:color w:val="auto"/>
          <w:sz w:val="24"/>
          <w:highlight w:val="none"/>
          <w:u w:val="single"/>
        </w:rPr>
        <w:t xml:space="preserve">   （投标人名称）（</w:t>
      </w:r>
      <w:bookmarkStart w:id="739" w:name="_Hlk52813658"/>
      <w:r>
        <w:rPr>
          <w:rFonts w:hint="eastAsia" w:ascii="宋体" w:hAnsi="宋体" w:cs="宋体"/>
          <w:color w:val="auto"/>
          <w:sz w:val="24"/>
          <w:highlight w:val="none"/>
          <w:u w:val="single"/>
        </w:rPr>
        <w:t>单位统一社会信用代码</w:t>
      </w:r>
      <w:bookmarkEnd w:id="739"/>
      <w:r>
        <w:rPr>
          <w:rFonts w:hint="eastAsia" w:ascii="宋体" w:hAnsi="宋体" w:cs="宋体"/>
          <w:color w:val="auto"/>
          <w:sz w:val="24"/>
          <w:highlight w:val="none"/>
          <w:u w:val="single"/>
        </w:rPr>
        <w:t>）</w:t>
      </w:r>
      <w:r>
        <w:rPr>
          <w:rFonts w:hint="eastAsia" w:ascii="宋体" w:hAnsi="宋体" w:cs="宋体"/>
          <w:color w:val="auto"/>
          <w:sz w:val="24"/>
          <w:highlight w:val="none"/>
        </w:rPr>
        <w:t>、法定代表人</w:t>
      </w:r>
      <w:r>
        <w:rPr>
          <w:rFonts w:hint="eastAsia" w:ascii="宋体" w:hAnsi="宋体" w:cs="宋体"/>
          <w:color w:val="auto"/>
          <w:sz w:val="24"/>
          <w:highlight w:val="none"/>
          <w:u w:val="single"/>
        </w:rPr>
        <w:t>（姓名）（身份证号）</w:t>
      </w:r>
      <w:r>
        <w:rPr>
          <w:rFonts w:hint="eastAsia" w:ascii="宋体" w:hAnsi="宋体" w:cs="宋体"/>
          <w:color w:val="auto"/>
          <w:sz w:val="24"/>
          <w:highlight w:val="none"/>
        </w:rPr>
        <w:t>、主要人员〔□总监理工程师</w:t>
      </w:r>
      <w:r>
        <w:rPr>
          <w:rFonts w:hint="eastAsia" w:ascii="宋体" w:hAnsi="宋体" w:cs="宋体"/>
          <w:color w:val="auto"/>
          <w:sz w:val="24"/>
          <w:highlight w:val="none"/>
          <w:u w:val="single"/>
        </w:rPr>
        <w:t>（姓名）（身份证号）</w:t>
      </w:r>
      <w:r>
        <w:rPr>
          <w:rFonts w:hint="eastAsia" w:ascii="宋体" w:hAnsi="宋体" w:cs="宋体"/>
          <w:color w:val="auto"/>
          <w:sz w:val="24"/>
          <w:highlight w:val="none"/>
        </w:rPr>
        <w:t>、□副总监理工程师</w:t>
      </w:r>
      <w:r>
        <w:rPr>
          <w:rFonts w:hint="eastAsia" w:ascii="宋体" w:hAnsi="宋体" w:cs="宋体"/>
          <w:color w:val="auto"/>
          <w:sz w:val="24"/>
          <w:highlight w:val="none"/>
          <w:u w:val="single"/>
        </w:rPr>
        <w:t>（姓名）（身份证号）</w:t>
      </w:r>
      <w:r>
        <w:rPr>
          <w:rFonts w:hint="eastAsia" w:ascii="宋体" w:hAnsi="宋体" w:cs="宋体"/>
          <w:color w:val="auto"/>
          <w:sz w:val="24"/>
          <w:highlight w:val="none"/>
        </w:rPr>
        <w:t>、□驻地监理工程师</w:t>
      </w:r>
      <w:r>
        <w:rPr>
          <w:rFonts w:hint="eastAsia" w:ascii="宋体" w:hAnsi="宋体" w:cs="宋体"/>
          <w:color w:val="auto"/>
          <w:sz w:val="24"/>
          <w:highlight w:val="none"/>
          <w:u w:val="single"/>
        </w:rPr>
        <w:t>（姓名）（身份证号）</w:t>
      </w:r>
      <w:r>
        <w:rPr>
          <w:rFonts w:hint="eastAsia" w:ascii="宋体" w:hAnsi="宋体" w:cs="宋体"/>
          <w:color w:val="auto"/>
          <w:sz w:val="24"/>
          <w:highlight w:val="none"/>
        </w:rPr>
        <w:t>、□试验室主任</w:t>
      </w:r>
      <w:r>
        <w:rPr>
          <w:rFonts w:hint="eastAsia" w:ascii="宋体" w:hAnsi="宋体" w:cs="宋体"/>
          <w:color w:val="auto"/>
          <w:sz w:val="24"/>
          <w:highlight w:val="none"/>
          <w:u w:val="single"/>
        </w:rPr>
        <w:t>（姓名）（身份证号）</w:t>
      </w:r>
      <w:r>
        <w:rPr>
          <w:rFonts w:hint="eastAsia" w:ascii="宋体" w:hAnsi="宋体" w:cs="宋体"/>
          <w:color w:val="auto"/>
          <w:sz w:val="24"/>
          <w:highlight w:val="none"/>
        </w:rPr>
        <w:t>〕在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至本项目投标截止日期间，没有被人民法院生效判决或裁定认定为行贿犯罪（包括行贿罪、单位行贿罪、对单位行贿罪、介绍贿赂罪等）。若在中标合同签订之前发现我单位或承诺人员在上述期间存在行贿犯罪的，可取消我单位中标候选人或中标人资格。若在合同执行期间发现我单位或承诺人员在上述期间存在行贿犯罪的，可从合同款或履约保证金中扣除签约合同价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%作为违约金。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特此承诺。</w:t>
      </w:r>
    </w:p>
    <w:p>
      <w:pPr>
        <w:spacing w:line="360" w:lineRule="auto"/>
        <w:ind w:firstLine="420" w:firstLineChars="200"/>
        <w:rPr>
          <w:rFonts w:hint="eastAsia" w:ascii="宋体" w:hAnsi="宋体" w:cs="宋体"/>
          <w:color w:val="auto"/>
          <w:highlight w:val="none"/>
        </w:rPr>
      </w:pPr>
    </w:p>
    <w:p>
      <w:pPr>
        <w:spacing w:line="360" w:lineRule="auto"/>
        <w:ind w:firstLine="420" w:firstLineChars="200"/>
        <w:rPr>
          <w:rFonts w:hint="eastAsia" w:ascii="宋体" w:hAnsi="宋体" w:cs="宋体"/>
          <w:color w:val="auto"/>
          <w:highlight w:val="none"/>
        </w:rPr>
      </w:pPr>
    </w:p>
    <w:p>
      <w:pPr>
        <w:spacing w:line="360" w:lineRule="auto"/>
        <w:ind w:firstLine="420" w:firstLineChars="200"/>
        <w:rPr>
          <w:rFonts w:hint="eastAsia" w:ascii="宋体" w:hAnsi="宋体" w:cs="宋体"/>
          <w:color w:val="auto"/>
          <w:highlight w:val="none"/>
        </w:rPr>
      </w:pPr>
    </w:p>
    <w:p>
      <w:pPr>
        <w:pStyle w:val="26"/>
        <w:spacing w:line="360" w:lineRule="auto"/>
        <w:ind w:firstLine="1200" w:firstLineChars="500"/>
        <w:rPr>
          <w:rFonts w:hint="eastAsia" w:hAnsi="宋体" w:cs="宋体"/>
          <w:color w:val="auto"/>
          <w:sz w:val="24"/>
          <w:szCs w:val="24"/>
          <w:highlight w:val="none"/>
          <w:u w:val="single"/>
        </w:rPr>
      </w:pPr>
      <w:r>
        <w:rPr>
          <w:rFonts w:hint="eastAsia" w:hAnsi="宋体" w:cs="宋体"/>
          <w:color w:val="auto"/>
          <w:sz w:val="24"/>
          <w:szCs w:val="24"/>
          <w:highlight w:val="none"/>
        </w:rPr>
        <w:t>投标人：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盖单位电子印章）</w:t>
      </w:r>
    </w:p>
    <w:p>
      <w:pPr>
        <w:spacing w:line="360" w:lineRule="auto"/>
        <w:ind w:firstLine="1200" w:firstLineChars="5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1200" w:firstLineChars="500"/>
        <w:rPr>
          <w:rFonts w:hint="eastAsia" w:ascii="宋体" w:hAnsi="宋体" w:cs="宋体"/>
          <w:color w:val="auto"/>
          <w:sz w:val="24"/>
          <w:highlight w:val="none"/>
        </w:rPr>
      </w:pPr>
      <w:r>
        <w:rPr>
          <w:rFonts w:hint="eastAsia" w:ascii="宋体" w:hAnsi="宋体" w:cs="宋体"/>
          <w:color w:val="auto"/>
          <w:sz w:val="24"/>
          <w:highlight w:val="none"/>
        </w:rPr>
        <w:t>或委托代理人：</w:t>
      </w:r>
      <w:r>
        <w:rPr>
          <w:rFonts w:hint="eastAsia" w:ascii="宋体" w:hAnsi="宋体" w:cs="宋体"/>
          <w:color w:val="auto"/>
          <w:sz w:val="24"/>
          <w:highlight w:val="none"/>
          <w:u w:val="single"/>
        </w:rPr>
        <w:t xml:space="preserve">（职务、姓名） </w:t>
      </w:r>
      <w:r>
        <w:rPr>
          <w:rFonts w:hint="eastAsia" w:ascii="宋体" w:hAnsi="宋体" w:cs="宋体"/>
          <w:color w:val="auto"/>
          <w:sz w:val="24"/>
          <w:highlight w:val="none"/>
        </w:rPr>
        <w:t>（个人电子签名章或个人电子印章）</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p>
    <w:p>
      <w:pPr>
        <w:spacing w:line="360" w:lineRule="auto"/>
        <w:ind w:firstLine="5040" w:firstLineChars="210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rPr>
          <w:rFonts w:hint="eastAsia" w:ascii="宋体" w:hAnsi="宋体" w:cs="宋体"/>
          <w:color w:val="auto"/>
          <w:highlight w:val="none"/>
        </w:rPr>
      </w:pPr>
    </w:p>
    <w:p>
      <w:pPr>
        <w:rPr>
          <w:rFonts w:hint="eastAsia" w:ascii="宋体" w:hAnsi="宋体" w:cs="宋体"/>
          <w:color w:val="auto"/>
          <w:highlight w:val="none"/>
        </w:rPr>
      </w:pPr>
    </w:p>
    <w:p>
      <w:pPr>
        <w:pStyle w:val="37"/>
        <w:ind w:left="420" w:hanging="420" w:hangingChars="200"/>
        <w:rPr>
          <w:rFonts w:hint="eastAsia" w:ascii="宋体" w:hAnsi="宋体" w:cs="宋体"/>
          <w:color w:val="auto"/>
          <w:sz w:val="21"/>
          <w:szCs w:val="24"/>
          <w:highlight w:val="none"/>
        </w:rPr>
      </w:pPr>
      <w:r>
        <w:rPr>
          <w:rFonts w:hint="eastAsia" w:ascii="宋体" w:hAnsi="宋体" w:cs="宋体"/>
          <w:color w:val="auto"/>
          <w:sz w:val="21"/>
          <w:szCs w:val="24"/>
          <w:highlight w:val="none"/>
        </w:rPr>
        <w:t>注：1.以联合体形式投标的，“投标人名称及单位统一社会信用代码、法定代表人的姓名及身份证号”应逐一写明联合体所有成员的内容。</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2.主要人员被列入资格审查条件时，相应的人员也须对该项信誉条件进行资格审查。</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3.由招标人根据项目情况设定违约金占合同款的比例。</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4.以联合体形式投标的，由联合体牵头人盖单位电子印章。</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5.以联合体形式投标的，由联合体牵头人的法定代表人或其委托代理人加盖个人电子签名章或个人电子印章。</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widowControl/>
        <w:jc w:val="left"/>
        <w:rPr>
          <w:rFonts w:eastAsia="黑体"/>
          <w:color w:val="auto"/>
          <w:kern w:val="0"/>
          <w:sz w:val="28"/>
          <w:szCs w:val="32"/>
          <w:highlight w:val="none"/>
        </w:rPr>
      </w:pPr>
      <w:bookmarkStart w:id="740" w:name="_Toc523921869"/>
      <w:bookmarkStart w:id="741" w:name="_Toc28187747"/>
      <w:r>
        <w:rPr>
          <w:b/>
          <w:bCs/>
          <w:color w:val="auto"/>
          <w:highlight w:val="none"/>
        </w:rPr>
        <w:br w:type="page"/>
      </w:r>
    </w:p>
    <w:p>
      <w:pPr>
        <w:pStyle w:val="6"/>
        <w:ind w:firstLine="5040" w:firstLineChars="1800"/>
        <w:rPr>
          <w:b w:val="0"/>
          <w:bCs w:val="0"/>
          <w:color w:val="auto"/>
          <w:highlight w:val="none"/>
        </w:rPr>
      </w:pPr>
      <w:r>
        <w:rPr>
          <w:rFonts w:hint="eastAsia"/>
          <w:b w:val="0"/>
          <w:bCs w:val="0"/>
          <w:color w:val="auto"/>
          <w:highlight w:val="none"/>
        </w:rPr>
        <w:t>（四）拟委任的主要人员资历表</w:t>
      </w:r>
      <w:bookmarkEnd w:id="740"/>
      <w:bookmarkEnd w:id="741"/>
    </w:p>
    <w:p>
      <w:pPr>
        <w:pStyle w:val="43"/>
        <w:shd w:val="clear" w:color="auto" w:fill="FFFFFF"/>
        <w:jc w:val="center"/>
        <w:rPr>
          <w:rFonts w:hint="eastAsia" w:ascii="黑体" w:hAnsi="黑体" w:eastAsia="黑体" w:cs="宋体"/>
          <w:bCs/>
          <w:color w:val="auto"/>
          <w:highlight w:val="none"/>
        </w:rPr>
      </w:pPr>
      <w:r>
        <w:rPr>
          <w:rFonts w:hint="eastAsia" w:ascii="黑体" w:hAnsi="黑体" w:eastAsia="黑体" w:cs="宋体"/>
          <w:bCs/>
          <w:color w:val="auto"/>
          <w:highlight w:val="none"/>
        </w:rPr>
        <w:t xml:space="preserve">                                               总监理工程师资历表                                          表4.1</w:t>
      </w:r>
    </w:p>
    <w:tbl>
      <w:tblPr>
        <w:tblStyle w:val="48"/>
        <w:tblW w:w="14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513"/>
        <w:gridCol w:w="697"/>
        <w:gridCol w:w="425"/>
        <w:gridCol w:w="274"/>
        <w:gridCol w:w="638"/>
        <w:gridCol w:w="1454"/>
        <w:gridCol w:w="584"/>
        <w:gridCol w:w="533"/>
        <w:gridCol w:w="168"/>
        <w:gridCol w:w="1087"/>
        <w:gridCol w:w="81"/>
        <w:gridCol w:w="1036"/>
        <w:gridCol w:w="975"/>
        <w:gridCol w:w="54"/>
        <w:gridCol w:w="1200"/>
        <w:gridCol w:w="986"/>
        <w:gridCol w:w="281"/>
        <w:gridCol w:w="834"/>
        <w:gridCol w:w="528"/>
        <w:gridCol w:w="1387"/>
        <w:gridCol w:w="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948" w:type="dxa"/>
            <w:gridSpan w:val="20"/>
            <w:vAlign w:val="center"/>
          </w:tcPr>
          <w:p>
            <w:pPr>
              <w:widowControl/>
              <w:jc w:val="center"/>
              <w:rPr>
                <w:rFonts w:hint="eastAsia" w:ascii="宋体" w:hAnsi="宋体" w:cs="宋体"/>
                <w:bCs/>
                <w:color w:val="auto"/>
                <w:kern w:val="0"/>
                <w:sz w:val="18"/>
                <w:szCs w:val="18"/>
                <w:highlight w:val="none"/>
              </w:rPr>
            </w:pPr>
            <w:bookmarkStart w:id="742" w:name="_Hlk52813967"/>
            <w:r>
              <w:rPr>
                <w:rFonts w:hint="eastAsia" w:ascii="宋体" w:hAnsi="宋体" w:cs="宋体"/>
                <w:bCs/>
                <w:color w:val="auto"/>
                <w:kern w:val="0"/>
                <w:sz w:val="18"/>
                <w:szCs w:val="18"/>
                <w:highlight w:val="none"/>
              </w:rPr>
              <w:t>基本信息</w:t>
            </w:r>
          </w:p>
        </w:tc>
        <w:tc>
          <w:tcPr>
            <w:tcW w:w="141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1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4072" w:type="dxa"/>
            <w:gridSpan w:val="6"/>
            <w:vAlign w:val="center"/>
          </w:tcPr>
          <w:p>
            <w:pPr>
              <w:widowControl/>
              <w:jc w:val="center"/>
              <w:rPr>
                <w:rFonts w:hint="eastAsia" w:ascii="宋体" w:hAnsi="宋体" w:cs="宋体"/>
                <w:bCs/>
                <w:color w:val="auto"/>
                <w:kern w:val="0"/>
                <w:sz w:val="18"/>
                <w:szCs w:val="18"/>
                <w:highlight w:val="none"/>
              </w:rPr>
            </w:pPr>
          </w:p>
        </w:tc>
        <w:tc>
          <w:tcPr>
            <w:tcW w:w="70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168" w:type="dxa"/>
            <w:gridSpan w:val="2"/>
            <w:vAlign w:val="center"/>
          </w:tcPr>
          <w:p>
            <w:pPr>
              <w:widowControl/>
              <w:jc w:val="center"/>
              <w:rPr>
                <w:rFonts w:hint="eastAsia" w:ascii="宋体" w:hAnsi="宋体" w:cs="宋体"/>
                <w:bCs/>
                <w:color w:val="auto"/>
                <w:kern w:val="0"/>
                <w:sz w:val="18"/>
                <w:szCs w:val="18"/>
                <w:highlight w:val="none"/>
              </w:rPr>
            </w:pPr>
          </w:p>
        </w:tc>
        <w:tc>
          <w:tcPr>
            <w:tcW w:w="2065"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3829" w:type="dxa"/>
            <w:gridSpan w:val="5"/>
          </w:tcPr>
          <w:p>
            <w:pPr>
              <w:widowControl/>
              <w:jc w:val="center"/>
              <w:rPr>
                <w:rFonts w:hint="eastAsia" w:ascii="宋体" w:hAnsi="宋体" w:cs="宋体"/>
                <w:bCs/>
                <w:color w:val="auto"/>
                <w:kern w:val="0"/>
                <w:sz w:val="18"/>
                <w:szCs w:val="18"/>
                <w:highlight w:val="none"/>
              </w:rPr>
            </w:pPr>
          </w:p>
        </w:tc>
        <w:tc>
          <w:tcPr>
            <w:tcW w:w="141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11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4072" w:type="dxa"/>
            <w:gridSpan w:val="6"/>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□工程师  □高级工程师  </w:t>
            </w:r>
          </w:p>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□正（教授级或研究员级）高级工程师</w:t>
            </w:r>
          </w:p>
        </w:tc>
        <w:tc>
          <w:tcPr>
            <w:tcW w:w="70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168" w:type="dxa"/>
            <w:gridSpan w:val="2"/>
            <w:vAlign w:val="center"/>
          </w:tcPr>
          <w:p>
            <w:pPr>
              <w:widowControl/>
              <w:jc w:val="center"/>
              <w:rPr>
                <w:rFonts w:hint="eastAsia" w:ascii="宋体" w:hAnsi="宋体" w:cs="宋体"/>
                <w:bCs/>
                <w:color w:val="auto"/>
                <w:kern w:val="0"/>
                <w:sz w:val="18"/>
                <w:szCs w:val="18"/>
                <w:highlight w:val="none"/>
              </w:rPr>
            </w:pPr>
          </w:p>
        </w:tc>
        <w:tc>
          <w:tcPr>
            <w:tcW w:w="2065"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3829" w:type="dxa"/>
            <w:gridSpan w:val="5"/>
          </w:tcPr>
          <w:p>
            <w:pPr>
              <w:widowControl/>
              <w:jc w:val="center"/>
              <w:rPr>
                <w:rFonts w:hint="eastAsia" w:ascii="宋体" w:hAnsi="宋体" w:cs="宋体"/>
                <w:bCs/>
                <w:color w:val="auto"/>
                <w:kern w:val="0"/>
                <w:sz w:val="18"/>
                <w:szCs w:val="18"/>
                <w:highlight w:val="none"/>
              </w:rPr>
            </w:pPr>
          </w:p>
        </w:tc>
        <w:tc>
          <w:tcPr>
            <w:tcW w:w="141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13" w:type="dxa"/>
            <w:gridSpan w:val="2"/>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5941" w:type="dxa"/>
            <w:gridSpan w:val="10"/>
            <w:vMerge w:val="restart"/>
            <w:vAlign w:val="center"/>
          </w:tcPr>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□监理工程师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□专业监理工程师（道路与桥梁）   □专业监理工程师（隧道）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□专业监理工程师（机电工程）     □专业监理工程师（公路工程经济）</w:t>
            </w:r>
          </w:p>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□其他：</w:t>
            </w:r>
            <w:r>
              <w:rPr>
                <w:rFonts w:hint="eastAsia" w:ascii="宋体" w:hAnsi="宋体" w:cs="宋体"/>
                <w:color w:val="auto"/>
                <w:kern w:val="0"/>
                <w:sz w:val="18"/>
                <w:szCs w:val="18"/>
                <w:highlight w:val="none"/>
                <w:u w:val="single"/>
              </w:rPr>
              <w:t xml:space="preserve">      </w:t>
            </w:r>
          </w:p>
        </w:tc>
        <w:tc>
          <w:tcPr>
            <w:tcW w:w="2065"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3829" w:type="dxa"/>
            <w:gridSpan w:val="5"/>
          </w:tcPr>
          <w:p>
            <w:pPr>
              <w:widowControl/>
              <w:jc w:val="center"/>
              <w:rPr>
                <w:rFonts w:hint="eastAsia" w:ascii="宋体" w:hAnsi="宋体" w:cs="宋体"/>
                <w:bCs/>
                <w:color w:val="auto"/>
                <w:kern w:val="0"/>
                <w:sz w:val="18"/>
                <w:szCs w:val="18"/>
                <w:highlight w:val="none"/>
              </w:rPr>
            </w:pPr>
          </w:p>
        </w:tc>
        <w:tc>
          <w:tcPr>
            <w:tcW w:w="141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113" w:type="dxa"/>
            <w:gridSpan w:val="2"/>
            <w:vMerge w:val="continue"/>
            <w:vAlign w:val="center"/>
          </w:tcPr>
          <w:p>
            <w:pPr>
              <w:widowControl/>
              <w:jc w:val="center"/>
              <w:rPr>
                <w:rFonts w:hint="eastAsia" w:ascii="宋体" w:hAnsi="宋体" w:cs="宋体"/>
                <w:bCs/>
                <w:color w:val="auto"/>
                <w:kern w:val="0"/>
                <w:sz w:val="18"/>
                <w:szCs w:val="18"/>
                <w:highlight w:val="none"/>
              </w:rPr>
            </w:pPr>
          </w:p>
        </w:tc>
        <w:tc>
          <w:tcPr>
            <w:tcW w:w="5941" w:type="dxa"/>
            <w:gridSpan w:val="10"/>
            <w:vMerge w:val="continue"/>
            <w:vAlign w:val="center"/>
          </w:tcPr>
          <w:p>
            <w:pPr>
              <w:widowControl/>
              <w:jc w:val="center"/>
              <w:rPr>
                <w:rFonts w:hint="eastAsia" w:ascii="宋体" w:hAnsi="宋体" w:cs="宋体"/>
                <w:color w:val="auto"/>
                <w:kern w:val="0"/>
                <w:sz w:val="18"/>
                <w:szCs w:val="18"/>
                <w:highlight w:val="none"/>
              </w:rPr>
            </w:pPr>
          </w:p>
        </w:tc>
        <w:tc>
          <w:tcPr>
            <w:tcW w:w="4532" w:type="dxa"/>
            <w:gridSpan w:val="6"/>
            <w:vAlign w:val="center"/>
          </w:tcPr>
          <w:p>
            <w:pPr>
              <w:widowControl/>
              <w:wordWrap w:val="0"/>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在全国公路建设市场监督管理系统（https://hwdms.mot.gov.cn/BMWebSite/）中，是否登记在投标人单位的注册监理人员列表中</w:t>
            </w:r>
          </w:p>
        </w:tc>
        <w:tc>
          <w:tcPr>
            <w:tcW w:w="136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141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235"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2950"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1869"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5894" w:type="dxa"/>
            <w:gridSpan w:val="8"/>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41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235"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是否在岗</w:t>
            </w:r>
          </w:p>
        </w:tc>
        <w:tc>
          <w:tcPr>
            <w:tcW w:w="10713" w:type="dxa"/>
            <w:gridSpan w:val="16"/>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141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承诺见投标函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252" w:hRule="atLeast"/>
          <w:jc w:val="center"/>
        </w:trPr>
        <w:tc>
          <w:tcPr>
            <w:tcW w:w="12948" w:type="dxa"/>
            <w:gridSpan w:val="20"/>
            <w:vAlign w:val="center"/>
          </w:tcPr>
          <w:p>
            <w:pPr>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w:t>
            </w:r>
          </w:p>
        </w:tc>
        <w:tc>
          <w:tcPr>
            <w:tcW w:w="1387" w:type="dxa"/>
            <w:vMerge w:val="restart"/>
            <w:vAlign w:val="center"/>
          </w:tcPr>
          <w:p>
            <w:pPr>
              <w:widowControl/>
              <w:jc w:val="center"/>
              <w:rPr>
                <w:rFonts w:hint="eastAsia" w:ascii="宋体" w:hAnsi="宋体" w:cs="宋体"/>
                <w:b/>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736" w:hRule="atLeast"/>
          <w:jc w:val="center"/>
        </w:trPr>
        <w:tc>
          <w:tcPr>
            <w:tcW w:w="60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1210"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项目名称</w:t>
            </w:r>
          </w:p>
        </w:tc>
        <w:tc>
          <w:tcPr>
            <w:tcW w:w="699" w:type="dxa"/>
            <w:gridSpan w:val="2"/>
            <w:vAlign w:val="center"/>
          </w:tcPr>
          <w:p>
            <w:pPr>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公路等级</w:t>
            </w:r>
          </w:p>
        </w:tc>
        <w:tc>
          <w:tcPr>
            <w:tcW w:w="63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标段</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名称</w:t>
            </w:r>
          </w:p>
        </w:tc>
        <w:tc>
          <w:tcPr>
            <w:tcW w:w="145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总/副总/驻地/副驻地监理工程师</w:t>
            </w:r>
          </w:p>
        </w:tc>
        <w:tc>
          <w:tcPr>
            <w:tcW w:w="111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承担标段路线长度（km）</w:t>
            </w:r>
          </w:p>
        </w:tc>
        <w:tc>
          <w:tcPr>
            <w:tcW w:w="125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承担标段特大桥梁名称/类型</w:t>
            </w:r>
          </w:p>
        </w:tc>
        <w:tc>
          <w:tcPr>
            <w:tcW w:w="1117"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桥梁主跨跨径（m）</w:t>
            </w:r>
          </w:p>
        </w:tc>
        <w:tc>
          <w:tcPr>
            <w:tcW w:w="975"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承担标段隧道名称</w:t>
            </w:r>
          </w:p>
        </w:tc>
        <w:tc>
          <w:tcPr>
            <w:tcW w:w="1254" w:type="dxa"/>
            <w:gridSpan w:val="2"/>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承担标段隧道单洞长度（m）</w:t>
            </w:r>
          </w:p>
        </w:tc>
        <w:tc>
          <w:tcPr>
            <w:tcW w:w="98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承担标段路面结构形式</w:t>
            </w:r>
          </w:p>
        </w:tc>
        <w:tc>
          <w:tcPr>
            <w:tcW w:w="1115" w:type="dxa"/>
            <w:gridSpan w:val="2"/>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承担标段（隧道）机电类型</w:t>
            </w:r>
          </w:p>
        </w:tc>
        <w:tc>
          <w:tcPr>
            <w:tcW w:w="528"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其他</w:t>
            </w:r>
          </w:p>
        </w:tc>
        <w:tc>
          <w:tcPr>
            <w:tcW w:w="1387" w:type="dxa"/>
            <w:vMerge w:val="continue"/>
            <w:vAlign w:val="center"/>
          </w:tcPr>
          <w:p>
            <w:pPr>
              <w:widowControl/>
              <w:jc w:val="center"/>
              <w:rPr>
                <w:rFonts w:hint="eastAsia" w:ascii="宋体" w:hAnsi="宋体" w:cs="宋体"/>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252" w:hRule="atLeast"/>
          <w:jc w:val="center"/>
        </w:trPr>
        <w:tc>
          <w:tcPr>
            <w:tcW w:w="600" w:type="dxa"/>
            <w:vAlign w:val="center"/>
          </w:tcPr>
          <w:p>
            <w:pPr>
              <w:widowControl/>
              <w:jc w:val="center"/>
              <w:rPr>
                <w:rFonts w:hint="eastAsia" w:ascii="宋体" w:hAnsi="宋体" w:cs="宋体"/>
                <w:color w:val="auto"/>
                <w:kern w:val="0"/>
                <w:sz w:val="18"/>
                <w:szCs w:val="18"/>
                <w:highlight w:val="none"/>
              </w:rPr>
            </w:pPr>
          </w:p>
        </w:tc>
        <w:tc>
          <w:tcPr>
            <w:tcW w:w="1210" w:type="dxa"/>
            <w:gridSpan w:val="2"/>
            <w:vAlign w:val="center"/>
          </w:tcPr>
          <w:p>
            <w:pPr>
              <w:jc w:val="center"/>
              <w:rPr>
                <w:rFonts w:hint="eastAsia" w:ascii="宋体" w:hAnsi="宋体" w:cs="宋体"/>
                <w:color w:val="auto"/>
                <w:kern w:val="0"/>
                <w:sz w:val="18"/>
                <w:szCs w:val="18"/>
                <w:highlight w:val="none"/>
              </w:rPr>
            </w:pPr>
          </w:p>
        </w:tc>
        <w:tc>
          <w:tcPr>
            <w:tcW w:w="699" w:type="dxa"/>
            <w:gridSpan w:val="2"/>
            <w:vAlign w:val="center"/>
          </w:tcPr>
          <w:p>
            <w:pPr>
              <w:jc w:val="center"/>
              <w:rPr>
                <w:rFonts w:hint="eastAsia" w:ascii="宋体" w:hAnsi="宋体" w:cs="宋体"/>
                <w:color w:val="auto"/>
                <w:kern w:val="0"/>
                <w:sz w:val="18"/>
                <w:szCs w:val="18"/>
                <w:highlight w:val="none"/>
              </w:rPr>
            </w:pPr>
          </w:p>
        </w:tc>
        <w:tc>
          <w:tcPr>
            <w:tcW w:w="638" w:type="dxa"/>
            <w:vAlign w:val="center"/>
          </w:tcPr>
          <w:p>
            <w:pPr>
              <w:jc w:val="center"/>
              <w:rPr>
                <w:rFonts w:hint="eastAsia" w:ascii="宋体" w:hAnsi="宋体" w:cs="宋体"/>
                <w:color w:val="auto"/>
                <w:kern w:val="0"/>
                <w:sz w:val="18"/>
                <w:szCs w:val="18"/>
                <w:highlight w:val="none"/>
              </w:rPr>
            </w:pPr>
          </w:p>
        </w:tc>
        <w:tc>
          <w:tcPr>
            <w:tcW w:w="1454" w:type="dxa"/>
            <w:vAlign w:val="center"/>
          </w:tcPr>
          <w:p>
            <w:pPr>
              <w:jc w:val="center"/>
              <w:rPr>
                <w:rFonts w:hint="eastAsia" w:ascii="宋体" w:hAnsi="宋体" w:cs="宋体"/>
                <w:color w:val="auto"/>
                <w:kern w:val="0"/>
                <w:sz w:val="18"/>
                <w:szCs w:val="18"/>
                <w:highlight w:val="none"/>
              </w:rPr>
            </w:pPr>
          </w:p>
        </w:tc>
        <w:tc>
          <w:tcPr>
            <w:tcW w:w="1117" w:type="dxa"/>
            <w:gridSpan w:val="2"/>
            <w:vAlign w:val="center"/>
          </w:tcPr>
          <w:p>
            <w:pPr>
              <w:widowControl/>
              <w:jc w:val="center"/>
              <w:rPr>
                <w:rFonts w:hint="eastAsia" w:ascii="宋体" w:hAnsi="宋体" w:cs="宋体"/>
                <w:color w:val="auto"/>
                <w:kern w:val="0"/>
                <w:sz w:val="18"/>
                <w:szCs w:val="18"/>
                <w:highlight w:val="none"/>
              </w:rPr>
            </w:pPr>
          </w:p>
        </w:tc>
        <w:tc>
          <w:tcPr>
            <w:tcW w:w="1255" w:type="dxa"/>
            <w:gridSpan w:val="2"/>
            <w:vAlign w:val="center"/>
          </w:tcPr>
          <w:p>
            <w:pPr>
              <w:widowControl/>
              <w:jc w:val="center"/>
              <w:rPr>
                <w:rFonts w:hint="eastAsia" w:ascii="宋体" w:hAnsi="宋体" w:cs="宋体"/>
                <w:color w:val="auto"/>
                <w:kern w:val="0"/>
                <w:sz w:val="18"/>
                <w:szCs w:val="18"/>
                <w:highlight w:val="none"/>
              </w:rPr>
            </w:pPr>
          </w:p>
        </w:tc>
        <w:tc>
          <w:tcPr>
            <w:tcW w:w="1117" w:type="dxa"/>
            <w:gridSpan w:val="2"/>
            <w:vAlign w:val="center"/>
          </w:tcPr>
          <w:p>
            <w:pPr>
              <w:widowControl/>
              <w:jc w:val="center"/>
              <w:rPr>
                <w:rFonts w:hint="eastAsia" w:ascii="宋体" w:hAnsi="宋体" w:cs="宋体"/>
                <w:color w:val="auto"/>
                <w:kern w:val="0"/>
                <w:sz w:val="18"/>
                <w:szCs w:val="18"/>
                <w:highlight w:val="none"/>
              </w:rPr>
            </w:pPr>
          </w:p>
        </w:tc>
        <w:tc>
          <w:tcPr>
            <w:tcW w:w="975" w:type="dxa"/>
            <w:vAlign w:val="center"/>
          </w:tcPr>
          <w:p>
            <w:pPr>
              <w:widowControl/>
              <w:jc w:val="center"/>
              <w:rPr>
                <w:rFonts w:hint="eastAsia" w:ascii="宋体" w:hAnsi="宋体" w:cs="宋体"/>
                <w:color w:val="auto"/>
                <w:kern w:val="0"/>
                <w:sz w:val="18"/>
                <w:szCs w:val="18"/>
                <w:highlight w:val="none"/>
              </w:rPr>
            </w:pPr>
          </w:p>
        </w:tc>
        <w:tc>
          <w:tcPr>
            <w:tcW w:w="1254" w:type="dxa"/>
            <w:gridSpan w:val="2"/>
            <w:vAlign w:val="center"/>
          </w:tcPr>
          <w:p>
            <w:pPr>
              <w:widowControl/>
              <w:jc w:val="center"/>
              <w:rPr>
                <w:rFonts w:hint="eastAsia" w:ascii="宋体" w:hAnsi="宋体" w:cs="宋体"/>
                <w:color w:val="auto"/>
                <w:kern w:val="0"/>
                <w:sz w:val="18"/>
                <w:szCs w:val="18"/>
                <w:highlight w:val="none"/>
              </w:rPr>
            </w:pPr>
          </w:p>
        </w:tc>
        <w:tc>
          <w:tcPr>
            <w:tcW w:w="986" w:type="dxa"/>
            <w:vAlign w:val="center"/>
          </w:tcPr>
          <w:p>
            <w:pPr>
              <w:jc w:val="center"/>
              <w:rPr>
                <w:rFonts w:hint="eastAsia" w:ascii="宋体" w:hAnsi="宋体" w:cs="宋体"/>
                <w:color w:val="auto"/>
                <w:kern w:val="0"/>
                <w:sz w:val="18"/>
                <w:szCs w:val="18"/>
                <w:highlight w:val="none"/>
              </w:rPr>
            </w:pPr>
          </w:p>
        </w:tc>
        <w:tc>
          <w:tcPr>
            <w:tcW w:w="1115" w:type="dxa"/>
            <w:gridSpan w:val="2"/>
            <w:vAlign w:val="center"/>
          </w:tcPr>
          <w:p>
            <w:pPr>
              <w:jc w:val="center"/>
              <w:rPr>
                <w:rFonts w:hint="eastAsia" w:ascii="宋体" w:hAnsi="宋体" w:cs="宋体"/>
                <w:color w:val="auto"/>
                <w:kern w:val="0"/>
                <w:sz w:val="18"/>
                <w:szCs w:val="18"/>
                <w:highlight w:val="none"/>
              </w:rPr>
            </w:pPr>
          </w:p>
        </w:tc>
        <w:tc>
          <w:tcPr>
            <w:tcW w:w="528" w:type="dxa"/>
            <w:vAlign w:val="center"/>
          </w:tcPr>
          <w:p>
            <w:pPr>
              <w:jc w:val="center"/>
              <w:rPr>
                <w:rFonts w:hint="eastAsia" w:ascii="宋体" w:hAnsi="宋体" w:cs="宋体"/>
                <w:color w:val="auto"/>
                <w:kern w:val="0"/>
                <w:sz w:val="18"/>
                <w:szCs w:val="18"/>
                <w:highlight w:val="none"/>
              </w:rPr>
            </w:pPr>
          </w:p>
        </w:tc>
        <w:tc>
          <w:tcPr>
            <w:tcW w:w="1387"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252" w:hRule="atLeast"/>
          <w:jc w:val="center"/>
        </w:trPr>
        <w:tc>
          <w:tcPr>
            <w:tcW w:w="600" w:type="dxa"/>
            <w:vAlign w:val="center"/>
          </w:tcPr>
          <w:p>
            <w:pPr>
              <w:widowControl/>
              <w:jc w:val="center"/>
              <w:rPr>
                <w:rFonts w:hint="eastAsia" w:ascii="宋体" w:hAnsi="宋体" w:cs="宋体"/>
                <w:color w:val="auto"/>
                <w:kern w:val="0"/>
                <w:sz w:val="18"/>
                <w:szCs w:val="18"/>
                <w:highlight w:val="none"/>
              </w:rPr>
            </w:pPr>
          </w:p>
        </w:tc>
        <w:tc>
          <w:tcPr>
            <w:tcW w:w="1210" w:type="dxa"/>
            <w:gridSpan w:val="2"/>
            <w:vAlign w:val="center"/>
          </w:tcPr>
          <w:p>
            <w:pPr>
              <w:jc w:val="center"/>
              <w:rPr>
                <w:rFonts w:hint="eastAsia" w:ascii="宋体" w:hAnsi="宋体" w:cs="宋体"/>
                <w:color w:val="auto"/>
                <w:kern w:val="0"/>
                <w:sz w:val="18"/>
                <w:szCs w:val="18"/>
                <w:highlight w:val="none"/>
              </w:rPr>
            </w:pPr>
          </w:p>
        </w:tc>
        <w:tc>
          <w:tcPr>
            <w:tcW w:w="699" w:type="dxa"/>
            <w:gridSpan w:val="2"/>
            <w:vAlign w:val="center"/>
          </w:tcPr>
          <w:p>
            <w:pPr>
              <w:jc w:val="center"/>
              <w:rPr>
                <w:rFonts w:hint="eastAsia" w:ascii="宋体" w:hAnsi="宋体" w:cs="宋体"/>
                <w:color w:val="auto"/>
                <w:kern w:val="0"/>
                <w:sz w:val="18"/>
                <w:szCs w:val="18"/>
                <w:highlight w:val="none"/>
              </w:rPr>
            </w:pPr>
          </w:p>
        </w:tc>
        <w:tc>
          <w:tcPr>
            <w:tcW w:w="638" w:type="dxa"/>
            <w:vAlign w:val="center"/>
          </w:tcPr>
          <w:p>
            <w:pPr>
              <w:jc w:val="center"/>
              <w:rPr>
                <w:rFonts w:hint="eastAsia" w:ascii="宋体" w:hAnsi="宋体" w:cs="宋体"/>
                <w:color w:val="auto"/>
                <w:kern w:val="0"/>
                <w:sz w:val="18"/>
                <w:szCs w:val="18"/>
                <w:highlight w:val="none"/>
              </w:rPr>
            </w:pPr>
          </w:p>
        </w:tc>
        <w:tc>
          <w:tcPr>
            <w:tcW w:w="1454" w:type="dxa"/>
            <w:vAlign w:val="center"/>
          </w:tcPr>
          <w:p>
            <w:pPr>
              <w:jc w:val="center"/>
              <w:rPr>
                <w:rFonts w:hint="eastAsia" w:ascii="宋体" w:hAnsi="宋体" w:cs="宋体"/>
                <w:color w:val="auto"/>
                <w:kern w:val="0"/>
                <w:sz w:val="18"/>
                <w:szCs w:val="18"/>
                <w:highlight w:val="none"/>
              </w:rPr>
            </w:pPr>
          </w:p>
        </w:tc>
        <w:tc>
          <w:tcPr>
            <w:tcW w:w="1117" w:type="dxa"/>
            <w:gridSpan w:val="2"/>
            <w:vAlign w:val="center"/>
          </w:tcPr>
          <w:p>
            <w:pPr>
              <w:widowControl/>
              <w:jc w:val="center"/>
              <w:rPr>
                <w:rFonts w:hint="eastAsia" w:ascii="宋体" w:hAnsi="宋体" w:cs="宋体"/>
                <w:color w:val="auto"/>
                <w:kern w:val="0"/>
                <w:sz w:val="18"/>
                <w:szCs w:val="18"/>
                <w:highlight w:val="none"/>
              </w:rPr>
            </w:pPr>
          </w:p>
        </w:tc>
        <w:tc>
          <w:tcPr>
            <w:tcW w:w="1255" w:type="dxa"/>
            <w:gridSpan w:val="2"/>
            <w:vAlign w:val="center"/>
          </w:tcPr>
          <w:p>
            <w:pPr>
              <w:widowControl/>
              <w:jc w:val="center"/>
              <w:rPr>
                <w:rFonts w:hint="eastAsia" w:ascii="宋体" w:hAnsi="宋体" w:cs="宋体"/>
                <w:color w:val="auto"/>
                <w:kern w:val="0"/>
                <w:sz w:val="18"/>
                <w:szCs w:val="18"/>
                <w:highlight w:val="none"/>
              </w:rPr>
            </w:pPr>
          </w:p>
        </w:tc>
        <w:tc>
          <w:tcPr>
            <w:tcW w:w="1117" w:type="dxa"/>
            <w:gridSpan w:val="2"/>
            <w:vAlign w:val="center"/>
          </w:tcPr>
          <w:p>
            <w:pPr>
              <w:widowControl/>
              <w:jc w:val="center"/>
              <w:rPr>
                <w:rFonts w:hint="eastAsia" w:ascii="宋体" w:hAnsi="宋体" w:cs="宋体"/>
                <w:color w:val="auto"/>
                <w:kern w:val="0"/>
                <w:sz w:val="18"/>
                <w:szCs w:val="18"/>
                <w:highlight w:val="none"/>
              </w:rPr>
            </w:pPr>
          </w:p>
        </w:tc>
        <w:tc>
          <w:tcPr>
            <w:tcW w:w="975" w:type="dxa"/>
            <w:vAlign w:val="center"/>
          </w:tcPr>
          <w:p>
            <w:pPr>
              <w:widowControl/>
              <w:jc w:val="center"/>
              <w:rPr>
                <w:rFonts w:hint="eastAsia" w:ascii="宋体" w:hAnsi="宋体" w:cs="宋体"/>
                <w:color w:val="auto"/>
                <w:kern w:val="0"/>
                <w:sz w:val="18"/>
                <w:szCs w:val="18"/>
                <w:highlight w:val="none"/>
              </w:rPr>
            </w:pPr>
          </w:p>
        </w:tc>
        <w:tc>
          <w:tcPr>
            <w:tcW w:w="1254" w:type="dxa"/>
            <w:gridSpan w:val="2"/>
            <w:vAlign w:val="center"/>
          </w:tcPr>
          <w:p>
            <w:pPr>
              <w:widowControl/>
              <w:jc w:val="center"/>
              <w:rPr>
                <w:rFonts w:hint="eastAsia" w:ascii="宋体" w:hAnsi="宋体" w:cs="宋体"/>
                <w:color w:val="auto"/>
                <w:kern w:val="0"/>
                <w:sz w:val="18"/>
                <w:szCs w:val="18"/>
                <w:highlight w:val="none"/>
              </w:rPr>
            </w:pPr>
          </w:p>
        </w:tc>
        <w:tc>
          <w:tcPr>
            <w:tcW w:w="986" w:type="dxa"/>
            <w:vAlign w:val="center"/>
          </w:tcPr>
          <w:p>
            <w:pPr>
              <w:jc w:val="center"/>
              <w:rPr>
                <w:rFonts w:hint="eastAsia" w:ascii="宋体" w:hAnsi="宋体" w:cs="宋体"/>
                <w:color w:val="auto"/>
                <w:kern w:val="0"/>
                <w:sz w:val="18"/>
                <w:szCs w:val="18"/>
                <w:highlight w:val="none"/>
              </w:rPr>
            </w:pPr>
          </w:p>
        </w:tc>
        <w:tc>
          <w:tcPr>
            <w:tcW w:w="1115" w:type="dxa"/>
            <w:gridSpan w:val="2"/>
            <w:vAlign w:val="center"/>
          </w:tcPr>
          <w:p>
            <w:pPr>
              <w:jc w:val="center"/>
              <w:rPr>
                <w:rFonts w:hint="eastAsia" w:ascii="宋体" w:hAnsi="宋体" w:cs="宋体"/>
                <w:color w:val="auto"/>
                <w:kern w:val="0"/>
                <w:sz w:val="18"/>
                <w:szCs w:val="18"/>
                <w:highlight w:val="none"/>
              </w:rPr>
            </w:pPr>
          </w:p>
        </w:tc>
        <w:tc>
          <w:tcPr>
            <w:tcW w:w="528" w:type="dxa"/>
            <w:vAlign w:val="center"/>
          </w:tcPr>
          <w:p>
            <w:pPr>
              <w:jc w:val="center"/>
              <w:rPr>
                <w:rFonts w:hint="eastAsia" w:ascii="宋体" w:hAnsi="宋体" w:cs="宋体"/>
                <w:color w:val="auto"/>
                <w:kern w:val="0"/>
                <w:sz w:val="18"/>
                <w:szCs w:val="18"/>
                <w:highlight w:val="none"/>
              </w:rPr>
            </w:pPr>
          </w:p>
        </w:tc>
        <w:tc>
          <w:tcPr>
            <w:tcW w:w="1387"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252" w:hRule="atLeast"/>
          <w:jc w:val="center"/>
        </w:trPr>
        <w:tc>
          <w:tcPr>
            <w:tcW w:w="600" w:type="dxa"/>
            <w:vAlign w:val="center"/>
          </w:tcPr>
          <w:p>
            <w:pPr>
              <w:widowControl/>
              <w:jc w:val="center"/>
              <w:rPr>
                <w:rFonts w:hint="eastAsia" w:ascii="宋体" w:hAnsi="宋体" w:cs="宋体"/>
                <w:color w:val="auto"/>
                <w:kern w:val="0"/>
                <w:sz w:val="18"/>
                <w:szCs w:val="18"/>
                <w:highlight w:val="none"/>
              </w:rPr>
            </w:pPr>
          </w:p>
        </w:tc>
        <w:tc>
          <w:tcPr>
            <w:tcW w:w="1210" w:type="dxa"/>
            <w:gridSpan w:val="2"/>
            <w:vAlign w:val="center"/>
          </w:tcPr>
          <w:p>
            <w:pPr>
              <w:jc w:val="center"/>
              <w:rPr>
                <w:rFonts w:hint="eastAsia" w:ascii="宋体" w:hAnsi="宋体" w:cs="宋体"/>
                <w:color w:val="auto"/>
                <w:kern w:val="0"/>
                <w:sz w:val="18"/>
                <w:szCs w:val="18"/>
                <w:highlight w:val="none"/>
              </w:rPr>
            </w:pPr>
          </w:p>
        </w:tc>
        <w:tc>
          <w:tcPr>
            <w:tcW w:w="699" w:type="dxa"/>
            <w:gridSpan w:val="2"/>
            <w:vAlign w:val="center"/>
          </w:tcPr>
          <w:p>
            <w:pPr>
              <w:jc w:val="center"/>
              <w:rPr>
                <w:rFonts w:hint="eastAsia" w:ascii="宋体" w:hAnsi="宋体" w:cs="宋体"/>
                <w:color w:val="auto"/>
                <w:kern w:val="0"/>
                <w:sz w:val="18"/>
                <w:szCs w:val="18"/>
                <w:highlight w:val="none"/>
              </w:rPr>
            </w:pPr>
          </w:p>
        </w:tc>
        <w:tc>
          <w:tcPr>
            <w:tcW w:w="638" w:type="dxa"/>
            <w:vAlign w:val="center"/>
          </w:tcPr>
          <w:p>
            <w:pPr>
              <w:jc w:val="center"/>
              <w:rPr>
                <w:rFonts w:hint="eastAsia" w:ascii="宋体" w:hAnsi="宋体" w:cs="宋体"/>
                <w:color w:val="auto"/>
                <w:kern w:val="0"/>
                <w:sz w:val="18"/>
                <w:szCs w:val="18"/>
                <w:highlight w:val="none"/>
              </w:rPr>
            </w:pPr>
          </w:p>
        </w:tc>
        <w:tc>
          <w:tcPr>
            <w:tcW w:w="1454" w:type="dxa"/>
            <w:vAlign w:val="center"/>
          </w:tcPr>
          <w:p>
            <w:pPr>
              <w:jc w:val="center"/>
              <w:rPr>
                <w:rFonts w:hint="eastAsia" w:ascii="宋体" w:hAnsi="宋体" w:cs="宋体"/>
                <w:color w:val="auto"/>
                <w:kern w:val="0"/>
                <w:sz w:val="18"/>
                <w:szCs w:val="18"/>
                <w:highlight w:val="none"/>
              </w:rPr>
            </w:pPr>
          </w:p>
        </w:tc>
        <w:tc>
          <w:tcPr>
            <w:tcW w:w="1117" w:type="dxa"/>
            <w:gridSpan w:val="2"/>
            <w:vAlign w:val="center"/>
          </w:tcPr>
          <w:p>
            <w:pPr>
              <w:widowControl/>
              <w:jc w:val="center"/>
              <w:rPr>
                <w:rFonts w:hint="eastAsia" w:ascii="宋体" w:hAnsi="宋体" w:cs="宋体"/>
                <w:color w:val="auto"/>
                <w:kern w:val="0"/>
                <w:sz w:val="18"/>
                <w:szCs w:val="18"/>
                <w:highlight w:val="none"/>
              </w:rPr>
            </w:pPr>
          </w:p>
        </w:tc>
        <w:tc>
          <w:tcPr>
            <w:tcW w:w="1255" w:type="dxa"/>
            <w:gridSpan w:val="2"/>
            <w:vAlign w:val="center"/>
          </w:tcPr>
          <w:p>
            <w:pPr>
              <w:widowControl/>
              <w:jc w:val="center"/>
              <w:rPr>
                <w:rFonts w:hint="eastAsia" w:ascii="宋体" w:hAnsi="宋体" w:cs="宋体"/>
                <w:color w:val="auto"/>
                <w:kern w:val="0"/>
                <w:sz w:val="18"/>
                <w:szCs w:val="18"/>
                <w:highlight w:val="none"/>
              </w:rPr>
            </w:pPr>
          </w:p>
        </w:tc>
        <w:tc>
          <w:tcPr>
            <w:tcW w:w="1117" w:type="dxa"/>
            <w:gridSpan w:val="2"/>
            <w:vAlign w:val="center"/>
          </w:tcPr>
          <w:p>
            <w:pPr>
              <w:widowControl/>
              <w:jc w:val="center"/>
              <w:rPr>
                <w:rFonts w:hint="eastAsia" w:ascii="宋体" w:hAnsi="宋体" w:cs="宋体"/>
                <w:color w:val="auto"/>
                <w:kern w:val="0"/>
                <w:sz w:val="18"/>
                <w:szCs w:val="18"/>
                <w:highlight w:val="none"/>
              </w:rPr>
            </w:pPr>
          </w:p>
        </w:tc>
        <w:tc>
          <w:tcPr>
            <w:tcW w:w="975" w:type="dxa"/>
            <w:vAlign w:val="center"/>
          </w:tcPr>
          <w:p>
            <w:pPr>
              <w:widowControl/>
              <w:jc w:val="center"/>
              <w:rPr>
                <w:rFonts w:hint="eastAsia" w:ascii="宋体" w:hAnsi="宋体" w:cs="宋体"/>
                <w:color w:val="auto"/>
                <w:kern w:val="0"/>
                <w:sz w:val="18"/>
                <w:szCs w:val="18"/>
                <w:highlight w:val="none"/>
              </w:rPr>
            </w:pPr>
          </w:p>
        </w:tc>
        <w:tc>
          <w:tcPr>
            <w:tcW w:w="1254" w:type="dxa"/>
            <w:gridSpan w:val="2"/>
            <w:vAlign w:val="center"/>
          </w:tcPr>
          <w:p>
            <w:pPr>
              <w:widowControl/>
              <w:jc w:val="center"/>
              <w:rPr>
                <w:rFonts w:hint="eastAsia" w:ascii="宋体" w:hAnsi="宋体" w:cs="宋体"/>
                <w:color w:val="auto"/>
                <w:kern w:val="0"/>
                <w:sz w:val="18"/>
                <w:szCs w:val="18"/>
                <w:highlight w:val="none"/>
              </w:rPr>
            </w:pPr>
          </w:p>
        </w:tc>
        <w:tc>
          <w:tcPr>
            <w:tcW w:w="986" w:type="dxa"/>
            <w:vAlign w:val="center"/>
          </w:tcPr>
          <w:p>
            <w:pPr>
              <w:jc w:val="center"/>
              <w:rPr>
                <w:rFonts w:hint="eastAsia" w:ascii="宋体" w:hAnsi="宋体" w:cs="宋体"/>
                <w:color w:val="auto"/>
                <w:kern w:val="0"/>
                <w:sz w:val="18"/>
                <w:szCs w:val="18"/>
                <w:highlight w:val="none"/>
              </w:rPr>
            </w:pPr>
          </w:p>
        </w:tc>
        <w:tc>
          <w:tcPr>
            <w:tcW w:w="1115" w:type="dxa"/>
            <w:gridSpan w:val="2"/>
            <w:vAlign w:val="center"/>
          </w:tcPr>
          <w:p>
            <w:pPr>
              <w:jc w:val="center"/>
              <w:rPr>
                <w:rFonts w:hint="eastAsia" w:ascii="宋体" w:hAnsi="宋体" w:cs="宋体"/>
                <w:color w:val="auto"/>
                <w:kern w:val="0"/>
                <w:sz w:val="18"/>
                <w:szCs w:val="18"/>
                <w:highlight w:val="none"/>
              </w:rPr>
            </w:pPr>
          </w:p>
        </w:tc>
        <w:tc>
          <w:tcPr>
            <w:tcW w:w="528" w:type="dxa"/>
            <w:vAlign w:val="center"/>
          </w:tcPr>
          <w:p>
            <w:pPr>
              <w:jc w:val="center"/>
              <w:rPr>
                <w:rFonts w:hint="eastAsia" w:ascii="宋体" w:hAnsi="宋体" w:cs="宋体"/>
                <w:color w:val="auto"/>
                <w:kern w:val="0"/>
                <w:sz w:val="18"/>
                <w:szCs w:val="18"/>
                <w:highlight w:val="none"/>
              </w:rPr>
            </w:pPr>
          </w:p>
        </w:tc>
        <w:tc>
          <w:tcPr>
            <w:tcW w:w="1387"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262" w:hRule="atLeast"/>
          <w:jc w:val="center"/>
        </w:trPr>
        <w:tc>
          <w:tcPr>
            <w:tcW w:w="600" w:type="dxa"/>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1210" w:type="dxa"/>
            <w:gridSpan w:val="2"/>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699" w:type="dxa"/>
            <w:gridSpan w:val="2"/>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638" w:type="dxa"/>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1454" w:type="dxa"/>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1117"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25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17"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7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254"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8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1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528"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87"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bookmarkEnd w:id="742"/>
    </w:tbl>
    <w:p>
      <w:pPr>
        <w:spacing w:line="360" w:lineRule="auto"/>
        <w:ind w:left="630" w:hanging="630" w:hangingChars="300"/>
        <w:rPr>
          <w:rFonts w:hint="eastAsia" w:ascii="宋体" w:hAnsi="宋体" w:cs="宋体"/>
          <w:color w:val="auto"/>
          <w:spacing w:val="-3"/>
          <w:szCs w:val="21"/>
          <w:highlight w:val="none"/>
        </w:rPr>
      </w:pPr>
      <w:bookmarkStart w:id="743" w:name="_Hlk76581718"/>
      <w:r>
        <w:rPr>
          <w:rFonts w:hint="eastAsia" w:ascii="宋体" w:hAnsi="宋体" w:cs="宋体"/>
          <w:color w:val="auto"/>
          <w:szCs w:val="21"/>
          <w:highlight w:val="none"/>
        </w:rPr>
        <w:t>注：1.</w:t>
      </w:r>
      <w:r>
        <w:rPr>
          <w:rFonts w:hint="eastAsia" w:ascii="宋体" w:hAnsi="宋体" w:cs="宋体"/>
          <w:color w:val="auto"/>
          <w:spacing w:val="-3"/>
          <w:szCs w:val="21"/>
          <w:highlight w:val="none"/>
        </w:rPr>
        <w:t>投标人应在本表后提供相关证明材料（原件原色扫描件）附件B1系列（身份证、职称证、执业资格证、</w:t>
      </w:r>
      <w:r>
        <w:rPr>
          <w:rFonts w:hint="eastAsia" w:ascii="宋体" w:hAnsi="宋体" w:cs="宋体"/>
          <w:color w:val="auto"/>
          <w:szCs w:val="21"/>
          <w:highlight w:val="none"/>
        </w:rPr>
        <w:t>全国公路建设市场监督管理系统中登记在投标人单位的注册监理人员</w:t>
      </w:r>
      <w:r>
        <w:rPr>
          <w:rFonts w:hint="eastAsia" w:ascii="宋体" w:hAnsi="宋体" w:cs="宋体"/>
          <w:color w:val="auto"/>
          <w:kern w:val="0"/>
          <w:szCs w:val="21"/>
          <w:highlight w:val="none"/>
        </w:rPr>
        <w:t>列表网页截图、</w:t>
      </w:r>
      <w:r>
        <w:rPr>
          <w:rFonts w:hint="eastAsia" w:ascii="宋体" w:hAnsi="宋体" w:cs="宋体"/>
          <w:color w:val="auto"/>
          <w:spacing w:val="-3"/>
          <w:szCs w:val="21"/>
          <w:highlight w:val="none"/>
        </w:rPr>
        <w:t>社保证明、个人业绩证明）。</w:t>
      </w:r>
    </w:p>
    <w:p>
      <w:pPr>
        <w:spacing w:line="360" w:lineRule="auto"/>
        <w:ind w:left="630" w:leftChars="270" w:hanging="63" w:hangingChars="30"/>
        <w:rPr>
          <w:rFonts w:hint="eastAsia" w:ascii="宋体" w:hAnsi="宋体" w:cs="宋体"/>
          <w:color w:val="auto"/>
          <w:spacing w:val="-3"/>
          <w:szCs w:val="21"/>
          <w:highlight w:val="none"/>
        </w:rPr>
      </w:pPr>
      <w:r>
        <w:rPr>
          <w:rFonts w:hint="eastAsia" w:ascii="宋体" w:hAnsi="宋体" w:cs="宋体"/>
          <w:color w:val="auto"/>
          <w:highlight w:val="none"/>
        </w:rPr>
        <w:t>证明材料构成应与招标人对拟委任主要人员的要求一一对应，未作要求的内容不得要求投标人提供相应的证明材料。</w:t>
      </w:r>
    </w:p>
    <w:p>
      <w:pPr>
        <w:spacing w:line="360" w:lineRule="auto"/>
        <w:ind w:left="540" w:leftChars="160" w:hanging="204" w:hangingChars="100"/>
        <w:rPr>
          <w:rFonts w:hint="eastAsia" w:ascii="宋体" w:hAnsi="宋体" w:cs="宋体"/>
          <w:color w:val="auto"/>
          <w:szCs w:val="21"/>
          <w:highlight w:val="none"/>
        </w:rPr>
      </w:pPr>
      <w:r>
        <w:rPr>
          <w:rFonts w:hint="eastAsia" w:ascii="宋体" w:hAnsi="宋体" w:cs="宋体"/>
          <w:color w:val="auto"/>
          <w:spacing w:val="-3"/>
          <w:szCs w:val="21"/>
          <w:highlight w:val="none"/>
        </w:rPr>
        <w:t>2.因投标人自身原因未提供附件或提供的附件不能与所证明的内容相匹配，造成业绩或其他内容不予认可时，投标人自行承担相关责任。</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3.个人业绩证明材料为：</w:t>
      </w:r>
    </w:p>
    <w:p>
      <w:pPr>
        <w:spacing w:line="360" w:lineRule="auto"/>
        <w:ind w:firstLine="737" w:firstLineChars="350"/>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交通运输部“全国公路建设市场监督管理系统”中载明的、能够证明该人员具有相关业绩的网页截图</w:t>
      </w:r>
      <w:bookmarkStart w:id="744" w:name="_Hlk94029643"/>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（本项规定仅适用于根据《关于发布公路工程从业企业资质名录的通知》（厅公路字〔2011〕114号）要求，招标人应通过名录对投标人资质条件进行审核的公路施工监理企业单位人员。</w:t>
      </w:r>
      <w:r>
        <w:rPr>
          <w:rFonts w:hint="eastAsia" w:ascii="宋体" w:hAnsi="宋体"/>
          <w:color w:val="auto"/>
          <w:szCs w:val="21"/>
          <w:highlight w:val="none"/>
        </w:rPr>
        <w:t>否则，招标人可对相关个人业绩提出其他证明材料要求。</w:t>
      </w:r>
      <w:r>
        <w:rPr>
          <w:rFonts w:hint="eastAsia" w:ascii="宋体" w:hAnsi="宋体" w:cs="宋体"/>
          <w:color w:val="auto"/>
          <w:szCs w:val="21"/>
          <w:highlight w:val="none"/>
        </w:rPr>
        <w:t>）</w:t>
      </w:r>
      <w:bookmarkEnd w:id="744"/>
      <w:r>
        <w:rPr>
          <w:rFonts w:hint="eastAsia" w:ascii="宋体" w:hAnsi="宋体" w:cs="宋体"/>
          <w:color w:val="auto"/>
          <w:szCs w:val="21"/>
          <w:highlight w:val="none"/>
        </w:rPr>
        <w:t>。□或</w:t>
      </w:r>
    </w:p>
    <w:p>
      <w:pPr>
        <w:spacing w:line="360" w:lineRule="auto"/>
        <w:ind w:firstLine="737" w:firstLineChars="350"/>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 xml:space="preserve">合同协议书；和 </w:t>
      </w:r>
    </w:p>
    <w:p>
      <w:pPr>
        <w:spacing w:line="360" w:lineRule="auto"/>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监理项目评定书或交工验收证书或竣工验收委员会出具的公路工程竣工验收鉴定书或发包人出具的证明原件原色扫描件，其中应能够证明该人员具有相关业绩。</w:t>
      </w:r>
    </w:p>
    <w:p>
      <w:pPr>
        <w:spacing w:line="360" w:lineRule="auto"/>
        <w:ind w:firstLine="420" w:firstLineChars="200"/>
        <w:rPr>
          <w:rFonts w:hint="eastAsia" w:ascii="宋体" w:hAnsi="宋体" w:cs="宋体"/>
          <w:color w:val="auto"/>
          <w:szCs w:val="21"/>
          <w:highlight w:val="none"/>
        </w:rPr>
      </w:pPr>
      <w:bookmarkStart w:id="745" w:name="_Hlk98871596"/>
      <w:r>
        <w:rPr>
          <w:rFonts w:hint="eastAsia" w:ascii="宋体" w:hAnsi="宋体" w:cs="宋体"/>
          <w:color w:val="auto"/>
          <w:szCs w:val="21"/>
          <w:highlight w:val="none"/>
        </w:rPr>
        <w:t>4.</w:t>
      </w:r>
      <w:bookmarkEnd w:id="745"/>
      <w:bookmarkStart w:id="746" w:name="_Hlk97908338"/>
      <w:r>
        <w:rPr>
          <w:rFonts w:hint="eastAsia" w:ascii="宋体" w:hAnsi="宋体" w:cs="宋体"/>
          <w:color w:val="auto"/>
          <w:szCs w:val="21"/>
          <w:highlight w:val="none"/>
        </w:rPr>
        <w:t>提供社保时间段要求：例如投标截止日所在月为“2021年12月”，则提供“2021年6～11月”或“2021年5～10月”在其投标单位连续6个月参加社保的证明材料。</w:t>
      </w:r>
      <w:bookmarkEnd w:id="746"/>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5.桥梁类型应从“梁式桥、拱式桥、悬索桥、斜拉桥、刚构桥、组合体系桥、其他”中选择填写。</w:t>
      </w:r>
    </w:p>
    <w:p>
      <w:pPr>
        <w:shd w:val="clear" w:color="auto" w:fill="FFFFFF"/>
        <w:tabs>
          <w:tab w:val="left" w:pos="312"/>
        </w:tabs>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6.对于左右幅桥长不相同的桥梁，其桥梁长度以左右幅长度较长的为准；若只有单幅的，则以单幅桥梁长度数据为准。</w:t>
      </w:r>
    </w:p>
    <w:p>
      <w:pPr>
        <w:shd w:val="clear" w:color="auto" w:fill="FFFFFF"/>
        <w:tabs>
          <w:tab w:val="left" w:pos="312"/>
        </w:tabs>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7.对于具有双洞的隧道，其隧道长度以左右线隧道长度较长的为准；若只有单洞的，则以单洞隧道长度数据为准。</w:t>
      </w:r>
      <w:bookmarkEnd w:id="743"/>
      <w:r>
        <w:rPr>
          <w:rFonts w:hint="eastAsia" w:ascii="宋体" w:hAnsi="宋体" w:cs="宋体"/>
          <w:color w:val="auto"/>
          <w:szCs w:val="21"/>
          <w:highlight w:val="none"/>
        </w:rPr>
        <w:t>隧道单洞长度不含斜井、竖井、支洞。</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8.允许联合体投标时，若以联合体形式投标的，总监理工程师应按照第二章“投标人须知”前附表附录4资格审查条件的要求及第三章“评标办法”详细评审打分条件（如有）填写本表。</w:t>
      </w:r>
    </w:p>
    <w:p>
      <w:pPr>
        <w:shd w:val="clear" w:color="auto" w:fill="FFFFFF"/>
        <w:ind w:firstLine="420" w:firstLineChars="200"/>
        <w:jc w:val="center"/>
        <w:rPr>
          <w:rFonts w:hint="eastAsia" w:ascii="黑体" w:hAnsi="黑体" w:eastAsia="黑体" w:cs="宋体"/>
          <w:bCs/>
          <w:color w:val="auto"/>
          <w:kern w:val="0"/>
          <w:sz w:val="24"/>
          <w:highlight w:val="none"/>
        </w:rPr>
      </w:pPr>
      <w:r>
        <w:rPr>
          <w:rFonts w:hint="eastAsia" w:ascii="黑体" w:hAnsi="黑体" w:eastAsia="黑体" w:cs="宋体"/>
          <w:bCs/>
          <w:color w:val="auto"/>
          <w:highlight w:val="none"/>
        </w:rPr>
        <w:t xml:space="preserve">                                       </w:t>
      </w:r>
      <w:r>
        <w:rPr>
          <w:rFonts w:hint="eastAsia" w:ascii="黑体" w:hAnsi="黑体" w:eastAsia="黑体" w:cs="宋体"/>
          <w:bCs/>
          <w:color w:val="auto"/>
          <w:kern w:val="0"/>
          <w:sz w:val="24"/>
          <w:highlight w:val="none"/>
        </w:rPr>
        <w:t xml:space="preserve"> </w:t>
      </w:r>
    </w:p>
    <w:p>
      <w:pPr>
        <w:pStyle w:val="2"/>
        <w:rPr>
          <w:color w:val="auto"/>
          <w:highlight w:val="none"/>
        </w:rPr>
      </w:pPr>
      <w:r>
        <w:rPr>
          <w:color w:val="auto"/>
          <w:highlight w:val="none"/>
        </w:rPr>
        <w:br w:type="page"/>
      </w:r>
    </w:p>
    <w:p>
      <w:pPr>
        <w:shd w:val="clear" w:color="auto" w:fill="FFFFFF"/>
        <w:ind w:firstLine="480" w:firstLineChars="200"/>
        <w:jc w:val="center"/>
        <w:rPr>
          <w:rFonts w:hint="eastAsia" w:ascii="黑体" w:hAnsi="黑体" w:eastAsia="黑体" w:cs="宋体"/>
          <w:bCs/>
          <w:color w:val="auto"/>
          <w:highlight w:val="none"/>
        </w:rPr>
      </w:pPr>
      <w:r>
        <w:rPr>
          <w:rFonts w:hint="eastAsia" w:ascii="黑体" w:hAnsi="黑体" w:eastAsia="黑体" w:cs="宋体"/>
          <w:bCs/>
          <w:color w:val="auto"/>
          <w:kern w:val="0"/>
          <w:sz w:val="24"/>
          <w:highlight w:val="none"/>
        </w:rPr>
        <w:t xml:space="preserve">  □ 副总监理工程师资历表 </w:t>
      </w:r>
      <w:r>
        <w:rPr>
          <w:rFonts w:hint="eastAsia" w:ascii="黑体" w:hAnsi="黑体" w:eastAsia="黑体" w:cs="宋体"/>
          <w:bCs/>
          <w:color w:val="auto"/>
          <w:highlight w:val="none"/>
        </w:rPr>
        <w:t xml:space="preserve">                                          表4.2</w:t>
      </w:r>
    </w:p>
    <w:tbl>
      <w:tblPr>
        <w:tblStyle w:val="48"/>
        <w:tblW w:w="14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432"/>
        <w:gridCol w:w="569"/>
        <w:gridCol w:w="346"/>
        <w:gridCol w:w="355"/>
        <w:gridCol w:w="701"/>
        <w:gridCol w:w="1402"/>
        <w:gridCol w:w="662"/>
        <w:gridCol w:w="7"/>
        <w:gridCol w:w="451"/>
        <w:gridCol w:w="186"/>
        <w:gridCol w:w="962"/>
        <w:gridCol w:w="241"/>
        <w:gridCol w:w="731"/>
        <w:gridCol w:w="972"/>
        <w:gridCol w:w="43"/>
        <w:gridCol w:w="1182"/>
        <w:gridCol w:w="1059"/>
        <w:gridCol w:w="447"/>
        <w:gridCol w:w="666"/>
        <w:gridCol w:w="804"/>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2890" w:type="dxa"/>
            <w:gridSpan w:val="21"/>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基本信息</w:t>
            </w:r>
          </w:p>
        </w:tc>
        <w:tc>
          <w:tcPr>
            <w:tcW w:w="1402"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04" w:type="dxa"/>
            <w:gridSpan w:val="2"/>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姓名</w:t>
            </w:r>
          </w:p>
        </w:tc>
        <w:tc>
          <w:tcPr>
            <w:tcW w:w="4035" w:type="dxa"/>
            <w:gridSpan w:val="6"/>
            <w:vAlign w:val="center"/>
          </w:tcPr>
          <w:p>
            <w:pPr>
              <w:widowControl/>
              <w:jc w:val="center"/>
              <w:rPr>
                <w:rFonts w:hint="eastAsia" w:cs="宋体" w:asciiTheme="minorEastAsia" w:hAnsiTheme="minorEastAsia" w:eastAsiaTheme="minorEastAsia"/>
                <w:bCs/>
                <w:color w:val="auto"/>
                <w:kern w:val="0"/>
                <w:sz w:val="18"/>
                <w:szCs w:val="18"/>
                <w:highlight w:val="none"/>
              </w:rPr>
            </w:pPr>
          </w:p>
        </w:tc>
        <w:tc>
          <w:tcPr>
            <w:tcW w:w="644" w:type="dxa"/>
            <w:gridSpan w:val="3"/>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年龄</w:t>
            </w:r>
          </w:p>
        </w:tc>
        <w:tc>
          <w:tcPr>
            <w:tcW w:w="1203" w:type="dxa"/>
            <w:gridSpan w:val="2"/>
            <w:vAlign w:val="center"/>
          </w:tcPr>
          <w:p>
            <w:pPr>
              <w:widowControl/>
              <w:jc w:val="center"/>
              <w:rPr>
                <w:rFonts w:hint="eastAsia" w:cs="宋体" w:asciiTheme="minorEastAsia" w:hAnsiTheme="minorEastAsia" w:eastAsiaTheme="minorEastAsia"/>
                <w:bCs/>
                <w:color w:val="auto"/>
                <w:kern w:val="0"/>
                <w:sz w:val="18"/>
                <w:szCs w:val="18"/>
                <w:highlight w:val="none"/>
              </w:rPr>
            </w:pPr>
          </w:p>
        </w:tc>
        <w:tc>
          <w:tcPr>
            <w:tcW w:w="1746" w:type="dxa"/>
            <w:gridSpan w:val="3"/>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身份证号码</w:t>
            </w:r>
          </w:p>
        </w:tc>
        <w:tc>
          <w:tcPr>
            <w:tcW w:w="4158" w:type="dxa"/>
            <w:gridSpan w:val="5"/>
          </w:tcPr>
          <w:p>
            <w:pPr>
              <w:widowControl/>
              <w:jc w:val="center"/>
              <w:rPr>
                <w:rFonts w:hint="eastAsia" w:cs="宋体" w:asciiTheme="minorEastAsia" w:hAnsiTheme="minorEastAsia" w:eastAsiaTheme="minorEastAsia"/>
                <w:bCs/>
                <w:color w:val="auto"/>
                <w:kern w:val="0"/>
                <w:sz w:val="18"/>
                <w:szCs w:val="18"/>
                <w:highlight w:val="none"/>
              </w:rPr>
            </w:pPr>
          </w:p>
        </w:tc>
        <w:tc>
          <w:tcPr>
            <w:tcW w:w="1402"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附件B2.1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104" w:type="dxa"/>
            <w:gridSpan w:val="2"/>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技术职称</w:t>
            </w:r>
          </w:p>
        </w:tc>
        <w:tc>
          <w:tcPr>
            <w:tcW w:w="4035" w:type="dxa"/>
            <w:gridSpan w:val="6"/>
            <w:vAlign w:val="center"/>
          </w:tcPr>
          <w:p>
            <w:pPr>
              <w:widowControl/>
              <w:jc w:val="left"/>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 xml:space="preserve">□工程师  □高级工程师  </w:t>
            </w:r>
          </w:p>
          <w:p>
            <w:pPr>
              <w:widowControl/>
              <w:jc w:val="left"/>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r>
              <w:rPr>
                <w:rFonts w:hint="eastAsia" w:ascii="宋体" w:hAnsi="宋体" w:cs="宋体"/>
                <w:color w:val="auto"/>
                <w:kern w:val="0"/>
                <w:sz w:val="18"/>
                <w:szCs w:val="18"/>
                <w:highlight w:val="none"/>
              </w:rPr>
              <w:t>正（教授级或研究员级）高级工程师</w:t>
            </w:r>
          </w:p>
        </w:tc>
        <w:tc>
          <w:tcPr>
            <w:tcW w:w="644" w:type="dxa"/>
            <w:gridSpan w:val="3"/>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专业</w:t>
            </w:r>
          </w:p>
        </w:tc>
        <w:tc>
          <w:tcPr>
            <w:tcW w:w="1203" w:type="dxa"/>
            <w:gridSpan w:val="2"/>
            <w:vAlign w:val="center"/>
          </w:tcPr>
          <w:p>
            <w:pPr>
              <w:widowControl/>
              <w:jc w:val="center"/>
              <w:rPr>
                <w:rFonts w:hint="eastAsia" w:cs="宋体" w:asciiTheme="minorEastAsia" w:hAnsiTheme="minorEastAsia" w:eastAsiaTheme="minorEastAsia"/>
                <w:bCs/>
                <w:color w:val="auto"/>
                <w:kern w:val="0"/>
                <w:sz w:val="18"/>
                <w:szCs w:val="18"/>
                <w:highlight w:val="none"/>
              </w:rPr>
            </w:pPr>
          </w:p>
        </w:tc>
        <w:tc>
          <w:tcPr>
            <w:tcW w:w="1746" w:type="dxa"/>
            <w:gridSpan w:val="3"/>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证书编号</w:t>
            </w:r>
          </w:p>
        </w:tc>
        <w:tc>
          <w:tcPr>
            <w:tcW w:w="4158" w:type="dxa"/>
            <w:gridSpan w:val="5"/>
          </w:tcPr>
          <w:p>
            <w:pPr>
              <w:widowControl/>
              <w:jc w:val="center"/>
              <w:rPr>
                <w:rFonts w:hint="eastAsia" w:cs="宋体" w:asciiTheme="minorEastAsia" w:hAnsiTheme="minorEastAsia" w:eastAsiaTheme="minorEastAsia"/>
                <w:bCs/>
                <w:color w:val="auto"/>
                <w:kern w:val="0"/>
                <w:sz w:val="18"/>
                <w:szCs w:val="18"/>
                <w:highlight w:val="none"/>
              </w:rPr>
            </w:pPr>
          </w:p>
        </w:tc>
        <w:tc>
          <w:tcPr>
            <w:tcW w:w="1402"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附件B2.2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04" w:type="dxa"/>
            <w:gridSpan w:val="2"/>
            <w:vMerge w:val="restart"/>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执业资格证书</w:t>
            </w:r>
          </w:p>
        </w:tc>
        <w:tc>
          <w:tcPr>
            <w:tcW w:w="5882" w:type="dxa"/>
            <w:gridSpan w:val="11"/>
            <w:vMerge w:val="restart"/>
            <w:vAlign w:val="center"/>
          </w:tcPr>
          <w:p>
            <w:pPr>
              <w:widowControl/>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 xml:space="preserve">□监理工程师 </w:t>
            </w:r>
          </w:p>
          <w:p>
            <w:pPr>
              <w:widowControl/>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 xml:space="preserve">□专业监理工程师（道路与桥梁）  □专业监理工程师（隧道） </w:t>
            </w:r>
          </w:p>
          <w:p>
            <w:pPr>
              <w:widowControl/>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□专业监理工程师（机电工程）     □专业监理工程师（公路工程经济）</w:t>
            </w:r>
          </w:p>
          <w:p>
            <w:pPr>
              <w:widowControl/>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□其他：</w:t>
            </w:r>
            <w:r>
              <w:rPr>
                <w:rFonts w:hint="eastAsia" w:cs="宋体" w:asciiTheme="minorEastAsia" w:hAnsiTheme="minorEastAsia" w:eastAsiaTheme="minorEastAsia"/>
                <w:color w:val="auto"/>
                <w:kern w:val="0"/>
                <w:sz w:val="18"/>
                <w:szCs w:val="18"/>
                <w:highlight w:val="none"/>
                <w:u w:val="single"/>
              </w:rPr>
              <w:t xml:space="preserve">      </w:t>
            </w:r>
            <w:r>
              <w:rPr>
                <w:rFonts w:hint="eastAsia" w:cs="宋体" w:asciiTheme="minorEastAsia" w:hAnsiTheme="minorEastAsia" w:eastAsiaTheme="minorEastAsia"/>
                <w:color w:val="auto"/>
                <w:kern w:val="0"/>
                <w:sz w:val="18"/>
                <w:szCs w:val="18"/>
                <w:highlight w:val="none"/>
              </w:rPr>
              <w:t>　</w:t>
            </w:r>
          </w:p>
        </w:tc>
        <w:tc>
          <w:tcPr>
            <w:tcW w:w="1746" w:type="dxa"/>
            <w:gridSpan w:val="3"/>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证书编号</w:t>
            </w:r>
          </w:p>
        </w:tc>
        <w:tc>
          <w:tcPr>
            <w:tcW w:w="4158" w:type="dxa"/>
            <w:gridSpan w:val="5"/>
          </w:tcPr>
          <w:p>
            <w:pPr>
              <w:widowControl/>
              <w:jc w:val="center"/>
              <w:rPr>
                <w:rFonts w:hint="eastAsia" w:cs="宋体" w:asciiTheme="minorEastAsia" w:hAnsiTheme="minorEastAsia" w:eastAsiaTheme="minorEastAsia"/>
                <w:bCs/>
                <w:color w:val="auto"/>
                <w:kern w:val="0"/>
                <w:sz w:val="18"/>
                <w:szCs w:val="18"/>
                <w:highlight w:val="none"/>
              </w:rPr>
            </w:pPr>
          </w:p>
        </w:tc>
        <w:tc>
          <w:tcPr>
            <w:tcW w:w="1402"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附件B2.3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104" w:type="dxa"/>
            <w:gridSpan w:val="2"/>
            <w:vMerge w:val="continue"/>
            <w:vAlign w:val="center"/>
          </w:tcPr>
          <w:p>
            <w:pPr>
              <w:widowControl/>
              <w:jc w:val="center"/>
              <w:rPr>
                <w:rFonts w:hint="eastAsia" w:cs="宋体" w:asciiTheme="minorEastAsia" w:hAnsiTheme="minorEastAsia" w:eastAsiaTheme="minorEastAsia"/>
                <w:bCs/>
                <w:color w:val="auto"/>
                <w:kern w:val="0"/>
                <w:sz w:val="18"/>
                <w:szCs w:val="18"/>
                <w:highlight w:val="none"/>
              </w:rPr>
            </w:pPr>
          </w:p>
        </w:tc>
        <w:tc>
          <w:tcPr>
            <w:tcW w:w="5882" w:type="dxa"/>
            <w:gridSpan w:val="11"/>
            <w:vMerge w:val="continue"/>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4434" w:type="dxa"/>
            <w:gridSpan w:val="6"/>
          </w:tcPr>
          <w:p>
            <w:pPr>
              <w:widowControl/>
              <w:wordWrap w:val="0"/>
              <w:jc w:val="left"/>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在全国公路建设市场监督管理系统（https://hwdms.mot.gov.cn/BMWebSite/）中，是否登记在投标人单位的注册监理人员列表中</w:t>
            </w:r>
          </w:p>
        </w:tc>
        <w:tc>
          <w:tcPr>
            <w:tcW w:w="1470" w:type="dxa"/>
            <w:gridSpan w:val="2"/>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□是  □否</w:t>
            </w:r>
          </w:p>
        </w:tc>
        <w:tc>
          <w:tcPr>
            <w:tcW w:w="1402"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附件B2.4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019" w:type="dxa"/>
            <w:gridSpan w:val="4"/>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是否要求提供社保资料</w:t>
            </w:r>
          </w:p>
        </w:tc>
        <w:tc>
          <w:tcPr>
            <w:tcW w:w="3127" w:type="dxa"/>
            <w:gridSpan w:val="5"/>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□是    □否</w:t>
            </w:r>
          </w:p>
        </w:tc>
        <w:tc>
          <w:tcPr>
            <w:tcW w:w="1840" w:type="dxa"/>
            <w:gridSpan w:val="4"/>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提供社保时间段</w:t>
            </w:r>
          </w:p>
        </w:tc>
        <w:tc>
          <w:tcPr>
            <w:tcW w:w="5904" w:type="dxa"/>
            <w:gridSpan w:val="8"/>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年</w:t>
            </w:r>
            <w:r>
              <w:rPr>
                <w:rFonts w:hint="eastAsia" w:cs="宋体" w:asciiTheme="minorEastAsia" w:hAnsiTheme="minorEastAsia" w:eastAsiaTheme="minorEastAsia"/>
                <w:bCs/>
                <w:color w:val="auto"/>
                <w:kern w:val="0"/>
                <w:sz w:val="18"/>
                <w:szCs w:val="18"/>
                <w:highlight w:val="none"/>
                <w:u w:val="single"/>
              </w:rPr>
              <w:t xml:space="preserve">     </w:t>
            </w:r>
            <w:r>
              <w:rPr>
                <w:rFonts w:hint="eastAsia" w:cs="宋体" w:asciiTheme="minorEastAsia" w:hAnsiTheme="minorEastAsia" w:eastAsiaTheme="minorEastAsia"/>
                <w:bCs/>
                <w:color w:val="auto"/>
                <w:kern w:val="0"/>
                <w:sz w:val="18"/>
                <w:szCs w:val="18"/>
                <w:highlight w:val="none"/>
              </w:rPr>
              <w:t>月 ～</w:t>
            </w:r>
            <w:r>
              <w:rPr>
                <w:rFonts w:hint="eastAsia" w:cs="宋体" w:asciiTheme="minorEastAsia" w:hAnsiTheme="minorEastAsia" w:eastAsiaTheme="minorEastAsia"/>
                <w:bCs/>
                <w:color w:val="auto"/>
                <w:kern w:val="0"/>
                <w:sz w:val="18"/>
                <w:szCs w:val="18"/>
                <w:highlight w:val="none"/>
                <w:u w:val="single"/>
              </w:rPr>
              <w:t xml:space="preserve">      </w:t>
            </w:r>
            <w:r>
              <w:rPr>
                <w:rFonts w:hint="eastAsia" w:cs="宋体" w:asciiTheme="minorEastAsia" w:hAnsiTheme="minorEastAsia" w:eastAsiaTheme="minorEastAsia"/>
                <w:bCs/>
                <w:color w:val="auto"/>
                <w:kern w:val="0"/>
                <w:sz w:val="18"/>
                <w:szCs w:val="18"/>
                <w:highlight w:val="none"/>
              </w:rPr>
              <w:t>年</w:t>
            </w:r>
            <w:r>
              <w:rPr>
                <w:rFonts w:hint="eastAsia" w:cs="宋体" w:asciiTheme="minorEastAsia" w:hAnsiTheme="minorEastAsia" w:eastAsiaTheme="minorEastAsia"/>
                <w:bCs/>
                <w:color w:val="auto"/>
                <w:kern w:val="0"/>
                <w:sz w:val="18"/>
                <w:szCs w:val="18"/>
                <w:highlight w:val="none"/>
                <w:u w:val="single"/>
              </w:rPr>
              <w:t xml:space="preserve">    </w:t>
            </w:r>
            <w:r>
              <w:rPr>
                <w:rFonts w:hint="eastAsia" w:cs="宋体" w:asciiTheme="minorEastAsia" w:hAnsiTheme="minorEastAsia" w:eastAsiaTheme="minorEastAsia"/>
                <w:bCs/>
                <w:color w:val="auto"/>
                <w:kern w:val="0"/>
                <w:sz w:val="18"/>
                <w:szCs w:val="18"/>
                <w:highlight w:val="none"/>
              </w:rPr>
              <w:t>月</w:t>
            </w:r>
          </w:p>
        </w:tc>
        <w:tc>
          <w:tcPr>
            <w:tcW w:w="1402"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附件B2.5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019" w:type="dxa"/>
            <w:gridSpan w:val="4"/>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是否在岗</w:t>
            </w:r>
          </w:p>
        </w:tc>
        <w:tc>
          <w:tcPr>
            <w:tcW w:w="10871" w:type="dxa"/>
            <w:gridSpan w:val="17"/>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□是    □否</w:t>
            </w:r>
          </w:p>
        </w:tc>
        <w:tc>
          <w:tcPr>
            <w:tcW w:w="1402"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承诺见投标函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890" w:type="dxa"/>
            <w:gridSpan w:val="21"/>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担任资格审查要求职务完成业绩情况</w:t>
            </w:r>
          </w:p>
        </w:tc>
        <w:tc>
          <w:tcPr>
            <w:tcW w:w="1402"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672"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项目业主</w:t>
            </w:r>
          </w:p>
        </w:tc>
        <w:tc>
          <w:tcPr>
            <w:tcW w:w="1001" w:type="dxa"/>
            <w:gridSpan w:val="2"/>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项目名称</w:t>
            </w:r>
          </w:p>
        </w:tc>
        <w:tc>
          <w:tcPr>
            <w:tcW w:w="701" w:type="dxa"/>
            <w:gridSpan w:val="2"/>
            <w:vAlign w:val="center"/>
          </w:tcPr>
          <w:p>
            <w:pPr>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公路等级</w:t>
            </w:r>
          </w:p>
        </w:tc>
        <w:tc>
          <w:tcPr>
            <w:tcW w:w="701"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标段</w:t>
            </w:r>
          </w:p>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名称</w:t>
            </w:r>
          </w:p>
        </w:tc>
        <w:tc>
          <w:tcPr>
            <w:tcW w:w="1402"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总/副总/驻地/副驻地监理工程师</w:t>
            </w:r>
          </w:p>
        </w:tc>
        <w:tc>
          <w:tcPr>
            <w:tcW w:w="1120" w:type="dxa"/>
            <w:gridSpan w:val="3"/>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bCs/>
                <w:color w:val="auto"/>
                <w:kern w:val="0"/>
                <w:sz w:val="18"/>
                <w:szCs w:val="18"/>
                <w:highlight w:val="none"/>
              </w:rPr>
              <w:t>承担标段路线长度（km）</w:t>
            </w:r>
          </w:p>
        </w:tc>
        <w:tc>
          <w:tcPr>
            <w:tcW w:w="1148" w:type="dxa"/>
            <w:gridSpan w:val="2"/>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r>
              <w:rPr>
                <w:rFonts w:hint="eastAsia" w:cs="宋体" w:asciiTheme="minorEastAsia" w:hAnsiTheme="minorEastAsia" w:eastAsiaTheme="minorEastAsia"/>
                <w:bCs/>
                <w:color w:val="auto"/>
                <w:kern w:val="0"/>
                <w:sz w:val="18"/>
                <w:szCs w:val="18"/>
                <w:highlight w:val="none"/>
              </w:rPr>
              <w:t>承担标段特大桥梁名称/类型</w:t>
            </w:r>
          </w:p>
        </w:tc>
        <w:tc>
          <w:tcPr>
            <w:tcW w:w="972" w:type="dxa"/>
            <w:gridSpan w:val="2"/>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r>
              <w:rPr>
                <w:rFonts w:hint="eastAsia" w:cs="宋体" w:asciiTheme="minorEastAsia" w:hAnsiTheme="minorEastAsia" w:eastAsiaTheme="minorEastAsia"/>
                <w:bCs/>
                <w:color w:val="auto"/>
                <w:kern w:val="0"/>
                <w:sz w:val="18"/>
                <w:szCs w:val="18"/>
                <w:highlight w:val="none"/>
              </w:rPr>
              <w:t>桥梁主跨跨径（m）</w:t>
            </w:r>
          </w:p>
        </w:tc>
        <w:tc>
          <w:tcPr>
            <w:tcW w:w="972" w:type="dxa"/>
            <w:vAlign w:val="center"/>
          </w:tcPr>
          <w:p>
            <w:pPr>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r>
              <w:rPr>
                <w:rFonts w:hint="eastAsia" w:cs="宋体" w:asciiTheme="minorEastAsia" w:hAnsiTheme="minorEastAsia" w:eastAsiaTheme="minorEastAsia"/>
                <w:bCs/>
                <w:color w:val="auto"/>
                <w:kern w:val="0"/>
                <w:sz w:val="18"/>
                <w:szCs w:val="18"/>
                <w:highlight w:val="none"/>
              </w:rPr>
              <w:t>承担标段隧道名称</w:t>
            </w:r>
          </w:p>
        </w:tc>
        <w:tc>
          <w:tcPr>
            <w:tcW w:w="1225"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r>
              <w:rPr>
                <w:rFonts w:hint="eastAsia" w:cs="宋体" w:asciiTheme="minorEastAsia" w:hAnsiTheme="minorEastAsia" w:eastAsiaTheme="minorEastAsia"/>
                <w:bCs/>
                <w:color w:val="auto"/>
                <w:kern w:val="0"/>
                <w:sz w:val="18"/>
                <w:szCs w:val="18"/>
                <w:highlight w:val="none"/>
              </w:rPr>
              <w:t>承担标段隧道单洞长度（m）</w:t>
            </w:r>
          </w:p>
        </w:tc>
        <w:tc>
          <w:tcPr>
            <w:tcW w:w="1059" w:type="dxa"/>
            <w:vAlign w:val="center"/>
          </w:tcPr>
          <w:p>
            <w:pPr>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r>
              <w:rPr>
                <w:rFonts w:hint="eastAsia" w:cs="宋体" w:asciiTheme="minorEastAsia" w:hAnsiTheme="minorEastAsia" w:eastAsiaTheme="minorEastAsia"/>
                <w:bCs/>
                <w:color w:val="auto"/>
                <w:kern w:val="0"/>
                <w:sz w:val="18"/>
                <w:szCs w:val="18"/>
                <w:highlight w:val="none"/>
              </w:rPr>
              <w:t>承担标段路面结构形式</w:t>
            </w:r>
          </w:p>
        </w:tc>
        <w:tc>
          <w:tcPr>
            <w:tcW w:w="1113" w:type="dxa"/>
            <w:gridSpan w:val="2"/>
            <w:vAlign w:val="center"/>
          </w:tcPr>
          <w:p>
            <w:pPr>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r>
              <w:rPr>
                <w:rFonts w:hint="eastAsia" w:cs="宋体" w:asciiTheme="minorEastAsia" w:hAnsiTheme="minorEastAsia" w:eastAsiaTheme="minorEastAsia"/>
                <w:bCs/>
                <w:color w:val="auto"/>
                <w:kern w:val="0"/>
                <w:sz w:val="18"/>
                <w:szCs w:val="18"/>
                <w:highlight w:val="none"/>
              </w:rPr>
              <w:t>承担标段（隧道）机电类型</w:t>
            </w:r>
          </w:p>
        </w:tc>
        <w:tc>
          <w:tcPr>
            <w:tcW w:w="804" w:type="dxa"/>
            <w:vAlign w:val="center"/>
          </w:tcPr>
          <w:p>
            <w:pPr>
              <w:widowControl/>
              <w:jc w:val="center"/>
              <w:rPr>
                <w:rFonts w:hint="eastAsia" w:cs="宋体" w:asciiTheme="minorEastAsia" w:hAnsiTheme="minorEastAsia" w:eastAsiaTheme="minorEastAsia"/>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r>
              <w:rPr>
                <w:rFonts w:hint="eastAsia" w:cs="宋体" w:asciiTheme="minorEastAsia" w:hAnsiTheme="minorEastAsia" w:eastAsiaTheme="minorEastAsia"/>
                <w:bCs/>
                <w:color w:val="auto"/>
                <w:kern w:val="0"/>
                <w:sz w:val="18"/>
                <w:szCs w:val="18"/>
                <w:highlight w:val="none"/>
              </w:rPr>
              <w:t>其他</w:t>
            </w:r>
          </w:p>
        </w:tc>
        <w:tc>
          <w:tcPr>
            <w:tcW w:w="1402" w:type="dxa"/>
            <w:vAlign w:val="center"/>
          </w:tcPr>
          <w:p>
            <w:pPr>
              <w:widowControl/>
              <w:jc w:val="center"/>
              <w:rPr>
                <w:rFonts w:hint="eastAsia" w:cs="宋体" w:asciiTheme="minorEastAsia" w:hAnsiTheme="minorEastAsia" w:eastAsiaTheme="minorEastAsia"/>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72" w:type="dxa"/>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1001"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701"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701"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402"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120" w:type="dxa"/>
            <w:gridSpan w:val="3"/>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1148"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972"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972"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225"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1059"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113"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804" w:type="dxa"/>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1402" w:type="dxa"/>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附件2.6-1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72" w:type="dxa"/>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1001"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701"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701"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402"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120" w:type="dxa"/>
            <w:gridSpan w:val="3"/>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1148"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972"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972"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225"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1059"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113"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804" w:type="dxa"/>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1402" w:type="dxa"/>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附件2.6-2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72" w:type="dxa"/>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1001"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701"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701"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402"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120" w:type="dxa"/>
            <w:gridSpan w:val="3"/>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1148"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972"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972"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225" w:type="dxa"/>
            <w:gridSpan w:val="2"/>
            <w:vAlign w:val="center"/>
          </w:tcPr>
          <w:p>
            <w:pPr>
              <w:jc w:val="center"/>
              <w:rPr>
                <w:rFonts w:hint="eastAsia" w:cs="宋体" w:asciiTheme="minorEastAsia" w:hAnsiTheme="minorEastAsia" w:eastAsiaTheme="minorEastAsia"/>
                <w:color w:val="auto"/>
                <w:kern w:val="0"/>
                <w:sz w:val="18"/>
                <w:szCs w:val="18"/>
                <w:highlight w:val="none"/>
              </w:rPr>
            </w:pPr>
          </w:p>
        </w:tc>
        <w:tc>
          <w:tcPr>
            <w:tcW w:w="1059" w:type="dxa"/>
            <w:vAlign w:val="center"/>
          </w:tcPr>
          <w:p>
            <w:pPr>
              <w:jc w:val="center"/>
              <w:rPr>
                <w:rFonts w:hint="eastAsia" w:cs="宋体" w:asciiTheme="minorEastAsia" w:hAnsiTheme="minorEastAsia" w:eastAsiaTheme="minorEastAsia"/>
                <w:color w:val="auto"/>
                <w:kern w:val="0"/>
                <w:sz w:val="18"/>
                <w:szCs w:val="18"/>
                <w:highlight w:val="none"/>
              </w:rPr>
            </w:pPr>
          </w:p>
        </w:tc>
        <w:tc>
          <w:tcPr>
            <w:tcW w:w="1113"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804" w:type="dxa"/>
            <w:vAlign w:val="center"/>
          </w:tcPr>
          <w:p>
            <w:pPr>
              <w:widowControl/>
              <w:jc w:val="center"/>
              <w:rPr>
                <w:rFonts w:hint="eastAsia" w:cs="宋体" w:asciiTheme="minorEastAsia" w:hAnsiTheme="minorEastAsia" w:eastAsiaTheme="minorEastAsia"/>
                <w:color w:val="auto"/>
                <w:kern w:val="0"/>
                <w:sz w:val="18"/>
                <w:szCs w:val="18"/>
                <w:highlight w:val="none"/>
              </w:rPr>
            </w:pPr>
          </w:p>
        </w:tc>
        <w:tc>
          <w:tcPr>
            <w:tcW w:w="1402" w:type="dxa"/>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附件2.6-3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672" w:type="dxa"/>
            <w:vAlign w:val="center"/>
          </w:tcPr>
          <w:p>
            <w:pPr>
              <w:jc w:val="center"/>
              <w:rPr>
                <w:rFonts w:hint="eastAsia" w:cs="宋体" w:asciiTheme="minorEastAsia" w:hAnsiTheme="minorEastAsia" w:eastAsiaTheme="minorEastAsia"/>
                <w:color w:val="auto"/>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1001" w:type="dxa"/>
            <w:gridSpan w:val="2"/>
            <w:vAlign w:val="center"/>
          </w:tcPr>
          <w:p>
            <w:pPr>
              <w:jc w:val="center"/>
              <w:rPr>
                <w:rFonts w:hint="eastAsia" w:cs="宋体" w:asciiTheme="minorEastAsia" w:hAnsiTheme="minorEastAsia" w:eastAsiaTheme="minorEastAsia"/>
                <w:color w:val="auto"/>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701" w:type="dxa"/>
            <w:gridSpan w:val="2"/>
            <w:vAlign w:val="center"/>
          </w:tcPr>
          <w:p>
            <w:pPr>
              <w:jc w:val="center"/>
              <w:rPr>
                <w:rFonts w:hint="eastAsia" w:cs="宋体" w:asciiTheme="minorEastAsia" w:hAnsiTheme="minorEastAsia" w:eastAsiaTheme="minorEastAsia"/>
                <w:color w:val="auto"/>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701" w:type="dxa"/>
            <w:vAlign w:val="center"/>
          </w:tcPr>
          <w:p>
            <w:pPr>
              <w:jc w:val="center"/>
              <w:rPr>
                <w:rFonts w:hint="eastAsia" w:cs="宋体" w:asciiTheme="minorEastAsia" w:hAnsiTheme="minorEastAsia" w:eastAsiaTheme="minorEastAsia"/>
                <w:color w:val="auto"/>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1402" w:type="dxa"/>
            <w:vAlign w:val="center"/>
          </w:tcPr>
          <w:p>
            <w:pPr>
              <w:jc w:val="center"/>
              <w:rPr>
                <w:rFonts w:hint="eastAsia" w:cs="宋体" w:asciiTheme="minorEastAsia" w:hAnsiTheme="minorEastAsia" w:eastAsiaTheme="minorEastAsia"/>
                <w:color w:val="auto"/>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1120" w:type="dxa"/>
            <w:gridSpan w:val="3"/>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1148"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972"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972" w:type="dxa"/>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1225"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1059" w:type="dxa"/>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1113" w:type="dxa"/>
            <w:gridSpan w:val="2"/>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804" w:type="dxa"/>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p>
        </w:tc>
        <w:tc>
          <w:tcPr>
            <w:tcW w:w="1402" w:type="dxa"/>
            <w:vAlign w:val="center"/>
          </w:tcPr>
          <w:p>
            <w:pPr>
              <w:widowControl/>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p>
        </w:tc>
      </w:tr>
    </w:tbl>
    <w:p>
      <w:pPr>
        <w:spacing w:line="360" w:lineRule="auto"/>
        <w:ind w:left="630" w:hanging="630" w:hangingChars="3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注：1.</w:t>
      </w:r>
      <w:r>
        <w:rPr>
          <w:rFonts w:hint="eastAsia" w:cs="宋体" w:asciiTheme="minorEastAsia" w:hAnsiTheme="minorEastAsia" w:eastAsiaTheme="minorEastAsia"/>
          <w:color w:val="auto"/>
          <w:spacing w:val="-3"/>
          <w:szCs w:val="21"/>
          <w:highlight w:val="none"/>
        </w:rPr>
        <w:t>投标人应在本表后提供相关证明材料（原件原色扫描件）附件B2系列（身份证、职称证、执业资格证、</w:t>
      </w:r>
      <w:r>
        <w:rPr>
          <w:rFonts w:hint="eastAsia" w:cs="宋体" w:asciiTheme="minorEastAsia" w:hAnsiTheme="minorEastAsia" w:eastAsiaTheme="minorEastAsia"/>
          <w:color w:val="auto"/>
          <w:szCs w:val="21"/>
          <w:highlight w:val="none"/>
        </w:rPr>
        <w:t>全国公路建设市场监督管理系统中登记在投标人单位的注册监理人员</w:t>
      </w:r>
      <w:r>
        <w:rPr>
          <w:rFonts w:hint="eastAsia" w:cs="宋体" w:asciiTheme="minorEastAsia" w:hAnsiTheme="minorEastAsia" w:eastAsiaTheme="minorEastAsia"/>
          <w:color w:val="auto"/>
          <w:kern w:val="0"/>
          <w:szCs w:val="21"/>
          <w:highlight w:val="none"/>
        </w:rPr>
        <w:t>列表网页截图、</w:t>
      </w:r>
      <w:r>
        <w:rPr>
          <w:rFonts w:hint="eastAsia" w:cs="宋体" w:asciiTheme="minorEastAsia" w:hAnsiTheme="minorEastAsia" w:eastAsiaTheme="minorEastAsia"/>
          <w:color w:val="auto"/>
          <w:szCs w:val="21"/>
          <w:highlight w:val="none"/>
        </w:rPr>
        <w:t>社保证明、个人业绩证明）。</w:t>
      </w:r>
    </w:p>
    <w:p>
      <w:pPr>
        <w:spacing w:line="360" w:lineRule="auto"/>
        <w:ind w:left="630" w:leftChars="270" w:hanging="63" w:hangingChars="30"/>
        <w:rPr>
          <w:rFonts w:hint="eastAsia" w:cs="宋体" w:asciiTheme="minorEastAsia" w:hAnsiTheme="minorEastAsia" w:eastAsiaTheme="minorEastAsia"/>
          <w:color w:val="auto"/>
          <w:szCs w:val="21"/>
          <w:highlight w:val="none"/>
        </w:rPr>
      </w:pPr>
      <w:r>
        <w:rPr>
          <w:rFonts w:hint="eastAsia" w:ascii="宋体" w:hAnsi="宋体" w:cs="宋体"/>
          <w:color w:val="auto"/>
          <w:szCs w:val="21"/>
          <w:highlight w:val="none"/>
        </w:rPr>
        <w:t>证明材料构成应与招标人对拟委任主要人员的要求一一对应，未作要求的内容不得要求投标人提供相应的证明材料。</w:t>
      </w:r>
    </w:p>
    <w:p>
      <w:pPr>
        <w:spacing w:line="360" w:lineRule="auto"/>
        <w:ind w:left="540" w:leftChars="160" w:hanging="204" w:hanging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pacing w:val="-3"/>
          <w:szCs w:val="21"/>
          <w:highlight w:val="none"/>
        </w:rPr>
        <w:t>2.因投标人自身原因未提供附件或提供的附件不能与所证明的内容相匹配，造成业绩或其他内容不予认可时，投标人自行承担相关责任</w:t>
      </w:r>
      <w:r>
        <w:rPr>
          <w:rFonts w:hint="eastAsia" w:cs="宋体" w:asciiTheme="minorEastAsia" w:hAnsiTheme="minorEastAsia" w:eastAsiaTheme="minorEastAsia"/>
          <w:color w:val="auto"/>
          <w:szCs w:val="21"/>
          <w:highlight w:val="none"/>
        </w:rPr>
        <w:t>。</w:t>
      </w:r>
    </w:p>
    <w:p>
      <w:pPr>
        <w:spacing w:line="360" w:lineRule="auto"/>
        <w:ind w:left="540" w:leftChars="160" w:hanging="204" w:hangingChars="100"/>
        <w:rPr>
          <w:rFonts w:hint="eastAsia" w:cs="宋体" w:asciiTheme="minorEastAsia" w:hAnsiTheme="minorEastAsia" w:eastAsiaTheme="minorEastAsia"/>
          <w:color w:val="auto"/>
          <w:spacing w:val="-3"/>
          <w:szCs w:val="21"/>
          <w:highlight w:val="none"/>
        </w:rPr>
      </w:pPr>
      <w:r>
        <w:rPr>
          <w:rFonts w:hint="eastAsia" w:cs="宋体" w:asciiTheme="minorEastAsia" w:hAnsiTheme="minorEastAsia" w:eastAsiaTheme="minorEastAsia"/>
          <w:color w:val="auto"/>
          <w:spacing w:val="-3"/>
          <w:szCs w:val="21"/>
          <w:highlight w:val="none"/>
        </w:rPr>
        <w:t>3.个人业绩证明材料为：</w:t>
      </w:r>
    </w:p>
    <w:p>
      <w:pPr>
        <w:spacing w:line="360" w:lineRule="auto"/>
        <w:ind w:left="540" w:leftChars="160" w:hanging="204" w:hangingChars="100"/>
        <w:rPr>
          <w:rFonts w:hint="eastAsia" w:cs="宋体" w:asciiTheme="minorEastAsia" w:hAnsiTheme="minorEastAsia" w:eastAsiaTheme="minorEastAsia"/>
          <w:color w:val="auto"/>
          <w:spacing w:val="-3"/>
          <w:szCs w:val="21"/>
          <w:highlight w:val="none"/>
        </w:rPr>
      </w:pPr>
      <w:r>
        <w:rPr>
          <w:rFonts w:hint="eastAsia" w:cs="宋体" w:asciiTheme="minorEastAsia" w:hAnsiTheme="minorEastAsia" w:eastAsiaTheme="minorEastAsia"/>
          <w:color w:val="auto"/>
          <w:spacing w:val="-3"/>
          <w:szCs w:val="21"/>
          <w:highlight w:val="none"/>
        </w:rPr>
        <w:t>□ 交通运输部“全国公路建设市场监督管理系统”中载明的、能够证明该人员具有相关业绩的网页截图（本项规定仅适用于根据《关于发布公路工程从业企业资质名录的通知》（厅公路字〔2011〕114号）要求，招标人应通过名录对投标人资质条件进行审核的公路施工监理企业单位人员。否则，招标人可对相关个人业绩提出其他证明材料要求。）。□或□ 合同协议书；和监理项目评定书或交工验收证书或竣工验收委员会出具的公路工程竣工验收鉴定书或发包人出具的证明原件原色扫描件，其中应能够证明该人员具有相关业绩。</w:t>
      </w:r>
    </w:p>
    <w:p>
      <w:pPr>
        <w:spacing w:line="360" w:lineRule="auto"/>
        <w:ind w:left="540" w:leftChars="160" w:hanging="204" w:hangingChars="100"/>
        <w:rPr>
          <w:rFonts w:hint="eastAsia" w:cs="宋体" w:asciiTheme="minorEastAsia" w:hAnsiTheme="minorEastAsia" w:eastAsiaTheme="minorEastAsia"/>
          <w:color w:val="auto"/>
          <w:spacing w:val="-3"/>
          <w:szCs w:val="21"/>
          <w:highlight w:val="none"/>
        </w:rPr>
      </w:pPr>
      <w:bookmarkStart w:id="747" w:name="_Hlk98423039"/>
      <w:r>
        <w:rPr>
          <w:rFonts w:hint="eastAsia" w:cs="宋体" w:asciiTheme="minorEastAsia" w:hAnsiTheme="minorEastAsia" w:eastAsiaTheme="minorEastAsia"/>
          <w:color w:val="auto"/>
          <w:spacing w:val="-3"/>
          <w:szCs w:val="21"/>
          <w:highlight w:val="none"/>
        </w:rPr>
        <w:t>4.提供社保时间段要求：例如投标截止日所在月为“2021年12月”，则提供“2021年6～11月”或“2021年5～10月”在其投标单位连续6个月参加社保的证明材料。</w:t>
      </w:r>
      <w:bookmarkEnd w:id="747"/>
    </w:p>
    <w:p>
      <w:pPr>
        <w:spacing w:line="360" w:lineRule="auto"/>
        <w:ind w:firstLine="420" w:firstLineChars="2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5.桥梁类型应从“梁式桥、拱式桥、悬索桥、斜拉桥、刚构桥、组合体系桥、其他”中选择填写。</w:t>
      </w:r>
    </w:p>
    <w:p>
      <w:pPr>
        <w:spacing w:line="360" w:lineRule="auto"/>
        <w:ind w:firstLine="420" w:firstLineChars="2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6.</w:t>
      </w:r>
      <w:r>
        <w:rPr>
          <w:rFonts w:hint="eastAsia" w:ascii="宋体" w:hAnsi="宋体" w:cs="宋体"/>
          <w:color w:val="auto"/>
          <w:szCs w:val="21"/>
          <w:highlight w:val="none"/>
        </w:rPr>
        <w:t>对于左右幅桥长不相同的桥梁，其桥梁长度以左右幅长度较长的为准；若只有单幅的，则以单幅桥梁长度数据为准。</w:t>
      </w:r>
    </w:p>
    <w:p>
      <w:pPr>
        <w:spacing w:line="360" w:lineRule="auto"/>
        <w:ind w:firstLine="420" w:firstLineChars="200"/>
        <w:rPr>
          <w:rFonts w:hint="eastAsia" w:ascii="黑体" w:hAnsi="黑体" w:eastAsia="黑体" w:cs="宋体"/>
          <w:bCs/>
          <w:color w:val="auto"/>
          <w:szCs w:val="21"/>
          <w:highlight w:val="none"/>
        </w:rPr>
      </w:pPr>
      <w:r>
        <w:rPr>
          <w:rFonts w:hint="eastAsia" w:cs="宋体" w:asciiTheme="minorEastAsia" w:hAnsiTheme="minorEastAsia" w:eastAsiaTheme="minorEastAsia"/>
          <w:color w:val="auto"/>
          <w:szCs w:val="21"/>
          <w:highlight w:val="none"/>
        </w:rPr>
        <w:t>7.对于具有双洞的隧道，其隧道长度以左右线隧道长度较长的为准；若只有单洞的，则以单洞隧道长度数据为准。</w:t>
      </w:r>
      <w:r>
        <w:rPr>
          <w:rFonts w:hint="eastAsia" w:ascii="宋体" w:hAnsi="宋体" w:cs="宋体"/>
          <w:color w:val="auto"/>
          <w:szCs w:val="21"/>
          <w:highlight w:val="none"/>
        </w:rPr>
        <w:t>隧道单洞长度不含斜井、竖井、支洞。</w:t>
      </w:r>
      <w:r>
        <w:rPr>
          <w:rFonts w:hint="eastAsia" w:ascii="黑体" w:hAnsi="黑体" w:eastAsia="黑体" w:cs="宋体"/>
          <w:bCs/>
          <w:color w:val="auto"/>
          <w:szCs w:val="21"/>
          <w:highlight w:val="none"/>
        </w:rPr>
        <w:t xml:space="preserve"> </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8.允许联合体投标时，若以联合体形式投标的，副总监理工程师应按照第二章“投标人须知”前附表附录4资格审查条件的要求及第三章“评标办法”详细评审打分条件（如有）填写本表。</w:t>
      </w:r>
    </w:p>
    <w:p>
      <w:pPr>
        <w:rPr>
          <w:rFonts w:hint="eastAsia" w:ascii="黑体" w:hAnsi="黑体" w:eastAsia="黑体" w:cs="宋体"/>
          <w:bCs/>
          <w:color w:val="auto"/>
          <w:highlight w:val="none"/>
        </w:rPr>
      </w:pPr>
      <w:r>
        <w:rPr>
          <w:rFonts w:hint="eastAsia" w:ascii="黑体" w:hAnsi="黑体" w:eastAsia="黑体" w:cs="宋体"/>
          <w:bCs/>
          <w:color w:val="auto"/>
          <w:highlight w:val="none"/>
        </w:rPr>
        <w:br w:type="page"/>
      </w:r>
    </w:p>
    <w:p>
      <w:pPr>
        <w:ind w:firstLine="420" w:firstLineChars="200"/>
        <w:rPr>
          <w:rFonts w:hint="eastAsia" w:ascii="黑体" w:hAnsi="黑体" w:eastAsia="黑体" w:cs="宋体"/>
          <w:bCs/>
          <w:color w:val="auto"/>
          <w:kern w:val="0"/>
          <w:sz w:val="24"/>
          <w:highlight w:val="none"/>
        </w:rPr>
      </w:pPr>
      <w:r>
        <w:rPr>
          <w:rFonts w:hint="eastAsia" w:ascii="黑体" w:hAnsi="黑体" w:eastAsia="黑体" w:cs="宋体"/>
          <w:bCs/>
          <w:color w:val="auto"/>
          <w:highlight w:val="none"/>
        </w:rPr>
        <w:t xml:space="preserve">                                             </w:t>
      </w:r>
      <w:r>
        <w:rPr>
          <w:rFonts w:hint="eastAsia" w:ascii="黑体" w:hAnsi="黑体" w:eastAsia="黑体" w:cs="宋体"/>
          <w:bCs/>
          <w:color w:val="auto"/>
          <w:kern w:val="0"/>
          <w:sz w:val="24"/>
          <w:highlight w:val="none"/>
        </w:rPr>
        <w:t xml:space="preserve"> </w:t>
      </w:r>
      <w:r>
        <w:rPr>
          <w:rFonts w:hint="eastAsia" w:ascii="黑体" w:hAnsi="黑体" w:eastAsia="黑体" w:cs="宋体"/>
          <w:bCs/>
          <w:color w:val="auto"/>
          <w:kern w:val="0"/>
          <w:sz w:val="24"/>
          <w:highlight w:val="none"/>
        </w:rPr>
        <w:sym w:font="Wingdings 2" w:char="00A3"/>
      </w:r>
      <w:r>
        <w:rPr>
          <w:rFonts w:hint="eastAsia" w:ascii="黑体" w:hAnsi="黑体" w:eastAsia="黑体" w:cs="宋体"/>
          <w:bCs/>
          <w:color w:val="auto"/>
          <w:kern w:val="0"/>
          <w:sz w:val="24"/>
          <w:highlight w:val="none"/>
        </w:rPr>
        <w:t xml:space="preserve"> 驻地监理工程师资历表</w:t>
      </w:r>
      <w:r>
        <w:rPr>
          <w:rFonts w:hint="eastAsia" w:ascii="黑体" w:hAnsi="黑体" w:eastAsia="黑体" w:cs="宋体"/>
          <w:bCs/>
          <w:color w:val="auto"/>
          <w:highlight w:val="none"/>
        </w:rPr>
        <w:t xml:space="preserve">                                                </w:t>
      </w:r>
      <w:r>
        <w:rPr>
          <w:rFonts w:hint="eastAsia" w:ascii="黑体" w:hAnsi="黑体" w:eastAsia="黑体" w:cs="宋体"/>
          <w:bCs/>
          <w:color w:val="auto"/>
          <w:kern w:val="0"/>
          <w:sz w:val="24"/>
          <w:highlight w:val="none"/>
        </w:rPr>
        <w:t>表4.3</w:t>
      </w:r>
    </w:p>
    <w:tbl>
      <w:tblPr>
        <w:tblStyle w:val="48"/>
        <w:tblW w:w="1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442"/>
        <w:gridCol w:w="861"/>
        <w:gridCol w:w="196"/>
        <w:gridCol w:w="508"/>
        <w:gridCol w:w="703"/>
        <w:gridCol w:w="1023"/>
        <w:gridCol w:w="669"/>
        <w:gridCol w:w="841"/>
        <w:gridCol w:w="223"/>
        <w:gridCol w:w="965"/>
        <w:gridCol w:w="220"/>
        <w:gridCol w:w="978"/>
        <w:gridCol w:w="592"/>
        <w:gridCol w:w="353"/>
        <w:gridCol w:w="1095"/>
        <w:gridCol w:w="1053"/>
        <w:gridCol w:w="506"/>
        <w:gridCol w:w="617"/>
        <w:gridCol w:w="656"/>
        <w:gridCol w:w="1311"/>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3162" w:type="dxa"/>
            <w:gridSpan w:val="20"/>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31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10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3960" w:type="dxa"/>
            <w:gridSpan w:val="6"/>
            <w:vAlign w:val="center"/>
          </w:tcPr>
          <w:p>
            <w:pPr>
              <w:widowControl/>
              <w:jc w:val="center"/>
              <w:rPr>
                <w:rFonts w:hint="eastAsia" w:ascii="宋体" w:hAnsi="宋体" w:cs="宋体"/>
                <w:bCs/>
                <w:color w:val="auto"/>
                <w:kern w:val="0"/>
                <w:sz w:val="18"/>
                <w:szCs w:val="18"/>
                <w:highlight w:val="none"/>
              </w:rPr>
            </w:pPr>
          </w:p>
        </w:tc>
        <w:tc>
          <w:tcPr>
            <w:tcW w:w="84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188" w:type="dxa"/>
            <w:gridSpan w:val="2"/>
            <w:vAlign w:val="center"/>
          </w:tcPr>
          <w:p>
            <w:pPr>
              <w:widowControl/>
              <w:jc w:val="center"/>
              <w:rPr>
                <w:rFonts w:hint="eastAsia" w:ascii="宋体" w:hAnsi="宋体" w:cs="宋体"/>
                <w:bCs/>
                <w:color w:val="auto"/>
                <w:kern w:val="0"/>
                <w:sz w:val="18"/>
                <w:szCs w:val="18"/>
                <w:highlight w:val="none"/>
              </w:rPr>
            </w:pPr>
          </w:p>
        </w:tc>
        <w:tc>
          <w:tcPr>
            <w:tcW w:w="1790"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4280" w:type="dxa"/>
            <w:gridSpan w:val="6"/>
          </w:tcPr>
          <w:p>
            <w:pPr>
              <w:widowControl/>
              <w:jc w:val="center"/>
              <w:rPr>
                <w:rFonts w:hint="eastAsia" w:ascii="宋体" w:hAnsi="宋体" w:cs="宋体"/>
                <w:bCs/>
                <w:color w:val="auto"/>
                <w:kern w:val="0"/>
                <w:sz w:val="18"/>
                <w:szCs w:val="18"/>
                <w:highlight w:val="none"/>
              </w:rPr>
            </w:pPr>
          </w:p>
        </w:tc>
        <w:tc>
          <w:tcPr>
            <w:tcW w:w="131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0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3960" w:type="dxa"/>
            <w:gridSpan w:val="6"/>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□工程师  □高级工程师 </w:t>
            </w:r>
          </w:p>
          <w:p>
            <w:pPr>
              <w:widowControl/>
              <w:jc w:val="left"/>
              <w:rPr>
                <w:rFonts w:hint="eastAsia" w:ascii="宋体" w:hAnsi="宋体" w:cs="宋体"/>
                <w:bCs/>
                <w:color w:val="auto"/>
                <w:kern w:val="0"/>
                <w:sz w:val="18"/>
                <w:szCs w:val="18"/>
                <w:highlight w:val="none"/>
              </w:rPr>
            </w:pPr>
            <w:r>
              <w:rPr>
                <w:rFonts w:hint="eastAsia" w:cs="宋体" w:asciiTheme="minorEastAsia" w:hAnsiTheme="minorEastAsia" w:eastAsiaTheme="minorEastAsia"/>
                <w:color w:val="auto"/>
                <w:kern w:val="0"/>
                <w:sz w:val="18"/>
                <w:szCs w:val="18"/>
                <w:highlight w:val="none"/>
              </w:rPr>
              <w:sym w:font="Wingdings 2" w:char="00A3"/>
            </w:r>
            <w:r>
              <w:rPr>
                <w:rFonts w:hint="eastAsia" w:ascii="宋体" w:hAnsi="宋体" w:cs="宋体"/>
                <w:color w:val="auto"/>
                <w:kern w:val="0"/>
                <w:sz w:val="18"/>
                <w:szCs w:val="18"/>
                <w:highlight w:val="none"/>
              </w:rPr>
              <w:t>正（教授级或研究员级）高级工程师</w:t>
            </w:r>
          </w:p>
        </w:tc>
        <w:tc>
          <w:tcPr>
            <w:tcW w:w="84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188" w:type="dxa"/>
            <w:gridSpan w:val="2"/>
            <w:vAlign w:val="center"/>
          </w:tcPr>
          <w:p>
            <w:pPr>
              <w:widowControl/>
              <w:jc w:val="center"/>
              <w:rPr>
                <w:rFonts w:hint="eastAsia" w:ascii="宋体" w:hAnsi="宋体" w:cs="宋体"/>
                <w:bCs/>
                <w:color w:val="auto"/>
                <w:kern w:val="0"/>
                <w:sz w:val="18"/>
                <w:szCs w:val="18"/>
                <w:highlight w:val="none"/>
              </w:rPr>
            </w:pPr>
          </w:p>
        </w:tc>
        <w:tc>
          <w:tcPr>
            <w:tcW w:w="1790"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4280" w:type="dxa"/>
            <w:gridSpan w:val="6"/>
          </w:tcPr>
          <w:p>
            <w:pPr>
              <w:widowControl/>
              <w:jc w:val="center"/>
              <w:rPr>
                <w:rFonts w:hint="eastAsia" w:ascii="宋体" w:hAnsi="宋体" w:cs="宋体"/>
                <w:bCs/>
                <w:color w:val="auto"/>
                <w:kern w:val="0"/>
                <w:sz w:val="18"/>
                <w:szCs w:val="18"/>
                <w:highlight w:val="none"/>
              </w:rPr>
            </w:pPr>
          </w:p>
        </w:tc>
        <w:tc>
          <w:tcPr>
            <w:tcW w:w="131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103" w:type="dxa"/>
            <w:gridSpan w:val="2"/>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5989" w:type="dxa"/>
            <w:gridSpan w:val="9"/>
            <w:vMerge w:val="restart"/>
            <w:vAlign w:val="center"/>
          </w:tcPr>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□监理工程师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□专业监理工程师（道路与桥梁）    □专业监理工程师（隧道）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□专业监理工程师（机电工程）      □专业监理工程师（公路工程经济）</w:t>
            </w:r>
          </w:p>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□其他：</w:t>
            </w:r>
            <w:r>
              <w:rPr>
                <w:rFonts w:hint="eastAsia" w:ascii="宋体" w:hAnsi="宋体" w:cs="宋体"/>
                <w:color w:val="auto"/>
                <w:kern w:val="0"/>
                <w:sz w:val="18"/>
                <w:szCs w:val="18"/>
                <w:highlight w:val="none"/>
                <w:u w:val="single"/>
              </w:rPr>
              <w:t xml:space="preserve">      </w:t>
            </w:r>
          </w:p>
        </w:tc>
        <w:tc>
          <w:tcPr>
            <w:tcW w:w="1790"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4280" w:type="dxa"/>
            <w:gridSpan w:val="6"/>
          </w:tcPr>
          <w:p>
            <w:pPr>
              <w:widowControl/>
              <w:jc w:val="center"/>
              <w:rPr>
                <w:rFonts w:hint="eastAsia" w:ascii="宋体" w:hAnsi="宋体" w:cs="宋体"/>
                <w:bCs/>
                <w:color w:val="auto"/>
                <w:kern w:val="0"/>
                <w:sz w:val="18"/>
                <w:szCs w:val="18"/>
                <w:highlight w:val="none"/>
              </w:rPr>
            </w:pPr>
          </w:p>
        </w:tc>
        <w:tc>
          <w:tcPr>
            <w:tcW w:w="131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1103" w:type="dxa"/>
            <w:gridSpan w:val="2"/>
            <w:vMerge w:val="continue"/>
            <w:vAlign w:val="center"/>
          </w:tcPr>
          <w:p>
            <w:pPr>
              <w:widowControl/>
              <w:jc w:val="center"/>
              <w:rPr>
                <w:rFonts w:hint="eastAsia" w:ascii="宋体" w:hAnsi="宋体" w:cs="宋体"/>
                <w:bCs/>
                <w:color w:val="auto"/>
                <w:kern w:val="0"/>
                <w:sz w:val="18"/>
                <w:szCs w:val="18"/>
                <w:highlight w:val="none"/>
              </w:rPr>
            </w:pPr>
          </w:p>
        </w:tc>
        <w:tc>
          <w:tcPr>
            <w:tcW w:w="5989" w:type="dxa"/>
            <w:gridSpan w:val="9"/>
            <w:vMerge w:val="continue"/>
            <w:vAlign w:val="center"/>
          </w:tcPr>
          <w:p>
            <w:pPr>
              <w:widowControl/>
              <w:jc w:val="center"/>
              <w:rPr>
                <w:rFonts w:hint="eastAsia" w:ascii="宋体" w:hAnsi="宋体" w:cs="宋体"/>
                <w:color w:val="auto"/>
                <w:kern w:val="0"/>
                <w:sz w:val="18"/>
                <w:szCs w:val="18"/>
                <w:highlight w:val="none"/>
              </w:rPr>
            </w:pPr>
          </w:p>
        </w:tc>
        <w:tc>
          <w:tcPr>
            <w:tcW w:w="4797" w:type="dxa"/>
            <w:gridSpan w:val="7"/>
          </w:tcPr>
          <w:p>
            <w:pPr>
              <w:widowControl/>
              <w:wordWrap w:val="0"/>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在全国公路建设市场监督管理系统（https://hwdms.mot.gov.cn/BMWebSite/）中，是否登记在投标人单位的注册监理人员列表中</w:t>
            </w:r>
          </w:p>
        </w:tc>
        <w:tc>
          <w:tcPr>
            <w:tcW w:w="127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131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160" w:type="dxa"/>
            <w:gridSpan w:val="4"/>
            <w:vAlign w:val="center"/>
          </w:tcPr>
          <w:p>
            <w:pPr>
              <w:widowControl/>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2234"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2698"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6070" w:type="dxa"/>
            <w:gridSpan w:val="9"/>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31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2160"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是否在岗</w:t>
            </w:r>
          </w:p>
        </w:tc>
        <w:tc>
          <w:tcPr>
            <w:tcW w:w="11002" w:type="dxa"/>
            <w:gridSpan w:val="16"/>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131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承诺见投标函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4" w:hRule="atLeast"/>
          <w:jc w:val="center"/>
        </w:trPr>
        <w:tc>
          <w:tcPr>
            <w:tcW w:w="13162" w:type="dxa"/>
            <w:gridSpan w:val="20"/>
            <w:vAlign w:val="center"/>
          </w:tcPr>
          <w:p>
            <w:pPr>
              <w:widowControl/>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w:t>
            </w:r>
          </w:p>
        </w:tc>
        <w:tc>
          <w:tcPr>
            <w:tcW w:w="1311" w:type="dxa"/>
            <w:vMerge w:val="restart"/>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87" w:hRule="atLeast"/>
          <w:jc w:val="center"/>
        </w:trPr>
        <w:tc>
          <w:tcPr>
            <w:tcW w:w="66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项目业主</w:t>
            </w:r>
          </w:p>
        </w:tc>
        <w:tc>
          <w:tcPr>
            <w:tcW w:w="1303" w:type="dxa"/>
            <w:gridSpan w:val="2"/>
            <w:vAlign w:val="center"/>
          </w:tcPr>
          <w:p>
            <w:pPr>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项目名称</w:t>
            </w:r>
          </w:p>
        </w:tc>
        <w:tc>
          <w:tcPr>
            <w:tcW w:w="704" w:type="dxa"/>
            <w:gridSpan w:val="2"/>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公路等级</w:t>
            </w:r>
          </w:p>
        </w:tc>
        <w:tc>
          <w:tcPr>
            <w:tcW w:w="70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标段</w:t>
            </w:r>
          </w:p>
          <w:p>
            <w:pPr>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名称</w:t>
            </w:r>
          </w:p>
        </w:tc>
        <w:tc>
          <w:tcPr>
            <w:tcW w:w="1692" w:type="dxa"/>
            <w:gridSpan w:val="2"/>
            <w:vAlign w:val="center"/>
          </w:tcPr>
          <w:p>
            <w:pPr>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总/副总/驻地/副驻地监理工程师</w:t>
            </w:r>
          </w:p>
        </w:tc>
        <w:tc>
          <w:tcPr>
            <w:tcW w:w="1064"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承担标段路线长度（km）</w:t>
            </w:r>
          </w:p>
        </w:tc>
        <w:tc>
          <w:tcPr>
            <w:tcW w:w="118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承担标段特大桥梁名称/类型</w:t>
            </w:r>
          </w:p>
        </w:tc>
        <w:tc>
          <w:tcPr>
            <w:tcW w:w="978"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桥梁主跨跨径（m）</w:t>
            </w:r>
          </w:p>
        </w:tc>
        <w:tc>
          <w:tcPr>
            <w:tcW w:w="945" w:type="dxa"/>
            <w:gridSpan w:val="2"/>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承担标段隧道名称</w:t>
            </w:r>
          </w:p>
        </w:tc>
        <w:tc>
          <w:tcPr>
            <w:tcW w:w="1095"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承担标段隧道单洞长度（m）</w:t>
            </w:r>
          </w:p>
        </w:tc>
        <w:tc>
          <w:tcPr>
            <w:tcW w:w="1053"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承担标段路面结构形式</w:t>
            </w:r>
          </w:p>
        </w:tc>
        <w:tc>
          <w:tcPr>
            <w:tcW w:w="1123" w:type="dxa"/>
            <w:gridSpan w:val="2"/>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承担标段（隧道）机电类型</w:t>
            </w:r>
          </w:p>
        </w:tc>
        <w:tc>
          <w:tcPr>
            <w:tcW w:w="65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其他</w:t>
            </w:r>
          </w:p>
        </w:tc>
        <w:tc>
          <w:tcPr>
            <w:tcW w:w="1311" w:type="dxa"/>
            <w:vMerge w:val="continue"/>
            <w:vAlign w:val="center"/>
          </w:tcPr>
          <w:p>
            <w:pPr>
              <w:widowControl/>
              <w:jc w:val="center"/>
              <w:rPr>
                <w:rFonts w:hint="eastAsia"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4" w:hRule="atLeast"/>
          <w:jc w:val="center"/>
        </w:trPr>
        <w:tc>
          <w:tcPr>
            <w:tcW w:w="661" w:type="dxa"/>
            <w:vAlign w:val="center"/>
          </w:tcPr>
          <w:p>
            <w:pPr>
              <w:widowControl/>
              <w:jc w:val="center"/>
              <w:rPr>
                <w:rFonts w:hint="eastAsia" w:ascii="宋体" w:hAnsi="宋体" w:cs="宋体"/>
                <w:color w:val="auto"/>
                <w:kern w:val="0"/>
                <w:sz w:val="18"/>
                <w:szCs w:val="18"/>
                <w:highlight w:val="none"/>
              </w:rPr>
            </w:pPr>
          </w:p>
        </w:tc>
        <w:tc>
          <w:tcPr>
            <w:tcW w:w="1303" w:type="dxa"/>
            <w:gridSpan w:val="2"/>
            <w:vAlign w:val="center"/>
          </w:tcPr>
          <w:p>
            <w:pPr>
              <w:jc w:val="center"/>
              <w:rPr>
                <w:rFonts w:hint="eastAsia" w:ascii="宋体" w:hAnsi="宋体" w:cs="宋体"/>
                <w:color w:val="auto"/>
                <w:kern w:val="0"/>
                <w:sz w:val="18"/>
                <w:szCs w:val="18"/>
                <w:highlight w:val="none"/>
              </w:rPr>
            </w:pPr>
          </w:p>
        </w:tc>
        <w:tc>
          <w:tcPr>
            <w:tcW w:w="704" w:type="dxa"/>
            <w:gridSpan w:val="2"/>
            <w:vAlign w:val="center"/>
          </w:tcPr>
          <w:p>
            <w:pPr>
              <w:jc w:val="center"/>
              <w:rPr>
                <w:rFonts w:hint="eastAsia" w:ascii="宋体" w:hAnsi="宋体" w:cs="宋体"/>
                <w:color w:val="auto"/>
                <w:kern w:val="0"/>
                <w:sz w:val="18"/>
                <w:szCs w:val="18"/>
                <w:highlight w:val="none"/>
              </w:rPr>
            </w:pPr>
          </w:p>
        </w:tc>
        <w:tc>
          <w:tcPr>
            <w:tcW w:w="703" w:type="dxa"/>
            <w:vAlign w:val="center"/>
          </w:tcPr>
          <w:p>
            <w:pPr>
              <w:jc w:val="center"/>
              <w:rPr>
                <w:rFonts w:hint="eastAsia" w:ascii="宋体" w:hAnsi="宋体" w:cs="宋体"/>
                <w:color w:val="auto"/>
                <w:kern w:val="0"/>
                <w:sz w:val="18"/>
                <w:szCs w:val="18"/>
                <w:highlight w:val="none"/>
              </w:rPr>
            </w:pPr>
          </w:p>
        </w:tc>
        <w:tc>
          <w:tcPr>
            <w:tcW w:w="1692" w:type="dxa"/>
            <w:gridSpan w:val="2"/>
            <w:vAlign w:val="center"/>
          </w:tcPr>
          <w:p>
            <w:pPr>
              <w:jc w:val="center"/>
              <w:rPr>
                <w:rFonts w:hint="eastAsia" w:ascii="宋体" w:hAnsi="宋体" w:cs="宋体"/>
                <w:color w:val="auto"/>
                <w:kern w:val="0"/>
                <w:sz w:val="18"/>
                <w:szCs w:val="18"/>
                <w:highlight w:val="none"/>
              </w:rPr>
            </w:pPr>
          </w:p>
        </w:tc>
        <w:tc>
          <w:tcPr>
            <w:tcW w:w="1064" w:type="dxa"/>
            <w:gridSpan w:val="2"/>
            <w:vAlign w:val="center"/>
          </w:tcPr>
          <w:p>
            <w:pPr>
              <w:widowControl/>
              <w:jc w:val="center"/>
              <w:rPr>
                <w:rFonts w:hint="eastAsia" w:ascii="宋体" w:hAnsi="宋体" w:cs="宋体"/>
                <w:color w:val="auto"/>
                <w:kern w:val="0"/>
                <w:sz w:val="18"/>
                <w:szCs w:val="18"/>
                <w:highlight w:val="none"/>
              </w:rPr>
            </w:pPr>
          </w:p>
        </w:tc>
        <w:tc>
          <w:tcPr>
            <w:tcW w:w="1185" w:type="dxa"/>
            <w:gridSpan w:val="2"/>
            <w:vAlign w:val="center"/>
          </w:tcPr>
          <w:p>
            <w:pPr>
              <w:widowControl/>
              <w:jc w:val="center"/>
              <w:rPr>
                <w:rFonts w:hint="eastAsia" w:ascii="宋体" w:hAnsi="宋体" w:cs="宋体"/>
                <w:color w:val="auto"/>
                <w:kern w:val="0"/>
                <w:sz w:val="18"/>
                <w:szCs w:val="18"/>
                <w:highlight w:val="none"/>
              </w:rPr>
            </w:pPr>
          </w:p>
        </w:tc>
        <w:tc>
          <w:tcPr>
            <w:tcW w:w="978" w:type="dxa"/>
            <w:vAlign w:val="center"/>
          </w:tcPr>
          <w:p>
            <w:pPr>
              <w:widowControl/>
              <w:jc w:val="center"/>
              <w:rPr>
                <w:rFonts w:hint="eastAsia" w:ascii="宋体" w:hAnsi="宋体" w:cs="宋体"/>
                <w:color w:val="auto"/>
                <w:kern w:val="0"/>
                <w:sz w:val="18"/>
                <w:szCs w:val="18"/>
                <w:highlight w:val="none"/>
              </w:rPr>
            </w:pPr>
          </w:p>
        </w:tc>
        <w:tc>
          <w:tcPr>
            <w:tcW w:w="945" w:type="dxa"/>
            <w:gridSpan w:val="2"/>
            <w:vAlign w:val="center"/>
          </w:tcPr>
          <w:p>
            <w:pPr>
              <w:jc w:val="center"/>
              <w:rPr>
                <w:rFonts w:hint="eastAsia" w:ascii="宋体" w:hAnsi="宋体" w:cs="宋体"/>
                <w:color w:val="auto"/>
                <w:kern w:val="0"/>
                <w:sz w:val="18"/>
                <w:szCs w:val="18"/>
                <w:highlight w:val="none"/>
              </w:rPr>
            </w:pPr>
          </w:p>
        </w:tc>
        <w:tc>
          <w:tcPr>
            <w:tcW w:w="1095" w:type="dxa"/>
            <w:vAlign w:val="center"/>
          </w:tcPr>
          <w:p>
            <w:pPr>
              <w:jc w:val="center"/>
              <w:rPr>
                <w:rFonts w:hint="eastAsia" w:ascii="宋体" w:hAnsi="宋体" w:cs="宋体"/>
                <w:color w:val="auto"/>
                <w:kern w:val="0"/>
                <w:sz w:val="18"/>
                <w:szCs w:val="18"/>
                <w:highlight w:val="none"/>
              </w:rPr>
            </w:pPr>
          </w:p>
        </w:tc>
        <w:tc>
          <w:tcPr>
            <w:tcW w:w="1053" w:type="dxa"/>
            <w:vAlign w:val="center"/>
          </w:tcPr>
          <w:p>
            <w:pPr>
              <w:jc w:val="center"/>
              <w:rPr>
                <w:rFonts w:hint="eastAsia" w:ascii="宋体" w:hAnsi="宋体" w:cs="宋体"/>
                <w:color w:val="auto"/>
                <w:kern w:val="0"/>
                <w:sz w:val="18"/>
                <w:szCs w:val="18"/>
                <w:highlight w:val="none"/>
              </w:rPr>
            </w:pPr>
          </w:p>
        </w:tc>
        <w:tc>
          <w:tcPr>
            <w:tcW w:w="1123" w:type="dxa"/>
            <w:gridSpan w:val="2"/>
            <w:vAlign w:val="center"/>
          </w:tcPr>
          <w:p>
            <w:pPr>
              <w:jc w:val="center"/>
              <w:rPr>
                <w:rFonts w:hint="eastAsia" w:ascii="宋体" w:hAnsi="宋体" w:cs="宋体"/>
                <w:color w:val="auto"/>
                <w:kern w:val="0"/>
                <w:sz w:val="18"/>
                <w:szCs w:val="18"/>
                <w:highlight w:val="none"/>
              </w:rPr>
            </w:pPr>
          </w:p>
        </w:tc>
        <w:tc>
          <w:tcPr>
            <w:tcW w:w="656" w:type="dxa"/>
            <w:vAlign w:val="center"/>
          </w:tcPr>
          <w:p>
            <w:pPr>
              <w:widowControl/>
              <w:jc w:val="center"/>
              <w:rPr>
                <w:rFonts w:hint="eastAsia" w:ascii="宋体" w:hAnsi="宋体" w:cs="宋体"/>
                <w:color w:val="auto"/>
                <w:kern w:val="0"/>
                <w:sz w:val="18"/>
                <w:szCs w:val="18"/>
                <w:highlight w:val="none"/>
              </w:rPr>
            </w:pPr>
          </w:p>
        </w:tc>
        <w:tc>
          <w:tcPr>
            <w:tcW w:w="131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4" w:hRule="atLeast"/>
          <w:jc w:val="center"/>
        </w:trPr>
        <w:tc>
          <w:tcPr>
            <w:tcW w:w="661" w:type="dxa"/>
            <w:vAlign w:val="center"/>
          </w:tcPr>
          <w:p>
            <w:pPr>
              <w:widowControl/>
              <w:jc w:val="center"/>
              <w:rPr>
                <w:rFonts w:hint="eastAsia" w:ascii="宋体" w:hAnsi="宋体" w:cs="宋体"/>
                <w:color w:val="auto"/>
                <w:kern w:val="0"/>
                <w:sz w:val="18"/>
                <w:szCs w:val="18"/>
                <w:highlight w:val="none"/>
              </w:rPr>
            </w:pPr>
          </w:p>
        </w:tc>
        <w:tc>
          <w:tcPr>
            <w:tcW w:w="1303" w:type="dxa"/>
            <w:gridSpan w:val="2"/>
            <w:vAlign w:val="center"/>
          </w:tcPr>
          <w:p>
            <w:pPr>
              <w:jc w:val="center"/>
              <w:rPr>
                <w:rFonts w:hint="eastAsia" w:ascii="宋体" w:hAnsi="宋体" w:cs="宋体"/>
                <w:color w:val="auto"/>
                <w:kern w:val="0"/>
                <w:sz w:val="18"/>
                <w:szCs w:val="18"/>
                <w:highlight w:val="none"/>
              </w:rPr>
            </w:pPr>
          </w:p>
        </w:tc>
        <w:tc>
          <w:tcPr>
            <w:tcW w:w="704" w:type="dxa"/>
            <w:gridSpan w:val="2"/>
            <w:vAlign w:val="center"/>
          </w:tcPr>
          <w:p>
            <w:pPr>
              <w:jc w:val="center"/>
              <w:rPr>
                <w:rFonts w:hint="eastAsia" w:ascii="宋体" w:hAnsi="宋体" w:cs="宋体"/>
                <w:color w:val="auto"/>
                <w:kern w:val="0"/>
                <w:sz w:val="18"/>
                <w:szCs w:val="18"/>
                <w:highlight w:val="none"/>
              </w:rPr>
            </w:pPr>
          </w:p>
        </w:tc>
        <w:tc>
          <w:tcPr>
            <w:tcW w:w="703" w:type="dxa"/>
            <w:vAlign w:val="center"/>
          </w:tcPr>
          <w:p>
            <w:pPr>
              <w:jc w:val="center"/>
              <w:rPr>
                <w:rFonts w:hint="eastAsia" w:ascii="宋体" w:hAnsi="宋体" w:cs="宋体"/>
                <w:color w:val="auto"/>
                <w:kern w:val="0"/>
                <w:sz w:val="18"/>
                <w:szCs w:val="18"/>
                <w:highlight w:val="none"/>
              </w:rPr>
            </w:pPr>
          </w:p>
        </w:tc>
        <w:tc>
          <w:tcPr>
            <w:tcW w:w="1692" w:type="dxa"/>
            <w:gridSpan w:val="2"/>
            <w:vAlign w:val="center"/>
          </w:tcPr>
          <w:p>
            <w:pPr>
              <w:jc w:val="center"/>
              <w:rPr>
                <w:rFonts w:hint="eastAsia" w:ascii="宋体" w:hAnsi="宋体" w:cs="宋体"/>
                <w:color w:val="auto"/>
                <w:kern w:val="0"/>
                <w:sz w:val="18"/>
                <w:szCs w:val="18"/>
                <w:highlight w:val="none"/>
              </w:rPr>
            </w:pPr>
          </w:p>
        </w:tc>
        <w:tc>
          <w:tcPr>
            <w:tcW w:w="1064" w:type="dxa"/>
            <w:gridSpan w:val="2"/>
            <w:vAlign w:val="center"/>
          </w:tcPr>
          <w:p>
            <w:pPr>
              <w:widowControl/>
              <w:jc w:val="center"/>
              <w:rPr>
                <w:rFonts w:hint="eastAsia" w:ascii="宋体" w:hAnsi="宋体" w:cs="宋体"/>
                <w:color w:val="auto"/>
                <w:kern w:val="0"/>
                <w:sz w:val="18"/>
                <w:szCs w:val="18"/>
                <w:highlight w:val="none"/>
              </w:rPr>
            </w:pPr>
          </w:p>
        </w:tc>
        <w:tc>
          <w:tcPr>
            <w:tcW w:w="1185" w:type="dxa"/>
            <w:gridSpan w:val="2"/>
            <w:vAlign w:val="center"/>
          </w:tcPr>
          <w:p>
            <w:pPr>
              <w:widowControl/>
              <w:jc w:val="center"/>
              <w:rPr>
                <w:rFonts w:hint="eastAsia" w:ascii="宋体" w:hAnsi="宋体" w:cs="宋体"/>
                <w:color w:val="auto"/>
                <w:kern w:val="0"/>
                <w:sz w:val="18"/>
                <w:szCs w:val="18"/>
                <w:highlight w:val="none"/>
              </w:rPr>
            </w:pPr>
          </w:p>
        </w:tc>
        <w:tc>
          <w:tcPr>
            <w:tcW w:w="978" w:type="dxa"/>
            <w:vAlign w:val="center"/>
          </w:tcPr>
          <w:p>
            <w:pPr>
              <w:widowControl/>
              <w:jc w:val="center"/>
              <w:rPr>
                <w:rFonts w:hint="eastAsia" w:ascii="宋体" w:hAnsi="宋体" w:cs="宋体"/>
                <w:color w:val="auto"/>
                <w:kern w:val="0"/>
                <w:sz w:val="18"/>
                <w:szCs w:val="18"/>
                <w:highlight w:val="none"/>
              </w:rPr>
            </w:pPr>
          </w:p>
        </w:tc>
        <w:tc>
          <w:tcPr>
            <w:tcW w:w="945" w:type="dxa"/>
            <w:gridSpan w:val="2"/>
            <w:vAlign w:val="center"/>
          </w:tcPr>
          <w:p>
            <w:pPr>
              <w:jc w:val="center"/>
              <w:rPr>
                <w:rFonts w:hint="eastAsia" w:ascii="宋体" w:hAnsi="宋体" w:cs="宋体"/>
                <w:color w:val="auto"/>
                <w:kern w:val="0"/>
                <w:sz w:val="18"/>
                <w:szCs w:val="18"/>
                <w:highlight w:val="none"/>
              </w:rPr>
            </w:pPr>
          </w:p>
        </w:tc>
        <w:tc>
          <w:tcPr>
            <w:tcW w:w="1095" w:type="dxa"/>
            <w:vAlign w:val="center"/>
          </w:tcPr>
          <w:p>
            <w:pPr>
              <w:jc w:val="center"/>
              <w:rPr>
                <w:rFonts w:hint="eastAsia" w:ascii="宋体" w:hAnsi="宋体" w:cs="宋体"/>
                <w:color w:val="auto"/>
                <w:kern w:val="0"/>
                <w:sz w:val="18"/>
                <w:szCs w:val="18"/>
                <w:highlight w:val="none"/>
              </w:rPr>
            </w:pPr>
          </w:p>
        </w:tc>
        <w:tc>
          <w:tcPr>
            <w:tcW w:w="1053" w:type="dxa"/>
            <w:vAlign w:val="center"/>
          </w:tcPr>
          <w:p>
            <w:pPr>
              <w:jc w:val="center"/>
              <w:rPr>
                <w:rFonts w:hint="eastAsia" w:ascii="宋体" w:hAnsi="宋体" w:cs="宋体"/>
                <w:color w:val="auto"/>
                <w:kern w:val="0"/>
                <w:sz w:val="18"/>
                <w:szCs w:val="18"/>
                <w:highlight w:val="none"/>
              </w:rPr>
            </w:pPr>
          </w:p>
        </w:tc>
        <w:tc>
          <w:tcPr>
            <w:tcW w:w="1123" w:type="dxa"/>
            <w:gridSpan w:val="2"/>
            <w:vAlign w:val="center"/>
          </w:tcPr>
          <w:p>
            <w:pPr>
              <w:jc w:val="center"/>
              <w:rPr>
                <w:rFonts w:hint="eastAsia" w:ascii="宋体" w:hAnsi="宋体" w:cs="宋体"/>
                <w:color w:val="auto"/>
                <w:kern w:val="0"/>
                <w:sz w:val="18"/>
                <w:szCs w:val="18"/>
                <w:highlight w:val="none"/>
              </w:rPr>
            </w:pPr>
          </w:p>
        </w:tc>
        <w:tc>
          <w:tcPr>
            <w:tcW w:w="656" w:type="dxa"/>
            <w:vAlign w:val="center"/>
          </w:tcPr>
          <w:p>
            <w:pPr>
              <w:widowControl/>
              <w:jc w:val="center"/>
              <w:rPr>
                <w:rFonts w:hint="eastAsia" w:ascii="宋体" w:hAnsi="宋体" w:cs="宋体"/>
                <w:color w:val="auto"/>
                <w:kern w:val="0"/>
                <w:sz w:val="18"/>
                <w:szCs w:val="18"/>
                <w:highlight w:val="none"/>
              </w:rPr>
            </w:pPr>
          </w:p>
        </w:tc>
        <w:tc>
          <w:tcPr>
            <w:tcW w:w="131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4" w:hRule="atLeast"/>
          <w:jc w:val="center"/>
        </w:trPr>
        <w:tc>
          <w:tcPr>
            <w:tcW w:w="661" w:type="dxa"/>
            <w:vAlign w:val="center"/>
          </w:tcPr>
          <w:p>
            <w:pPr>
              <w:widowControl/>
              <w:jc w:val="center"/>
              <w:rPr>
                <w:rFonts w:hint="eastAsia" w:ascii="宋体" w:hAnsi="宋体" w:cs="宋体"/>
                <w:color w:val="auto"/>
                <w:kern w:val="0"/>
                <w:sz w:val="18"/>
                <w:szCs w:val="18"/>
                <w:highlight w:val="none"/>
              </w:rPr>
            </w:pPr>
          </w:p>
        </w:tc>
        <w:tc>
          <w:tcPr>
            <w:tcW w:w="1303" w:type="dxa"/>
            <w:gridSpan w:val="2"/>
            <w:vAlign w:val="center"/>
          </w:tcPr>
          <w:p>
            <w:pPr>
              <w:jc w:val="center"/>
              <w:rPr>
                <w:rFonts w:hint="eastAsia" w:ascii="宋体" w:hAnsi="宋体" w:cs="宋体"/>
                <w:color w:val="auto"/>
                <w:kern w:val="0"/>
                <w:sz w:val="18"/>
                <w:szCs w:val="18"/>
                <w:highlight w:val="none"/>
              </w:rPr>
            </w:pPr>
          </w:p>
        </w:tc>
        <w:tc>
          <w:tcPr>
            <w:tcW w:w="704" w:type="dxa"/>
            <w:gridSpan w:val="2"/>
            <w:vAlign w:val="center"/>
          </w:tcPr>
          <w:p>
            <w:pPr>
              <w:jc w:val="center"/>
              <w:rPr>
                <w:rFonts w:hint="eastAsia" w:ascii="宋体" w:hAnsi="宋体" w:cs="宋体"/>
                <w:color w:val="auto"/>
                <w:kern w:val="0"/>
                <w:sz w:val="18"/>
                <w:szCs w:val="18"/>
                <w:highlight w:val="none"/>
              </w:rPr>
            </w:pPr>
          </w:p>
        </w:tc>
        <w:tc>
          <w:tcPr>
            <w:tcW w:w="703" w:type="dxa"/>
            <w:vAlign w:val="center"/>
          </w:tcPr>
          <w:p>
            <w:pPr>
              <w:jc w:val="center"/>
              <w:rPr>
                <w:rFonts w:hint="eastAsia" w:ascii="宋体" w:hAnsi="宋体" w:cs="宋体"/>
                <w:color w:val="auto"/>
                <w:kern w:val="0"/>
                <w:sz w:val="18"/>
                <w:szCs w:val="18"/>
                <w:highlight w:val="none"/>
              </w:rPr>
            </w:pPr>
          </w:p>
        </w:tc>
        <w:tc>
          <w:tcPr>
            <w:tcW w:w="1692" w:type="dxa"/>
            <w:gridSpan w:val="2"/>
            <w:vAlign w:val="center"/>
          </w:tcPr>
          <w:p>
            <w:pPr>
              <w:jc w:val="center"/>
              <w:rPr>
                <w:rFonts w:hint="eastAsia" w:ascii="宋体" w:hAnsi="宋体" w:cs="宋体"/>
                <w:color w:val="auto"/>
                <w:kern w:val="0"/>
                <w:sz w:val="18"/>
                <w:szCs w:val="18"/>
                <w:highlight w:val="none"/>
              </w:rPr>
            </w:pPr>
          </w:p>
        </w:tc>
        <w:tc>
          <w:tcPr>
            <w:tcW w:w="1064" w:type="dxa"/>
            <w:gridSpan w:val="2"/>
            <w:vAlign w:val="center"/>
          </w:tcPr>
          <w:p>
            <w:pPr>
              <w:widowControl/>
              <w:jc w:val="center"/>
              <w:rPr>
                <w:rFonts w:hint="eastAsia" w:ascii="宋体" w:hAnsi="宋体" w:cs="宋体"/>
                <w:color w:val="auto"/>
                <w:kern w:val="0"/>
                <w:sz w:val="18"/>
                <w:szCs w:val="18"/>
                <w:highlight w:val="none"/>
              </w:rPr>
            </w:pPr>
          </w:p>
        </w:tc>
        <w:tc>
          <w:tcPr>
            <w:tcW w:w="1185" w:type="dxa"/>
            <w:gridSpan w:val="2"/>
            <w:vAlign w:val="center"/>
          </w:tcPr>
          <w:p>
            <w:pPr>
              <w:widowControl/>
              <w:jc w:val="center"/>
              <w:rPr>
                <w:rFonts w:hint="eastAsia" w:ascii="宋体" w:hAnsi="宋体" w:cs="宋体"/>
                <w:color w:val="auto"/>
                <w:kern w:val="0"/>
                <w:sz w:val="18"/>
                <w:szCs w:val="18"/>
                <w:highlight w:val="none"/>
              </w:rPr>
            </w:pPr>
          </w:p>
        </w:tc>
        <w:tc>
          <w:tcPr>
            <w:tcW w:w="978" w:type="dxa"/>
            <w:vAlign w:val="center"/>
          </w:tcPr>
          <w:p>
            <w:pPr>
              <w:widowControl/>
              <w:jc w:val="center"/>
              <w:rPr>
                <w:rFonts w:hint="eastAsia" w:ascii="宋体" w:hAnsi="宋体" w:cs="宋体"/>
                <w:color w:val="auto"/>
                <w:kern w:val="0"/>
                <w:sz w:val="18"/>
                <w:szCs w:val="18"/>
                <w:highlight w:val="none"/>
              </w:rPr>
            </w:pPr>
          </w:p>
        </w:tc>
        <w:tc>
          <w:tcPr>
            <w:tcW w:w="945" w:type="dxa"/>
            <w:gridSpan w:val="2"/>
            <w:vAlign w:val="center"/>
          </w:tcPr>
          <w:p>
            <w:pPr>
              <w:jc w:val="center"/>
              <w:rPr>
                <w:rFonts w:hint="eastAsia" w:ascii="宋体" w:hAnsi="宋体" w:cs="宋体"/>
                <w:color w:val="auto"/>
                <w:kern w:val="0"/>
                <w:sz w:val="18"/>
                <w:szCs w:val="18"/>
                <w:highlight w:val="none"/>
              </w:rPr>
            </w:pPr>
          </w:p>
        </w:tc>
        <w:tc>
          <w:tcPr>
            <w:tcW w:w="1095" w:type="dxa"/>
            <w:vAlign w:val="center"/>
          </w:tcPr>
          <w:p>
            <w:pPr>
              <w:jc w:val="center"/>
              <w:rPr>
                <w:rFonts w:hint="eastAsia" w:ascii="宋体" w:hAnsi="宋体" w:cs="宋体"/>
                <w:color w:val="auto"/>
                <w:kern w:val="0"/>
                <w:sz w:val="18"/>
                <w:szCs w:val="18"/>
                <w:highlight w:val="none"/>
              </w:rPr>
            </w:pPr>
          </w:p>
        </w:tc>
        <w:tc>
          <w:tcPr>
            <w:tcW w:w="1053" w:type="dxa"/>
            <w:vAlign w:val="center"/>
          </w:tcPr>
          <w:p>
            <w:pPr>
              <w:jc w:val="center"/>
              <w:rPr>
                <w:rFonts w:hint="eastAsia" w:ascii="宋体" w:hAnsi="宋体" w:cs="宋体"/>
                <w:color w:val="auto"/>
                <w:kern w:val="0"/>
                <w:sz w:val="18"/>
                <w:szCs w:val="18"/>
                <w:highlight w:val="none"/>
              </w:rPr>
            </w:pPr>
          </w:p>
        </w:tc>
        <w:tc>
          <w:tcPr>
            <w:tcW w:w="1123" w:type="dxa"/>
            <w:gridSpan w:val="2"/>
            <w:vAlign w:val="center"/>
          </w:tcPr>
          <w:p>
            <w:pPr>
              <w:jc w:val="center"/>
              <w:rPr>
                <w:rFonts w:hint="eastAsia" w:ascii="宋体" w:hAnsi="宋体" w:cs="宋体"/>
                <w:color w:val="auto"/>
                <w:kern w:val="0"/>
                <w:sz w:val="18"/>
                <w:szCs w:val="18"/>
                <w:highlight w:val="none"/>
              </w:rPr>
            </w:pPr>
          </w:p>
        </w:tc>
        <w:tc>
          <w:tcPr>
            <w:tcW w:w="656" w:type="dxa"/>
            <w:vAlign w:val="center"/>
          </w:tcPr>
          <w:p>
            <w:pPr>
              <w:widowControl/>
              <w:jc w:val="center"/>
              <w:rPr>
                <w:rFonts w:hint="eastAsia" w:ascii="宋体" w:hAnsi="宋体" w:cs="宋体"/>
                <w:color w:val="auto"/>
                <w:kern w:val="0"/>
                <w:sz w:val="18"/>
                <w:szCs w:val="18"/>
                <w:highlight w:val="none"/>
              </w:rPr>
            </w:pPr>
          </w:p>
        </w:tc>
        <w:tc>
          <w:tcPr>
            <w:tcW w:w="131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01" w:hRule="atLeast"/>
          <w:jc w:val="center"/>
        </w:trPr>
        <w:tc>
          <w:tcPr>
            <w:tcW w:w="661" w:type="dxa"/>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1303" w:type="dxa"/>
            <w:gridSpan w:val="2"/>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704" w:type="dxa"/>
            <w:gridSpan w:val="2"/>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703" w:type="dxa"/>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1692" w:type="dxa"/>
            <w:gridSpan w:val="2"/>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1064"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8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78"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09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05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23"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65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1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360" w:lineRule="auto"/>
        <w:ind w:left="630" w:hanging="630" w:hangingChars="300"/>
        <w:rPr>
          <w:rFonts w:hint="eastAsia" w:cs="宋体" w:asciiTheme="minorEastAsia" w:hAnsiTheme="minorEastAsia" w:eastAsiaTheme="minorEastAsia"/>
          <w:color w:val="auto"/>
          <w:spacing w:val="-3"/>
          <w:szCs w:val="21"/>
          <w:highlight w:val="none"/>
        </w:rPr>
      </w:pPr>
      <w:r>
        <w:rPr>
          <w:rFonts w:hint="eastAsia" w:ascii="宋体" w:hAnsi="宋体" w:cs="宋体"/>
          <w:color w:val="auto"/>
          <w:szCs w:val="21"/>
          <w:highlight w:val="none"/>
        </w:rPr>
        <w:t>注：1.</w:t>
      </w:r>
      <w:r>
        <w:rPr>
          <w:rFonts w:hint="eastAsia" w:cs="宋体" w:asciiTheme="minorEastAsia" w:hAnsiTheme="minorEastAsia" w:eastAsiaTheme="minorEastAsia"/>
          <w:color w:val="auto"/>
          <w:spacing w:val="-3"/>
          <w:szCs w:val="21"/>
          <w:highlight w:val="none"/>
        </w:rPr>
        <w:t>投标人应在本表后提供相关证明材料（原件原色扫描件）附件B3系列（身份证、职称证、执业资格证、</w:t>
      </w:r>
      <w:r>
        <w:rPr>
          <w:rFonts w:hint="eastAsia" w:cs="宋体" w:asciiTheme="minorEastAsia" w:hAnsiTheme="minorEastAsia" w:eastAsiaTheme="minorEastAsia"/>
          <w:color w:val="auto"/>
          <w:szCs w:val="21"/>
          <w:highlight w:val="none"/>
        </w:rPr>
        <w:t>全国公路建设市场监督管理系统中登记在投标人单位的注册监理人员</w:t>
      </w:r>
      <w:r>
        <w:rPr>
          <w:rFonts w:hint="eastAsia" w:cs="宋体" w:asciiTheme="minorEastAsia" w:hAnsiTheme="minorEastAsia" w:eastAsiaTheme="minorEastAsia"/>
          <w:color w:val="auto"/>
          <w:kern w:val="0"/>
          <w:szCs w:val="21"/>
          <w:highlight w:val="none"/>
        </w:rPr>
        <w:t>列表网页截图、</w:t>
      </w:r>
      <w:r>
        <w:rPr>
          <w:rFonts w:hint="eastAsia" w:cs="宋体" w:asciiTheme="minorEastAsia" w:hAnsiTheme="minorEastAsia" w:eastAsiaTheme="minorEastAsia"/>
          <w:color w:val="auto"/>
          <w:spacing w:val="-3"/>
          <w:szCs w:val="21"/>
          <w:highlight w:val="none"/>
        </w:rPr>
        <w:t>社保证明、个人业绩证明）。</w:t>
      </w:r>
      <w:r>
        <w:rPr>
          <w:rFonts w:hint="eastAsia" w:ascii="宋体" w:hAnsi="宋体" w:cs="宋体"/>
          <w:color w:val="auto"/>
          <w:highlight w:val="none"/>
        </w:rPr>
        <w:t>证明材料构成应与招标人对拟委任主要人员的要求一一对应，未作要求的内容不得要求投标人提供相应的证明材料。</w:t>
      </w:r>
    </w:p>
    <w:p>
      <w:pPr>
        <w:spacing w:line="360" w:lineRule="auto"/>
        <w:ind w:left="540" w:leftChars="160" w:hanging="204" w:hangingChars="100"/>
        <w:rPr>
          <w:rFonts w:hint="eastAsia" w:ascii="宋体" w:hAnsi="宋体" w:cs="宋体"/>
          <w:color w:val="auto"/>
          <w:szCs w:val="21"/>
          <w:highlight w:val="none"/>
        </w:rPr>
      </w:pPr>
      <w:r>
        <w:rPr>
          <w:rFonts w:hint="eastAsia" w:cs="宋体" w:asciiTheme="minorEastAsia" w:hAnsiTheme="minorEastAsia" w:eastAsiaTheme="minorEastAsia"/>
          <w:color w:val="auto"/>
          <w:spacing w:val="-3"/>
          <w:szCs w:val="21"/>
          <w:highlight w:val="none"/>
        </w:rPr>
        <w:t>2.因投标人自身原因未提供附件或提供的附件不能与所证明的内容相匹配，造成业绩或其他内容不予认可时，投标人自行承担相关责任</w:t>
      </w:r>
      <w:r>
        <w:rPr>
          <w:rFonts w:hint="eastAsia" w:ascii="宋体" w:hAnsi="宋体" w:cs="宋体"/>
          <w:color w:val="auto"/>
          <w:spacing w:val="-3"/>
          <w:szCs w:val="21"/>
          <w:highlight w:val="none"/>
        </w:rPr>
        <w:t>。</w:t>
      </w:r>
    </w:p>
    <w:p>
      <w:pPr>
        <w:spacing w:line="360" w:lineRule="auto"/>
        <w:ind w:left="540" w:leftChars="160" w:hanging="204" w:hangingChars="100"/>
        <w:rPr>
          <w:rFonts w:hint="eastAsia" w:cs="宋体" w:asciiTheme="minorEastAsia" w:hAnsiTheme="minorEastAsia" w:eastAsiaTheme="minorEastAsia"/>
          <w:color w:val="auto"/>
          <w:spacing w:val="-3"/>
          <w:szCs w:val="21"/>
          <w:highlight w:val="none"/>
        </w:rPr>
      </w:pPr>
      <w:r>
        <w:rPr>
          <w:rFonts w:hint="eastAsia" w:cs="宋体" w:asciiTheme="minorEastAsia" w:hAnsiTheme="minorEastAsia" w:eastAsiaTheme="minorEastAsia"/>
          <w:color w:val="auto"/>
          <w:spacing w:val="-3"/>
          <w:szCs w:val="21"/>
          <w:highlight w:val="none"/>
        </w:rPr>
        <w:t>3.个人业绩证明材料为：</w:t>
      </w:r>
    </w:p>
    <w:p>
      <w:pPr>
        <w:spacing w:line="360" w:lineRule="auto"/>
        <w:ind w:left="540" w:leftChars="160" w:hanging="204" w:hangingChars="100"/>
        <w:rPr>
          <w:rFonts w:hint="eastAsia" w:cs="宋体" w:asciiTheme="minorEastAsia" w:hAnsiTheme="minorEastAsia" w:eastAsiaTheme="minorEastAsia"/>
          <w:color w:val="auto"/>
          <w:spacing w:val="-3"/>
          <w:szCs w:val="21"/>
          <w:highlight w:val="none"/>
        </w:rPr>
      </w:pPr>
      <w:r>
        <w:rPr>
          <w:rFonts w:hint="eastAsia" w:cs="宋体" w:asciiTheme="minorEastAsia" w:hAnsiTheme="minorEastAsia" w:eastAsiaTheme="minorEastAsia"/>
          <w:color w:val="auto"/>
          <w:spacing w:val="-3"/>
          <w:szCs w:val="21"/>
          <w:highlight w:val="none"/>
        </w:rPr>
        <w:t>□ 交通运输部“全国公路建设市场监督管理系统”中载明的、能够证明该人员具有相关业绩的网页截图（本项规定仅适用于根据《关于发布公路工程从业企业资质名录的通知》（厅公路字〔2011〕114号）要求，招标人应通过名录对投标人资质条件进行审核的公路施工监理企业单位人员。否则，招标人可对相关个人业绩提出其他证明材料要求。）。□或</w:t>
      </w:r>
    </w:p>
    <w:p>
      <w:pPr>
        <w:spacing w:line="360" w:lineRule="auto"/>
        <w:ind w:left="540" w:leftChars="160" w:hanging="204" w:hangingChars="100"/>
        <w:rPr>
          <w:rFonts w:hint="eastAsia" w:cs="宋体" w:asciiTheme="minorEastAsia" w:hAnsiTheme="minorEastAsia" w:eastAsiaTheme="minorEastAsia"/>
          <w:color w:val="auto"/>
          <w:spacing w:val="-3"/>
          <w:szCs w:val="21"/>
          <w:highlight w:val="none"/>
        </w:rPr>
      </w:pPr>
      <w:r>
        <w:rPr>
          <w:rFonts w:hint="eastAsia" w:cs="宋体" w:asciiTheme="minorEastAsia" w:hAnsiTheme="minorEastAsia" w:eastAsiaTheme="minorEastAsia"/>
          <w:color w:val="auto"/>
          <w:spacing w:val="-3"/>
          <w:szCs w:val="21"/>
          <w:highlight w:val="none"/>
        </w:rPr>
        <w:t>□ 合同协议书；和监理项目评定书或交工验收证书或竣工验收委员会出具的公路工程竣工验收鉴定书或发包人出具的证明原件原色扫描件，其中应能够证明该人员具有相关业绩。</w:t>
      </w:r>
    </w:p>
    <w:p>
      <w:pPr>
        <w:spacing w:line="360" w:lineRule="auto"/>
        <w:ind w:left="567" w:leftChars="200" w:hanging="147" w:hangingChars="70"/>
        <w:rPr>
          <w:rFonts w:hint="eastAsia" w:ascii="宋体" w:hAnsi="宋体" w:cs="宋体"/>
          <w:color w:val="auto"/>
          <w:szCs w:val="21"/>
          <w:highlight w:val="none"/>
        </w:rPr>
      </w:pPr>
      <w:r>
        <w:rPr>
          <w:rFonts w:hint="eastAsia" w:ascii="宋体" w:hAnsi="宋体" w:cs="宋体"/>
          <w:color w:val="auto"/>
          <w:szCs w:val="21"/>
          <w:highlight w:val="none"/>
        </w:rPr>
        <w:t>4.</w:t>
      </w:r>
      <w:bookmarkStart w:id="748" w:name="_Hlk100854228"/>
      <w:r>
        <w:rPr>
          <w:rFonts w:hint="eastAsia" w:ascii="宋体" w:hAnsi="宋体" w:cs="宋体"/>
          <w:color w:val="auto"/>
          <w:szCs w:val="21"/>
          <w:highlight w:val="none"/>
        </w:rPr>
        <w:t>提供社保时间段要求：例如投标截止日所在月为“2021年12月”，则提供“2021年6～11月”或“2021年5～10月”在其投标单位连续6个月参加社保的证明材料。</w:t>
      </w:r>
      <w:bookmarkEnd w:id="748"/>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5.桥梁类型应从“梁式桥、拱式桥、悬索桥、斜拉桥、刚构桥、组合体系桥、其他”中选择填写。</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6.对于左右幅桥长不相同的桥梁，其桥梁长度以左右幅长度较长的为准；若只有单幅的，则以单幅桥梁长度数据为准。</w:t>
      </w:r>
    </w:p>
    <w:p>
      <w:pPr>
        <w:shd w:val="clear" w:color="auto" w:fill="FFFFFF"/>
        <w:tabs>
          <w:tab w:val="left" w:pos="312"/>
        </w:tabs>
        <w:adjustRightInd w:val="0"/>
        <w:snapToGrid w:val="0"/>
        <w:spacing w:line="360" w:lineRule="auto"/>
        <w:ind w:firstLine="420" w:firstLineChars="200"/>
        <w:rPr>
          <w:rFonts w:hint="eastAsia" w:ascii="黑体" w:hAnsi="黑体" w:eastAsia="黑体" w:cs="宋体"/>
          <w:bCs/>
          <w:color w:val="auto"/>
          <w:szCs w:val="21"/>
          <w:highlight w:val="none"/>
        </w:rPr>
      </w:pPr>
      <w:r>
        <w:rPr>
          <w:rFonts w:hint="eastAsia" w:ascii="宋体" w:hAnsi="宋体" w:cs="宋体"/>
          <w:color w:val="auto"/>
          <w:szCs w:val="21"/>
          <w:highlight w:val="none"/>
        </w:rPr>
        <w:t>7.对于具有双洞的隧道，其隧道长度以左右线隧道长度较长的为准；若只有单洞的，则以单洞隧道长度数据为准。</w:t>
      </w:r>
      <w:bookmarkStart w:id="749" w:name="_Toc523921870"/>
      <w:r>
        <w:rPr>
          <w:rFonts w:hint="eastAsia" w:ascii="宋体" w:hAnsi="宋体" w:cs="宋体"/>
          <w:color w:val="auto"/>
          <w:szCs w:val="21"/>
          <w:highlight w:val="none"/>
        </w:rPr>
        <w:t>隧道单洞长度不含斜井、竖井、支洞。</w:t>
      </w:r>
      <w:r>
        <w:rPr>
          <w:rFonts w:hint="eastAsia" w:ascii="黑体" w:hAnsi="黑体" w:eastAsia="黑体" w:cs="宋体"/>
          <w:bCs/>
          <w:color w:val="auto"/>
          <w:szCs w:val="21"/>
          <w:highlight w:val="none"/>
        </w:rPr>
        <w:t xml:space="preserve"> </w:t>
      </w:r>
    </w:p>
    <w:p>
      <w:pPr>
        <w:shd w:val="clear" w:color="auto" w:fill="FFFFFF"/>
        <w:tabs>
          <w:tab w:val="left" w:pos="312"/>
        </w:tabs>
        <w:adjustRightInd w:val="0"/>
        <w:snapToGrid w:val="0"/>
        <w:spacing w:line="360" w:lineRule="auto"/>
        <w:ind w:left="567" w:leftChars="170" w:hanging="210" w:hangingChars="100"/>
        <w:rPr>
          <w:rFonts w:hint="eastAsia" w:ascii="黑体" w:hAnsi="黑体" w:eastAsia="黑体" w:cs="宋体"/>
          <w:bCs/>
          <w:color w:val="auto"/>
          <w:highlight w:val="none"/>
        </w:rPr>
      </w:pPr>
      <w:r>
        <w:rPr>
          <w:rFonts w:hint="eastAsia" w:ascii="宋体" w:hAnsi="宋体" w:cs="宋体"/>
          <w:color w:val="auto"/>
          <w:szCs w:val="21"/>
          <w:highlight w:val="none"/>
        </w:rPr>
        <w:t>8.允许联合体投标时，若以联合体形式投标的，驻地监理工程师应按照第二章“投标人须知”前附表附录4资格审查条件的要求及第三章“评标办法”详细评审打分条件（如有）填写本表。</w:t>
      </w:r>
      <w:r>
        <w:rPr>
          <w:rFonts w:hint="eastAsia" w:ascii="黑体" w:hAnsi="黑体" w:eastAsia="黑体" w:cs="宋体"/>
          <w:bCs/>
          <w:color w:val="auto"/>
          <w:szCs w:val="21"/>
          <w:highlight w:val="none"/>
        </w:rPr>
        <w:t xml:space="preserve">               </w:t>
      </w:r>
      <w:r>
        <w:rPr>
          <w:rFonts w:hint="eastAsia" w:ascii="黑体" w:hAnsi="黑体" w:eastAsia="黑体" w:cs="宋体"/>
          <w:bCs/>
          <w:color w:val="auto"/>
          <w:highlight w:val="none"/>
        </w:rPr>
        <w:t xml:space="preserve">                 </w:t>
      </w:r>
      <w:r>
        <w:rPr>
          <w:rFonts w:hint="eastAsia" w:ascii="黑体" w:hAnsi="黑体" w:eastAsia="黑体" w:cs="宋体"/>
          <w:bCs/>
          <w:color w:val="auto"/>
          <w:highlight w:val="none"/>
        </w:rPr>
        <w:br w:type="page"/>
      </w:r>
    </w:p>
    <w:p>
      <w:pPr>
        <w:pStyle w:val="43"/>
        <w:shd w:val="clear" w:color="auto" w:fill="FFFFFF"/>
        <w:jc w:val="center"/>
        <w:rPr>
          <w:rFonts w:hint="eastAsia" w:ascii="黑体" w:hAnsi="黑体" w:eastAsia="黑体" w:cs="宋体"/>
          <w:bCs/>
          <w:color w:val="auto"/>
          <w:highlight w:val="none"/>
        </w:rPr>
      </w:pPr>
      <w:r>
        <w:rPr>
          <w:rFonts w:hint="eastAsia" w:ascii="黑体" w:hAnsi="黑体" w:eastAsia="黑体" w:cs="宋体"/>
          <w:bCs/>
          <w:color w:val="auto"/>
          <w:highlight w:val="none"/>
        </w:rPr>
        <w:t xml:space="preserve">                                      </w:t>
      </w:r>
      <w:r>
        <w:rPr>
          <w:rFonts w:hint="eastAsia" w:ascii="黑体" w:hAnsi="黑体" w:eastAsia="黑体" w:cs="宋体"/>
          <w:b/>
          <w:color w:val="auto"/>
          <w:highlight w:val="none"/>
        </w:rPr>
        <w:t>□</w:t>
      </w:r>
      <w:r>
        <w:rPr>
          <w:rFonts w:hint="eastAsia" w:ascii="黑体" w:hAnsi="黑体" w:eastAsia="黑体" w:cs="宋体"/>
          <w:bCs/>
          <w:color w:val="auto"/>
          <w:highlight w:val="none"/>
        </w:rPr>
        <w:t xml:space="preserve"> 试验室主任资历表                                        表4.4</w:t>
      </w:r>
    </w:p>
    <w:tbl>
      <w:tblPr>
        <w:tblStyle w:val="48"/>
        <w:tblW w:w="14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411"/>
        <w:gridCol w:w="10"/>
        <w:gridCol w:w="2474"/>
        <w:gridCol w:w="719"/>
        <w:gridCol w:w="456"/>
        <w:gridCol w:w="553"/>
        <w:gridCol w:w="149"/>
        <w:gridCol w:w="1631"/>
        <w:gridCol w:w="2245"/>
        <w:gridCol w:w="53"/>
        <w:gridCol w:w="2481"/>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15" w:type="dxa"/>
            <w:gridSpan w:val="1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404" w:type="dxa"/>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3" w:type="dxa"/>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4070" w:type="dxa"/>
            <w:gridSpan w:val="5"/>
            <w:vAlign w:val="center"/>
          </w:tcPr>
          <w:p>
            <w:pPr>
              <w:widowControl/>
              <w:spacing w:line="320" w:lineRule="exact"/>
              <w:jc w:val="center"/>
              <w:rPr>
                <w:rFonts w:hint="eastAsia" w:ascii="宋体" w:hAnsi="宋体" w:cs="宋体"/>
                <w:bCs/>
                <w:color w:val="auto"/>
                <w:kern w:val="0"/>
                <w:sz w:val="18"/>
                <w:szCs w:val="18"/>
                <w:highlight w:val="none"/>
              </w:rPr>
            </w:pPr>
          </w:p>
        </w:tc>
        <w:tc>
          <w:tcPr>
            <w:tcW w:w="702" w:type="dxa"/>
            <w:gridSpan w:val="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631" w:type="dxa"/>
            <w:vAlign w:val="center"/>
          </w:tcPr>
          <w:p>
            <w:pPr>
              <w:widowControl/>
              <w:spacing w:line="320" w:lineRule="exact"/>
              <w:jc w:val="center"/>
              <w:rPr>
                <w:rFonts w:hint="eastAsia" w:ascii="宋体" w:hAnsi="宋体" w:cs="宋体"/>
                <w:bCs/>
                <w:color w:val="auto"/>
                <w:kern w:val="0"/>
                <w:sz w:val="18"/>
                <w:szCs w:val="18"/>
                <w:highlight w:val="none"/>
              </w:rPr>
            </w:pPr>
          </w:p>
        </w:tc>
        <w:tc>
          <w:tcPr>
            <w:tcW w:w="2298" w:type="dxa"/>
            <w:gridSpan w:val="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481" w:type="dxa"/>
            <w:vAlign w:val="center"/>
          </w:tcPr>
          <w:p>
            <w:pPr>
              <w:widowControl/>
              <w:spacing w:line="320" w:lineRule="exact"/>
              <w:jc w:val="center"/>
              <w:rPr>
                <w:rFonts w:hint="eastAsia" w:ascii="宋体" w:hAnsi="宋体" w:cs="宋体"/>
                <w:bCs/>
                <w:color w:val="auto"/>
                <w:kern w:val="0"/>
                <w:sz w:val="18"/>
                <w:szCs w:val="18"/>
                <w:highlight w:val="none"/>
              </w:rPr>
            </w:pPr>
          </w:p>
        </w:tc>
        <w:tc>
          <w:tcPr>
            <w:tcW w:w="1404" w:type="dxa"/>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3" w:type="dxa"/>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4070" w:type="dxa"/>
            <w:gridSpan w:val="5"/>
            <w:vAlign w:val="center"/>
          </w:tcPr>
          <w:p>
            <w:pPr>
              <w:widowControl/>
              <w:spacing w:line="32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□工程师  □高级工程师  </w:t>
            </w:r>
          </w:p>
          <w:p>
            <w:pPr>
              <w:widowControl/>
              <w:spacing w:line="320" w:lineRule="exact"/>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正（教授级或研究员级）高级工程师</w:t>
            </w:r>
          </w:p>
        </w:tc>
        <w:tc>
          <w:tcPr>
            <w:tcW w:w="702" w:type="dxa"/>
            <w:gridSpan w:val="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631" w:type="dxa"/>
            <w:vAlign w:val="center"/>
          </w:tcPr>
          <w:p>
            <w:pPr>
              <w:widowControl/>
              <w:spacing w:line="320" w:lineRule="exact"/>
              <w:jc w:val="center"/>
              <w:rPr>
                <w:rFonts w:hint="eastAsia" w:ascii="宋体" w:hAnsi="宋体" w:cs="宋体"/>
                <w:bCs/>
                <w:color w:val="auto"/>
                <w:kern w:val="0"/>
                <w:sz w:val="18"/>
                <w:szCs w:val="18"/>
                <w:highlight w:val="none"/>
              </w:rPr>
            </w:pPr>
          </w:p>
        </w:tc>
        <w:tc>
          <w:tcPr>
            <w:tcW w:w="2298" w:type="dxa"/>
            <w:gridSpan w:val="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481" w:type="dxa"/>
            <w:vAlign w:val="center"/>
          </w:tcPr>
          <w:p>
            <w:pPr>
              <w:widowControl/>
              <w:spacing w:line="320" w:lineRule="exact"/>
              <w:jc w:val="center"/>
              <w:rPr>
                <w:rFonts w:hint="eastAsia" w:ascii="宋体" w:hAnsi="宋体" w:cs="宋体"/>
                <w:bCs/>
                <w:color w:val="auto"/>
                <w:kern w:val="0"/>
                <w:sz w:val="18"/>
                <w:szCs w:val="18"/>
                <w:highlight w:val="none"/>
              </w:rPr>
            </w:pPr>
          </w:p>
        </w:tc>
        <w:tc>
          <w:tcPr>
            <w:tcW w:w="1404" w:type="dxa"/>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33" w:type="dxa"/>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6403" w:type="dxa"/>
            <w:gridSpan w:val="8"/>
            <w:vAlign w:val="center"/>
          </w:tcPr>
          <w:p>
            <w:pPr>
              <w:widowControl/>
              <w:spacing w:line="320" w:lineRule="exac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□试验检测工程师      □其他：</w:t>
            </w:r>
            <w:r>
              <w:rPr>
                <w:rFonts w:hint="eastAsia" w:ascii="宋体" w:hAnsi="宋体" w:cs="宋体"/>
                <w:color w:val="auto"/>
                <w:kern w:val="0"/>
                <w:sz w:val="18"/>
                <w:szCs w:val="18"/>
                <w:highlight w:val="none"/>
                <w:u w:val="single"/>
              </w:rPr>
              <w:t xml:space="preserve">       </w:t>
            </w:r>
          </w:p>
        </w:tc>
        <w:tc>
          <w:tcPr>
            <w:tcW w:w="2298" w:type="dxa"/>
            <w:gridSpan w:val="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481" w:type="dxa"/>
            <w:vAlign w:val="center"/>
          </w:tcPr>
          <w:p>
            <w:pPr>
              <w:widowControl/>
              <w:spacing w:line="320" w:lineRule="exact"/>
              <w:jc w:val="center"/>
              <w:rPr>
                <w:rFonts w:hint="eastAsia" w:ascii="宋体" w:hAnsi="宋体" w:cs="宋体"/>
                <w:bCs/>
                <w:color w:val="auto"/>
                <w:kern w:val="0"/>
                <w:sz w:val="18"/>
                <w:szCs w:val="18"/>
                <w:highlight w:val="none"/>
              </w:rPr>
            </w:pPr>
          </w:p>
        </w:tc>
        <w:tc>
          <w:tcPr>
            <w:tcW w:w="1404" w:type="dxa"/>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4" w:type="dxa"/>
            <w:gridSpan w:val="3"/>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3193" w:type="dxa"/>
            <w:gridSpan w:val="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2789" w:type="dxa"/>
            <w:gridSpan w:val="4"/>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4779" w:type="dxa"/>
            <w:gridSpan w:val="3"/>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404" w:type="dxa"/>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gridSpan w:val="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是否在岗</w:t>
            </w:r>
          </w:p>
        </w:tc>
        <w:tc>
          <w:tcPr>
            <w:tcW w:w="10771" w:type="dxa"/>
            <w:gridSpan w:val="10"/>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1404" w:type="dxa"/>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承诺见投标函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15" w:type="dxa"/>
            <w:gridSpan w:val="1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担任资格审查要求职务完成业绩情况（如有）</w:t>
            </w:r>
          </w:p>
        </w:tc>
        <w:tc>
          <w:tcPr>
            <w:tcW w:w="1404" w:type="dxa"/>
            <w:vMerge w:val="restart"/>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业绩证明材料</w:t>
            </w:r>
          </w:p>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44" w:type="dxa"/>
            <w:gridSpan w:val="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2484" w:type="dxa"/>
            <w:gridSpan w:val="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项目名称</w:t>
            </w:r>
          </w:p>
        </w:tc>
        <w:tc>
          <w:tcPr>
            <w:tcW w:w="1728" w:type="dxa"/>
            <w:gridSpan w:val="3"/>
            <w:vAlign w:val="center"/>
          </w:tcPr>
          <w:p>
            <w:pPr>
              <w:spacing w:line="32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公路等级</w:t>
            </w:r>
          </w:p>
        </w:tc>
        <w:tc>
          <w:tcPr>
            <w:tcW w:w="1780" w:type="dxa"/>
            <w:gridSpan w:val="2"/>
            <w:vAlign w:val="center"/>
          </w:tcPr>
          <w:p>
            <w:pPr>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标段号</w:t>
            </w:r>
          </w:p>
        </w:tc>
        <w:tc>
          <w:tcPr>
            <w:tcW w:w="2245" w:type="dxa"/>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试验室主任/技术负责人</w:t>
            </w:r>
          </w:p>
        </w:tc>
        <w:tc>
          <w:tcPr>
            <w:tcW w:w="2534" w:type="dxa"/>
            <w:gridSpan w:val="2"/>
            <w:vAlign w:val="center"/>
          </w:tcPr>
          <w:p>
            <w:pPr>
              <w:widowControl/>
              <w:spacing w:line="32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承担标段路线长度（km）</w:t>
            </w:r>
          </w:p>
        </w:tc>
        <w:tc>
          <w:tcPr>
            <w:tcW w:w="1404" w:type="dxa"/>
            <w:vMerge w:val="continue"/>
            <w:vAlign w:val="center"/>
          </w:tcPr>
          <w:p>
            <w:pPr>
              <w:widowControl/>
              <w:spacing w:line="320" w:lineRule="exact"/>
              <w:jc w:val="center"/>
              <w:rPr>
                <w:rFonts w:hint="eastAsia" w:ascii="宋体" w:hAnsi="宋体" w:cs="宋体"/>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gridSpan w:val="2"/>
            <w:vAlign w:val="center"/>
          </w:tcPr>
          <w:p>
            <w:pPr>
              <w:widowControl/>
              <w:spacing w:line="320" w:lineRule="exact"/>
              <w:jc w:val="center"/>
              <w:rPr>
                <w:rFonts w:hint="eastAsia" w:ascii="宋体" w:hAnsi="宋体" w:cs="宋体"/>
                <w:color w:val="auto"/>
                <w:kern w:val="0"/>
                <w:sz w:val="18"/>
                <w:szCs w:val="18"/>
                <w:highlight w:val="none"/>
              </w:rPr>
            </w:pPr>
          </w:p>
        </w:tc>
        <w:tc>
          <w:tcPr>
            <w:tcW w:w="2484" w:type="dxa"/>
            <w:gridSpan w:val="2"/>
            <w:vAlign w:val="center"/>
          </w:tcPr>
          <w:p>
            <w:pPr>
              <w:spacing w:line="320" w:lineRule="exact"/>
              <w:jc w:val="center"/>
              <w:rPr>
                <w:rFonts w:hint="eastAsia" w:ascii="宋体" w:hAnsi="宋体" w:cs="宋体"/>
                <w:color w:val="auto"/>
                <w:kern w:val="0"/>
                <w:sz w:val="18"/>
                <w:szCs w:val="18"/>
                <w:highlight w:val="none"/>
              </w:rPr>
            </w:pPr>
          </w:p>
        </w:tc>
        <w:tc>
          <w:tcPr>
            <w:tcW w:w="1728" w:type="dxa"/>
            <w:gridSpan w:val="3"/>
            <w:vAlign w:val="center"/>
          </w:tcPr>
          <w:p>
            <w:pPr>
              <w:spacing w:line="320" w:lineRule="exact"/>
              <w:jc w:val="center"/>
              <w:rPr>
                <w:rFonts w:hint="eastAsia" w:ascii="宋体" w:hAnsi="宋体" w:cs="宋体"/>
                <w:color w:val="auto"/>
                <w:kern w:val="0"/>
                <w:sz w:val="18"/>
                <w:szCs w:val="18"/>
                <w:highlight w:val="none"/>
              </w:rPr>
            </w:pPr>
          </w:p>
        </w:tc>
        <w:tc>
          <w:tcPr>
            <w:tcW w:w="1780" w:type="dxa"/>
            <w:gridSpan w:val="2"/>
            <w:vAlign w:val="center"/>
          </w:tcPr>
          <w:p>
            <w:pPr>
              <w:widowControl/>
              <w:spacing w:line="320" w:lineRule="exact"/>
              <w:jc w:val="center"/>
              <w:rPr>
                <w:rFonts w:hint="eastAsia" w:ascii="宋体" w:hAnsi="宋体" w:cs="宋体"/>
                <w:color w:val="auto"/>
                <w:kern w:val="0"/>
                <w:sz w:val="18"/>
                <w:szCs w:val="18"/>
                <w:highlight w:val="none"/>
              </w:rPr>
            </w:pPr>
          </w:p>
        </w:tc>
        <w:tc>
          <w:tcPr>
            <w:tcW w:w="2245" w:type="dxa"/>
            <w:vAlign w:val="center"/>
          </w:tcPr>
          <w:p>
            <w:pPr>
              <w:spacing w:line="320" w:lineRule="exact"/>
              <w:jc w:val="center"/>
              <w:rPr>
                <w:rFonts w:hint="eastAsia" w:ascii="宋体" w:hAnsi="宋体" w:cs="宋体"/>
                <w:color w:val="auto"/>
                <w:sz w:val="18"/>
                <w:szCs w:val="18"/>
                <w:highlight w:val="none"/>
              </w:rPr>
            </w:pPr>
          </w:p>
        </w:tc>
        <w:tc>
          <w:tcPr>
            <w:tcW w:w="2534" w:type="dxa"/>
            <w:gridSpan w:val="2"/>
            <w:vAlign w:val="center"/>
          </w:tcPr>
          <w:p>
            <w:pPr>
              <w:spacing w:line="320" w:lineRule="exact"/>
              <w:jc w:val="center"/>
              <w:rPr>
                <w:rFonts w:hint="eastAsia" w:ascii="宋体" w:hAnsi="宋体" w:cs="宋体"/>
                <w:color w:val="auto"/>
                <w:kern w:val="0"/>
                <w:sz w:val="18"/>
                <w:szCs w:val="18"/>
                <w:highlight w:val="none"/>
              </w:rPr>
            </w:pPr>
          </w:p>
        </w:tc>
        <w:tc>
          <w:tcPr>
            <w:tcW w:w="1404" w:type="dxa"/>
            <w:vAlign w:val="center"/>
          </w:tcPr>
          <w:p>
            <w:pPr>
              <w:widowControl/>
              <w:spacing w:line="32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gridSpan w:val="2"/>
            <w:vAlign w:val="center"/>
          </w:tcPr>
          <w:p>
            <w:pPr>
              <w:widowControl/>
              <w:spacing w:line="320" w:lineRule="exact"/>
              <w:jc w:val="center"/>
              <w:rPr>
                <w:rFonts w:hint="eastAsia" w:ascii="宋体" w:hAnsi="宋体" w:cs="宋体"/>
                <w:color w:val="auto"/>
                <w:kern w:val="0"/>
                <w:sz w:val="18"/>
                <w:szCs w:val="18"/>
                <w:highlight w:val="none"/>
              </w:rPr>
            </w:pPr>
          </w:p>
        </w:tc>
        <w:tc>
          <w:tcPr>
            <w:tcW w:w="2484" w:type="dxa"/>
            <w:gridSpan w:val="2"/>
            <w:vAlign w:val="center"/>
          </w:tcPr>
          <w:p>
            <w:pPr>
              <w:spacing w:line="320" w:lineRule="exact"/>
              <w:jc w:val="center"/>
              <w:rPr>
                <w:rFonts w:hint="eastAsia" w:ascii="宋体" w:hAnsi="宋体" w:cs="宋体"/>
                <w:color w:val="auto"/>
                <w:kern w:val="0"/>
                <w:sz w:val="18"/>
                <w:szCs w:val="18"/>
                <w:highlight w:val="none"/>
              </w:rPr>
            </w:pPr>
          </w:p>
        </w:tc>
        <w:tc>
          <w:tcPr>
            <w:tcW w:w="1728" w:type="dxa"/>
            <w:gridSpan w:val="3"/>
            <w:vAlign w:val="center"/>
          </w:tcPr>
          <w:p>
            <w:pPr>
              <w:spacing w:line="320" w:lineRule="exact"/>
              <w:jc w:val="center"/>
              <w:rPr>
                <w:rFonts w:hint="eastAsia" w:ascii="宋体" w:hAnsi="宋体" w:cs="宋体"/>
                <w:color w:val="auto"/>
                <w:kern w:val="0"/>
                <w:sz w:val="18"/>
                <w:szCs w:val="18"/>
                <w:highlight w:val="none"/>
              </w:rPr>
            </w:pPr>
          </w:p>
        </w:tc>
        <w:tc>
          <w:tcPr>
            <w:tcW w:w="1780" w:type="dxa"/>
            <w:gridSpan w:val="2"/>
            <w:vAlign w:val="center"/>
          </w:tcPr>
          <w:p>
            <w:pPr>
              <w:widowControl/>
              <w:spacing w:line="320" w:lineRule="exact"/>
              <w:jc w:val="center"/>
              <w:rPr>
                <w:rFonts w:hint="eastAsia" w:ascii="宋体" w:hAnsi="宋体" w:cs="宋体"/>
                <w:color w:val="auto"/>
                <w:kern w:val="0"/>
                <w:sz w:val="18"/>
                <w:szCs w:val="18"/>
                <w:highlight w:val="none"/>
              </w:rPr>
            </w:pPr>
          </w:p>
        </w:tc>
        <w:tc>
          <w:tcPr>
            <w:tcW w:w="2245" w:type="dxa"/>
            <w:vAlign w:val="center"/>
          </w:tcPr>
          <w:p>
            <w:pPr>
              <w:spacing w:line="320" w:lineRule="exact"/>
              <w:jc w:val="center"/>
              <w:rPr>
                <w:rFonts w:hint="eastAsia" w:ascii="宋体" w:hAnsi="宋体" w:cs="宋体"/>
                <w:color w:val="auto"/>
                <w:sz w:val="18"/>
                <w:szCs w:val="18"/>
                <w:highlight w:val="none"/>
              </w:rPr>
            </w:pPr>
          </w:p>
        </w:tc>
        <w:tc>
          <w:tcPr>
            <w:tcW w:w="2534" w:type="dxa"/>
            <w:gridSpan w:val="2"/>
            <w:vAlign w:val="center"/>
          </w:tcPr>
          <w:p>
            <w:pPr>
              <w:spacing w:line="320" w:lineRule="exact"/>
              <w:jc w:val="center"/>
              <w:rPr>
                <w:rFonts w:hint="eastAsia" w:ascii="宋体" w:hAnsi="宋体" w:cs="宋体"/>
                <w:color w:val="auto"/>
                <w:kern w:val="0"/>
                <w:sz w:val="18"/>
                <w:szCs w:val="18"/>
                <w:highlight w:val="none"/>
              </w:rPr>
            </w:pPr>
          </w:p>
        </w:tc>
        <w:tc>
          <w:tcPr>
            <w:tcW w:w="1404" w:type="dxa"/>
            <w:vAlign w:val="center"/>
          </w:tcPr>
          <w:p>
            <w:pPr>
              <w:widowControl/>
              <w:spacing w:line="32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gridSpan w:val="2"/>
            <w:vAlign w:val="center"/>
          </w:tcPr>
          <w:p>
            <w:pPr>
              <w:widowControl/>
              <w:spacing w:line="320" w:lineRule="exact"/>
              <w:jc w:val="center"/>
              <w:rPr>
                <w:rFonts w:hint="eastAsia" w:ascii="宋体" w:hAnsi="宋体" w:cs="宋体"/>
                <w:color w:val="auto"/>
                <w:kern w:val="0"/>
                <w:sz w:val="18"/>
                <w:szCs w:val="18"/>
                <w:highlight w:val="none"/>
              </w:rPr>
            </w:pPr>
          </w:p>
        </w:tc>
        <w:tc>
          <w:tcPr>
            <w:tcW w:w="2484" w:type="dxa"/>
            <w:gridSpan w:val="2"/>
            <w:vAlign w:val="center"/>
          </w:tcPr>
          <w:p>
            <w:pPr>
              <w:spacing w:line="320" w:lineRule="exact"/>
              <w:jc w:val="center"/>
              <w:rPr>
                <w:rFonts w:hint="eastAsia" w:ascii="宋体" w:hAnsi="宋体" w:cs="宋体"/>
                <w:color w:val="auto"/>
                <w:kern w:val="0"/>
                <w:sz w:val="18"/>
                <w:szCs w:val="18"/>
                <w:highlight w:val="none"/>
              </w:rPr>
            </w:pPr>
          </w:p>
        </w:tc>
        <w:tc>
          <w:tcPr>
            <w:tcW w:w="1728" w:type="dxa"/>
            <w:gridSpan w:val="3"/>
            <w:vAlign w:val="center"/>
          </w:tcPr>
          <w:p>
            <w:pPr>
              <w:spacing w:line="320" w:lineRule="exact"/>
              <w:jc w:val="center"/>
              <w:rPr>
                <w:rFonts w:hint="eastAsia" w:ascii="宋体" w:hAnsi="宋体" w:cs="宋体"/>
                <w:color w:val="auto"/>
                <w:kern w:val="0"/>
                <w:sz w:val="18"/>
                <w:szCs w:val="18"/>
                <w:highlight w:val="none"/>
              </w:rPr>
            </w:pPr>
          </w:p>
        </w:tc>
        <w:tc>
          <w:tcPr>
            <w:tcW w:w="1780" w:type="dxa"/>
            <w:gridSpan w:val="2"/>
            <w:vAlign w:val="center"/>
          </w:tcPr>
          <w:p>
            <w:pPr>
              <w:widowControl/>
              <w:spacing w:line="320" w:lineRule="exact"/>
              <w:jc w:val="center"/>
              <w:rPr>
                <w:rFonts w:hint="eastAsia" w:ascii="宋体" w:hAnsi="宋体" w:cs="宋体"/>
                <w:color w:val="auto"/>
                <w:kern w:val="0"/>
                <w:sz w:val="18"/>
                <w:szCs w:val="18"/>
                <w:highlight w:val="none"/>
              </w:rPr>
            </w:pPr>
          </w:p>
        </w:tc>
        <w:tc>
          <w:tcPr>
            <w:tcW w:w="2245" w:type="dxa"/>
            <w:vAlign w:val="center"/>
          </w:tcPr>
          <w:p>
            <w:pPr>
              <w:spacing w:line="320" w:lineRule="exact"/>
              <w:jc w:val="center"/>
              <w:rPr>
                <w:rFonts w:hint="eastAsia" w:ascii="宋体" w:hAnsi="宋体" w:cs="宋体"/>
                <w:color w:val="auto"/>
                <w:sz w:val="18"/>
                <w:szCs w:val="18"/>
                <w:highlight w:val="none"/>
              </w:rPr>
            </w:pPr>
          </w:p>
        </w:tc>
        <w:tc>
          <w:tcPr>
            <w:tcW w:w="2534" w:type="dxa"/>
            <w:gridSpan w:val="2"/>
            <w:vAlign w:val="center"/>
          </w:tcPr>
          <w:p>
            <w:pPr>
              <w:spacing w:line="320" w:lineRule="exact"/>
              <w:jc w:val="center"/>
              <w:rPr>
                <w:rFonts w:hint="eastAsia" w:ascii="宋体" w:hAnsi="宋体" w:cs="宋体"/>
                <w:color w:val="auto"/>
                <w:kern w:val="0"/>
                <w:sz w:val="18"/>
                <w:szCs w:val="18"/>
                <w:highlight w:val="none"/>
              </w:rPr>
            </w:pPr>
          </w:p>
        </w:tc>
        <w:tc>
          <w:tcPr>
            <w:tcW w:w="1404" w:type="dxa"/>
            <w:vAlign w:val="center"/>
          </w:tcPr>
          <w:p>
            <w:pPr>
              <w:widowControl/>
              <w:spacing w:line="32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44" w:type="dxa"/>
            <w:gridSpan w:val="2"/>
            <w:vAlign w:val="center"/>
          </w:tcPr>
          <w:p>
            <w:pPr>
              <w:widowControl/>
              <w:spacing w:line="320" w:lineRule="exact"/>
              <w:jc w:val="center"/>
              <w:rPr>
                <w:rFonts w:hint="eastAsia" w:ascii="宋体" w:hAnsi="宋体" w:cs="宋体"/>
                <w:color w:val="auto"/>
                <w:kern w:val="0"/>
                <w:sz w:val="18"/>
                <w:szCs w:val="18"/>
                <w:highlight w:val="none"/>
              </w:rPr>
            </w:pPr>
          </w:p>
        </w:tc>
        <w:tc>
          <w:tcPr>
            <w:tcW w:w="2484" w:type="dxa"/>
            <w:gridSpan w:val="2"/>
            <w:vAlign w:val="center"/>
          </w:tcPr>
          <w:p>
            <w:pPr>
              <w:spacing w:line="320" w:lineRule="exact"/>
              <w:jc w:val="center"/>
              <w:rPr>
                <w:rFonts w:hint="eastAsia" w:ascii="宋体" w:hAnsi="宋体" w:cs="宋体"/>
                <w:color w:val="auto"/>
                <w:kern w:val="0"/>
                <w:sz w:val="18"/>
                <w:szCs w:val="18"/>
                <w:highlight w:val="none"/>
              </w:rPr>
            </w:pPr>
          </w:p>
        </w:tc>
        <w:tc>
          <w:tcPr>
            <w:tcW w:w="1728" w:type="dxa"/>
            <w:gridSpan w:val="3"/>
            <w:vAlign w:val="center"/>
          </w:tcPr>
          <w:p>
            <w:pPr>
              <w:spacing w:line="320" w:lineRule="exact"/>
              <w:jc w:val="center"/>
              <w:rPr>
                <w:rFonts w:hint="eastAsia" w:ascii="宋体" w:hAnsi="宋体" w:cs="宋体"/>
                <w:color w:val="auto"/>
                <w:kern w:val="0"/>
                <w:sz w:val="18"/>
                <w:szCs w:val="18"/>
                <w:highlight w:val="none"/>
              </w:rPr>
            </w:pPr>
          </w:p>
        </w:tc>
        <w:tc>
          <w:tcPr>
            <w:tcW w:w="1780" w:type="dxa"/>
            <w:gridSpan w:val="2"/>
            <w:vAlign w:val="center"/>
          </w:tcPr>
          <w:p>
            <w:pPr>
              <w:widowControl/>
              <w:spacing w:line="320" w:lineRule="exact"/>
              <w:jc w:val="center"/>
              <w:rPr>
                <w:rFonts w:hint="eastAsia" w:ascii="宋体" w:hAnsi="宋体" w:cs="宋体"/>
                <w:color w:val="auto"/>
                <w:kern w:val="0"/>
                <w:sz w:val="18"/>
                <w:szCs w:val="18"/>
                <w:highlight w:val="none"/>
              </w:rPr>
            </w:pPr>
          </w:p>
        </w:tc>
        <w:tc>
          <w:tcPr>
            <w:tcW w:w="2245" w:type="dxa"/>
            <w:vAlign w:val="center"/>
          </w:tcPr>
          <w:p>
            <w:pPr>
              <w:spacing w:line="320" w:lineRule="exact"/>
              <w:jc w:val="center"/>
              <w:rPr>
                <w:rFonts w:hint="eastAsia" w:ascii="宋体" w:hAnsi="宋体" w:cs="宋体"/>
                <w:color w:val="auto"/>
                <w:sz w:val="18"/>
                <w:szCs w:val="18"/>
                <w:highlight w:val="none"/>
              </w:rPr>
            </w:pPr>
          </w:p>
        </w:tc>
        <w:tc>
          <w:tcPr>
            <w:tcW w:w="2534" w:type="dxa"/>
            <w:gridSpan w:val="2"/>
            <w:vAlign w:val="center"/>
          </w:tcPr>
          <w:p>
            <w:pPr>
              <w:spacing w:line="320" w:lineRule="exact"/>
              <w:jc w:val="center"/>
              <w:rPr>
                <w:rFonts w:hint="eastAsia" w:ascii="宋体" w:hAnsi="宋体" w:cs="宋体"/>
                <w:color w:val="auto"/>
                <w:kern w:val="0"/>
                <w:sz w:val="18"/>
                <w:szCs w:val="18"/>
                <w:highlight w:val="none"/>
              </w:rPr>
            </w:pPr>
          </w:p>
        </w:tc>
        <w:tc>
          <w:tcPr>
            <w:tcW w:w="1404" w:type="dxa"/>
            <w:vAlign w:val="center"/>
          </w:tcPr>
          <w:p>
            <w:pPr>
              <w:widowControl/>
              <w:spacing w:line="32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gridSpan w:val="2"/>
            <w:vAlign w:val="center"/>
          </w:tcPr>
          <w:p>
            <w:pPr>
              <w:spacing w:line="320" w:lineRule="exact"/>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2484" w:type="dxa"/>
            <w:gridSpan w:val="2"/>
            <w:vAlign w:val="center"/>
          </w:tcPr>
          <w:p>
            <w:pPr>
              <w:widowControl/>
              <w:spacing w:line="32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728" w:type="dxa"/>
            <w:gridSpan w:val="3"/>
            <w:vAlign w:val="center"/>
          </w:tcPr>
          <w:p>
            <w:pPr>
              <w:widowControl/>
              <w:spacing w:line="32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780" w:type="dxa"/>
            <w:gridSpan w:val="2"/>
            <w:vAlign w:val="center"/>
          </w:tcPr>
          <w:p>
            <w:pPr>
              <w:widowControl/>
              <w:spacing w:line="32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245" w:type="dxa"/>
            <w:vAlign w:val="center"/>
          </w:tcPr>
          <w:p>
            <w:pPr>
              <w:widowControl/>
              <w:spacing w:line="32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534" w:type="dxa"/>
            <w:gridSpan w:val="2"/>
            <w:vAlign w:val="center"/>
          </w:tcPr>
          <w:p>
            <w:pPr>
              <w:widowControl/>
              <w:spacing w:line="32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04" w:type="dxa"/>
            <w:vAlign w:val="center"/>
          </w:tcPr>
          <w:p>
            <w:pPr>
              <w:widowControl/>
              <w:spacing w:line="32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276" w:lineRule="auto"/>
        <w:rPr>
          <w:rFonts w:hint="eastAsia" w:ascii="宋体" w:hAnsi="宋体" w:cs="宋体"/>
          <w:color w:val="auto"/>
          <w:szCs w:val="18"/>
          <w:highlight w:val="none"/>
        </w:rPr>
      </w:pPr>
      <w:r>
        <w:rPr>
          <w:rFonts w:hint="eastAsia" w:ascii="宋体" w:hAnsi="宋体" w:cs="宋体"/>
          <w:color w:val="auto"/>
          <w:szCs w:val="18"/>
          <w:highlight w:val="none"/>
        </w:rPr>
        <w:t>注：1.投标人应在本表后提供相关证明材料（原件原色扫描件）附件B4系列（身份证、职称证、执业资格证、社保证明、个人业绩证明）。证明材料构成应与招标人对拟委任主要人员的要求一一对应，未作要求的内容不得要求投标人提供相应的证明材料。</w:t>
      </w:r>
    </w:p>
    <w:p>
      <w:pPr>
        <w:spacing w:line="276" w:lineRule="auto"/>
        <w:ind w:firstLine="420" w:firstLineChars="200"/>
        <w:rPr>
          <w:rFonts w:hint="eastAsia" w:ascii="宋体" w:hAnsi="宋体" w:cs="宋体"/>
          <w:color w:val="auto"/>
          <w:szCs w:val="18"/>
          <w:highlight w:val="none"/>
        </w:rPr>
      </w:pPr>
      <w:r>
        <w:rPr>
          <w:rFonts w:hint="eastAsia" w:ascii="宋体" w:hAnsi="宋体" w:cs="宋体"/>
          <w:color w:val="auto"/>
          <w:szCs w:val="18"/>
          <w:highlight w:val="none"/>
        </w:rPr>
        <w:t>2.因投标人自身原因未提供附件或提供的附件不能与所证明的内容相匹配，造成业绩或其他内容不予认可时，投标人自行承担相关责任。</w:t>
      </w:r>
    </w:p>
    <w:p>
      <w:pPr>
        <w:ind w:left="630" w:leftChars="200" w:hanging="210" w:hangingChars="100"/>
        <w:rPr>
          <w:rFonts w:hint="eastAsia" w:ascii="宋体" w:hAnsi="宋体" w:cs="宋体"/>
          <w:color w:val="auto"/>
          <w:szCs w:val="18"/>
          <w:highlight w:val="none"/>
        </w:rPr>
      </w:pPr>
      <w:r>
        <w:rPr>
          <w:rFonts w:hint="eastAsia" w:ascii="宋体" w:hAnsi="宋体" w:cs="宋体"/>
          <w:color w:val="auto"/>
          <w:szCs w:val="18"/>
          <w:highlight w:val="none"/>
        </w:rPr>
        <w:t>3.个人业绩证明材料为：</w:t>
      </w:r>
    </w:p>
    <w:p>
      <w:pPr>
        <w:ind w:left="630" w:leftChars="200" w:hanging="210" w:hangingChars="100"/>
        <w:rPr>
          <w:rFonts w:hint="eastAsia" w:ascii="宋体" w:hAnsi="宋体" w:cs="宋体"/>
          <w:color w:val="auto"/>
          <w:szCs w:val="18"/>
          <w:highlight w:val="none"/>
        </w:rPr>
      </w:pPr>
      <w:r>
        <w:rPr>
          <w:rFonts w:hint="eastAsia" w:ascii="宋体" w:hAnsi="宋体" w:cs="宋体"/>
          <w:color w:val="auto"/>
          <w:szCs w:val="18"/>
          <w:highlight w:val="none"/>
        </w:rPr>
        <w:t>□ 交通运输部“全国公路建设市场监督管理系统”中载明的、能够证明该人员具有相关业绩的网页截图（本项规定仅适用于根据《关于发布公路工程从业企业资质名录的通知》（厅公路字〔2011〕114号）要求，招标人应通过名录对投标人资质条件进行审核的公路施工监理企业单位人员。否则，招标人可对相关个人业绩提出其他证明材料要求。）。□或</w:t>
      </w:r>
    </w:p>
    <w:p>
      <w:pPr>
        <w:ind w:left="630" w:leftChars="200" w:hanging="210" w:hangingChars="100"/>
        <w:rPr>
          <w:rFonts w:hint="eastAsia" w:ascii="宋体" w:hAnsi="宋体" w:cs="宋体"/>
          <w:color w:val="auto"/>
          <w:szCs w:val="18"/>
          <w:highlight w:val="none"/>
        </w:rPr>
      </w:pPr>
      <w:r>
        <w:rPr>
          <w:rFonts w:hint="eastAsia" w:ascii="宋体" w:hAnsi="宋体" w:cs="宋体"/>
          <w:color w:val="auto"/>
          <w:szCs w:val="18"/>
          <w:highlight w:val="none"/>
        </w:rPr>
        <w:t xml:space="preserve">      □ 合同协议书；和 </w:t>
      </w:r>
    </w:p>
    <w:p>
      <w:pPr>
        <w:ind w:left="630" w:leftChars="200" w:hanging="210" w:hangingChars="100"/>
        <w:rPr>
          <w:rFonts w:hint="eastAsia" w:ascii="宋体" w:hAnsi="宋体" w:cs="宋体"/>
          <w:color w:val="auto"/>
          <w:szCs w:val="18"/>
          <w:highlight w:val="none"/>
        </w:rPr>
      </w:pPr>
      <w:r>
        <w:rPr>
          <w:rFonts w:hint="eastAsia" w:ascii="宋体" w:hAnsi="宋体" w:cs="宋体"/>
          <w:color w:val="auto"/>
          <w:szCs w:val="18"/>
          <w:highlight w:val="none"/>
        </w:rPr>
        <w:t>监理项目评定书或交工验收证书或竣工验收委员会出具的公路工程竣工验收鉴定书或发包人出具的证明原件原色扫描件，其中应能够证明该人员具有相关业绩。</w:t>
      </w:r>
    </w:p>
    <w:p>
      <w:pPr>
        <w:ind w:left="630" w:leftChars="200" w:hanging="210" w:hangingChars="100"/>
        <w:rPr>
          <w:rFonts w:hint="eastAsia" w:ascii="宋体" w:hAnsi="宋体" w:cs="宋体"/>
          <w:color w:val="auto"/>
          <w:szCs w:val="18"/>
          <w:highlight w:val="none"/>
        </w:rPr>
      </w:pPr>
      <w:r>
        <w:rPr>
          <w:rFonts w:hint="eastAsia" w:ascii="宋体" w:hAnsi="宋体" w:cs="宋体"/>
          <w:color w:val="auto"/>
          <w:szCs w:val="18"/>
          <w:highlight w:val="none"/>
        </w:rPr>
        <w:t>4.提供社保时间段要求：例如投标截止日所在月为“2021年12月”，则提供“2021年6～11月”或“2021年5～10月”在其投标单位连续6个月参加社保的证明材料。</w:t>
      </w:r>
    </w:p>
    <w:p>
      <w:pPr>
        <w:ind w:left="630" w:leftChars="200" w:hanging="210" w:hangingChars="100"/>
        <w:rPr>
          <w:rFonts w:hint="eastAsia" w:ascii="宋体" w:hAnsi="宋体" w:cs="宋体"/>
          <w:color w:val="auto"/>
          <w:szCs w:val="18"/>
          <w:highlight w:val="none"/>
        </w:rPr>
      </w:pPr>
      <w:r>
        <w:rPr>
          <w:rFonts w:hint="eastAsia" w:ascii="宋体" w:hAnsi="宋体" w:cs="宋体"/>
          <w:color w:val="auto"/>
          <w:szCs w:val="18"/>
          <w:highlight w:val="none"/>
        </w:rPr>
        <w:t>5.允许联合体投标时，若以联合体形式投标的，试验室主任应按照第二章“投标人须知”前附表附录4资格审查条件的要求及第三章“评标办法”详细评审打分条件（如有）填写本表。</w:t>
      </w:r>
      <w:bookmarkStart w:id="750" w:name="_Toc28187748"/>
    </w:p>
    <w:p>
      <w:pPr>
        <w:ind w:left="630" w:leftChars="200" w:hanging="210" w:hangingChars="100"/>
        <w:rPr>
          <w:color w:val="auto"/>
          <w:highlight w:val="none"/>
        </w:rPr>
      </w:pPr>
      <w:r>
        <w:rPr>
          <w:rFonts w:hint="eastAsia" w:ascii="宋体" w:hAnsi="宋体" w:cs="宋体"/>
          <w:color w:val="auto"/>
          <w:szCs w:val="18"/>
          <w:highlight w:val="none"/>
        </w:rPr>
        <w:t>6.试验检测工程师指取得交通运输相关部门颁发的公路水运工程试验检测工程师证书的从业人员，资格证书可为公路工程试验检测工程师或（公路）检师或公路水运工程试验检测师或新的管理办法下颁发的同类型资格证书。</w:t>
      </w:r>
      <w:r>
        <w:rPr>
          <w:color w:val="auto"/>
          <w:highlight w:val="none"/>
        </w:rPr>
        <w:br w:type="page"/>
      </w:r>
    </w:p>
    <w:p>
      <w:pPr>
        <w:pStyle w:val="6"/>
        <w:ind w:firstLine="3920" w:firstLineChars="1400"/>
        <w:rPr>
          <w:b w:val="0"/>
          <w:bCs w:val="0"/>
          <w:color w:val="auto"/>
          <w:highlight w:val="none"/>
        </w:rPr>
      </w:pPr>
      <w:r>
        <w:rPr>
          <w:b w:val="0"/>
          <w:bCs w:val="0"/>
          <w:color w:val="auto"/>
          <w:highlight w:val="none"/>
        </w:rPr>
        <w:sym w:font="Wingdings 2" w:char="00A3"/>
      </w:r>
      <w:r>
        <w:rPr>
          <w:rFonts w:hint="eastAsia"/>
          <w:b w:val="0"/>
          <w:bCs w:val="0"/>
          <w:color w:val="auto"/>
          <w:highlight w:val="none"/>
        </w:rPr>
        <w:t>（五）拟委任的其他主要监理人员资历表</w:t>
      </w:r>
      <w:bookmarkEnd w:id="749"/>
      <w:bookmarkEnd w:id="750"/>
    </w:p>
    <w:p>
      <w:pPr>
        <w:pStyle w:val="43"/>
        <w:shd w:val="clear" w:color="auto" w:fill="FFFFFF"/>
        <w:jc w:val="center"/>
        <w:rPr>
          <w:rFonts w:hint="eastAsia" w:ascii="黑体" w:hAnsi="黑体" w:eastAsia="黑体" w:cs="宋体"/>
          <w:bCs/>
          <w:color w:val="auto"/>
          <w:highlight w:val="none"/>
        </w:rPr>
      </w:pPr>
      <w:r>
        <w:rPr>
          <w:rFonts w:hint="eastAsia" w:ascii="黑体" w:hAnsi="黑体" w:eastAsia="黑体" w:cs="宋体"/>
          <w:bCs/>
          <w:color w:val="auto"/>
          <w:highlight w:val="none"/>
        </w:rPr>
        <w:t xml:space="preserve">                                       </w:t>
      </w:r>
      <w:r>
        <w:rPr>
          <w:rFonts w:hint="eastAsia" w:ascii="黑体" w:hAnsi="黑体" w:eastAsia="黑体" w:cs="宋体"/>
          <w:b/>
          <w:color w:val="auto"/>
          <w:highlight w:val="none"/>
        </w:rPr>
        <w:t>□</w:t>
      </w:r>
      <w:r>
        <w:rPr>
          <w:rFonts w:hint="eastAsia" w:ascii="黑体" w:hAnsi="黑体" w:eastAsia="黑体" w:cs="宋体"/>
          <w:bCs/>
          <w:color w:val="auto"/>
          <w:highlight w:val="none"/>
        </w:rPr>
        <w:t xml:space="preserve"> 桥梁专业监理工程师资历表                                         表5.1</w:t>
      </w:r>
    </w:p>
    <w:tbl>
      <w:tblPr>
        <w:tblStyle w:val="48"/>
        <w:tblW w:w="14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424"/>
        <w:gridCol w:w="424"/>
        <w:gridCol w:w="652"/>
        <w:gridCol w:w="899"/>
        <w:gridCol w:w="1129"/>
        <w:gridCol w:w="531"/>
        <w:gridCol w:w="481"/>
        <w:gridCol w:w="129"/>
        <w:gridCol w:w="576"/>
        <w:gridCol w:w="988"/>
        <w:gridCol w:w="1411"/>
        <w:gridCol w:w="141"/>
        <w:gridCol w:w="1271"/>
        <w:gridCol w:w="1620"/>
        <w:gridCol w:w="1274"/>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3268" w:type="dxa"/>
            <w:gridSpan w:val="16"/>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41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74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4116" w:type="dxa"/>
            <w:gridSpan w:val="6"/>
            <w:vAlign w:val="center"/>
          </w:tcPr>
          <w:p>
            <w:pPr>
              <w:widowControl/>
              <w:jc w:val="center"/>
              <w:rPr>
                <w:rFonts w:hint="eastAsia" w:ascii="宋体" w:hAnsi="宋体" w:cs="宋体"/>
                <w:bCs/>
                <w:color w:val="auto"/>
                <w:kern w:val="0"/>
                <w:sz w:val="18"/>
                <w:szCs w:val="18"/>
                <w:highlight w:val="none"/>
              </w:rPr>
            </w:pPr>
          </w:p>
        </w:tc>
        <w:tc>
          <w:tcPr>
            <w:tcW w:w="705"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988" w:type="dxa"/>
            <w:vAlign w:val="center"/>
          </w:tcPr>
          <w:p>
            <w:pPr>
              <w:widowControl/>
              <w:jc w:val="center"/>
              <w:rPr>
                <w:rFonts w:hint="eastAsia" w:ascii="宋体" w:hAnsi="宋体" w:cs="宋体"/>
                <w:bCs/>
                <w:color w:val="auto"/>
                <w:kern w:val="0"/>
                <w:sz w:val="18"/>
                <w:szCs w:val="18"/>
                <w:highlight w:val="none"/>
              </w:rPr>
            </w:pPr>
          </w:p>
        </w:tc>
        <w:tc>
          <w:tcPr>
            <w:tcW w:w="155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4165" w:type="dxa"/>
            <w:gridSpan w:val="3"/>
            <w:vAlign w:val="center"/>
          </w:tcPr>
          <w:p>
            <w:pPr>
              <w:widowControl/>
              <w:jc w:val="center"/>
              <w:rPr>
                <w:rFonts w:hint="eastAsia" w:ascii="宋体" w:hAnsi="宋体" w:cs="宋体"/>
                <w:bCs/>
                <w:color w:val="auto"/>
                <w:kern w:val="0"/>
                <w:sz w:val="18"/>
                <w:szCs w:val="18"/>
                <w:highlight w:val="none"/>
              </w:rPr>
            </w:pPr>
          </w:p>
        </w:tc>
        <w:tc>
          <w:tcPr>
            <w:tcW w:w="141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74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4116" w:type="dxa"/>
            <w:gridSpan w:val="6"/>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□工程师  □高级工程师 </w:t>
            </w:r>
          </w:p>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□正（教授级或研究员级）高级工程师</w:t>
            </w:r>
          </w:p>
        </w:tc>
        <w:tc>
          <w:tcPr>
            <w:tcW w:w="705"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988" w:type="dxa"/>
            <w:vAlign w:val="center"/>
          </w:tcPr>
          <w:p>
            <w:pPr>
              <w:widowControl/>
              <w:jc w:val="center"/>
              <w:rPr>
                <w:rFonts w:hint="eastAsia" w:ascii="宋体" w:hAnsi="宋体" w:cs="宋体"/>
                <w:bCs/>
                <w:color w:val="auto"/>
                <w:kern w:val="0"/>
                <w:sz w:val="18"/>
                <w:szCs w:val="18"/>
                <w:highlight w:val="none"/>
              </w:rPr>
            </w:pPr>
          </w:p>
        </w:tc>
        <w:tc>
          <w:tcPr>
            <w:tcW w:w="155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4165" w:type="dxa"/>
            <w:gridSpan w:val="3"/>
            <w:vAlign w:val="center"/>
          </w:tcPr>
          <w:p>
            <w:pPr>
              <w:widowControl/>
              <w:jc w:val="center"/>
              <w:rPr>
                <w:rFonts w:hint="eastAsia" w:ascii="宋体" w:hAnsi="宋体" w:cs="宋体"/>
                <w:bCs/>
                <w:color w:val="auto"/>
                <w:kern w:val="0"/>
                <w:sz w:val="18"/>
                <w:szCs w:val="18"/>
                <w:highlight w:val="none"/>
              </w:rPr>
            </w:pPr>
          </w:p>
        </w:tc>
        <w:tc>
          <w:tcPr>
            <w:tcW w:w="141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742" w:type="dxa"/>
            <w:gridSpan w:val="2"/>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5809" w:type="dxa"/>
            <w:gridSpan w:val="9"/>
            <w:vMerge w:val="restart"/>
            <w:vAlign w:val="center"/>
          </w:tcPr>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□监理工程师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□专业监理工程师（道路与桥梁） □专业监理工程师（隧道）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□专业监理工程师（机电工程）   □专业监理工程师（公路工程经济）</w:t>
            </w:r>
          </w:p>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□其他：</w:t>
            </w:r>
            <w:r>
              <w:rPr>
                <w:rFonts w:hint="eastAsia" w:ascii="宋体" w:hAnsi="宋体" w:cs="宋体"/>
                <w:color w:val="auto"/>
                <w:kern w:val="0"/>
                <w:sz w:val="18"/>
                <w:szCs w:val="18"/>
                <w:highlight w:val="none"/>
                <w:u w:val="single"/>
              </w:rPr>
              <w:t xml:space="preserve">       </w:t>
            </w:r>
            <w:r>
              <w:rPr>
                <w:rFonts w:hint="eastAsia" w:ascii="宋体" w:hAnsi="宋体" w:cs="宋体"/>
                <w:color w:val="auto"/>
                <w:kern w:val="0"/>
                <w:sz w:val="18"/>
                <w:szCs w:val="18"/>
                <w:highlight w:val="none"/>
              </w:rPr>
              <w:t>　</w:t>
            </w:r>
          </w:p>
        </w:tc>
        <w:tc>
          <w:tcPr>
            <w:tcW w:w="155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4165" w:type="dxa"/>
            <w:gridSpan w:val="3"/>
            <w:vAlign w:val="center"/>
          </w:tcPr>
          <w:p>
            <w:pPr>
              <w:widowControl/>
              <w:jc w:val="center"/>
              <w:rPr>
                <w:rFonts w:hint="eastAsia" w:ascii="宋体" w:hAnsi="宋体" w:cs="宋体"/>
                <w:bCs/>
                <w:color w:val="auto"/>
                <w:kern w:val="0"/>
                <w:sz w:val="18"/>
                <w:szCs w:val="18"/>
                <w:highlight w:val="none"/>
              </w:rPr>
            </w:pPr>
          </w:p>
        </w:tc>
        <w:tc>
          <w:tcPr>
            <w:tcW w:w="141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742" w:type="dxa"/>
            <w:gridSpan w:val="2"/>
            <w:vMerge w:val="continue"/>
            <w:vAlign w:val="center"/>
          </w:tcPr>
          <w:p>
            <w:pPr>
              <w:widowControl/>
              <w:jc w:val="center"/>
              <w:rPr>
                <w:rFonts w:hint="eastAsia" w:ascii="宋体" w:hAnsi="宋体" w:cs="宋体"/>
                <w:bCs/>
                <w:color w:val="auto"/>
                <w:kern w:val="0"/>
                <w:sz w:val="18"/>
                <w:szCs w:val="18"/>
                <w:highlight w:val="none"/>
              </w:rPr>
            </w:pPr>
          </w:p>
        </w:tc>
        <w:tc>
          <w:tcPr>
            <w:tcW w:w="5809" w:type="dxa"/>
            <w:gridSpan w:val="9"/>
            <w:vMerge w:val="continue"/>
            <w:vAlign w:val="center"/>
          </w:tcPr>
          <w:p>
            <w:pPr>
              <w:widowControl/>
              <w:jc w:val="center"/>
              <w:rPr>
                <w:rFonts w:hint="eastAsia" w:ascii="宋体" w:hAnsi="宋体" w:cs="宋体"/>
                <w:color w:val="auto"/>
                <w:kern w:val="0"/>
                <w:sz w:val="18"/>
                <w:szCs w:val="18"/>
                <w:highlight w:val="none"/>
              </w:rPr>
            </w:pPr>
          </w:p>
        </w:tc>
        <w:tc>
          <w:tcPr>
            <w:tcW w:w="4443" w:type="dxa"/>
            <w:gridSpan w:val="4"/>
            <w:vAlign w:val="center"/>
          </w:tcPr>
          <w:p>
            <w:pPr>
              <w:widowControl/>
              <w:wordWrap w:val="0"/>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在全国公路建设市场监督管理系统（https://hwdms.mot.gov.cn/BMWebSite/）中，是否登记在投标人单位的注册监理人员列表中</w:t>
            </w:r>
          </w:p>
        </w:tc>
        <w:tc>
          <w:tcPr>
            <w:tcW w:w="127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141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2166"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3211"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2174"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5717" w:type="dxa"/>
            <w:gridSpan w:val="5"/>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41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3268" w:type="dxa"/>
            <w:gridSpan w:val="16"/>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担任资格审查要求职务完成业绩情况（如有）</w:t>
            </w:r>
          </w:p>
        </w:tc>
        <w:tc>
          <w:tcPr>
            <w:tcW w:w="1411" w:type="dxa"/>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31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1500"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项目名称</w:t>
            </w:r>
          </w:p>
        </w:tc>
        <w:tc>
          <w:tcPr>
            <w:tcW w:w="899"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公路</w:t>
            </w:r>
          </w:p>
          <w:p>
            <w:pPr>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等级</w:t>
            </w:r>
          </w:p>
        </w:tc>
        <w:tc>
          <w:tcPr>
            <w:tcW w:w="1129"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标段号</w:t>
            </w:r>
          </w:p>
        </w:tc>
        <w:tc>
          <w:tcPr>
            <w:tcW w:w="1141"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专业监理工程师及以上</w:t>
            </w:r>
          </w:p>
        </w:tc>
        <w:tc>
          <w:tcPr>
            <w:tcW w:w="1564" w:type="dxa"/>
            <w:gridSpan w:val="2"/>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承担标段路线长度（km）</w:t>
            </w:r>
          </w:p>
        </w:tc>
        <w:tc>
          <w:tcPr>
            <w:tcW w:w="1411" w:type="dxa"/>
            <w:vAlign w:val="center"/>
          </w:tcPr>
          <w:p>
            <w:pPr>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承担标段特大桥梁名称</w:t>
            </w:r>
          </w:p>
        </w:tc>
        <w:tc>
          <w:tcPr>
            <w:tcW w:w="141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桥梁类型</w:t>
            </w:r>
          </w:p>
        </w:tc>
        <w:tc>
          <w:tcPr>
            <w:tcW w:w="162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桥梁主跨跨径（m）</w:t>
            </w:r>
          </w:p>
        </w:tc>
        <w:tc>
          <w:tcPr>
            <w:tcW w:w="127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桥梁总长（m）</w:t>
            </w:r>
          </w:p>
        </w:tc>
        <w:tc>
          <w:tcPr>
            <w:tcW w:w="1411" w:type="dxa"/>
            <w:vMerge w:val="continue"/>
            <w:vAlign w:val="center"/>
          </w:tcPr>
          <w:p>
            <w:pPr>
              <w:widowControl/>
              <w:jc w:val="center"/>
              <w:rPr>
                <w:rFonts w:hint="eastAsia" w:ascii="宋体" w:hAnsi="宋体" w:cs="宋体"/>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318" w:type="dxa"/>
            <w:vAlign w:val="center"/>
          </w:tcPr>
          <w:p>
            <w:pPr>
              <w:widowControl/>
              <w:jc w:val="center"/>
              <w:rPr>
                <w:rFonts w:hint="eastAsia" w:ascii="宋体" w:hAnsi="宋体" w:cs="宋体"/>
                <w:color w:val="auto"/>
                <w:kern w:val="0"/>
                <w:sz w:val="18"/>
                <w:szCs w:val="18"/>
                <w:highlight w:val="none"/>
              </w:rPr>
            </w:pPr>
          </w:p>
        </w:tc>
        <w:tc>
          <w:tcPr>
            <w:tcW w:w="1500" w:type="dxa"/>
            <w:gridSpan w:val="3"/>
            <w:vAlign w:val="center"/>
          </w:tcPr>
          <w:p>
            <w:pPr>
              <w:jc w:val="center"/>
              <w:rPr>
                <w:rFonts w:hint="eastAsia" w:ascii="宋体" w:hAnsi="宋体" w:cs="宋体"/>
                <w:color w:val="auto"/>
                <w:kern w:val="0"/>
                <w:sz w:val="18"/>
                <w:szCs w:val="18"/>
                <w:highlight w:val="none"/>
              </w:rPr>
            </w:pPr>
          </w:p>
        </w:tc>
        <w:tc>
          <w:tcPr>
            <w:tcW w:w="899" w:type="dxa"/>
            <w:vAlign w:val="center"/>
          </w:tcPr>
          <w:p>
            <w:pPr>
              <w:jc w:val="center"/>
              <w:rPr>
                <w:rFonts w:hint="eastAsia" w:ascii="宋体" w:hAnsi="宋体" w:cs="宋体"/>
                <w:color w:val="auto"/>
                <w:kern w:val="0"/>
                <w:sz w:val="18"/>
                <w:szCs w:val="18"/>
                <w:highlight w:val="none"/>
              </w:rPr>
            </w:pPr>
          </w:p>
        </w:tc>
        <w:tc>
          <w:tcPr>
            <w:tcW w:w="1129" w:type="dxa"/>
            <w:vAlign w:val="center"/>
          </w:tcPr>
          <w:p>
            <w:pPr>
              <w:widowControl/>
              <w:jc w:val="center"/>
              <w:rPr>
                <w:rFonts w:hint="eastAsia" w:ascii="宋体" w:hAnsi="宋体" w:cs="宋体"/>
                <w:color w:val="auto"/>
                <w:kern w:val="0"/>
                <w:sz w:val="18"/>
                <w:szCs w:val="18"/>
                <w:highlight w:val="none"/>
              </w:rPr>
            </w:pPr>
          </w:p>
        </w:tc>
        <w:tc>
          <w:tcPr>
            <w:tcW w:w="1141" w:type="dxa"/>
            <w:gridSpan w:val="3"/>
            <w:vAlign w:val="center"/>
          </w:tcPr>
          <w:p>
            <w:pPr>
              <w:widowControl/>
              <w:jc w:val="center"/>
              <w:rPr>
                <w:rFonts w:hint="eastAsia" w:ascii="宋体" w:hAnsi="宋体" w:cs="宋体"/>
                <w:color w:val="auto"/>
                <w:kern w:val="0"/>
                <w:sz w:val="18"/>
                <w:szCs w:val="18"/>
                <w:highlight w:val="none"/>
              </w:rPr>
            </w:pPr>
          </w:p>
        </w:tc>
        <w:tc>
          <w:tcPr>
            <w:tcW w:w="1564" w:type="dxa"/>
            <w:gridSpan w:val="2"/>
            <w:vAlign w:val="center"/>
          </w:tcPr>
          <w:p>
            <w:pPr>
              <w:widowControl/>
              <w:jc w:val="center"/>
              <w:rPr>
                <w:rFonts w:hint="eastAsia" w:ascii="宋体" w:hAnsi="宋体" w:cs="宋体"/>
                <w:color w:val="auto"/>
                <w:kern w:val="0"/>
                <w:sz w:val="18"/>
                <w:szCs w:val="18"/>
                <w:highlight w:val="none"/>
              </w:rPr>
            </w:pPr>
          </w:p>
        </w:tc>
        <w:tc>
          <w:tcPr>
            <w:tcW w:w="1411" w:type="dxa"/>
            <w:vAlign w:val="center"/>
          </w:tcPr>
          <w:p>
            <w:pPr>
              <w:widowControl/>
              <w:jc w:val="center"/>
              <w:rPr>
                <w:rFonts w:hint="eastAsia" w:ascii="宋体" w:hAnsi="宋体" w:cs="宋体"/>
                <w:color w:val="auto"/>
                <w:kern w:val="0"/>
                <w:sz w:val="18"/>
                <w:szCs w:val="18"/>
                <w:highlight w:val="none"/>
              </w:rPr>
            </w:pPr>
          </w:p>
        </w:tc>
        <w:tc>
          <w:tcPr>
            <w:tcW w:w="1412" w:type="dxa"/>
            <w:gridSpan w:val="2"/>
            <w:vAlign w:val="center"/>
          </w:tcPr>
          <w:p>
            <w:pPr>
              <w:widowControl/>
              <w:jc w:val="center"/>
              <w:rPr>
                <w:rFonts w:hint="eastAsia" w:ascii="宋体" w:hAnsi="宋体" w:cs="宋体"/>
                <w:color w:val="auto"/>
                <w:kern w:val="0"/>
                <w:sz w:val="18"/>
                <w:szCs w:val="18"/>
                <w:highlight w:val="none"/>
              </w:rPr>
            </w:pPr>
          </w:p>
        </w:tc>
        <w:tc>
          <w:tcPr>
            <w:tcW w:w="1620" w:type="dxa"/>
            <w:vAlign w:val="center"/>
          </w:tcPr>
          <w:p>
            <w:pPr>
              <w:jc w:val="center"/>
              <w:rPr>
                <w:rFonts w:hint="eastAsia" w:ascii="宋体" w:hAnsi="宋体" w:cs="宋体"/>
                <w:color w:val="auto"/>
                <w:sz w:val="18"/>
                <w:szCs w:val="18"/>
                <w:highlight w:val="none"/>
              </w:rPr>
            </w:pPr>
          </w:p>
        </w:tc>
        <w:tc>
          <w:tcPr>
            <w:tcW w:w="1274" w:type="dxa"/>
            <w:vAlign w:val="center"/>
          </w:tcPr>
          <w:p>
            <w:pPr>
              <w:widowControl/>
              <w:jc w:val="center"/>
              <w:rPr>
                <w:rFonts w:hint="eastAsia" w:ascii="宋体" w:hAnsi="宋体" w:cs="宋体"/>
                <w:color w:val="auto"/>
                <w:kern w:val="0"/>
                <w:sz w:val="18"/>
                <w:szCs w:val="18"/>
                <w:highlight w:val="none"/>
              </w:rPr>
            </w:pPr>
          </w:p>
        </w:tc>
        <w:tc>
          <w:tcPr>
            <w:tcW w:w="141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附件B5.1.6-1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318" w:type="dxa"/>
            <w:vAlign w:val="center"/>
          </w:tcPr>
          <w:p>
            <w:pPr>
              <w:widowControl/>
              <w:jc w:val="center"/>
              <w:rPr>
                <w:rFonts w:hint="eastAsia" w:ascii="宋体" w:hAnsi="宋体" w:cs="宋体"/>
                <w:color w:val="auto"/>
                <w:kern w:val="0"/>
                <w:sz w:val="18"/>
                <w:szCs w:val="18"/>
                <w:highlight w:val="none"/>
              </w:rPr>
            </w:pPr>
          </w:p>
        </w:tc>
        <w:tc>
          <w:tcPr>
            <w:tcW w:w="1500" w:type="dxa"/>
            <w:gridSpan w:val="3"/>
            <w:vAlign w:val="center"/>
          </w:tcPr>
          <w:p>
            <w:pPr>
              <w:jc w:val="center"/>
              <w:rPr>
                <w:rFonts w:hint="eastAsia" w:ascii="宋体" w:hAnsi="宋体" w:cs="宋体"/>
                <w:color w:val="auto"/>
                <w:kern w:val="0"/>
                <w:sz w:val="18"/>
                <w:szCs w:val="18"/>
                <w:highlight w:val="none"/>
              </w:rPr>
            </w:pPr>
          </w:p>
        </w:tc>
        <w:tc>
          <w:tcPr>
            <w:tcW w:w="899" w:type="dxa"/>
            <w:vAlign w:val="center"/>
          </w:tcPr>
          <w:p>
            <w:pPr>
              <w:jc w:val="center"/>
              <w:rPr>
                <w:rFonts w:hint="eastAsia" w:ascii="宋体" w:hAnsi="宋体" w:cs="宋体"/>
                <w:color w:val="auto"/>
                <w:kern w:val="0"/>
                <w:sz w:val="18"/>
                <w:szCs w:val="18"/>
                <w:highlight w:val="none"/>
              </w:rPr>
            </w:pPr>
          </w:p>
        </w:tc>
        <w:tc>
          <w:tcPr>
            <w:tcW w:w="1129" w:type="dxa"/>
            <w:vAlign w:val="center"/>
          </w:tcPr>
          <w:p>
            <w:pPr>
              <w:widowControl/>
              <w:jc w:val="center"/>
              <w:rPr>
                <w:rFonts w:hint="eastAsia" w:ascii="宋体" w:hAnsi="宋体" w:cs="宋体"/>
                <w:color w:val="auto"/>
                <w:kern w:val="0"/>
                <w:sz w:val="18"/>
                <w:szCs w:val="18"/>
                <w:highlight w:val="none"/>
              </w:rPr>
            </w:pPr>
          </w:p>
        </w:tc>
        <w:tc>
          <w:tcPr>
            <w:tcW w:w="1141" w:type="dxa"/>
            <w:gridSpan w:val="3"/>
            <w:vAlign w:val="center"/>
          </w:tcPr>
          <w:p>
            <w:pPr>
              <w:widowControl/>
              <w:jc w:val="center"/>
              <w:rPr>
                <w:rFonts w:hint="eastAsia" w:ascii="宋体" w:hAnsi="宋体" w:cs="宋体"/>
                <w:color w:val="auto"/>
                <w:kern w:val="0"/>
                <w:sz w:val="18"/>
                <w:szCs w:val="18"/>
                <w:highlight w:val="none"/>
              </w:rPr>
            </w:pPr>
          </w:p>
        </w:tc>
        <w:tc>
          <w:tcPr>
            <w:tcW w:w="1564" w:type="dxa"/>
            <w:gridSpan w:val="2"/>
            <w:vAlign w:val="center"/>
          </w:tcPr>
          <w:p>
            <w:pPr>
              <w:widowControl/>
              <w:jc w:val="center"/>
              <w:rPr>
                <w:rFonts w:hint="eastAsia" w:ascii="宋体" w:hAnsi="宋体" w:cs="宋体"/>
                <w:color w:val="auto"/>
                <w:kern w:val="0"/>
                <w:sz w:val="18"/>
                <w:szCs w:val="18"/>
                <w:highlight w:val="none"/>
              </w:rPr>
            </w:pPr>
          </w:p>
        </w:tc>
        <w:tc>
          <w:tcPr>
            <w:tcW w:w="1411" w:type="dxa"/>
            <w:vAlign w:val="center"/>
          </w:tcPr>
          <w:p>
            <w:pPr>
              <w:widowControl/>
              <w:jc w:val="center"/>
              <w:rPr>
                <w:rFonts w:hint="eastAsia" w:ascii="宋体" w:hAnsi="宋体" w:cs="宋体"/>
                <w:color w:val="auto"/>
                <w:kern w:val="0"/>
                <w:sz w:val="18"/>
                <w:szCs w:val="18"/>
                <w:highlight w:val="none"/>
              </w:rPr>
            </w:pPr>
          </w:p>
        </w:tc>
        <w:tc>
          <w:tcPr>
            <w:tcW w:w="1412" w:type="dxa"/>
            <w:gridSpan w:val="2"/>
            <w:vAlign w:val="center"/>
          </w:tcPr>
          <w:p>
            <w:pPr>
              <w:widowControl/>
              <w:jc w:val="center"/>
              <w:rPr>
                <w:rFonts w:hint="eastAsia" w:ascii="宋体" w:hAnsi="宋体" w:cs="宋体"/>
                <w:color w:val="auto"/>
                <w:kern w:val="0"/>
                <w:sz w:val="18"/>
                <w:szCs w:val="18"/>
                <w:highlight w:val="none"/>
              </w:rPr>
            </w:pPr>
          </w:p>
        </w:tc>
        <w:tc>
          <w:tcPr>
            <w:tcW w:w="1620" w:type="dxa"/>
            <w:vAlign w:val="center"/>
          </w:tcPr>
          <w:p>
            <w:pPr>
              <w:jc w:val="center"/>
              <w:rPr>
                <w:rFonts w:hint="eastAsia" w:ascii="宋体" w:hAnsi="宋体" w:cs="宋体"/>
                <w:color w:val="auto"/>
                <w:sz w:val="18"/>
                <w:szCs w:val="18"/>
                <w:highlight w:val="none"/>
              </w:rPr>
            </w:pPr>
          </w:p>
        </w:tc>
        <w:tc>
          <w:tcPr>
            <w:tcW w:w="1274" w:type="dxa"/>
            <w:vAlign w:val="center"/>
          </w:tcPr>
          <w:p>
            <w:pPr>
              <w:widowControl/>
              <w:jc w:val="center"/>
              <w:rPr>
                <w:rFonts w:hint="eastAsia" w:ascii="宋体" w:hAnsi="宋体" w:cs="宋体"/>
                <w:color w:val="auto"/>
                <w:kern w:val="0"/>
                <w:sz w:val="18"/>
                <w:szCs w:val="18"/>
                <w:highlight w:val="none"/>
              </w:rPr>
            </w:pPr>
          </w:p>
        </w:tc>
        <w:tc>
          <w:tcPr>
            <w:tcW w:w="141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附件B5.1.6-2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318" w:type="dxa"/>
            <w:vAlign w:val="center"/>
          </w:tcPr>
          <w:p>
            <w:pPr>
              <w:widowControl/>
              <w:jc w:val="center"/>
              <w:rPr>
                <w:rFonts w:hint="eastAsia" w:ascii="宋体" w:hAnsi="宋体" w:cs="宋体"/>
                <w:color w:val="auto"/>
                <w:kern w:val="0"/>
                <w:sz w:val="18"/>
                <w:szCs w:val="18"/>
                <w:highlight w:val="none"/>
              </w:rPr>
            </w:pPr>
          </w:p>
        </w:tc>
        <w:tc>
          <w:tcPr>
            <w:tcW w:w="1500" w:type="dxa"/>
            <w:gridSpan w:val="3"/>
            <w:vAlign w:val="center"/>
          </w:tcPr>
          <w:p>
            <w:pPr>
              <w:jc w:val="center"/>
              <w:rPr>
                <w:rFonts w:hint="eastAsia" w:ascii="宋体" w:hAnsi="宋体" w:cs="宋体"/>
                <w:color w:val="auto"/>
                <w:kern w:val="0"/>
                <w:sz w:val="18"/>
                <w:szCs w:val="18"/>
                <w:highlight w:val="none"/>
              </w:rPr>
            </w:pPr>
          </w:p>
        </w:tc>
        <w:tc>
          <w:tcPr>
            <w:tcW w:w="899" w:type="dxa"/>
            <w:vAlign w:val="center"/>
          </w:tcPr>
          <w:p>
            <w:pPr>
              <w:jc w:val="center"/>
              <w:rPr>
                <w:rFonts w:hint="eastAsia" w:ascii="宋体" w:hAnsi="宋体" w:cs="宋体"/>
                <w:color w:val="auto"/>
                <w:kern w:val="0"/>
                <w:sz w:val="18"/>
                <w:szCs w:val="18"/>
                <w:highlight w:val="none"/>
              </w:rPr>
            </w:pPr>
          </w:p>
        </w:tc>
        <w:tc>
          <w:tcPr>
            <w:tcW w:w="1129" w:type="dxa"/>
            <w:vAlign w:val="center"/>
          </w:tcPr>
          <w:p>
            <w:pPr>
              <w:widowControl/>
              <w:jc w:val="center"/>
              <w:rPr>
                <w:rFonts w:hint="eastAsia" w:ascii="宋体" w:hAnsi="宋体" w:cs="宋体"/>
                <w:color w:val="auto"/>
                <w:kern w:val="0"/>
                <w:sz w:val="18"/>
                <w:szCs w:val="18"/>
                <w:highlight w:val="none"/>
              </w:rPr>
            </w:pPr>
          </w:p>
        </w:tc>
        <w:tc>
          <w:tcPr>
            <w:tcW w:w="1141" w:type="dxa"/>
            <w:gridSpan w:val="3"/>
            <w:vAlign w:val="center"/>
          </w:tcPr>
          <w:p>
            <w:pPr>
              <w:widowControl/>
              <w:jc w:val="center"/>
              <w:rPr>
                <w:rFonts w:hint="eastAsia" w:ascii="宋体" w:hAnsi="宋体" w:cs="宋体"/>
                <w:color w:val="auto"/>
                <w:kern w:val="0"/>
                <w:sz w:val="18"/>
                <w:szCs w:val="18"/>
                <w:highlight w:val="none"/>
              </w:rPr>
            </w:pPr>
          </w:p>
        </w:tc>
        <w:tc>
          <w:tcPr>
            <w:tcW w:w="1564" w:type="dxa"/>
            <w:gridSpan w:val="2"/>
            <w:vAlign w:val="center"/>
          </w:tcPr>
          <w:p>
            <w:pPr>
              <w:widowControl/>
              <w:jc w:val="center"/>
              <w:rPr>
                <w:rFonts w:hint="eastAsia" w:ascii="宋体" w:hAnsi="宋体" w:cs="宋体"/>
                <w:color w:val="auto"/>
                <w:kern w:val="0"/>
                <w:sz w:val="18"/>
                <w:szCs w:val="18"/>
                <w:highlight w:val="none"/>
              </w:rPr>
            </w:pPr>
          </w:p>
        </w:tc>
        <w:tc>
          <w:tcPr>
            <w:tcW w:w="1411" w:type="dxa"/>
            <w:vAlign w:val="center"/>
          </w:tcPr>
          <w:p>
            <w:pPr>
              <w:widowControl/>
              <w:jc w:val="center"/>
              <w:rPr>
                <w:rFonts w:hint="eastAsia" w:ascii="宋体" w:hAnsi="宋体" w:cs="宋体"/>
                <w:color w:val="auto"/>
                <w:kern w:val="0"/>
                <w:sz w:val="18"/>
                <w:szCs w:val="18"/>
                <w:highlight w:val="none"/>
              </w:rPr>
            </w:pPr>
          </w:p>
        </w:tc>
        <w:tc>
          <w:tcPr>
            <w:tcW w:w="1412" w:type="dxa"/>
            <w:gridSpan w:val="2"/>
            <w:vAlign w:val="center"/>
          </w:tcPr>
          <w:p>
            <w:pPr>
              <w:widowControl/>
              <w:jc w:val="center"/>
              <w:rPr>
                <w:rFonts w:hint="eastAsia" w:ascii="宋体" w:hAnsi="宋体" w:cs="宋体"/>
                <w:color w:val="auto"/>
                <w:kern w:val="0"/>
                <w:sz w:val="18"/>
                <w:szCs w:val="18"/>
                <w:highlight w:val="none"/>
              </w:rPr>
            </w:pPr>
          </w:p>
        </w:tc>
        <w:tc>
          <w:tcPr>
            <w:tcW w:w="1620" w:type="dxa"/>
            <w:vAlign w:val="center"/>
          </w:tcPr>
          <w:p>
            <w:pPr>
              <w:jc w:val="center"/>
              <w:rPr>
                <w:rFonts w:hint="eastAsia" w:ascii="宋体" w:hAnsi="宋体" w:cs="宋体"/>
                <w:color w:val="auto"/>
                <w:sz w:val="18"/>
                <w:szCs w:val="18"/>
                <w:highlight w:val="none"/>
              </w:rPr>
            </w:pPr>
          </w:p>
        </w:tc>
        <w:tc>
          <w:tcPr>
            <w:tcW w:w="1274" w:type="dxa"/>
            <w:vAlign w:val="center"/>
          </w:tcPr>
          <w:p>
            <w:pPr>
              <w:widowControl/>
              <w:jc w:val="center"/>
              <w:rPr>
                <w:rFonts w:hint="eastAsia" w:ascii="宋体" w:hAnsi="宋体" w:cs="宋体"/>
                <w:color w:val="auto"/>
                <w:kern w:val="0"/>
                <w:sz w:val="18"/>
                <w:szCs w:val="18"/>
                <w:highlight w:val="none"/>
              </w:rPr>
            </w:pPr>
          </w:p>
        </w:tc>
        <w:tc>
          <w:tcPr>
            <w:tcW w:w="141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附件B5.1.6-3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318"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500" w:type="dxa"/>
            <w:gridSpan w:val="3"/>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99"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29"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564"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1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12"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620" w:type="dxa"/>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1274"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1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360" w:lineRule="auto"/>
        <w:ind w:left="630" w:hanging="630" w:hangingChars="300"/>
        <w:rPr>
          <w:rFonts w:hint="eastAsia" w:cs="宋体" w:asciiTheme="minorEastAsia" w:hAnsiTheme="minorEastAsia" w:eastAsiaTheme="minorEastAsia"/>
          <w:color w:val="auto"/>
          <w:spacing w:val="-3"/>
          <w:szCs w:val="21"/>
          <w:highlight w:val="none"/>
        </w:rPr>
      </w:pPr>
      <w:r>
        <w:rPr>
          <w:rFonts w:hint="eastAsia" w:ascii="宋体" w:hAnsi="宋体" w:cs="宋体"/>
          <w:color w:val="auto"/>
          <w:szCs w:val="21"/>
          <w:highlight w:val="none"/>
        </w:rPr>
        <w:t>注：1.</w:t>
      </w:r>
      <w:r>
        <w:rPr>
          <w:rFonts w:hint="eastAsia" w:cs="宋体" w:asciiTheme="minorEastAsia" w:hAnsiTheme="minorEastAsia" w:eastAsiaTheme="minorEastAsia"/>
          <w:color w:val="auto"/>
          <w:spacing w:val="-3"/>
          <w:szCs w:val="21"/>
          <w:highlight w:val="none"/>
        </w:rPr>
        <w:t>投标人应在本表后提供相关证明材料（原件原色扫描件）附件B5.1系列（身份证、职称证、执业资格证、</w:t>
      </w:r>
      <w:r>
        <w:rPr>
          <w:rFonts w:hint="eastAsia" w:cs="宋体" w:asciiTheme="minorEastAsia" w:hAnsiTheme="minorEastAsia" w:eastAsiaTheme="minorEastAsia"/>
          <w:color w:val="auto"/>
          <w:szCs w:val="21"/>
          <w:highlight w:val="none"/>
        </w:rPr>
        <w:t>全国公路建设市场监督管理系统中登记在投标人单位的注册监理人员</w:t>
      </w:r>
      <w:r>
        <w:rPr>
          <w:rFonts w:hint="eastAsia" w:cs="宋体" w:asciiTheme="minorEastAsia" w:hAnsiTheme="minorEastAsia" w:eastAsiaTheme="minorEastAsia"/>
          <w:color w:val="auto"/>
          <w:kern w:val="0"/>
          <w:szCs w:val="21"/>
          <w:highlight w:val="none"/>
        </w:rPr>
        <w:t>列表网页截图、</w:t>
      </w:r>
      <w:r>
        <w:rPr>
          <w:rFonts w:hint="eastAsia" w:cs="宋体" w:asciiTheme="minorEastAsia" w:hAnsiTheme="minorEastAsia" w:eastAsiaTheme="minorEastAsia"/>
          <w:color w:val="auto"/>
          <w:spacing w:val="-3"/>
          <w:szCs w:val="21"/>
          <w:highlight w:val="none"/>
        </w:rPr>
        <w:t>社保证明、个人业绩证明）。</w:t>
      </w:r>
      <w:r>
        <w:rPr>
          <w:rFonts w:hint="eastAsia" w:ascii="宋体" w:hAnsi="宋体" w:cs="宋体"/>
          <w:color w:val="auto"/>
          <w:szCs w:val="21"/>
          <w:highlight w:val="none"/>
        </w:rPr>
        <w:t>证明材料构成应与招标人对拟委任的其他主要监理人员的要求一一对应，未作要求的内容不得要求投标人提供相应的证明材料。</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2.因投标人自身原因未提供附件或提供的附件不能与所证明的内容相匹配，造成业绩或其他内容不予认可时，投标人自行承担相关责任。</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3.个人业绩证明材料为：</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 交通运输部“全国公路建设市场监督管理系统”中载明的、能够证明该人员具有相关业绩的网页截图（本项规定仅适用于根据《关于发布公路工程从业企业资质名录的通知》（厅公路字〔2011〕114号）要求，招标人应通过名录对投标人资质条件进行审核的公路施工监理企业单位人员。否则，招标人可对相关个人业绩提出其他证明材料要求。）。□或</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合同协议书；和 </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监理项目评定书或交工验收证书或竣工验收委员会出具的公路工程竣工验收鉴定书或发包人出具的证明原件原色扫描件，其中应能够证明该人员具有相关业绩。</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4.提供社保时间段要求：例如投标截止日所在月为“2021年12月”，则提供“2021年6～11月”或“2021年5～10月”在其投标单位连续6个月参加社保的证明材料。</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5.桥梁类型应从“梁式桥、拱式桥、悬索桥、斜拉桥、刚构桥、组合体系桥、其他”中选择填写。</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6.对于左右幅桥长不相同的桥梁，其桥梁长度以左右幅长度较长的为准；若只有单幅的，则以单幅桥梁长度数据为准。</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7.允许联合体投标时，若以联合体形式投标的，桥梁专业监理工程师应按照第二章“投标人须知”前附表附录5资格审查条件的要求及第三章“评标办法”详细评审打分条件（如有）填写本表。</w:t>
      </w:r>
    </w:p>
    <w:p>
      <w:pPr>
        <w:spacing w:line="360" w:lineRule="auto"/>
        <w:rPr>
          <w:rFonts w:hint="eastAsia" w:ascii="黑体" w:hAnsi="黑体" w:eastAsia="黑体" w:cs="宋体"/>
          <w:bCs/>
          <w:color w:val="auto"/>
          <w:szCs w:val="21"/>
          <w:highlight w:val="none"/>
        </w:rPr>
      </w:pPr>
      <w:r>
        <w:rPr>
          <w:rFonts w:hint="eastAsia" w:ascii="黑体" w:hAnsi="黑体" w:eastAsia="黑体" w:cs="宋体"/>
          <w:bCs/>
          <w:color w:val="auto"/>
          <w:szCs w:val="21"/>
          <w:highlight w:val="none"/>
        </w:rPr>
        <w:br w:type="page"/>
      </w:r>
    </w:p>
    <w:p>
      <w:pPr>
        <w:pStyle w:val="43"/>
        <w:shd w:val="clear" w:color="auto" w:fill="FFFFFF"/>
        <w:ind w:firstLine="240" w:firstLineChars="100"/>
        <w:jc w:val="center"/>
        <w:rPr>
          <w:rFonts w:hint="eastAsia" w:ascii="黑体" w:hAnsi="黑体" w:eastAsia="黑体" w:cs="宋体"/>
          <w:bCs/>
          <w:color w:val="auto"/>
          <w:highlight w:val="none"/>
        </w:rPr>
      </w:pPr>
      <w:r>
        <w:rPr>
          <w:rFonts w:hint="eastAsia" w:ascii="黑体" w:hAnsi="黑体" w:eastAsia="黑体" w:cs="宋体"/>
          <w:b/>
          <w:color w:val="auto"/>
          <w:highlight w:val="none"/>
        </w:rPr>
        <w:t xml:space="preserve">                                    □</w:t>
      </w:r>
      <w:r>
        <w:rPr>
          <w:rFonts w:hint="eastAsia" w:ascii="黑体" w:hAnsi="黑体" w:eastAsia="黑体" w:cs="宋体"/>
          <w:bCs/>
          <w:color w:val="auto"/>
          <w:highlight w:val="none"/>
        </w:rPr>
        <w:t xml:space="preserve"> 隧道专业监理工程师资历表                                          表5.2</w:t>
      </w:r>
    </w:p>
    <w:tbl>
      <w:tblPr>
        <w:tblStyle w:val="48"/>
        <w:tblW w:w="14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417"/>
        <w:gridCol w:w="417"/>
        <w:gridCol w:w="973"/>
        <w:gridCol w:w="987"/>
        <w:gridCol w:w="987"/>
        <w:gridCol w:w="205"/>
        <w:gridCol w:w="450"/>
        <w:gridCol w:w="693"/>
        <w:gridCol w:w="770"/>
        <w:gridCol w:w="193"/>
        <w:gridCol w:w="1308"/>
        <w:gridCol w:w="376"/>
        <w:gridCol w:w="1729"/>
        <w:gridCol w:w="1219"/>
        <w:gridCol w:w="759"/>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776" w:type="dxa"/>
            <w:gridSpan w:val="16"/>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54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710"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4019" w:type="dxa"/>
            <w:gridSpan w:val="6"/>
            <w:vAlign w:val="center"/>
          </w:tcPr>
          <w:p>
            <w:pPr>
              <w:widowControl/>
              <w:jc w:val="center"/>
              <w:rPr>
                <w:rFonts w:hint="eastAsia" w:ascii="宋体" w:hAnsi="宋体" w:cs="宋体"/>
                <w:bCs/>
                <w:color w:val="auto"/>
                <w:kern w:val="0"/>
                <w:sz w:val="18"/>
                <w:szCs w:val="18"/>
                <w:highlight w:val="none"/>
              </w:rPr>
            </w:pPr>
          </w:p>
        </w:tc>
        <w:tc>
          <w:tcPr>
            <w:tcW w:w="69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963" w:type="dxa"/>
            <w:gridSpan w:val="2"/>
            <w:vAlign w:val="center"/>
          </w:tcPr>
          <w:p>
            <w:pPr>
              <w:widowControl/>
              <w:jc w:val="center"/>
              <w:rPr>
                <w:rFonts w:hint="eastAsia" w:ascii="宋体" w:hAnsi="宋体" w:cs="宋体"/>
                <w:bCs/>
                <w:color w:val="auto"/>
                <w:kern w:val="0"/>
                <w:sz w:val="18"/>
                <w:szCs w:val="18"/>
                <w:highlight w:val="none"/>
              </w:rPr>
            </w:pPr>
          </w:p>
        </w:tc>
        <w:tc>
          <w:tcPr>
            <w:tcW w:w="1684"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3707" w:type="dxa"/>
            <w:gridSpan w:val="3"/>
            <w:vAlign w:val="center"/>
          </w:tcPr>
          <w:p>
            <w:pPr>
              <w:widowControl/>
              <w:jc w:val="center"/>
              <w:rPr>
                <w:rFonts w:hint="eastAsia" w:ascii="宋体" w:hAnsi="宋体" w:cs="宋体"/>
                <w:bCs/>
                <w:color w:val="auto"/>
                <w:kern w:val="0"/>
                <w:sz w:val="18"/>
                <w:szCs w:val="18"/>
                <w:highlight w:val="none"/>
              </w:rPr>
            </w:pPr>
          </w:p>
        </w:tc>
        <w:tc>
          <w:tcPr>
            <w:tcW w:w="154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710"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4019" w:type="dxa"/>
            <w:gridSpan w:val="6"/>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□工程师  □高级工程师  </w:t>
            </w:r>
          </w:p>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□正（教授级或研究员级）高级工程师</w:t>
            </w:r>
          </w:p>
        </w:tc>
        <w:tc>
          <w:tcPr>
            <w:tcW w:w="69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963" w:type="dxa"/>
            <w:gridSpan w:val="2"/>
            <w:vAlign w:val="center"/>
          </w:tcPr>
          <w:p>
            <w:pPr>
              <w:widowControl/>
              <w:jc w:val="center"/>
              <w:rPr>
                <w:rFonts w:hint="eastAsia" w:ascii="宋体" w:hAnsi="宋体" w:cs="宋体"/>
                <w:bCs/>
                <w:color w:val="auto"/>
                <w:kern w:val="0"/>
                <w:sz w:val="18"/>
                <w:szCs w:val="18"/>
                <w:highlight w:val="none"/>
              </w:rPr>
            </w:pPr>
          </w:p>
        </w:tc>
        <w:tc>
          <w:tcPr>
            <w:tcW w:w="1684"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3707" w:type="dxa"/>
            <w:gridSpan w:val="3"/>
            <w:vAlign w:val="center"/>
          </w:tcPr>
          <w:p>
            <w:pPr>
              <w:widowControl/>
              <w:jc w:val="center"/>
              <w:rPr>
                <w:rFonts w:hint="eastAsia" w:ascii="宋体" w:hAnsi="宋体" w:cs="宋体"/>
                <w:bCs/>
                <w:color w:val="auto"/>
                <w:kern w:val="0"/>
                <w:sz w:val="18"/>
                <w:szCs w:val="18"/>
                <w:highlight w:val="none"/>
              </w:rPr>
            </w:pPr>
          </w:p>
        </w:tc>
        <w:tc>
          <w:tcPr>
            <w:tcW w:w="154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710" w:type="dxa"/>
            <w:gridSpan w:val="2"/>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5675" w:type="dxa"/>
            <w:gridSpan w:val="9"/>
            <w:vMerge w:val="restart"/>
            <w:vAlign w:val="center"/>
          </w:tcPr>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□监理工程师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□专业监理工程师（道路与桥梁） □专业监理工程师（隧道）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□专业监理工程师（机电工程）   □专业监理工程师（公路工程经济）</w:t>
            </w:r>
          </w:p>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□其他：</w:t>
            </w:r>
            <w:r>
              <w:rPr>
                <w:rFonts w:hint="eastAsia" w:ascii="宋体" w:hAnsi="宋体" w:cs="宋体"/>
                <w:color w:val="auto"/>
                <w:kern w:val="0"/>
                <w:sz w:val="18"/>
                <w:szCs w:val="18"/>
                <w:highlight w:val="none"/>
                <w:u w:val="single"/>
              </w:rPr>
              <w:t xml:space="preserve">       </w:t>
            </w:r>
            <w:r>
              <w:rPr>
                <w:rFonts w:hint="eastAsia" w:ascii="宋体" w:hAnsi="宋体" w:cs="宋体"/>
                <w:color w:val="auto"/>
                <w:kern w:val="0"/>
                <w:sz w:val="18"/>
                <w:szCs w:val="18"/>
                <w:highlight w:val="none"/>
              </w:rPr>
              <w:t>　　</w:t>
            </w:r>
          </w:p>
        </w:tc>
        <w:tc>
          <w:tcPr>
            <w:tcW w:w="1684"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3707" w:type="dxa"/>
            <w:gridSpan w:val="3"/>
            <w:vAlign w:val="center"/>
          </w:tcPr>
          <w:p>
            <w:pPr>
              <w:widowControl/>
              <w:jc w:val="center"/>
              <w:rPr>
                <w:rFonts w:hint="eastAsia" w:ascii="宋体" w:hAnsi="宋体" w:cs="宋体"/>
                <w:bCs/>
                <w:color w:val="auto"/>
                <w:kern w:val="0"/>
                <w:sz w:val="18"/>
                <w:szCs w:val="18"/>
                <w:highlight w:val="none"/>
              </w:rPr>
            </w:pPr>
          </w:p>
        </w:tc>
        <w:tc>
          <w:tcPr>
            <w:tcW w:w="154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710" w:type="dxa"/>
            <w:gridSpan w:val="2"/>
            <w:vMerge w:val="continue"/>
            <w:vAlign w:val="center"/>
          </w:tcPr>
          <w:p>
            <w:pPr>
              <w:widowControl/>
              <w:jc w:val="center"/>
              <w:rPr>
                <w:rFonts w:hint="eastAsia" w:ascii="宋体" w:hAnsi="宋体" w:cs="宋体"/>
                <w:bCs/>
                <w:color w:val="auto"/>
                <w:kern w:val="0"/>
                <w:sz w:val="18"/>
                <w:szCs w:val="18"/>
                <w:highlight w:val="none"/>
              </w:rPr>
            </w:pPr>
          </w:p>
        </w:tc>
        <w:tc>
          <w:tcPr>
            <w:tcW w:w="5675" w:type="dxa"/>
            <w:gridSpan w:val="9"/>
            <w:vMerge w:val="continue"/>
            <w:vAlign w:val="center"/>
          </w:tcPr>
          <w:p>
            <w:pPr>
              <w:widowControl/>
              <w:jc w:val="center"/>
              <w:rPr>
                <w:rFonts w:hint="eastAsia" w:ascii="宋体" w:hAnsi="宋体" w:cs="宋体"/>
                <w:color w:val="auto"/>
                <w:kern w:val="0"/>
                <w:sz w:val="18"/>
                <w:szCs w:val="18"/>
                <w:highlight w:val="none"/>
              </w:rPr>
            </w:pPr>
          </w:p>
        </w:tc>
        <w:tc>
          <w:tcPr>
            <w:tcW w:w="4632" w:type="dxa"/>
            <w:gridSpan w:val="4"/>
            <w:vAlign w:val="center"/>
          </w:tcPr>
          <w:p>
            <w:pPr>
              <w:widowControl/>
              <w:wordWrap w:val="0"/>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在全国公路建设市场监督管理系统（https://hwdms.mot.gov.cn/BMWebSite/）中，是否登记在投标人单位的注册监理人员列表中</w:t>
            </w:r>
          </w:p>
        </w:tc>
        <w:tc>
          <w:tcPr>
            <w:tcW w:w="759"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154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127"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3152"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2106"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5391" w:type="dxa"/>
            <w:gridSpan w:val="5"/>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54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776" w:type="dxa"/>
            <w:gridSpan w:val="16"/>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担任资格审查要求职务完成业绩情况（如有）</w:t>
            </w:r>
          </w:p>
        </w:tc>
        <w:tc>
          <w:tcPr>
            <w:tcW w:w="1543" w:type="dxa"/>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业绩证明材料</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9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1807"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项目名称</w:t>
            </w:r>
          </w:p>
        </w:tc>
        <w:tc>
          <w:tcPr>
            <w:tcW w:w="987" w:type="dxa"/>
            <w:vAlign w:val="center"/>
          </w:tcPr>
          <w:p>
            <w:pPr>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公路等级</w:t>
            </w:r>
          </w:p>
        </w:tc>
        <w:tc>
          <w:tcPr>
            <w:tcW w:w="987"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标段号</w:t>
            </w:r>
          </w:p>
        </w:tc>
        <w:tc>
          <w:tcPr>
            <w:tcW w:w="2118"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专业监理工程师及以上</w:t>
            </w:r>
          </w:p>
        </w:tc>
        <w:tc>
          <w:tcPr>
            <w:tcW w:w="1501" w:type="dxa"/>
            <w:gridSpan w:val="2"/>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承担标段路线长度（km）</w:t>
            </w:r>
          </w:p>
        </w:tc>
        <w:tc>
          <w:tcPr>
            <w:tcW w:w="2105"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承担标段隧道名称</w:t>
            </w:r>
          </w:p>
        </w:tc>
        <w:tc>
          <w:tcPr>
            <w:tcW w:w="1978"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隧道单洞长度（m）</w:t>
            </w:r>
          </w:p>
        </w:tc>
        <w:tc>
          <w:tcPr>
            <w:tcW w:w="1543" w:type="dxa"/>
            <w:vMerge w:val="continue"/>
            <w:vAlign w:val="center"/>
          </w:tcPr>
          <w:p>
            <w:pPr>
              <w:widowControl/>
              <w:jc w:val="center"/>
              <w:rPr>
                <w:rFonts w:hint="eastAsia" w:ascii="宋体" w:hAnsi="宋体" w:cs="宋体"/>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93" w:type="dxa"/>
            <w:vAlign w:val="center"/>
          </w:tcPr>
          <w:p>
            <w:pPr>
              <w:widowControl/>
              <w:jc w:val="center"/>
              <w:rPr>
                <w:rFonts w:hint="eastAsia" w:ascii="宋体" w:hAnsi="宋体" w:cs="宋体"/>
                <w:color w:val="auto"/>
                <w:kern w:val="0"/>
                <w:sz w:val="18"/>
                <w:szCs w:val="18"/>
                <w:highlight w:val="none"/>
              </w:rPr>
            </w:pPr>
          </w:p>
        </w:tc>
        <w:tc>
          <w:tcPr>
            <w:tcW w:w="1807" w:type="dxa"/>
            <w:gridSpan w:val="3"/>
            <w:vAlign w:val="center"/>
          </w:tcPr>
          <w:p>
            <w:pPr>
              <w:jc w:val="center"/>
              <w:rPr>
                <w:rFonts w:hint="eastAsia" w:ascii="宋体" w:hAnsi="宋体" w:cs="宋体"/>
                <w:color w:val="auto"/>
                <w:kern w:val="0"/>
                <w:sz w:val="18"/>
                <w:szCs w:val="18"/>
                <w:highlight w:val="none"/>
              </w:rPr>
            </w:pPr>
          </w:p>
        </w:tc>
        <w:tc>
          <w:tcPr>
            <w:tcW w:w="987" w:type="dxa"/>
            <w:vAlign w:val="center"/>
          </w:tcPr>
          <w:p>
            <w:pPr>
              <w:jc w:val="center"/>
              <w:rPr>
                <w:rFonts w:hint="eastAsia" w:ascii="宋体" w:hAnsi="宋体" w:cs="宋体"/>
                <w:color w:val="auto"/>
                <w:kern w:val="0"/>
                <w:sz w:val="18"/>
                <w:szCs w:val="18"/>
                <w:highlight w:val="none"/>
              </w:rPr>
            </w:pPr>
          </w:p>
        </w:tc>
        <w:tc>
          <w:tcPr>
            <w:tcW w:w="987" w:type="dxa"/>
            <w:vAlign w:val="center"/>
          </w:tcPr>
          <w:p>
            <w:pPr>
              <w:widowControl/>
              <w:jc w:val="center"/>
              <w:rPr>
                <w:rFonts w:hint="eastAsia" w:ascii="宋体" w:hAnsi="宋体" w:cs="宋体"/>
                <w:color w:val="auto"/>
                <w:kern w:val="0"/>
                <w:sz w:val="18"/>
                <w:szCs w:val="18"/>
                <w:highlight w:val="none"/>
              </w:rPr>
            </w:pPr>
          </w:p>
        </w:tc>
        <w:tc>
          <w:tcPr>
            <w:tcW w:w="2118" w:type="dxa"/>
            <w:gridSpan w:val="4"/>
            <w:vAlign w:val="center"/>
          </w:tcPr>
          <w:p>
            <w:pPr>
              <w:widowControl/>
              <w:jc w:val="center"/>
              <w:rPr>
                <w:rFonts w:hint="eastAsia" w:ascii="宋体" w:hAnsi="宋体" w:cs="宋体"/>
                <w:color w:val="auto"/>
                <w:kern w:val="0"/>
                <w:sz w:val="18"/>
                <w:szCs w:val="18"/>
                <w:highlight w:val="none"/>
              </w:rPr>
            </w:pPr>
          </w:p>
        </w:tc>
        <w:tc>
          <w:tcPr>
            <w:tcW w:w="1501" w:type="dxa"/>
            <w:gridSpan w:val="2"/>
            <w:vAlign w:val="center"/>
          </w:tcPr>
          <w:p>
            <w:pPr>
              <w:widowControl/>
              <w:jc w:val="center"/>
              <w:rPr>
                <w:rFonts w:hint="eastAsia" w:ascii="宋体" w:hAnsi="宋体" w:cs="宋体"/>
                <w:color w:val="auto"/>
                <w:kern w:val="0"/>
                <w:sz w:val="18"/>
                <w:szCs w:val="18"/>
                <w:highlight w:val="none"/>
              </w:rPr>
            </w:pPr>
          </w:p>
        </w:tc>
        <w:tc>
          <w:tcPr>
            <w:tcW w:w="2105" w:type="dxa"/>
            <w:gridSpan w:val="2"/>
            <w:vAlign w:val="center"/>
          </w:tcPr>
          <w:p>
            <w:pPr>
              <w:jc w:val="center"/>
              <w:rPr>
                <w:rFonts w:hint="eastAsia" w:ascii="宋体" w:hAnsi="宋体" w:cs="宋体"/>
                <w:color w:val="auto"/>
                <w:sz w:val="18"/>
                <w:szCs w:val="18"/>
                <w:highlight w:val="none"/>
              </w:rPr>
            </w:pPr>
          </w:p>
        </w:tc>
        <w:tc>
          <w:tcPr>
            <w:tcW w:w="1978" w:type="dxa"/>
            <w:gridSpan w:val="2"/>
            <w:vAlign w:val="center"/>
          </w:tcPr>
          <w:p>
            <w:pPr>
              <w:jc w:val="center"/>
              <w:rPr>
                <w:rFonts w:hint="eastAsia" w:ascii="宋体" w:hAnsi="宋体" w:cs="宋体"/>
                <w:color w:val="auto"/>
                <w:kern w:val="0"/>
                <w:sz w:val="18"/>
                <w:szCs w:val="18"/>
                <w:highlight w:val="none"/>
              </w:rPr>
            </w:pPr>
          </w:p>
        </w:tc>
        <w:tc>
          <w:tcPr>
            <w:tcW w:w="154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附件B5.2.6-1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93" w:type="dxa"/>
            <w:vAlign w:val="center"/>
          </w:tcPr>
          <w:p>
            <w:pPr>
              <w:widowControl/>
              <w:jc w:val="center"/>
              <w:rPr>
                <w:rFonts w:hint="eastAsia" w:ascii="宋体" w:hAnsi="宋体" w:cs="宋体"/>
                <w:color w:val="auto"/>
                <w:kern w:val="0"/>
                <w:sz w:val="18"/>
                <w:szCs w:val="18"/>
                <w:highlight w:val="none"/>
              </w:rPr>
            </w:pPr>
          </w:p>
        </w:tc>
        <w:tc>
          <w:tcPr>
            <w:tcW w:w="1807" w:type="dxa"/>
            <w:gridSpan w:val="3"/>
            <w:vAlign w:val="center"/>
          </w:tcPr>
          <w:p>
            <w:pPr>
              <w:jc w:val="center"/>
              <w:rPr>
                <w:rFonts w:hint="eastAsia" w:ascii="宋体" w:hAnsi="宋体" w:cs="宋体"/>
                <w:color w:val="auto"/>
                <w:kern w:val="0"/>
                <w:sz w:val="18"/>
                <w:szCs w:val="18"/>
                <w:highlight w:val="none"/>
              </w:rPr>
            </w:pPr>
          </w:p>
        </w:tc>
        <w:tc>
          <w:tcPr>
            <w:tcW w:w="987" w:type="dxa"/>
            <w:vAlign w:val="center"/>
          </w:tcPr>
          <w:p>
            <w:pPr>
              <w:jc w:val="center"/>
              <w:rPr>
                <w:rFonts w:hint="eastAsia" w:ascii="宋体" w:hAnsi="宋体" w:cs="宋体"/>
                <w:color w:val="auto"/>
                <w:kern w:val="0"/>
                <w:sz w:val="18"/>
                <w:szCs w:val="18"/>
                <w:highlight w:val="none"/>
              </w:rPr>
            </w:pPr>
          </w:p>
        </w:tc>
        <w:tc>
          <w:tcPr>
            <w:tcW w:w="987" w:type="dxa"/>
            <w:vAlign w:val="center"/>
          </w:tcPr>
          <w:p>
            <w:pPr>
              <w:widowControl/>
              <w:jc w:val="center"/>
              <w:rPr>
                <w:rFonts w:hint="eastAsia" w:ascii="宋体" w:hAnsi="宋体" w:cs="宋体"/>
                <w:color w:val="auto"/>
                <w:kern w:val="0"/>
                <w:sz w:val="18"/>
                <w:szCs w:val="18"/>
                <w:highlight w:val="none"/>
              </w:rPr>
            </w:pPr>
          </w:p>
        </w:tc>
        <w:tc>
          <w:tcPr>
            <w:tcW w:w="2118" w:type="dxa"/>
            <w:gridSpan w:val="4"/>
            <w:vAlign w:val="center"/>
          </w:tcPr>
          <w:p>
            <w:pPr>
              <w:widowControl/>
              <w:jc w:val="center"/>
              <w:rPr>
                <w:rFonts w:hint="eastAsia" w:ascii="宋体" w:hAnsi="宋体" w:cs="宋体"/>
                <w:color w:val="auto"/>
                <w:kern w:val="0"/>
                <w:sz w:val="18"/>
                <w:szCs w:val="18"/>
                <w:highlight w:val="none"/>
              </w:rPr>
            </w:pPr>
          </w:p>
        </w:tc>
        <w:tc>
          <w:tcPr>
            <w:tcW w:w="1501" w:type="dxa"/>
            <w:gridSpan w:val="2"/>
            <w:vAlign w:val="center"/>
          </w:tcPr>
          <w:p>
            <w:pPr>
              <w:widowControl/>
              <w:jc w:val="center"/>
              <w:rPr>
                <w:rFonts w:hint="eastAsia" w:ascii="宋体" w:hAnsi="宋体" w:cs="宋体"/>
                <w:color w:val="auto"/>
                <w:kern w:val="0"/>
                <w:sz w:val="18"/>
                <w:szCs w:val="18"/>
                <w:highlight w:val="none"/>
              </w:rPr>
            </w:pPr>
          </w:p>
        </w:tc>
        <w:tc>
          <w:tcPr>
            <w:tcW w:w="2105" w:type="dxa"/>
            <w:gridSpan w:val="2"/>
            <w:vAlign w:val="center"/>
          </w:tcPr>
          <w:p>
            <w:pPr>
              <w:jc w:val="center"/>
              <w:rPr>
                <w:rFonts w:hint="eastAsia" w:ascii="宋体" w:hAnsi="宋体" w:cs="宋体"/>
                <w:color w:val="auto"/>
                <w:sz w:val="18"/>
                <w:szCs w:val="18"/>
                <w:highlight w:val="none"/>
              </w:rPr>
            </w:pPr>
          </w:p>
        </w:tc>
        <w:tc>
          <w:tcPr>
            <w:tcW w:w="1978" w:type="dxa"/>
            <w:gridSpan w:val="2"/>
            <w:vAlign w:val="center"/>
          </w:tcPr>
          <w:p>
            <w:pPr>
              <w:jc w:val="center"/>
              <w:rPr>
                <w:rFonts w:hint="eastAsia" w:ascii="宋体" w:hAnsi="宋体" w:cs="宋体"/>
                <w:color w:val="auto"/>
                <w:kern w:val="0"/>
                <w:sz w:val="18"/>
                <w:szCs w:val="18"/>
                <w:highlight w:val="none"/>
              </w:rPr>
            </w:pPr>
          </w:p>
        </w:tc>
        <w:tc>
          <w:tcPr>
            <w:tcW w:w="154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93" w:type="dxa"/>
            <w:vAlign w:val="center"/>
          </w:tcPr>
          <w:p>
            <w:pPr>
              <w:widowControl/>
              <w:jc w:val="center"/>
              <w:rPr>
                <w:rFonts w:hint="eastAsia" w:ascii="宋体" w:hAnsi="宋体" w:cs="宋体"/>
                <w:color w:val="auto"/>
                <w:kern w:val="0"/>
                <w:sz w:val="18"/>
                <w:szCs w:val="18"/>
                <w:highlight w:val="none"/>
              </w:rPr>
            </w:pPr>
          </w:p>
        </w:tc>
        <w:tc>
          <w:tcPr>
            <w:tcW w:w="1807" w:type="dxa"/>
            <w:gridSpan w:val="3"/>
            <w:vAlign w:val="center"/>
          </w:tcPr>
          <w:p>
            <w:pPr>
              <w:jc w:val="center"/>
              <w:rPr>
                <w:rFonts w:hint="eastAsia" w:ascii="宋体" w:hAnsi="宋体" w:cs="宋体"/>
                <w:color w:val="auto"/>
                <w:kern w:val="0"/>
                <w:sz w:val="18"/>
                <w:szCs w:val="18"/>
                <w:highlight w:val="none"/>
              </w:rPr>
            </w:pPr>
          </w:p>
        </w:tc>
        <w:tc>
          <w:tcPr>
            <w:tcW w:w="987" w:type="dxa"/>
            <w:vAlign w:val="center"/>
          </w:tcPr>
          <w:p>
            <w:pPr>
              <w:jc w:val="center"/>
              <w:rPr>
                <w:rFonts w:hint="eastAsia" w:ascii="宋体" w:hAnsi="宋体" w:cs="宋体"/>
                <w:color w:val="auto"/>
                <w:kern w:val="0"/>
                <w:sz w:val="18"/>
                <w:szCs w:val="18"/>
                <w:highlight w:val="none"/>
              </w:rPr>
            </w:pPr>
          </w:p>
        </w:tc>
        <w:tc>
          <w:tcPr>
            <w:tcW w:w="987" w:type="dxa"/>
            <w:vAlign w:val="center"/>
          </w:tcPr>
          <w:p>
            <w:pPr>
              <w:widowControl/>
              <w:jc w:val="center"/>
              <w:rPr>
                <w:rFonts w:hint="eastAsia" w:ascii="宋体" w:hAnsi="宋体" w:cs="宋体"/>
                <w:color w:val="auto"/>
                <w:kern w:val="0"/>
                <w:sz w:val="18"/>
                <w:szCs w:val="18"/>
                <w:highlight w:val="none"/>
              </w:rPr>
            </w:pPr>
          </w:p>
        </w:tc>
        <w:tc>
          <w:tcPr>
            <w:tcW w:w="2118" w:type="dxa"/>
            <w:gridSpan w:val="4"/>
            <w:vAlign w:val="center"/>
          </w:tcPr>
          <w:p>
            <w:pPr>
              <w:widowControl/>
              <w:jc w:val="center"/>
              <w:rPr>
                <w:rFonts w:hint="eastAsia" w:ascii="宋体" w:hAnsi="宋体" w:cs="宋体"/>
                <w:color w:val="auto"/>
                <w:kern w:val="0"/>
                <w:sz w:val="18"/>
                <w:szCs w:val="18"/>
                <w:highlight w:val="none"/>
              </w:rPr>
            </w:pPr>
          </w:p>
        </w:tc>
        <w:tc>
          <w:tcPr>
            <w:tcW w:w="1501" w:type="dxa"/>
            <w:gridSpan w:val="2"/>
            <w:vAlign w:val="center"/>
          </w:tcPr>
          <w:p>
            <w:pPr>
              <w:widowControl/>
              <w:jc w:val="center"/>
              <w:rPr>
                <w:rFonts w:hint="eastAsia" w:ascii="宋体" w:hAnsi="宋体" w:cs="宋体"/>
                <w:color w:val="auto"/>
                <w:kern w:val="0"/>
                <w:sz w:val="18"/>
                <w:szCs w:val="18"/>
                <w:highlight w:val="none"/>
              </w:rPr>
            </w:pPr>
          </w:p>
        </w:tc>
        <w:tc>
          <w:tcPr>
            <w:tcW w:w="2105" w:type="dxa"/>
            <w:gridSpan w:val="2"/>
            <w:vAlign w:val="center"/>
          </w:tcPr>
          <w:p>
            <w:pPr>
              <w:jc w:val="center"/>
              <w:rPr>
                <w:rFonts w:hint="eastAsia" w:ascii="宋体" w:hAnsi="宋体" w:cs="宋体"/>
                <w:color w:val="auto"/>
                <w:sz w:val="18"/>
                <w:szCs w:val="18"/>
                <w:highlight w:val="none"/>
              </w:rPr>
            </w:pPr>
          </w:p>
        </w:tc>
        <w:tc>
          <w:tcPr>
            <w:tcW w:w="1978" w:type="dxa"/>
            <w:gridSpan w:val="2"/>
            <w:vAlign w:val="center"/>
          </w:tcPr>
          <w:p>
            <w:pPr>
              <w:jc w:val="center"/>
              <w:rPr>
                <w:rFonts w:hint="eastAsia" w:ascii="宋体" w:hAnsi="宋体" w:cs="宋体"/>
                <w:color w:val="auto"/>
                <w:kern w:val="0"/>
                <w:sz w:val="18"/>
                <w:szCs w:val="18"/>
                <w:highlight w:val="none"/>
              </w:rPr>
            </w:pPr>
          </w:p>
        </w:tc>
        <w:tc>
          <w:tcPr>
            <w:tcW w:w="154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附件B5.2.6-3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293" w:type="dxa"/>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1807" w:type="dxa"/>
            <w:gridSpan w:val="3"/>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87"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87"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118" w:type="dxa"/>
            <w:gridSpan w:val="4"/>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501"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10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978"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54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240" w:lineRule="exact"/>
        <w:ind w:left="630" w:hanging="630" w:hangingChars="300"/>
        <w:rPr>
          <w:rFonts w:hint="eastAsia" w:cs="宋体" w:asciiTheme="minorEastAsia" w:hAnsiTheme="minorEastAsia" w:eastAsiaTheme="minorEastAsia"/>
          <w:color w:val="auto"/>
          <w:spacing w:val="-3"/>
          <w:szCs w:val="21"/>
          <w:highlight w:val="none"/>
        </w:rPr>
      </w:pPr>
      <w:r>
        <w:rPr>
          <w:rFonts w:hint="eastAsia" w:ascii="宋体" w:hAnsi="宋体" w:cs="宋体"/>
          <w:color w:val="auto"/>
          <w:szCs w:val="21"/>
          <w:highlight w:val="none"/>
        </w:rPr>
        <w:t>注：1.</w:t>
      </w:r>
      <w:r>
        <w:rPr>
          <w:rFonts w:hint="eastAsia" w:cs="宋体" w:asciiTheme="minorEastAsia" w:hAnsiTheme="minorEastAsia" w:eastAsiaTheme="minorEastAsia"/>
          <w:color w:val="auto"/>
          <w:spacing w:val="-3"/>
          <w:szCs w:val="21"/>
          <w:highlight w:val="none"/>
        </w:rPr>
        <w:t>投标人应在本表后提供相关证明材料（原件原色扫描件）附件B5.2系列（身份证、职称证、执业资格证、</w:t>
      </w:r>
      <w:r>
        <w:rPr>
          <w:rFonts w:hint="eastAsia" w:cs="宋体" w:asciiTheme="minorEastAsia" w:hAnsiTheme="minorEastAsia" w:eastAsiaTheme="minorEastAsia"/>
          <w:color w:val="auto"/>
          <w:szCs w:val="21"/>
          <w:highlight w:val="none"/>
        </w:rPr>
        <w:t>全国公路建设市场监督管理系统中登记在投标人单位的注册监理人员</w:t>
      </w:r>
      <w:r>
        <w:rPr>
          <w:rFonts w:hint="eastAsia" w:cs="宋体" w:asciiTheme="minorEastAsia" w:hAnsiTheme="minorEastAsia" w:eastAsiaTheme="minorEastAsia"/>
          <w:color w:val="auto"/>
          <w:kern w:val="0"/>
          <w:szCs w:val="21"/>
          <w:highlight w:val="none"/>
        </w:rPr>
        <w:t>列表网页截图、</w:t>
      </w:r>
      <w:r>
        <w:rPr>
          <w:rFonts w:hint="eastAsia" w:cs="宋体" w:asciiTheme="minorEastAsia" w:hAnsiTheme="minorEastAsia" w:eastAsiaTheme="minorEastAsia"/>
          <w:color w:val="auto"/>
          <w:spacing w:val="-3"/>
          <w:szCs w:val="21"/>
          <w:highlight w:val="none"/>
        </w:rPr>
        <w:t>社保证明、个人业绩证明）。证明材料构成应与招标人对拟委任的其他主要监理人员的要求一一对应，未作要求的内容不得要求投标人提供相应的证明材料。</w:t>
      </w:r>
    </w:p>
    <w:p>
      <w:pPr>
        <w:spacing w:line="240" w:lineRule="exact"/>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2.因投标人自身原因未提供附件或提供的附件不能与所证明的内容相匹配，造成业绩或其他内容不予认可时，投标人自行承担相关责任。</w:t>
      </w:r>
    </w:p>
    <w:p>
      <w:pPr>
        <w:spacing w:line="240" w:lineRule="exact"/>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3.个人业绩证明材料为：</w:t>
      </w:r>
    </w:p>
    <w:p>
      <w:pPr>
        <w:spacing w:line="240" w:lineRule="exact"/>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 交通运输部“全国公路建设市场监督管理系统”中载明的、能够证明该人员具有相关业绩的网页截图（本项规定仅适用于根据《关于发布公路工程从业企业资质名录的通知》（厅公路字〔2011〕114号）要求，招标人应通过名录对投标人资质条件进行审核的公路施工监理企业单位人员。否则，招标人可对相关个人业绩提出其他证明材料要求。）。□或</w:t>
      </w:r>
    </w:p>
    <w:p>
      <w:pPr>
        <w:spacing w:line="240" w:lineRule="exact"/>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合同协议书；和 </w:t>
      </w:r>
    </w:p>
    <w:p>
      <w:pPr>
        <w:spacing w:line="240" w:lineRule="exact"/>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监理项目评定书或交工验收证书或竣工验收委员会出具的公路工程竣工验收鉴定书或发包人出具的证明原件原色扫描件，其中应能够证明该人员具有相关业绩。</w:t>
      </w:r>
    </w:p>
    <w:p>
      <w:pPr>
        <w:spacing w:line="240" w:lineRule="exact"/>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4.提供社保时间段要求：例如投标截止日所在月为“2021年12月”，则提供“2021年6～11月”或“2021年5～10月”在其投标单位连续6个月参加社保的证明材料。</w:t>
      </w:r>
    </w:p>
    <w:p>
      <w:pPr>
        <w:spacing w:line="240" w:lineRule="exact"/>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5.对于具有双洞的隧道，其隧道长度以左右线隧道长度较长的为准；若只有单洞的，则以单洞隧道长度数据为准。隧道单洞长度不含斜井、竖井、支洞。</w:t>
      </w:r>
    </w:p>
    <w:p>
      <w:pPr>
        <w:spacing w:line="240" w:lineRule="exact"/>
        <w:ind w:left="567" w:leftChars="170" w:hanging="210" w:hangingChars="100"/>
        <w:rPr>
          <w:rFonts w:hint="eastAsia" w:ascii="宋体" w:hAnsi="宋体" w:cs="宋体"/>
          <w:color w:val="auto"/>
          <w:szCs w:val="21"/>
          <w:highlight w:val="none"/>
        </w:rPr>
        <w:sectPr>
          <w:footnotePr>
            <w:numFmt w:val="decimalEnclosedCircleChinese"/>
            <w:numRestart w:val="eachPage"/>
          </w:footnotePr>
          <w:pgSz w:w="16840" w:h="11900" w:orient="landscape"/>
          <w:pgMar w:top="1474" w:right="1134" w:bottom="1134" w:left="1418" w:header="885" w:footer="680" w:gutter="0"/>
          <w:cols w:space="720" w:num="1"/>
          <w:docGrid w:linePitch="286" w:charSpace="0"/>
        </w:sectPr>
      </w:pPr>
      <w:r>
        <w:rPr>
          <w:rFonts w:hint="eastAsia" w:ascii="宋体" w:hAnsi="宋体" w:cs="宋体"/>
          <w:color w:val="auto"/>
          <w:szCs w:val="21"/>
          <w:highlight w:val="none"/>
        </w:rPr>
        <w:t>6.允许联合体投标时，若以联合体形式投标的，隧道专业监理工程师应按照第二章“投标人须知”前附表附录5资格审查条件的要求及第三章“评标办法”详细评审打分条件（如有）填写本表。</w:t>
      </w:r>
    </w:p>
    <w:p>
      <w:pPr>
        <w:pStyle w:val="43"/>
        <w:shd w:val="clear" w:color="auto" w:fill="FFFFFF"/>
        <w:spacing w:line="360" w:lineRule="auto"/>
        <w:ind w:firstLine="2160" w:firstLineChars="900"/>
        <w:rPr>
          <w:rFonts w:hint="eastAsia" w:ascii="黑体" w:hAnsi="黑体" w:eastAsia="黑体" w:cs="宋体"/>
          <w:bCs/>
          <w:color w:val="auto"/>
          <w:highlight w:val="none"/>
        </w:rPr>
      </w:pPr>
      <w:bookmarkStart w:id="751" w:name="_TOC_250031"/>
      <w:bookmarkEnd w:id="751"/>
      <w:bookmarkStart w:id="752" w:name="_TOC_250027"/>
      <w:bookmarkEnd w:id="752"/>
      <w:bookmarkStart w:id="753" w:name="_TOC_250023"/>
      <w:bookmarkEnd w:id="753"/>
      <w:bookmarkStart w:id="754" w:name="_TOC_250022"/>
      <w:bookmarkEnd w:id="754"/>
      <w:bookmarkStart w:id="755" w:name="_TOC_250026"/>
      <w:bookmarkEnd w:id="755"/>
      <w:bookmarkStart w:id="756" w:name="_TOC_250030"/>
      <w:bookmarkEnd w:id="756"/>
      <w:bookmarkStart w:id="757" w:name="_Toc74760940"/>
      <w:bookmarkStart w:id="758" w:name="_Toc523921871"/>
      <w:bookmarkStart w:id="759" w:name="_Toc28187749"/>
      <w:r>
        <w:rPr>
          <w:rFonts w:hint="eastAsia" w:ascii="黑体" w:hAnsi="黑体" w:eastAsia="黑体" w:cs="宋体"/>
          <w:bCs/>
          <w:color w:val="auto"/>
          <w:highlight w:val="none"/>
        </w:rPr>
        <w:t>□ 其他</w:t>
      </w:r>
      <w:r>
        <w:rPr>
          <w:rFonts w:hint="eastAsia" w:ascii="黑体" w:hAnsi="黑体" w:eastAsia="黑体" w:cs="宋体"/>
          <w:bCs/>
          <w:color w:val="auto"/>
          <w:highlight w:val="none"/>
          <w:u w:val="single"/>
        </w:rPr>
        <w:t xml:space="preserve">      </w:t>
      </w:r>
      <w:r>
        <w:rPr>
          <w:rFonts w:hint="eastAsia" w:ascii="黑体" w:hAnsi="黑体" w:eastAsia="黑体" w:cs="宋体"/>
          <w:bCs/>
          <w:color w:val="auto"/>
          <w:highlight w:val="none"/>
        </w:rPr>
        <w:t>专业监理工程师</w:t>
      </w:r>
      <w:bookmarkEnd w:id="757"/>
      <w:r>
        <w:rPr>
          <w:rFonts w:hint="eastAsia" w:ascii="黑体" w:hAnsi="黑体" w:eastAsia="黑体" w:cs="宋体"/>
          <w:bCs/>
          <w:color w:val="auto"/>
          <w:highlight w:val="none"/>
        </w:rPr>
        <w:t>资历表              表5.3</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spacing w:line="360" w:lineRule="auto"/>
        <w:ind w:left="420" w:hanging="420" w:hangingChars="200"/>
        <w:jc w:val="left"/>
        <w:rPr>
          <w:rFonts w:hint="eastAsia" w:ascii="黑体" w:hAnsi="黑体" w:cs="黑体"/>
          <w:color w:val="auto"/>
          <w:sz w:val="30"/>
          <w:szCs w:val="30"/>
          <w:highlight w:val="none"/>
        </w:rPr>
      </w:pPr>
      <w:r>
        <w:rPr>
          <w:rFonts w:hint="eastAsia" w:ascii="宋体" w:hAnsi="宋体" w:cs="宋体"/>
          <w:color w:val="auto"/>
          <w:szCs w:val="21"/>
          <w:highlight w:val="none"/>
          <w:lang w:bidi="ar"/>
        </w:rPr>
        <w:t>注：招标人对其他专业监理工程师提出要求的，可参照上述专业监理工程师资历表格式，并根据项目情况自行设定表格形式，但应反映第二章“投标人须知”附录5资格审查条件（其他主要监理人员最低要求）、第三章“评标办法”详细评审打分（如有）要求的内容并提供相应的证明材料（如要求）。</w:t>
      </w:r>
    </w:p>
    <w:p>
      <w:pPr>
        <w:adjustRightInd w:val="0"/>
        <w:snapToGrid w:val="0"/>
        <w:spacing w:line="360" w:lineRule="auto"/>
        <w:rPr>
          <w:rFonts w:hint="eastAsia" w:ascii="黑体" w:hAnsi="黑体" w:cs="黑体"/>
          <w:color w:val="auto"/>
          <w:sz w:val="30"/>
          <w:szCs w:val="30"/>
          <w:highlight w:val="none"/>
        </w:rPr>
      </w:pPr>
      <w:r>
        <w:rPr>
          <w:rFonts w:hint="eastAsia" w:ascii="黑体" w:hAnsi="黑体" w:cs="黑体"/>
          <w:color w:val="auto"/>
          <w:sz w:val="30"/>
          <w:szCs w:val="30"/>
          <w:highlight w:val="none"/>
        </w:rPr>
        <w:br w:type="page"/>
      </w:r>
    </w:p>
    <w:p>
      <w:pPr>
        <w:pStyle w:val="5"/>
        <w:jc w:val="center"/>
        <w:rPr>
          <w:rFonts w:hint="eastAsia" w:ascii="黑体" w:hAnsi="黑体" w:cs="黑体"/>
          <w:b w:val="0"/>
          <w:color w:val="auto"/>
          <w:sz w:val="30"/>
          <w:szCs w:val="30"/>
          <w:highlight w:val="none"/>
        </w:rPr>
      </w:pPr>
      <w:r>
        <w:rPr>
          <w:rFonts w:hint="eastAsia" w:ascii="黑体" w:hAnsi="黑体" w:cs="黑体"/>
          <w:b w:val="0"/>
          <w:color w:val="auto"/>
          <w:sz w:val="30"/>
          <w:szCs w:val="30"/>
          <w:highlight w:val="none"/>
        </w:rPr>
        <w:t>六、技术建议书</w:t>
      </w:r>
      <w:bookmarkEnd w:id="758"/>
      <w:bookmarkEnd w:id="759"/>
    </w:p>
    <w:p>
      <w:pPr>
        <w:pStyle w:val="276"/>
        <w:spacing w:line="360" w:lineRule="auto"/>
        <w:rPr>
          <w:rFonts w:hint="eastAsia" w:ascii="宋体" w:hAnsi="宋体" w:cs="宋体"/>
          <w:color w:val="auto"/>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投标人应编制技术建议书，其内容包括：</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一、监理大纲和措施</w:t>
      </w:r>
    </w:p>
    <w:p>
      <w:pPr>
        <w:tabs>
          <w:tab w:val="left" w:pos="469"/>
        </w:tabs>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 工程概述：主要对拟投监理合同段的工程总体概况进行简单描述。</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 监理工作范围：依据监理合同中约定的监理服务的要求和范围，对拟投监理合同段的监理工作安排、主要监理人员的岗位职责进行必要的阐述。</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 现场监理机构设置与人员安排：通过框图形式，明确拟投监理合同段的组织机构设置。</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 监理仪器、设备和设施的配备：投标人根据拟投监理合同段的现场工作需要，对其拟投入本工程的监理仪器、设备和设施的配备等情况做简要介绍。</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 监理程序：结合监理工作的阶段划分，对工程质量控制、进度控制、施工安全控制、费用控制、环境保护与水土保持控制、廉政、合同及其他事项管理、文件资料管理等方面，进行监理工作的方法与流程的简要阐述。</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二、本工程监理的重点与难点分析：根据招标文件及现场考察，对本工程监理工作需要特别给予重视的问题逐一论述并给出解决方法。</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三、针对本项目特点的工作建议：为更好地完成本工程的监理工作，监理单位可根据以往的经验，对本工程监理工作提出建议。</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adjustRightInd w:val="0"/>
        <w:snapToGrid w:val="0"/>
        <w:spacing w:line="360" w:lineRule="auto"/>
        <w:rPr>
          <w:rFonts w:hint="eastAsia" w:ascii="黑体" w:hAnsi="黑体" w:cs="黑体"/>
          <w:color w:val="auto"/>
          <w:sz w:val="30"/>
          <w:szCs w:val="30"/>
          <w:highlight w:val="none"/>
        </w:rPr>
      </w:pPr>
      <w:bookmarkStart w:id="760" w:name="_Toc28187750"/>
      <w:bookmarkStart w:id="761" w:name="_Toc523921872"/>
      <w:r>
        <w:rPr>
          <w:rFonts w:hint="eastAsia" w:ascii="黑体" w:hAnsi="黑体" w:cs="黑体"/>
          <w:color w:val="auto"/>
          <w:sz w:val="30"/>
          <w:szCs w:val="30"/>
          <w:highlight w:val="none"/>
        </w:rPr>
        <w:br w:type="page"/>
      </w:r>
    </w:p>
    <w:p>
      <w:pPr>
        <w:pStyle w:val="5"/>
        <w:jc w:val="center"/>
        <w:rPr>
          <w:rFonts w:hint="eastAsia" w:ascii="黑体" w:hAnsi="黑体" w:cs="黑体"/>
          <w:b w:val="0"/>
          <w:color w:val="auto"/>
          <w:sz w:val="30"/>
          <w:szCs w:val="30"/>
          <w:highlight w:val="none"/>
        </w:rPr>
      </w:pPr>
      <w:r>
        <w:rPr>
          <w:rFonts w:hint="eastAsia" w:ascii="黑体" w:hAnsi="黑体" w:cs="黑体"/>
          <w:b w:val="0"/>
          <w:color w:val="auto"/>
          <w:sz w:val="30"/>
          <w:szCs w:val="30"/>
          <w:highlight w:val="none"/>
        </w:rPr>
        <w:t>七、其他资料</w:t>
      </w:r>
      <w:bookmarkEnd w:id="760"/>
      <w:bookmarkEnd w:id="761"/>
      <w:r>
        <w:rPr>
          <w:rFonts w:hint="eastAsia" w:ascii="黑体" w:hAnsi="黑体" w:cs="黑体"/>
          <w:b w:val="0"/>
          <w:color w:val="auto"/>
          <w:sz w:val="30"/>
          <w:szCs w:val="30"/>
          <w:highlight w:val="none"/>
        </w:rPr>
        <w:t>（如有）</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t>注：指投标人认为需要附的其他资料。</w:t>
      </w:r>
    </w:p>
    <w:p>
      <w:pPr>
        <w:pStyle w:val="276"/>
        <w:rPr>
          <w:rFonts w:hint="eastAsia" w:ascii="宋体" w:hAnsi="宋体" w:cs="宋体"/>
          <w:color w:val="auto"/>
          <w:highlight w:val="none"/>
        </w:rPr>
      </w:pPr>
      <w:r>
        <w:rPr>
          <w:rFonts w:hint="eastAsia" w:ascii="宋体" w:hAnsi="宋体" w:cs="宋体"/>
          <w:color w:val="auto"/>
          <w:sz w:val="18"/>
          <w:szCs w:val="18"/>
          <w:highlight w:val="none"/>
        </w:rPr>
        <w:br w:type="page"/>
      </w:r>
    </w:p>
    <w:p>
      <w:pPr>
        <w:pStyle w:val="276"/>
        <w:spacing w:line="360" w:lineRule="auto"/>
        <w:ind w:firstLine="945" w:firstLineChars="450"/>
        <w:rPr>
          <w:rFonts w:hint="eastAsia" w:ascii="宋体" w:hAnsi="宋体" w:cs="宋体"/>
          <w:color w:val="auto"/>
          <w:highlight w:val="none"/>
        </w:rPr>
      </w:pPr>
    </w:p>
    <w:p>
      <w:pPr>
        <w:pStyle w:val="276"/>
        <w:spacing w:line="360" w:lineRule="auto"/>
        <w:ind w:firstLine="945" w:firstLineChars="450"/>
        <w:rPr>
          <w:rFonts w:hint="eastAsia" w:ascii="宋体" w:hAnsi="宋体" w:cs="宋体"/>
          <w:color w:val="auto"/>
          <w:highlight w:val="none"/>
        </w:rPr>
      </w:pPr>
    </w:p>
    <w:p>
      <w:pPr>
        <w:pStyle w:val="276"/>
        <w:spacing w:line="480" w:lineRule="auto"/>
        <w:ind w:firstLine="720" w:firstLineChars="200"/>
        <w:rPr>
          <w:rFonts w:hint="eastAsia" w:ascii="宋体" w:hAnsi="宋体" w:cs="宋体"/>
          <w:color w:val="auto"/>
          <w:highlight w:val="none"/>
        </w:rPr>
      </w:pPr>
      <w:r>
        <w:rPr>
          <w:rFonts w:hint="eastAsia" w:ascii="黑体" w:hAnsi="黑体" w:eastAsia="黑体"/>
          <w:color w:val="auto"/>
          <w:sz w:val="36"/>
          <w:szCs w:val="36"/>
          <w:highlight w:val="none"/>
          <w:u w:val="single"/>
        </w:rPr>
        <w:t xml:space="preserve">             </w:t>
      </w:r>
      <w:r>
        <w:rPr>
          <w:rFonts w:hint="eastAsia" w:ascii="黑体" w:hAnsi="黑体" w:eastAsia="黑体"/>
          <w:color w:val="auto"/>
          <w:sz w:val="36"/>
          <w:szCs w:val="36"/>
          <w:highlight w:val="none"/>
        </w:rPr>
        <w:t>（招标项目名称）____标段监理</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5"/>
        <w:jc w:val="center"/>
        <w:rPr>
          <w:rFonts w:hint="eastAsia" w:ascii="黑体" w:hAnsi="黑体" w:cs="黑体"/>
          <w:color w:val="auto"/>
          <w:sz w:val="72"/>
          <w:szCs w:val="72"/>
          <w:highlight w:val="none"/>
        </w:rPr>
      </w:pPr>
      <w:bookmarkStart w:id="762" w:name="_Toc523921875"/>
      <w:bookmarkStart w:id="763" w:name="_Toc28187751"/>
      <w:r>
        <w:rPr>
          <w:rFonts w:hint="eastAsia" w:ascii="黑体" w:hAnsi="黑体" w:cs="黑体"/>
          <w:color w:val="auto"/>
          <w:sz w:val="72"/>
          <w:szCs w:val="72"/>
          <w:highlight w:val="none"/>
        </w:rPr>
        <w:t>投 标 文 件</w:t>
      </w:r>
      <w:bookmarkEnd w:id="762"/>
      <w:bookmarkEnd w:id="763"/>
    </w:p>
    <w:p>
      <w:pPr>
        <w:pStyle w:val="5"/>
        <w:jc w:val="center"/>
        <w:rPr>
          <w:color w:val="auto"/>
          <w:highlight w:val="none"/>
        </w:rPr>
      </w:pPr>
      <w:bookmarkStart w:id="764" w:name="_Toc28187752"/>
      <w:bookmarkStart w:id="765" w:name="_Toc523921876"/>
      <w:r>
        <w:rPr>
          <w:rFonts w:hint="eastAsia"/>
          <w:color w:val="auto"/>
          <w:highlight w:val="none"/>
        </w:rPr>
        <w:t>第二个信封（报价文件）</w:t>
      </w:r>
      <w:bookmarkEnd w:id="764"/>
      <w:bookmarkEnd w:id="765"/>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ind w:firstLine="1680" w:firstLineChars="6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投标人：</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 xml:space="preserve"> （全称）</w:t>
      </w:r>
    </w:p>
    <w:p>
      <w:pPr>
        <w:pStyle w:val="276"/>
        <w:rPr>
          <w:rFonts w:hint="eastAsia" w:ascii="黑体" w:hAnsi="黑体" w:eastAsia="黑体" w:cs="宋体"/>
          <w:color w:val="auto"/>
          <w:sz w:val="28"/>
          <w:szCs w:val="28"/>
          <w:highlight w:val="none"/>
        </w:rPr>
      </w:pPr>
    </w:p>
    <w:p>
      <w:pPr>
        <w:pStyle w:val="276"/>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 xml:space="preserve">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年</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u w:val="single"/>
        </w:rPr>
        <w:tab/>
      </w:r>
      <w:r>
        <w:rPr>
          <w:rFonts w:hint="eastAsia" w:ascii="黑体" w:hAnsi="黑体" w:eastAsia="黑体" w:cs="宋体"/>
          <w:color w:val="auto"/>
          <w:sz w:val="28"/>
          <w:szCs w:val="28"/>
          <w:highlight w:val="none"/>
        </w:rPr>
        <w:t>月</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日</w:t>
      </w:r>
    </w:p>
    <w:p>
      <w:pPr>
        <w:pStyle w:val="276"/>
        <w:rPr>
          <w:rFonts w:hint="eastAsia" w:ascii="宋体" w:hAnsi="宋体" w:cs="宋体"/>
          <w:color w:val="auto"/>
          <w:sz w:val="24"/>
          <w:highlight w:val="none"/>
        </w:rPr>
      </w:pPr>
    </w:p>
    <w:p>
      <w:pPr>
        <w:pStyle w:val="276"/>
        <w:rPr>
          <w:rFonts w:hint="eastAsia" w:ascii="宋体" w:hAnsi="宋体" w:cs="宋体"/>
          <w:color w:val="auto"/>
          <w:sz w:val="24"/>
          <w:highlight w:val="none"/>
        </w:rPr>
      </w:pPr>
      <w:r>
        <w:rPr>
          <w:rFonts w:hint="eastAsia" w:ascii="宋体" w:hAnsi="宋体" w:cs="宋体"/>
          <w:color w:val="auto"/>
          <w:sz w:val="24"/>
          <w:highlight w:val="none"/>
        </w:rPr>
        <w:t>注：以联合体形式投标的，投标人为联合体牵头人单位全称。</w:t>
      </w:r>
    </w:p>
    <w:p>
      <w:pPr>
        <w:pStyle w:val="276"/>
        <w:rPr>
          <w:rFonts w:hint="eastAsia" w:ascii="宋体" w:hAnsi="宋体" w:cs="宋体"/>
          <w:color w:val="auto"/>
          <w:highlight w:val="none"/>
        </w:rPr>
      </w:pPr>
    </w:p>
    <w:p>
      <w:pPr>
        <w:pStyle w:val="276"/>
        <w:rPr>
          <w:rFonts w:hint="eastAsia" w:ascii="宋体" w:hAnsi="宋体" w:cs="宋体"/>
          <w:color w:val="auto"/>
          <w:highlight w:val="none"/>
        </w:rPr>
        <w:sectPr>
          <w:footerReference r:id="rId31" w:type="default"/>
          <w:footerReference r:id="rId32" w:type="even"/>
          <w:footnotePr>
            <w:numFmt w:val="decimalEnclosedCircleChinese"/>
            <w:numRestart w:val="eachPage"/>
          </w:footnotePr>
          <w:pgSz w:w="11900" w:h="16840"/>
          <w:pgMar w:top="1418" w:right="1418" w:bottom="1418" w:left="1701" w:header="885" w:footer="839" w:gutter="0"/>
          <w:cols w:space="720" w:num="1"/>
          <w:docGrid w:linePitch="286" w:charSpace="0"/>
        </w:sectPr>
      </w:pPr>
    </w:p>
    <w:p>
      <w:pPr>
        <w:pStyle w:val="276"/>
        <w:rPr>
          <w:rFonts w:hint="eastAsia" w:ascii="宋体" w:hAnsi="宋体" w:cs="宋体"/>
          <w:color w:val="auto"/>
          <w:highlight w:val="none"/>
        </w:rPr>
      </w:pPr>
    </w:p>
    <w:p>
      <w:pPr>
        <w:spacing w:line="360" w:lineRule="auto"/>
        <w:jc w:val="center"/>
        <w:rPr>
          <w:rFonts w:hint="eastAsia" w:ascii="黑体" w:hAnsi="黑体" w:eastAsia="黑体" w:cs="黑体"/>
          <w:bCs/>
          <w:color w:val="auto"/>
          <w:sz w:val="32"/>
          <w:szCs w:val="32"/>
          <w:highlight w:val="none"/>
        </w:rPr>
      </w:pPr>
      <w:bookmarkStart w:id="766" w:name="_Toc523921877"/>
      <w:r>
        <w:rPr>
          <w:rFonts w:hint="eastAsia" w:ascii="黑体" w:hAnsi="黑体" w:eastAsia="黑体" w:cs="黑体"/>
          <w:bCs/>
          <w:color w:val="auto"/>
          <w:sz w:val="32"/>
          <w:szCs w:val="32"/>
          <w:highlight w:val="none"/>
        </w:rPr>
        <w:t>目</w:t>
      </w:r>
      <w:r>
        <w:rPr>
          <w:rFonts w:hint="eastAsia" w:ascii="黑体" w:hAnsi="黑体" w:eastAsia="黑体" w:cs="黑体"/>
          <w:bCs/>
          <w:color w:val="auto"/>
          <w:sz w:val="32"/>
          <w:szCs w:val="32"/>
          <w:highlight w:val="none"/>
        </w:rPr>
        <w:tab/>
      </w:r>
      <w:r>
        <w:rPr>
          <w:rFonts w:hint="eastAsia" w:ascii="黑体" w:hAnsi="黑体" w:eastAsia="黑体" w:cs="黑体"/>
          <w:bCs/>
          <w:color w:val="auto"/>
          <w:sz w:val="32"/>
          <w:szCs w:val="32"/>
          <w:highlight w:val="none"/>
        </w:rPr>
        <w:t xml:space="preserve">  录</w:t>
      </w:r>
      <w:bookmarkEnd w:id="766"/>
    </w:p>
    <w:p>
      <w:pPr>
        <w:pStyle w:val="276"/>
        <w:spacing w:line="360" w:lineRule="auto"/>
        <w:rPr>
          <w:rFonts w:hint="eastAsia" w:ascii="宋体" w:hAnsi="宋体" w:cs="宋体"/>
          <w:color w:val="auto"/>
          <w:highlight w:val="none"/>
        </w:rPr>
      </w:pPr>
    </w:p>
    <w:p>
      <w:pPr>
        <w:pStyle w:val="276"/>
        <w:spacing w:line="480" w:lineRule="auto"/>
        <w:rPr>
          <w:rFonts w:hint="eastAsia" w:ascii="宋体" w:hAnsi="宋体" w:cs="宋体"/>
          <w:color w:val="auto"/>
          <w:sz w:val="24"/>
          <w:highlight w:val="none"/>
        </w:rPr>
      </w:pP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 xml:space="preserve">一、投标函（第二个信封） </w:t>
      </w:r>
    </w:p>
    <w:p>
      <w:pPr>
        <w:pStyle w:val="276"/>
        <w:spacing w:line="480" w:lineRule="auto"/>
        <w:rPr>
          <w:rFonts w:hint="eastAsia" w:ascii="宋体" w:hAnsi="宋体" w:cs="宋体"/>
          <w:color w:val="auto"/>
          <w:sz w:val="24"/>
          <w:highlight w:val="none"/>
        </w:rPr>
        <w:sectPr>
          <w:footnotePr>
            <w:numFmt w:val="decimalEnclosedCircleChinese"/>
            <w:numRestart w:val="eachPage"/>
          </w:footnotePr>
          <w:type w:val="nextColumn"/>
          <w:pgSz w:w="11900" w:h="16840"/>
          <w:pgMar w:top="1418" w:right="1418" w:bottom="1418" w:left="1701" w:header="885" w:footer="839" w:gutter="0"/>
          <w:cols w:space="720" w:num="1"/>
          <w:docGrid w:linePitch="286" w:charSpace="0"/>
        </w:sectPr>
      </w:pPr>
      <w:r>
        <w:rPr>
          <w:rFonts w:hint="eastAsia" w:ascii="宋体" w:hAnsi="宋体" w:cs="宋体"/>
          <w:color w:val="auto"/>
          <w:sz w:val="24"/>
          <w:highlight w:val="none"/>
        </w:rPr>
        <w:t xml:space="preserve">二、监理服务费用清单 </w:t>
      </w:r>
    </w:p>
    <w:p>
      <w:pPr>
        <w:pStyle w:val="5"/>
        <w:jc w:val="center"/>
        <w:rPr>
          <w:b w:val="0"/>
          <w:bCs w:val="0"/>
          <w:color w:val="auto"/>
          <w:highlight w:val="none"/>
        </w:rPr>
      </w:pPr>
      <w:bookmarkStart w:id="767" w:name="_TOC_250016"/>
      <w:bookmarkEnd w:id="767"/>
      <w:bookmarkStart w:id="768" w:name="_Toc28187753"/>
      <w:bookmarkStart w:id="769" w:name="_Toc523921878"/>
      <w:r>
        <w:rPr>
          <w:rFonts w:hint="eastAsia"/>
          <w:b w:val="0"/>
          <w:bCs w:val="0"/>
          <w:color w:val="auto"/>
          <w:highlight w:val="none"/>
        </w:rPr>
        <w:t>一、投标函（第二个信封）</w:t>
      </w:r>
      <w:bookmarkEnd w:id="768"/>
      <w:bookmarkEnd w:id="769"/>
    </w:p>
    <w:p>
      <w:pPr>
        <w:pStyle w:val="276"/>
        <w:spacing w:line="360" w:lineRule="auto"/>
        <w:rPr>
          <w:rFonts w:hint="eastAsia" w:ascii="宋体" w:hAnsi="宋体" w:cs="宋体"/>
          <w:color w:val="auto"/>
          <w:highlight w:val="none"/>
        </w:rPr>
      </w:pPr>
    </w:p>
    <w:p>
      <w:pPr>
        <w:pStyle w:val="276"/>
        <w:spacing w:line="360" w:lineRule="auto"/>
        <w:rPr>
          <w:rFonts w:hint="eastAsia" w:ascii="宋体" w:hAnsi="宋体" w:cs="宋体"/>
          <w:color w:val="auto"/>
          <w:highlight w:val="none"/>
        </w:rPr>
      </w:pP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（招标人名称）</w:t>
      </w:r>
      <w:r>
        <w:rPr>
          <w:rFonts w:hint="eastAsia" w:ascii="宋体" w:hAnsi="宋体" w:cs="宋体"/>
          <w:color w:val="auto"/>
          <w:highlight w:val="none"/>
        </w:rPr>
        <w:t>：</w:t>
      </w:r>
    </w:p>
    <w:p>
      <w:pPr>
        <w:pStyle w:val="276"/>
        <w:spacing w:line="360" w:lineRule="auto"/>
        <w:rPr>
          <w:rFonts w:hint="eastAsia" w:ascii="宋体" w:hAnsi="宋体" w:cs="宋体"/>
          <w:color w:val="auto"/>
          <w:highlight w:val="none"/>
        </w:rPr>
      </w:pPr>
    </w:p>
    <w:p>
      <w:pPr>
        <w:pStyle w:val="21"/>
        <w:numPr>
          <w:ilvl w:val="255"/>
          <w:numId w:val="0"/>
        </w:numPr>
        <w:tabs>
          <w:tab w:val="left" w:pos="1857"/>
          <w:tab w:val="left" w:pos="4380"/>
          <w:tab w:val="left" w:pos="4908"/>
          <w:tab w:val="left" w:pos="7245"/>
        </w:tabs>
        <w:spacing w:before="26" w:line="360" w:lineRule="auto"/>
        <w:ind w:right="100" w:firstLine="480" w:firstLineChars="200"/>
        <w:rPr>
          <w:rFonts w:hint="eastAsia"/>
          <w:color w:val="auto"/>
          <w:highlight w:val="none"/>
        </w:rPr>
      </w:pPr>
      <w:r>
        <w:rPr>
          <w:rFonts w:hint="eastAsia" w:cs="宋体"/>
          <w:color w:val="auto"/>
          <w:highlight w:val="none"/>
        </w:rPr>
        <w:t>1．我方已仔细研究</w:t>
      </w:r>
      <w:r>
        <w:rPr>
          <w:rFonts w:hint="eastAsia"/>
          <w:color w:val="auto"/>
          <w:highlight w:val="none"/>
          <w:u w:val="single"/>
        </w:rPr>
        <w:t xml:space="preserve">          </w:t>
      </w:r>
      <w:r>
        <w:rPr>
          <w:rFonts w:hint="eastAsia"/>
          <w:color w:val="auto"/>
          <w:highlight w:val="none"/>
        </w:rPr>
        <w:t>（招标项目名称）施工监理_____标段</w:t>
      </w:r>
      <w:r>
        <w:rPr>
          <w:rFonts w:hint="eastAsia" w:cs="宋体"/>
          <w:color w:val="auto"/>
          <w:highlight w:val="none"/>
        </w:rPr>
        <w:t>标文件的全部内容（含全部补遗书），在考察工程现场后，</w:t>
      </w:r>
      <w:r>
        <w:rPr>
          <w:rFonts w:hint="eastAsia"/>
          <w:color w:val="auto"/>
          <w:highlight w:val="none"/>
        </w:rPr>
        <w:t>愿意以下列投标报价，按合同约定完成监理工作。</w:t>
      </w:r>
    </w:p>
    <w:p>
      <w:pPr>
        <w:pStyle w:val="21"/>
        <w:numPr>
          <w:ilvl w:val="255"/>
          <w:numId w:val="0"/>
        </w:numPr>
        <w:tabs>
          <w:tab w:val="left" w:pos="1857"/>
          <w:tab w:val="left" w:pos="4380"/>
          <w:tab w:val="left" w:pos="4908"/>
          <w:tab w:val="left" w:pos="7245"/>
        </w:tabs>
        <w:spacing w:before="26" w:line="360" w:lineRule="auto"/>
        <w:ind w:right="100" w:firstLine="481" w:firstLineChars="200"/>
        <w:rPr>
          <w:rFonts w:hint="eastAsia"/>
          <w:color w:val="auto"/>
          <w:spacing w:val="4"/>
          <w:highlight w:val="none"/>
        </w:rPr>
      </w:pPr>
      <w:r>
        <w:rPr>
          <w:rFonts w:hint="eastAsia" w:cs="宋体"/>
          <w:b/>
          <w:bCs/>
          <w:color w:val="auto"/>
          <w:highlight w:val="none"/>
        </w:rPr>
        <w:t>□</w:t>
      </w:r>
      <w:r>
        <w:rPr>
          <w:rFonts w:hint="eastAsia"/>
          <w:color w:val="auto"/>
          <w:highlight w:val="none"/>
        </w:rPr>
        <w:t xml:space="preserve"> 人民币（大写）</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元（</w:t>
      </w:r>
      <w:r>
        <w:rPr>
          <w:rFonts w:hint="eastAsia" w:cs="宋体"/>
          <w:color w:val="auto"/>
          <w:highlight w:val="none"/>
        </w:rPr>
        <w:t>¥</w:t>
      </w:r>
      <w:r>
        <w:rPr>
          <w:rFonts w:hint="eastAsia"/>
          <w:color w:val="auto"/>
          <w:highlight w:val="none"/>
          <w:u w:val="single"/>
        </w:rPr>
        <w:t xml:space="preserve">           </w:t>
      </w:r>
      <w:r>
        <w:rPr>
          <w:rFonts w:hint="eastAsia"/>
          <w:color w:val="auto"/>
          <w:highlight w:val="none"/>
        </w:rPr>
        <w:t>）</w:t>
      </w:r>
      <w:r>
        <w:rPr>
          <w:rFonts w:hint="eastAsia"/>
          <w:color w:val="auto"/>
          <w:spacing w:val="4"/>
          <w:highlight w:val="none"/>
        </w:rPr>
        <w:t>的投标总报价（其中增值税税率为</w:t>
      </w:r>
      <w:r>
        <w:rPr>
          <w:rFonts w:hint="eastAsia"/>
          <w:color w:val="auto"/>
          <w:spacing w:val="4"/>
          <w:highlight w:val="none"/>
          <w:u w:val="single"/>
        </w:rPr>
        <w:t xml:space="preserve">        </w:t>
      </w:r>
      <w:r>
        <w:rPr>
          <w:rFonts w:hint="eastAsia"/>
          <w:color w:val="auto"/>
          <w:spacing w:val="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2．在合同协议书正式签署生效之前，本投标函连同你方的中标通知书将构成我们双方之间共同遵守的文件，对双方具有约束力。</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（其他补充说明）。</w:t>
      </w:r>
    </w:p>
    <w:p>
      <w:pPr>
        <w:pStyle w:val="276"/>
        <w:spacing w:line="360" w:lineRule="auto"/>
        <w:rPr>
          <w:rFonts w:hint="eastAsia" w:ascii="宋体" w:hAnsi="宋体" w:cs="宋体"/>
          <w:color w:val="auto"/>
          <w:highlight w:val="none"/>
        </w:rPr>
      </w:pP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投 标 人：</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（个人电子签名章或个人电子印章）</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ab/>
      </w:r>
      <w:r>
        <w:rPr>
          <w:rFonts w:hint="eastAsia" w:ascii="宋体" w:hAnsi="宋体" w:cs="宋体"/>
          <w:color w:val="auto"/>
          <w:sz w:val="24"/>
          <w:highlight w:val="none"/>
        </w:rPr>
        <w:t xml:space="preserve"> </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网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5040" w:firstLineChars="2100"/>
        <w:rPr>
          <w:rFonts w:hint="eastAsia" w:ascii="宋体" w:hAnsi="宋体" w:cs="宋体"/>
          <w:color w:val="auto"/>
          <w:sz w:val="24"/>
          <w:highlight w:val="none"/>
          <w:u w:val="single"/>
        </w:rPr>
      </w:pPr>
    </w:p>
    <w:p>
      <w:pPr>
        <w:spacing w:line="360" w:lineRule="auto"/>
        <w:ind w:firstLine="5040" w:firstLineChars="210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pStyle w:val="276"/>
        <w:spacing w:line="360" w:lineRule="auto"/>
        <w:rPr>
          <w:rFonts w:hint="eastAsia" w:ascii="宋体" w:hAnsi="宋体" w:cs="宋体"/>
          <w:color w:val="auto"/>
          <w:highlight w:val="none"/>
        </w:rPr>
      </w:pPr>
    </w:p>
    <w:p>
      <w:pPr>
        <w:tabs>
          <w:tab w:val="left" w:pos="567"/>
        </w:tabs>
        <w:spacing w:line="360" w:lineRule="auto"/>
        <w:ind w:left="567" w:hanging="567" w:hangingChars="270"/>
        <w:rPr>
          <w:rStyle w:val="58"/>
          <w:rFonts w:hint="eastAsia" w:ascii="宋体" w:hAnsi="宋体" w:cs="宋体"/>
          <w:color w:val="auto"/>
          <w:highlight w:val="none"/>
          <w:vertAlign w:val="baseline"/>
        </w:rPr>
      </w:pPr>
      <w:r>
        <w:rPr>
          <w:rStyle w:val="58"/>
          <w:rFonts w:hint="eastAsia" w:ascii="宋体" w:hAnsi="宋体" w:cs="宋体"/>
          <w:color w:val="auto"/>
          <w:highlight w:val="none"/>
          <w:vertAlign w:val="baseline"/>
        </w:rPr>
        <w:t>注：1.</w:t>
      </w:r>
      <w:r>
        <w:rPr>
          <w:rStyle w:val="58"/>
          <w:rFonts w:hint="eastAsia"/>
          <w:color w:val="auto"/>
          <w:highlight w:val="none"/>
          <w:vertAlign w:val="baseline"/>
        </w:rPr>
        <w:t>若招标人要求投标报价不作价税分离的，税费综合在相应的综合单价或总额价中，投标函中的增值税率填写为“</w:t>
      </w:r>
      <w:r>
        <w:rPr>
          <w:rStyle w:val="58"/>
          <w:color w:val="auto"/>
          <w:highlight w:val="none"/>
          <w:vertAlign w:val="baseline"/>
        </w:rPr>
        <w:t>/</w:t>
      </w:r>
      <w:r>
        <w:rPr>
          <w:rStyle w:val="58"/>
          <w:rFonts w:hint="eastAsia"/>
          <w:color w:val="auto"/>
          <w:highlight w:val="none"/>
          <w:vertAlign w:val="baseline"/>
        </w:rPr>
        <w:t>”，否则投标人应填写实际税率</w:t>
      </w:r>
      <w:r>
        <w:rPr>
          <w:rStyle w:val="58"/>
          <w:rFonts w:hint="eastAsia" w:ascii="宋体" w:hAnsi="宋体" w:cs="宋体"/>
          <w:color w:val="auto"/>
          <w:highlight w:val="none"/>
          <w:vertAlign w:val="baseline"/>
        </w:rPr>
        <w:t>。</w:t>
      </w:r>
    </w:p>
    <w:p>
      <w:pPr>
        <w:tabs>
          <w:tab w:val="left" w:pos="2457"/>
        </w:tabs>
        <w:spacing w:line="360" w:lineRule="auto"/>
        <w:ind w:firstLine="424" w:firstLineChars="202"/>
        <w:rPr>
          <w:rStyle w:val="58"/>
          <w:color w:val="auto"/>
          <w:highlight w:val="none"/>
          <w:vertAlign w:val="baseline"/>
        </w:rPr>
      </w:pPr>
      <w:r>
        <w:rPr>
          <w:rStyle w:val="58"/>
          <w:rFonts w:hint="eastAsia" w:ascii="宋体" w:hAnsi="宋体" w:cs="宋体"/>
          <w:color w:val="auto"/>
          <w:highlight w:val="none"/>
          <w:vertAlign w:val="baseline"/>
        </w:rPr>
        <w:t>2</w:t>
      </w:r>
      <w:r>
        <w:rPr>
          <w:rStyle w:val="58"/>
          <w:color w:val="auto"/>
          <w:highlight w:val="none"/>
          <w:vertAlign w:val="baseline"/>
        </w:rPr>
        <w:t>.</w:t>
      </w:r>
      <w:r>
        <w:rPr>
          <w:rStyle w:val="58"/>
          <w:rFonts w:hint="eastAsia"/>
          <w:color w:val="auto"/>
          <w:highlight w:val="none"/>
          <w:vertAlign w:val="baseline"/>
        </w:rPr>
        <w:t>以联合体形式投标的，</w:t>
      </w:r>
      <w:r>
        <w:rPr>
          <w:rFonts w:hint="eastAsia"/>
          <w:color w:val="auto"/>
          <w:highlight w:val="none"/>
        </w:rPr>
        <w:t>投标人</w:t>
      </w:r>
      <w:r>
        <w:rPr>
          <w:rStyle w:val="58"/>
          <w:rFonts w:hint="eastAsia"/>
          <w:color w:val="auto"/>
          <w:highlight w:val="none"/>
          <w:vertAlign w:val="baseline"/>
        </w:rPr>
        <w:t>为联合体联合体牵头人单位全称。</w:t>
      </w:r>
    </w:p>
    <w:p>
      <w:pPr>
        <w:tabs>
          <w:tab w:val="left" w:pos="2457"/>
        </w:tabs>
        <w:spacing w:line="360" w:lineRule="auto"/>
        <w:ind w:firstLine="424" w:firstLineChars="202"/>
        <w:rPr>
          <w:rStyle w:val="58"/>
          <w:rFonts w:hint="eastAsia" w:ascii="宋体" w:hAnsi="宋体" w:cs="宋体"/>
          <w:color w:val="auto"/>
          <w:highlight w:val="none"/>
          <w:vertAlign w:val="baseline"/>
        </w:rPr>
      </w:pPr>
      <w:r>
        <w:rPr>
          <w:rStyle w:val="58"/>
          <w:rFonts w:hint="eastAsia" w:ascii="宋体" w:hAnsi="宋体" w:cs="宋体"/>
          <w:color w:val="auto"/>
          <w:highlight w:val="none"/>
          <w:vertAlign w:val="baseline"/>
        </w:rPr>
        <w:t>3.以联合体形式投标的，只需联合体牵头人盖单位电子印章。</w:t>
      </w:r>
    </w:p>
    <w:p>
      <w:pPr>
        <w:tabs>
          <w:tab w:val="left" w:pos="2457"/>
        </w:tabs>
        <w:spacing w:line="360" w:lineRule="auto"/>
        <w:ind w:firstLine="424" w:firstLineChars="202"/>
        <w:rPr>
          <w:rStyle w:val="58"/>
          <w:rFonts w:hint="eastAsia" w:ascii="宋体" w:hAnsi="宋体" w:cs="宋体"/>
          <w:color w:val="auto"/>
          <w:highlight w:val="none"/>
          <w:vertAlign w:val="baseline"/>
        </w:rPr>
      </w:pPr>
      <w:r>
        <w:rPr>
          <w:rStyle w:val="58"/>
          <w:rFonts w:hint="eastAsia" w:ascii="宋体" w:hAnsi="宋体" w:cs="宋体"/>
          <w:color w:val="auto"/>
          <w:highlight w:val="none"/>
          <w:vertAlign w:val="baseline"/>
        </w:rPr>
        <w:t>4</w:t>
      </w:r>
      <w:r>
        <w:rPr>
          <w:rStyle w:val="58"/>
          <w:color w:val="auto"/>
          <w:highlight w:val="none"/>
          <w:vertAlign w:val="baseline"/>
        </w:rPr>
        <w:t>.</w:t>
      </w:r>
      <w:r>
        <w:rPr>
          <w:rStyle w:val="58"/>
          <w:rFonts w:hint="eastAsia"/>
          <w:color w:val="auto"/>
          <w:highlight w:val="none"/>
          <w:vertAlign w:val="baseline"/>
        </w:rPr>
        <w:t>以联合体形式投标的，为联合体牵头人的法定代表人或其委托代理人。</w:t>
      </w:r>
    </w:p>
    <w:p>
      <w:pPr>
        <w:tabs>
          <w:tab w:val="left" w:pos="2457"/>
        </w:tabs>
        <w:rPr>
          <w:color w:val="auto"/>
          <w:highlight w:val="none"/>
        </w:rPr>
        <w:sectPr>
          <w:footnotePr>
            <w:numFmt w:val="decimalEnclosedCircleChinese"/>
            <w:numRestart w:val="eachPage"/>
          </w:footnotePr>
          <w:type w:val="nextColumn"/>
          <w:pgSz w:w="11900" w:h="16840"/>
          <w:pgMar w:top="1418" w:right="1418" w:bottom="1418" w:left="1701" w:header="885" w:footer="839" w:gutter="0"/>
          <w:cols w:space="720" w:num="1"/>
          <w:docGrid w:linePitch="286" w:charSpace="0"/>
        </w:sectPr>
      </w:pPr>
      <w:r>
        <w:rPr>
          <w:color w:val="auto"/>
          <w:highlight w:val="none"/>
        </w:rPr>
        <w:tab/>
      </w:r>
    </w:p>
    <w:p>
      <w:pPr>
        <w:pStyle w:val="5"/>
        <w:jc w:val="center"/>
        <w:rPr>
          <w:b w:val="0"/>
          <w:bCs w:val="0"/>
          <w:color w:val="auto"/>
          <w:highlight w:val="none"/>
        </w:rPr>
      </w:pPr>
      <w:bookmarkStart w:id="770" w:name="_TOC_250015"/>
      <w:bookmarkEnd w:id="770"/>
      <w:bookmarkStart w:id="771" w:name="_Toc28187754"/>
      <w:bookmarkStart w:id="772" w:name="_Toc523921879"/>
      <w:r>
        <w:rPr>
          <w:rFonts w:hint="eastAsia"/>
          <w:b w:val="0"/>
          <w:bCs w:val="0"/>
          <w:color w:val="auto"/>
          <w:highlight w:val="none"/>
        </w:rPr>
        <w:t>二、监理服务费用清单</w:t>
      </w:r>
      <w:bookmarkEnd w:id="771"/>
      <w:bookmarkEnd w:id="772"/>
    </w:p>
    <w:p>
      <w:pPr>
        <w:adjustRightInd w:val="0"/>
        <w:snapToGrid w:val="0"/>
        <w:spacing w:line="360" w:lineRule="auto"/>
        <w:jc w:val="center"/>
        <w:rPr>
          <w:rFonts w:hint="eastAsia" w:ascii="黑体" w:hAnsi="黑体" w:eastAsia="黑体"/>
          <w:bCs/>
          <w:color w:val="auto"/>
          <w:sz w:val="28"/>
          <w:szCs w:val="28"/>
          <w:highlight w:val="none"/>
        </w:rPr>
      </w:pPr>
      <w:bookmarkStart w:id="773" w:name="_Toc523921880"/>
      <w:r>
        <w:rPr>
          <w:rFonts w:hint="eastAsia" w:ascii="黑体" w:hAnsi="黑体" w:eastAsia="黑体"/>
          <w:bCs/>
          <w:color w:val="auto"/>
          <w:sz w:val="28"/>
          <w:szCs w:val="28"/>
          <w:highlight w:val="none"/>
        </w:rPr>
        <w:t>（一）报价清单说明</w:t>
      </w:r>
      <w:bookmarkEnd w:id="773"/>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本报价表中各表项目和数量由投标人根据工程需要填写,除此之外,还应在每张报价表后附报价计算说明。如折旧费计算说明中应指出每种监理设施折旧寿命、折旧期、年折旧费等,使用、维修、管理费等计算说明中应指出每年各项费用情况、计算公式等。</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2.监理人员配备数量应根据招标文件的要求、投标人编写的技术建议书并参考投标人以往监理工作经验填报。</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投标人必须配备施工监理所需的监理驻地办公、生活、□试验用房，以及监理办公设施（含通信设施）、交通设施、生活设施、□试验设施等应根据招标文件的要求、投标人编写的技术建议书并参考投标人以往监理工作经验配置。其中监理驻地的办公、生活、□监理试验室用房应符合</w:t>
      </w:r>
      <w:r>
        <w:rPr>
          <w:rFonts w:hint="eastAsia" w:ascii="宋体" w:hAnsi="宋体" w:cs="宋体"/>
          <w:color w:val="auto"/>
          <w:sz w:val="24"/>
          <w:highlight w:val="none"/>
          <w:u w:val="single"/>
        </w:rPr>
        <w:t>交通运输部、四川省交通运输厅及委托人和其上级主管部门的相关管理办法</w:t>
      </w:r>
      <w:r>
        <w:rPr>
          <w:rFonts w:hint="eastAsia" w:ascii="宋体" w:hAnsi="宋体"/>
          <w:color w:val="auto"/>
          <w:sz w:val="24"/>
          <w:highlight w:val="none"/>
        </w:rPr>
        <w:t>的规定，同时</w:t>
      </w:r>
      <w:r>
        <w:rPr>
          <w:rFonts w:hint="eastAsia" w:ascii="宋体" w:hAnsi="宋体" w:cs="宋体"/>
          <w:color w:val="auto"/>
          <w:sz w:val="24"/>
          <w:highlight w:val="none"/>
        </w:rPr>
        <w:t>不低于第五章“委托人要求”给定的标准，且由（□监理人自行建设、□监理人租用、□承包人提供）。</w:t>
      </w:r>
    </w:p>
    <w:p>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4.监理工程师的驻地设施及配备的设备,如交通、通信工具及燃料消耗、维护等均由投标人按规定列人投标报价中。</w:t>
      </w:r>
    </w:p>
    <w:p>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5.监理人的专用合同条款中指定的 □信息化管理、□竣工文件、□</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应满足招标文件提出的要求；</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6.投标人在填报监理服务费用时应综合考虑下列因素：</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（1）监理人所提供的各级监理人员、车辆均应满足委托人在招标文件中提出的最低限度要求。</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（2）除合同条款第8条约定的变更情形和项目专用合同条款第9.1.1项约定的其他情形外,本监理合同的监理服务费用在合同实施期向一律不予调整。</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7.投标人因完或本项目施工监理服务需计取的企业管理费及需缴纳的一切税、费均由投标人承担,并包含在所报的单价或总额价内,委托人不单独支付。</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8.投标人应认真填写报价清单中所列的监理服务费用各细目的单价和总额价。投标人没有填入单价或总额价的工程细目委托人将不予支付,并认为该细目的价款已包括在报价清单其他细目的单价或总额价中。    </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9.在表2“监理人员服务费报价表”和表4“监理工程师交通设施费报价表”后应附相应项目的单价分析表。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10.报价清单内容说明：</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表1：监理服务费用报价汇总表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（1）本表为监理服务费用报价汇总表，包含了监理全部服务的报价内容。即：人员服务费、办公设施费、交通设施费、□试验设施费、生活设施费以及利润、暂列金额（如有）、专项暂估价（如有）。</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（2）表列监理工程师所需设备、设施及车辆按折旧费计入报价，在监理服务结束后，产权归监理人所有。</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（3）暂列金额：由委托人掌握支配。</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（4）专项暂估价：由委托人据实掌握使用并支付。</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表2：监理（含监理试验室，如有）人员服务费报价表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（1）监理人员服务费用包括如下内容：</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1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①</w:t>
      </w:r>
      <w:r>
        <w:rPr>
          <w:rFonts w:hint="eastAsia" w:ascii="宋体" w:hAnsi="宋体" w:cs="宋体"/>
          <w:color w:val="auto"/>
          <w:sz w:val="24"/>
          <w:highlight w:val="none"/>
        </w:rPr>
        <w:fldChar w:fldCharType="end"/>
      </w:r>
      <w:r>
        <w:rPr>
          <w:rFonts w:hint="eastAsia" w:ascii="宋体" w:hAnsi="宋体" w:cs="宋体"/>
          <w:color w:val="auto"/>
          <w:sz w:val="24"/>
          <w:highlight w:val="none"/>
        </w:rPr>
        <w:t>基本工资、绩效工资；</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2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②</w:t>
      </w:r>
      <w:r>
        <w:rPr>
          <w:rFonts w:hint="eastAsia" w:ascii="宋体" w:hAnsi="宋体" w:cs="宋体"/>
          <w:color w:val="auto"/>
          <w:sz w:val="24"/>
          <w:highlight w:val="none"/>
        </w:rPr>
        <w:fldChar w:fldCharType="end"/>
      </w:r>
      <w:r>
        <w:rPr>
          <w:rFonts w:hint="eastAsia" w:ascii="宋体" w:hAnsi="宋体" w:cs="宋体"/>
          <w:color w:val="auto"/>
          <w:sz w:val="24"/>
          <w:highlight w:val="none"/>
        </w:rPr>
        <w:t>各项津贴（野外津贴、伙食津贴、住宿津贴）；</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3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③</w:t>
      </w:r>
      <w:r>
        <w:rPr>
          <w:rFonts w:hint="eastAsia" w:ascii="宋体" w:hAnsi="宋体" w:cs="宋体"/>
          <w:color w:val="auto"/>
          <w:sz w:val="24"/>
          <w:highlight w:val="none"/>
        </w:rPr>
        <w:fldChar w:fldCharType="end"/>
      </w:r>
      <w:r>
        <w:rPr>
          <w:rFonts w:hint="eastAsia" w:ascii="宋体" w:hAnsi="宋体" w:cs="宋体"/>
          <w:color w:val="auto"/>
          <w:sz w:val="24"/>
          <w:highlight w:val="none"/>
        </w:rPr>
        <w:t>各种补贴（劳动保护费、医药费、交通费、降暑降温及冬季取暖费）；</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4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④</w:t>
      </w:r>
      <w:r>
        <w:rPr>
          <w:rFonts w:hint="eastAsia" w:ascii="宋体" w:hAnsi="宋体" w:cs="宋体"/>
          <w:color w:val="auto"/>
          <w:sz w:val="24"/>
          <w:highlight w:val="none"/>
        </w:rPr>
        <w:fldChar w:fldCharType="end"/>
      </w:r>
      <w:r>
        <w:rPr>
          <w:rFonts w:hint="eastAsia" w:ascii="宋体" w:hAnsi="宋体" w:cs="宋体"/>
          <w:color w:val="auto"/>
          <w:sz w:val="24"/>
          <w:highlight w:val="none"/>
        </w:rPr>
        <w:t>加班费（法定节、假日的加班和法定工作时间以外的延时工作，按《中华人民共和国劳动法》的规定办理）；</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5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⑤</w:t>
      </w:r>
      <w:r>
        <w:rPr>
          <w:rFonts w:hint="eastAsia" w:ascii="宋体" w:hAnsi="宋体" w:cs="宋体"/>
          <w:color w:val="auto"/>
          <w:sz w:val="24"/>
          <w:highlight w:val="none"/>
        </w:rPr>
        <w:fldChar w:fldCharType="end"/>
      </w:r>
      <w:r>
        <w:rPr>
          <w:rFonts w:hint="eastAsia" w:ascii="宋体" w:hAnsi="宋体" w:cs="宋体"/>
          <w:color w:val="auto"/>
          <w:sz w:val="24"/>
          <w:highlight w:val="none"/>
        </w:rPr>
        <w:t>保险费（监理人员的人身、财产意外保险等）；</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6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⑥</w:t>
      </w:r>
      <w:r>
        <w:rPr>
          <w:rFonts w:hint="eastAsia" w:ascii="宋体" w:hAnsi="宋体" w:cs="宋体"/>
          <w:color w:val="auto"/>
          <w:sz w:val="24"/>
          <w:highlight w:val="none"/>
        </w:rPr>
        <w:fldChar w:fldCharType="end"/>
      </w:r>
      <w:r>
        <w:rPr>
          <w:rFonts w:hint="eastAsia" w:ascii="宋体" w:hAnsi="宋体" w:cs="宋体"/>
          <w:color w:val="auto"/>
          <w:sz w:val="24"/>
          <w:highlight w:val="none"/>
        </w:rPr>
        <w:t>培训费（监理人员的业务学习及上岗前培训等）；</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7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⑦</w:t>
      </w:r>
      <w:r>
        <w:rPr>
          <w:rFonts w:hint="eastAsia" w:ascii="宋体" w:hAnsi="宋体" w:cs="宋体"/>
          <w:color w:val="auto"/>
          <w:sz w:val="24"/>
          <w:highlight w:val="none"/>
        </w:rPr>
        <w:fldChar w:fldCharType="end"/>
      </w:r>
      <w:r>
        <w:rPr>
          <w:rFonts w:hint="eastAsia" w:ascii="宋体" w:hAnsi="宋体" w:cs="宋体"/>
          <w:color w:val="auto"/>
          <w:sz w:val="24"/>
          <w:highlight w:val="none"/>
        </w:rPr>
        <w:t>其他（含养老保险、医疗保险、失业保险、工伤险、生育险、住房公积金等规费及其他费用）。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（2）前期准备、后期内业及缺陷责任期留驻监理人员的服务费，按留驻人员数和服务期计算列入投标报价之内。</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表3：监理工程师办公设施费报价表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（1）办公设施包括：</w:t>
      </w:r>
      <w:r>
        <w:rPr>
          <w:rFonts w:hint="eastAsia" w:ascii="宋体" w:hAnsi="宋体" w:cs="宋体"/>
          <w:color w:val="auto"/>
          <w:sz w:val="24"/>
          <w:highlight w:val="none"/>
          <w:u w:val="single"/>
        </w:rPr>
        <w:t>监理办公用房、计算机、打印机、传真机、复印机、电话（直拨）、移动电话、摄像机、照相机、办公桌椅及用品等，必要时可以配置无人机。</w:t>
      </w:r>
      <w:r>
        <w:rPr>
          <w:rFonts w:hint="eastAsia" w:ascii="宋体" w:hAnsi="宋体" w:cs="宋体"/>
          <w:color w:val="auto"/>
          <w:sz w:val="24"/>
          <w:highlight w:val="none"/>
        </w:rPr>
        <w:t>监理人的配置应满足现场需要。</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（2）现场办公日常费用等包括：</w:t>
      </w:r>
    </w:p>
    <w:p>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1 \* GB3 </w:instrText>
      </w:r>
      <w:r>
        <w:rPr>
          <w:rFonts w:ascii="宋体" w:hAnsi="宋体" w:cs="宋体"/>
          <w:color w:val="auto"/>
          <w:sz w:val="24"/>
          <w:highlight w:val="none"/>
        </w:rPr>
        <w:fldChar w:fldCharType="separate"/>
      </w:r>
      <w:r>
        <w:rPr>
          <w:rFonts w:hint="eastAsia" w:ascii="宋体" w:hAnsi="宋体" w:cs="宋体"/>
          <w:color w:val="auto"/>
          <w:sz w:val="24"/>
          <w:highlight w:val="none"/>
        </w:rPr>
        <w:t>①</w:t>
      </w:r>
      <w:r>
        <w:rPr>
          <w:rFonts w:ascii="宋体" w:hAnsi="宋体" w:cs="宋体"/>
          <w:color w:val="auto"/>
          <w:sz w:val="24"/>
          <w:highlight w:val="none"/>
        </w:rPr>
        <w:fldChar w:fldCharType="end"/>
      </w:r>
      <w:r>
        <w:rPr>
          <w:rFonts w:hint="eastAsia" w:ascii="宋体" w:hAnsi="宋体" w:cs="宋体"/>
          <w:color w:val="auto"/>
          <w:sz w:val="24"/>
          <w:highlight w:val="none"/>
        </w:rPr>
        <w:t>日常办公用品费［文具纸张、复（打）印墨粉、专用纸张、绘图、文件处理等]；</w:t>
      </w:r>
    </w:p>
    <w:p>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2 \* GB3 </w:instrText>
      </w:r>
      <w:r>
        <w:rPr>
          <w:rFonts w:ascii="宋体" w:hAnsi="宋体" w:cs="宋体"/>
          <w:color w:val="auto"/>
          <w:sz w:val="24"/>
          <w:highlight w:val="none"/>
        </w:rPr>
        <w:fldChar w:fldCharType="separate"/>
      </w:r>
      <w:r>
        <w:rPr>
          <w:rFonts w:hint="eastAsia" w:ascii="宋体" w:hAnsi="宋体" w:cs="宋体"/>
          <w:color w:val="auto"/>
          <w:sz w:val="24"/>
          <w:highlight w:val="none"/>
        </w:rPr>
        <w:t>②</w:t>
      </w:r>
      <w:r>
        <w:rPr>
          <w:rFonts w:ascii="宋体" w:hAnsi="宋体" w:cs="宋体"/>
          <w:color w:val="auto"/>
          <w:sz w:val="24"/>
          <w:highlight w:val="none"/>
        </w:rPr>
        <w:fldChar w:fldCharType="end"/>
      </w:r>
      <w:r>
        <w:rPr>
          <w:rFonts w:hint="eastAsia" w:ascii="宋体" w:hAnsi="宋体" w:cs="宋体"/>
          <w:color w:val="auto"/>
          <w:sz w:val="24"/>
          <w:highlight w:val="none"/>
        </w:rPr>
        <w:t>通信费（移动电话、座机、邮电、邮件、报刊、网络等费用）；</w:t>
      </w:r>
    </w:p>
    <w:p>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3 \* GB3 </w:instrText>
      </w:r>
      <w:r>
        <w:rPr>
          <w:rFonts w:ascii="宋体" w:hAnsi="宋体" w:cs="宋体"/>
          <w:color w:val="auto"/>
          <w:sz w:val="24"/>
          <w:highlight w:val="none"/>
        </w:rPr>
        <w:fldChar w:fldCharType="separate"/>
      </w:r>
      <w:r>
        <w:rPr>
          <w:rFonts w:hint="eastAsia" w:ascii="宋体" w:hAnsi="宋体" w:cs="宋体"/>
          <w:color w:val="auto"/>
          <w:sz w:val="24"/>
          <w:highlight w:val="none"/>
        </w:rPr>
        <w:t>③</w:t>
      </w:r>
      <w:r>
        <w:rPr>
          <w:rFonts w:ascii="宋体" w:hAnsi="宋体" w:cs="宋体"/>
          <w:color w:val="auto"/>
          <w:sz w:val="24"/>
          <w:highlight w:val="none"/>
        </w:rPr>
        <w:fldChar w:fldCharType="end"/>
      </w:r>
      <w:r>
        <w:rPr>
          <w:rFonts w:hint="eastAsia" w:ascii="宋体" w:hAnsi="宋体" w:cs="宋体"/>
          <w:color w:val="auto"/>
          <w:sz w:val="24"/>
          <w:highlight w:val="none"/>
        </w:rPr>
        <w:t>日常会议及工地会议费用；</w:t>
      </w:r>
    </w:p>
    <w:p>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4 \* GB3 </w:instrText>
      </w:r>
      <w:r>
        <w:rPr>
          <w:rFonts w:ascii="宋体" w:hAnsi="宋体" w:cs="宋体"/>
          <w:color w:val="auto"/>
          <w:sz w:val="24"/>
          <w:highlight w:val="none"/>
        </w:rPr>
        <w:fldChar w:fldCharType="separate"/>
      </w:r>
      <w:r>
        <w:rPr>
          <w:rFonts w:hint="eastAsia" w:ascii="宋体" w:hAnsi="宋体" w:cs="宋体"/>
          <w:color w:val="auto"/>
          <w:sz w:val="24"/>
          <w:highlight w:val="none"/>
        </w:rPr>
        <w:t>④</w:t>
      </w:r>
      <w:r>
        <w:rPr>
          <w:rFonts w:ascii="宋体" w:hAnsi="宋体" w:cs="宋体"/>
          <w:color w:val="auto"/>
          <w:sz w:val="24"/>
          <w:highlight w:val="none"/>
        </w:rPr>
        <w:fldChar w:fldCharType="end"/>
      </w:r>
      <w:r>
        <w:rPr>
          <w:rFonts w:hint="eastAsia" w:ascii="宋体" w:hAnsi="宋体" w:cs="宋体"/>
          <w:color w:val="auto"/>
          <w:sz w:val="24"/>
          <w:highlight w:val="none"/>
        </w:rPr>
        <w:t>资料费（胶卷、冲洗费、照相册、其他资料等）；</w:t>
      </w:r>
    </w:p>
    <w:p>
      <w:pPr>
        <w:spacing w:line="360" w:lineRule="auto"/>
        <w:ind w:firstLine="480" w:firstLineChars="200"/>
        <w:jc w:val="left"/>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5 \* GB3 </w:instrText>
      </w:r>
      <w:r>
        <w:rPr>
          <w:rFonts w:ascii="宋体" w:hAnsi="宋体" w:cs="宋体"/>
          <w:color w:val="auto"/>
          <w:sz w:val="24"/>
          <w:highlight w:val="none"/>
        </w:rPr>
        <w:fldChar w:fldCharType="separate"/>
      </w:r>
      <w:r>
        <w:rPr>
          <w:rFonts w:hint="eastAsia" w:ascii="宋体" w:hAnsi="宋体" w:cs="宋体"/>
          <w:color w:val="auto"/>
          <w:sz w:val="24"/>
          <w:highlight w:val="none"/>
        </w:rPr>
        <w:t>⑤</w:t>
      </w:r>
      <w:r>
        <w:rPr>
          <w:rFonts w:ascii="宋体" w:hAnsi="宋体" w:cs="宋体"/>
          <w:color w:val="auto"/>
          <w:sz w:val="24"/>
          <w:highlight w:val="none"/>
        </w:rPr>
        <w:fldChar w:fldCharType="end"/>
      </w:r>
      <w:r>
        <w:rPr>
          <w:rFonts w:hint="eastAsia" w:ascii="宋体" w:hAnsi="宋体" w:cs="宋体"/>
          <w:color w:val="auto"/>
          <w:sz w:val="24"/>
          <w:highlight w:val="none"/>
        </w:rPr>
        <w:t>工地差旅费（监理人员工作期间出差）。</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（3）其他：指委托人根据项目的实际情况，需要增设单独计量支付的项目（如有）。诸如：</w:t>
      </w:r>
      <w:r>
        <w:rPr>
          <w:rFonts w:hint="eastAsia" w:ascii="宋体" w:hAnsi="宋体" w:cs="宋体"/>
          <w:color w:val="auto"/>
          <w:sz w:val="24"/>
          <w:highlight w:val="none"/>
          <w:u w:val="single"/>
        </w:rPr>
        <w:t>信息化管理费、竣工文件费……</w:t>
      </w:r>
      <w:r>
        <w:rPr>
          <w:rFonts w:hint="eastAsia" w:ascii="宋体" w:hAnsi="宋体" w:cs="宋体"/>
          <w:color w:val="auto"/>
          <w:sz w:val="24"/>
          <w:highlight w:val="none"/>
        </w:rPr>
        <w:t>。否则，视为包含在报价清单相关子目中，不单独报价。</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表4：监理工程师交通设施费报价表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交通设施包括：监理用车车辆购置费、折旧费以及车辆使用费。车辆使用费用包括燃油、维修保养、保险及其他相关使用费用。交通设施的配置应符合招标文件的要求。</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表5：监理工程师生活设施费报价表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（1）生活设施包括：</w:t>
      </w:r>
      <w:r>
        <w:rPr>
          <w:rFonts w:hint="eastAsia" w:ascii="宋体" w:hAnsi="宋体" w:cs="宋体"/>
          <w:color w:val="auto"/>
          <w:sz w:val="24"/>
          <w:highlight w:val="none"/>
          <w:u w:val="single"/>
        </w:rPr>
        <w:t>监理生活用房、冰箱、洗衣机、电热水器、彩电、空调、床上用品及电扇、取暖器</w:t>
      </w:r>
      <w:r>
        <w:rPr>
          <w:rFonts w:hint="eastAsia" w:ascii="宋体" w:hAnsi="宋体" w:cs="宋体"/>
          <w:color w:val="auto"/>
          <w:sz w:val="24"/>
          <w:highlight w:val="none"/>
        </w:rPr>
        <w:t>等，监理人的配置应满足现场需要。</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（2）生活日常费用包括：</w:t>
      </w:r>
    </w:p>
    <w:p>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1 \* GB3 </w:instrText>
      </w:r>
      <w:r>
        <w:rPr>
          <w:rFonts w:ascii="宋体" w:hAnsi="宋体" w:cs="宋体"/>
          <w:color w:val="auto"/>
          <w:sz w:val="24"/>
          <w:highlight w:val="none"/>
        </w:rPr>
        <w:fldChar w:fldCharType="separate"/>
      </w:r>
      <w:r>
        <w:rPr>
          <w:rFonts w:hint="eastAsia" w:ascii="宋体" w:hAnsi="宋体" w:cs="宋体"/>
          <w:color w:val="auto"/>
          <w:sz w:val="24"/>
          <w:highlight w:val="none"/>
        </w:rPr>
        <w:t>①</w:t>
      </w:r>
      <w:r>
        <w:rPr>
          <w:rFonts w:ascii="宋体" w:hAnsi="宋体" w:cs="宋体"/>
          <w:color w:val="auto"/>
          <w:sz w:val="24"/>
          <w:highlight w:val="none"/>
        </w:rPr>
        <w:fldChar w:fldCharType="end"/>
      </w:r>
      <w:r>
        <w:rPr>
          <w:rFonts w:hint="eastAsia" w:ascii="宋体" w:hAnsi="宋体" w:cs="宋体"/>
          <w:color w:val="auto"/>
          <w:sz w:val="24"/>
          <w:highlight w:val="none"/>
        </w:rPr>
        <w:t>煤、气、水、电、房租费及污水处理费用、发电机用油等；</w:t>
      </w:r>
    </w:p>
    <w:p>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2 \* GB3 </w:instrText>
      </w:r>
      <w:r>
        <w:rPr>
          <w:rFonts w:ascii="宋体" w:hAnsi="宋体" w:cs="宋体"/>
          <w:color w:val="auto"/>
          <w:sz w:val="24"/>
          <w:highlight w:val="none"/>
        </w:rPr>
        <w:fldChar w:fldCharType="separate"/>
      </w:r>
      <w:r>
        <w:rPr>
          <w:rFonts w:hint="eastAsia" w:ascii="宋体" w:hAnsi="宋体" w:cs="宋体"/>
          <w:color w:val="auto"/>
          <w:sz w:val="24"/>
          <w:highlight w:val="none"/>
        </w:rPr>
        <w:t>②</w:t>
      </w:r>
      <w:r>
        <w:rPr>
          <w:rFonts w:ascii="宋体" w:hAnsi="宋体" w:cs="宋体"/>
          <w:color w:val="auto"/>
          <w:sz w:val="24"/>
          <w:highlight w:val="none"/>
        </w:rPr>
        <w:fldChar w:fldCharType="end"/>
      </w:r>
      <w:r>
        <w:rPr>
          <w:rFonts w:hint="eastAsia" w:ascii="宋体" w:hAnsi="宋体" w:cs="宋体"/>
          <w:color w:val="auto"/>
          <w:sz w:val="24"/>
          <w:highlight w:val="none"/>
        </w:rPr>
        <w:t>辅助人员工资（包括文秘、管理、炊事员、驾驶员、后勤员等辅助人员）；</w:t>
      </w:r>
    </w:p>
    <w:p>
      <w:pPr>
        <w:spacing w:line="360" w:lineRule="auto"/>
        <w:ind w:firstLine="480" w:firstLineChars="200"/>
        <w:jc w:val="left"/>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3 \* GB3 </w:instrText>
      </w:r>
      <w:r>
        <w:rPr>
          <w:rFonts w:ascii="宋体" w:hAnsi="宋体" w:cs="宋体"/>
          <w:color w:val="auto"/>
          <w:sz w:val="24"/>
          <w:highlight w:val="none"/>
        </w:rPr>
        <w:fldChar w:fldCharType="separate"/>
      </w:r>
      <w:r>
        <w:rPr>
          <w:rFonts w:hint="eastAsia" w:ascii="宋体" w:hAnsi="宋体" w:cs="宋体"/>
          <w:color w:val="auto"/>
          <w:sz w:val="24"/>
          <w:highlight w:val="none"/>
        </w:rPr>
        <w:t>③</w:t>
      </w:r>
      <w:r>
        <w:rPr>
          <w:rFonts w:ascii="宋体" w:hAnsi="宋体" w:cs="宋体"/>
          <w:color w:val="auto"/>
          <w:sz w:val="24"/>
          <w:highlight w:val="none"/>
        </w:rPr>
        <w:fldChar w:fldCharType="end"/>
      </w:r>
      <w:r>
        <w:rPr>
          <w:rFonts w:hint="eastAsia" w:ascii="宋体" w:hAnsi="宋体" w:cs="宋体"/>
          <w:color w:val="auto"/>
          <w:sz w:val="24"/>
          <w:highlight w:val="none"/>
        </w:rPr>
        <w:t>工地伙食补贴（监理人员及辅助人员伙食补贴）。</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（3）其他。</w:t>
      </w:r>
    </w:p>
    <w:p>
      <w:pPr>
        <w:spacing w:line="360" w:lineRule="auto"/>
        <w:ind w:firstLine="421" w:firstLineChars="200"/>
        <w:jc w:val="left"/>
        <w:rPr>
          <w:rFonts w:hint="eastAsia" w:ascii="宋体" w:hAnsi="宋体" w:cs="宋体"/>
          <w:color w:val="auto"/>
          <w:sz w:val="24"/>
          <w:highlight w:val="none"/>
        </w:rPr>
      </w:pPr>
      <w:r>
        <w:rPr>
          <w:rFonts w:hint="eastAsia" w:ascii="宋体" w:hAnsi="宋体" w:cs="宋体"/>
          <w:b/>
          <w:bCs/>
          <w:color w:val="auto"/>
          <w:kern w:val="0"/>
          <w:szCs w:val="21"/>
          <w:highlight w:val="none"/>
        </w:rPr>
        <w:t xml:space="preserve">□ </w:t>
      </w:r>
      <w:r>
        <w:rPr>
          <w:rFonts w:hint="eastAsia" w:ascii="宋体" w:hAnsi="宋体" w:cs="宋体"/>
          <w:color w:val="auto"/>
          <w:sz w:val="24"/>
          <w:highlight w:val="none"/>
        </w:rPr>
        <w:t>表6：监理试验室试验设施费报价表（</w:t>
      </w:r>
      <w:r>
        <w:rPr>
          <w:rFonts w:hint="eastAsia" w:ascii="宋体" w:hAnsi="宋体" w:cs="宋体"/>
          <w:color w:val="auto"/>
          <w:highlight w:val="none"/>
        </w:rPr>
        <w:t>仅适用于招标范围包含监理试验室时的情形</w:t>
      </w:r>
      <w:r>
        <w:rPr>
          <w:rFonts w:hint="eastAsia" w:ascii="宋体" w:hAnsi="宋体" w:cs="宋体"/>
          <w:color w:val="auto"/>
          <w:sz w:val="24"/>
          <w:highlight w:val="none"/>
        </w:rPr>
        <w:t>）</w:t>
      </w:r>
    </w:p>
    <w:p>
      <w:pPr>
        <w:spacing w:line="360" w:lineRule="auto"/>
        <w:ind w:firstLine="480" w:firstLineChars="200"/>
        <w:rPr>
          <w:rFonts w:hint="eastAsia" w:ascii="黑体" w:hAnsi="黑体" w:eastAsia="黑体" w:cs="宋体"/>
          <w:bCs/>
          <w:color w:val="auto"/>
          <w:kern w:val="0"/>
          <w:sz w:val="28"/>
          <w:szCs w:val="28"/>
          <w:highlight w:val="none"/>
        </w:rPr>
      </w:pPr>
      <w:r>
        <w:rPr>
          <w:rFonts w:hint="eastAsia" w:ascii="宋体" w:hAnsi="宋体" w:cs="宋体"/>
          <w:color w:val="auto"/>
          <w:sz w:val="24"/>
          <w:highlight w:val="none"/>
        </w:rPr>
        <w:t>试验设施包括：标段范围内项目监理试验室所需试验检测设备由监理试验室单位自备、自购或租用，列入监理试验室服务费用报价中（仅计折旧费、消耗费、租赁费及维修保养费）。当监理试验室服务完成或终止时，其产权归监理试验室所有。</w:t>
      </w:r>
      <w:r>
        <w:rPr>
          <w:rFonts w:hint="eastAsia" w:ascii="宋体" w:hAnsi="宋体" w:cs="宋体"/>
          <w:color w:val="auto"/>
          <w:sz w:val="24"/>
          <w:highlight w:val="none"/>
        </w:rPr>
        <w:br w:type="page"/>
      </w:r>
      <w:r>
        <w:rPr>
          <w:rFonts w:hint="eastAsia" w:ascii="宋体" w:hAnsi="宋体" w:cs="宋体"/>
          <w:color w:val="auto"/>
          <w:sz w:val="24"/>
          <w:highlight w:val="none"/>
        </w:rPr>
        <w:t xml:space="preserve">                       </w:t>
      </w:r>
      <w:r>
        <w:rPr>
          <w:rFonts w:hint="eastAsia" w:ascii="黑体" w:hAnsi="黑体" w:eastAsia="黑体" w:cs="宋体"/>
          <w:bCs/>
          <w:color w:val="auto"/>
          <w:kern w:val="0"/>
          <w:sz w:val="28"/>
          <w:szCs w:val="28"/>
          <w:highlight w:val="none"/>
        </w:rPr>
        <w:t>（二）监理服务费报价表</w:t>
      </w:r>
    </w:p>
    <w:p>
      <w:pPr>
        <w:pStyle w:val="276"/>
        <w:spacing w:line="360" w:lineRule="auto"/>
        <w:rPr>
          <w:rFonts w:hint="eastAsia" w:ascii="宋体" w:hAnsi="宋体" w:cs="宋体"/>
          <w:color w:val="auto"/>
          <w:highlight w:val="none"/>
        </w:rPr>
      </w:pP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表1 监理服务费用报价汇总表</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表2 监理人员服务费报价表</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表3 监理工程师办公设施费报价表</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表4 监理工程师交通设施费报价表</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表5 监理工程师生活设施费报价表</w:t>
      </w:r>
    </w:p>
    <w:p>
      <w:pPr>
        <w:pStyle w:val="276"/>
        <w:spacing w:line="480" w:lineRule="auto"/>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表6  监理试验室试验设施费报价表（</w:t>
      </w:r>
      <w:r>
        <w:rPr>
          <w:rFonts w:hint="eastAsia" w:ascii="宋体" w:hAnsi="宋体" w:cs="宋体"/>
          <w:color w:val="auto"/>
          <w:highlight w:val="none"/>
        </w:rPr>
        <w:t>仅适用于招标范围包含监理试验室时的情形</w:t>
      </w:r>
      <w:r>
        <w:rPr>
          <w:rFonts w:hint="eastAsia" w:ascii="宋体" w:hAnsi="宋体" w:cs="宋体"/>
          <w:color w:val="auto"/>
          <w:sz w:val="24"/>
          <w:highlight w:val="none"/>
        </w:rPr>
        <w:t>）</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附件1  监理人员工作计划安排表</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sectPr>
          <w:footerReference r:id="rId33" w:type="default"/>
          <w:footnotePr>
            <w:numFmt w:val="decimalEnclosedCircleChinese"/>
            <w:numRestart w:val="eachPage"/>
          </w:footnotePr>
          <w:type w:val="nextColumn"/>
          <w:pgSz w:w="11900" w:h="16840"/>
          <w:pgMar w:top="1418" w:right="1418" w:bottom="1418" w:left="1701" w:header="885" w:footer="839" w:gutter="0"/>
          <w:cols w:space="720" w:num="1"/>
          <w:docGrid w:linePitch="312" w:charSpace="0"/>
        </w:sectPr>
      </w:pPr>
    </w:p>
    <w:p>
      <w:pPr>
        <w:pStyle w:val="276"/>
        <w:spacing w:line="360" w:lineRule="auto"/>
        <w:jc w:val="center"/>
        <w:rPr>
          <w:rFonts w:hint="eastAsia" w:ascii="黑体" w:hAnsi="黑体" w:eastAsia="黑体" w:cs="宋体"/>
          <w:color w:val="auto"/>
          <w:sz w:val="24"/>
          <w:highlight w:val="none"/>
        </w:rPr>
      </w:pPr>
      <w:r>
        <w:rPr>
          <w:rFonts w:hint="eastAsia" w:ascii="黑体" w:hAnsi="黑体" w:eastAsia="黑体" w:cs="宋体"/>
          <w:color w:val="auto"/>
          <w:sz w:val="24"/>
          <w:highlight w:val="none"/>
        </w:rPr>
        <w:t>表1  监理服务费用报价汇总表</w:t>
      </w:r>
    </w:p>
    <w:p>
      <w:pPr>
        <w:pStyle w:val="276"/>
        <w:spacing w:line="360" w:lineRule="auto"/>
        <w:rPr>
          <w:rFonts w:hint="eastAsia" w:ascii="宋体" w:hAnsi="宋体" w:cs="宋体"/>
          <w:color w:val="auto"/>
          <w:highlight w:val="none"/>
        </w:rPr>
      </w:pPr>
      <w:r>
        <w:rPr>
          <w:rFonts w:hint="eastAsia" w:ascii="宋体" w:hAnsi="宋体" w:cs="宋体"/>
          <w:color w:val="auto"/>
          <w:highlight w:val="none"/>
        </w:rPr>
        <w:t>单位：人民币元</w:t>
      </w:r>
    </w:p>
    <w:tbl>
      <w:tblPr>
        <w:tblStyle w:val="48"/>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3700"/>
        <w:gridCol w:w="2773"/>
        <w:gridCol w:w="2421"/>
        <w:gridCol w:w="2421"/>
        <w:gridCol w:w="2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370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277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施工期（含施工准备期）</w:t>
            </w:r>
          </w:p>
        </w:tc>
        <w:tc>
          <w:tcPr>
            <w:tcW w:w="2421" w:type="dxa"/>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r>
              <w:rPr>
                <w:rFonts w:hint="eastAsia" w:ascii="宋体" w:hAnsi="宋体" w:cs="宋体"/>
                <w:color w:val="auto"/>
                <w:szCs w:val="21"/>
                <w:highlight w:val="none"/>
              </w:rPr>
              <w:t>试运行期</w:t>
            </w:r>
          </w:p>
        </w:tc>
        <w:tc>
          <w:tcPr>
            <w:tcW w:w="2421"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缺陷责任期</w:t>
            </w:r>
          </w:p>
        </w:tc>
        <w:tc>
          <w:tcPr>
            <w:tcW w:w="216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小计金额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370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监理人员服务费</w:t>
            </w:r>
          </w:p>
        </w:tc>
        <w:tc>
          <w:tcPr>
            <w:tcW w:w="2773" w:type="dxa"/>
            <w:vAlign w:val="center"/>
          </w:tcPr>
          <w:p>
            <w:pPr>
              <w:pStyle w:val="276"/>
              <w:jc w:val="center"/>
              <w:rPr>
                <w:rFonts w:hint="eastAsia" w:ascii="宋体" w:hAnsi="宋体" w:cs="宋体"/>
                <w:color w:val="auto"/>
                <w:szCs w:val="21"/>
                <w:highlight w:val="none"/>
              </w:rPr>
            </w:pPr>
          </w:p>
        </w:tc>
        <w:tc>
          <w:tcPr>
            <w:tcW w:w="2421" w:type="dxa"/>
          </w:tcPr>
          <w:p>
            <w:pPr>
              <w:pStyle w:val="276"/>
              <w:jc w:val="center"/>
              <w:rPr>
                <w:rFonts w:hint="eastAsia" w:ascii="宋体" w:hAnsi="宋体" w:cs="宋体"/>
                <w:color w:val="auto"/>
                <w:szCs w:val="21"/>
                <w:highlight w:val="none"/>
              </w:rPr>
            </w:pPr>
          </w:p>
        </w:tc>
        <w:tc>
          <w:tcPr>
            <w:tcW w:w="2421" w:type="dxa"/>
            <w:vAlign w:val="center"/>
          </w:tcPr>
          <w:p>
            <w:pPr>
              <w:pStyle w:val="276"/>
              <w:jc w:val="center"/>
              <w:rPr>
                <w:rFonts w:hint="eastAsia" w:ascii="宋体" w:hAnsi="宋体" w:cs="宋体"/>
                <w:color w:val="auto"/>
                <w:szCs w:val="21"/>
                <w:highlight w:val="none"/>
              </w:rPr>
            </w:pPr>
          </w:p>
        </w:tc>
        <w:tc>
          <w:tcPr>
            <w:tcW w:w="2165"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370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监理办公设施费</w:t>
            </w:r>
          </w:p>
        </w:tc>
        <w:tc>
          <w:tcPr>
            <w:tcW w:w="2773" w:type="dxa"/>
            <w:vAlign w:val="center"/>
          </w:tcPr>
          <w:p>
            <w:pPr>
              <w:pStyle w:val="276"/>
              <w:jc w:val="center"/>
              <w:rPr>
                <w:rFonts w:hint="eastAsia" w:ascii="宋体" w:hAnsi="宋体" w:cs="宋体"/>
                <w:color w:val="auto"/>
                <w:szCs w:val="21"/>
                <w:highlight w:val="none"/>
              </w:rPr>
            </w:pPr>
          </w:p>
        </w:tc>
        <w:tc>
          <w:tcPr>
            <w:tcW w:w="2421" w:type="dxa"/>
          </w:tcPr>
          <w:p>
            <w:pPr>
              <w:pStyle w:val="276"/>
              <w:jc w:val="center"/>
              <w:rPr>
                <w:rFonts w:hint="eastAsia" w:ascii="宋体" w:hAnsi="宋体" w:cs="宋体"/>
                <w:color w:val="auto"/>
                <w:szCs w:val="21"/>
                <w:highlight w:val="none"/>
              </w:rPr>
            </w:pPr>
          </w:p>
        </w:tc>
        <w:tc>
          <w:tcPr>
            <w:tcW w:w="2421" w:type="dxa"/>
            <w:vAlign w:val="center"/>
          </w:tcPr>
          <w:p>
            <w:pPr>
              <w:pStyle w:val="276"/>
              <w:jc w:val="center"/>
              <w:rPr>
                <w:rFonts w:hint="eastAsia" w:ascii="宋体" w:hAnsi="宋体" w:cs="宋体"/>
                <w:color w:val="auto"/>
                <w:szCs w:val="21"/>
                <w:highlight w:val="none"/>
              </w:rPr>
            </w:pPr>
          </w:p>
        </w:tc>
        <w:tc>
          <w:tcPr>
            <w:tcW w:w="2165"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370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监理交通设施费</w:t>
            </w:r>
          </w:p>
        </w:tc>
        <w:tc>
          <w:tcPr>
            <w:tcW w:w="277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 xml:space="preserve"> </w:t>
            </w:r>
          </w:p>
        </w:tc>
        <w:tc>
          <w:tcPr>
            <w:tcW w:w="2421" w:type="dxa"/>
          </w:tcPr>
          <w:p>
            <w:pPr>
              <w:pStyle w:val="276"/>
              <w:jc w:val="center"/>
              <w:rPr>
                <w:rFonts w:hint="eastAsia" w:ascii="宋体" w:hAnsi="宋体" w:cs="宋体"/>
                <w:color w:val="auto"/>
                <w:szCs w:val="21"/>
                <w:highlight w:val="none"/>
              </w:rPr>
            </w:pPr>
          </w:p>
        </w:tc>
        <w:tc>
          <w:tcPr>
            <w:tcW w:w="2421" w:type="dxa"/>
            <w:vAlign w:val="center"/>
          </w:tcPr>
          <w:p>
            <w:pPr>
              <w:pStyle w:val="276"/>
              <w:jc w:val="center"/>
              <w:rPr>
                <w:rFonts w:hint="eastAsia" w:ascii="宋体" w:hAnsi="宋体" w:cs="宋体"/>
                <w:color w:val="auto"/>
                <w:szCs w:val="21"/>
                <w:highlight w:val="none"/>
              </w:rPr>
            </w:pPr>
          </w:p>
        </w:tc>
        <w:tc>
          <w:tcPr>
            <w:tcW w:w="2165"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370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监理生活设施费</w:t>
            </w:r>
          </w:p>
        </w:tc>
        <w:tc>
          <w:tcPr>
            <w:tcW w:w="2773" w:type="dxa"/>
            <w:vAlign w:val="center"/>
          </w:tcPr>
          <w:p>
            <w:pPr>
              <w:pStyle w:val="276"/>
              <w:jc w:val="center"/>
              <w:rPr>
                <w:rFonts w:hint="eastAsia" w:ascii="宋体" w:hAnsi="宋体" w:cs="宋体"/>
                <w:color w:val="auto"/>
                <w:szCs w:val="21"/>
                <w:highlight w:val="none"/>
              </w:rPr>
            </w:pPr>
          </w:p>
        </w:tc>
        <w:tc>
          <w:tcPr>
            <w:tcW w:w="2421" w:type="dxa"/>
          </w:tcPr>
          <w:p>
            <w:pPr>
              <w:pStyle w:val="276"/>
              <w:jc w:val="center"/>
              <w:rPr>
                <w:rFonts w:hint="eastAsia" w:ascii="宋体" w:hAnsi="宋体" w:cs="宋体"/>
                <w:color w:val="auto"/>
                <w:szCs w:val="21"/>
                <w:highlight w:val="none"/>
              </w:rPr>
            </w:pPr>
          </w:p>
        </w:tc>
        <w:tc>
          <w:tcPr>
            <w:tcW w:w="2421" w:type="dxa"/>
            <w:vAlign w:val="center"/>
          </w:tcPr>
          <w:p>
            <w:pPr>
              <w:pStyle w:val="276"/>
              <w:jc w:val="center"/>
              <w:rPr>
                <w:rFonts w:hint="eastAsia" w:ascii="宋体" w:hAnsi="宋体" w:cs="宋体"/>
                <w:color w:val="auto"/>
                <w:szCs w:val="21"/>
                <w:highlight w:val="none"/>
              </w:rPr>
            </w:pPr>
          </w:p>
        </w:tc>
        <w:tc>
          <w:tcPr>
            <w:tcW w:w="2165"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3700" w:type="dxa"/>
            <w:vAlign w:val="center"/>
          </w:tcPr>
          <w:p>
            <w:pPr>
              <w:pStyle w:val="276"/>
              <w:jc w:val="center"/>
              <w:rPr>
                <w:rFonts w:hint="eastAsia" w:ascii="宋体" w:hAnsi="宋体" w:cs="宋体"/>
                <w:color w:val="auto"/>
                <w:szCs w:val="21"/>
                <w:highlight w:val="none"/>
              </w:rPr>
            </w:pPr>
            <w:r>
              <w:rPr>
                <w:rFonts w:hint="eastAsia" w:ascii="宋体" w:hAnsi="宋体" w:cs="宋体"/>
                <w:b/>
                <w:bCs/>
                <w:color w:val="auto"/>
                <w:kern w:val="0"/>
                <w:szCs w:val="21"/>
                <w:highlight w:val="none"/>
              </w:rPr>
              <w:t xml:space="preserve">□ </w:t>
            </w:r>
            <w:r>
              <w:rPr>
                <w:rFonts w:hint="eastAsia" w:ascii="宋体" w:hAnsi="宋体" w:cs="宋体"/>
                <w:color w:val="auto"/>
                <w:szCs w:val="21"/>
                <w:highlight w:val="none"/>
              </w:rPr>
              <w:t>监理试验设施费</w:t>
            </w:r>
          </w:p>
        </w:tc>
        <w:tc>
          <w:tcPr>
            <w:tcW w:w="2773" w:type="dxa"/>
            <w:vAlign w:val="center"/>
          </w:tcPr>
          <w:p>
            <w:pPr>
              <w:pStyle w:val="276"/>
              <w:jc w:val="center"/>
              <w:rPr>
                <w:rFonts w:hint="eastAsia" w:ascii="宋体" w:hAnsi="宋体" w:cs="宋体"/>
                <w:color w:val="auto"/>
                <w:szCs w:val="21"/>
                <w:highlight w:val="none"/>
              </w:rPr>
            </w:pPr>
          </w:p>
        </w:tc>
        <w:tc>
          <w:tcPr>
            <w:tcW w:w="2421" w:type="dxa"/>
          </w:tcPr>
          <w:p>
            <w:pPr>
              <w:pStyle w:val="276"/>
              <w:jc w:val="center"/>
              <w:rPr>
                <w:rFonts w:hint="eastAsia" w:ascii="宋体" w:hAnsi="宋体" w:cs="宋体"/>
                <w:color w:val="auto"/>
                <w:szCs w:val="21"/>
                <w:highlight w:val="none"/>
              </w:rPr>
            </w:pPr>
          </w:p>
        </w:tc>
        <w:tc>
          <w:tcPr>
            <w:tcW w:w="2421" w:type="dxa"/>
            <w:vAlign w:val="center"/>
          </w:tcPr>
          <w:p>
            <w:pPr>
              <w:pStyle w:val="276"/>
              <w:jc w:val="center"/>
              <w:rPr>
                <w:rFonts w:hint="eastAsia" w:ascii="宋体" w:hAnsi="宋体" w:cs="宋体"/>
                <w:color w:val="auto"/>
                <w:szCs w:val="21"/>
                <w:highlight w:val="none"/>
              </w:rPr>
            </w:pPr>
          </w:p>
        </w:tc>
        <w:tc>
          <w:tcPr>
            <w:tcW w:w="2165"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3700" w:type="dxa"/>
            <w:vAlign w:val="center"/>
          </w:tcPr>
          <w:p>
            <w:pPr>
              <w:pStyle w:val="276"/>
              <w:jc w:val="center"/>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其他</w:t>
            </w:r>
          </w:p>
        </w:tc>
        <w:tc>
          <w:tcPr>
            <w:tcW w:w="2773" w:type="dxa"/>
            <w:vAlign w:val="center"/>
          </w:tcPr>
          <w:p>
            <w:pPr>
              <w:pStyle w:val="276"/>
              <w:jc w:val="center"/>
              <w:rPr>
                <w:rFonts w:hint="eastAsia" w:ascii="宋体" w:hAnsi="宋体" w:cs="宋体"/>
                <w:color w:val="auto"/>
                <w:szCs w:val="21"/>
                <w:highlight w:val="none"/>
              </w:rPr>
            </w:pPr>
          </w:p>
        </w:tc>
        <w:tc>
          <w:tcPr>
            <w:tcW w:w="2421" w:type="dxa"/>
          </w:tcPr>
          <w:p>
            <w:pPr>
              <w:pStyle w:val="276"/>
              <w:jc w:val="center"/>
              <w:rPr>
                <w:rFonts w:hint="eastAsia" w:ascii="宋体" w:hAnsi="宋体" w:cs="宋体"/>
                <w:color w:val="auto"/>
                <w:szCs w:val="21"/>
                <w:highlight w:val="none"/>
              </w:rPr>
            </w:pPr>
          </w:p>
        </w:tc>
        <w:tc>
          <w:tcPr>
            <w:tcW w:w="2421" w:type="dxa"/>
            <w:vAlign w:val="center"/>
          </w:tcPr>
          <w:p>
            <w:pPr>
              <w:pStyle w:val="276"/>
              <w:jc w:val="center"/>
              <w:rPr>
                <w:rFonts w:hint="eastAsia" w:ascii="宋体" w:hAnsi="宋体" w:cs="宋体"/>
                <w:color w:val="auto"/>
                <w:szCs w:val="21"/>
                <w:highlight w:val="none"/>
              </w:rPr>
            </w:pPr>
          </w:p>
        </w:tc>
        <w:tc>
          <w:tcPr>
            <w:tcW w:w="2165"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11315" w:type="dxa"/>
            <w:gridSpan w:val="4"/>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各项费用合计（7=1+2+3+4+5+6）</w:t>
            </w:r>
          </w:p>
        </w:tc>
        <w:tc>
          <w:tcPr>
            <w:tcW w:w="2165"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11315" w:type="dxa"/>
            <w:gridSpan w:val="4"/>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利润</w:t>
            </w:r>
          </w:p>
        </w:tc>
        <w:tc>
          <w:tcPr>
            <w:tcW w:w="2165"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11315" w:type="dxa"/>
            <w:gridSpan w:val="4"/>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专项暂估价（招标人最高投标限价中公布金额）</w:t>
            </w:r>
          </w:p>
        </w:tc>
        <w:tc>
          <w:tcPr>
            <w:tcW w:w="2165"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11315" w:type="dxa"/>
            <w:gridSpan w:val="4"/>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暂列金额（招标人最高投标限价中公布金额）</w:t>
            </w:r>
          </w:p>
        </w:tc>
        <w:tc>
          <w:tcPr>
            <w:tcW w:w="2165"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0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11315" w:type="dxa"/>
            <w:gridSpan w:val="4"/>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投标报价总计（11=7+8+9+10）</w:t>
            </w:r>
          </w:p>
        </w:tc>
        <w:tc>
          <w:tcPr>
            <w:tcW w:w="2165" w:type="dxa"/>
            <w:vAlign w:val="center"/>
          </w:tcPr>
          <w:p>
            <w:pPr>
              <w:pStyle w:val="276"/>
              <w:jc w:val="center"/>
              <w:rPr>
                <w:rFonts w:hint="eastAsia" w:ascii="宋体" w:hAnsi="宋体" w:cs="宋体"/>
                <w:color w:val="auto"/>
                <w:szCs w:val="21"/>
                <w:highlight w:val="none"/>
              </w:rPr>
            </w:pPr>
          </w:p>
        </w:tc>
      </w:tr>
    </w:tbl>
    <w:p>
      <w:pPr>
        <w:pStyle w:val="276"/>
        <w:jc w:val="center"/>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t>注：</w:t>
      </w:r>
      <w:r>
        <w:rPr>
          <w:rFonts w:hint="eastAsia" w:ascii="宋体" w:hAnsi="宋体" w:cs="宋体"/>
          <w:color w:val="auto"/>
          <w:szCs w:val="21"/>
          <w:highlight w:val="none"/>
        </w:rPr>
        <w:t>本表各栏金额应与各附表金额一致，当不一致时以本表为准。</w:t>
      </w:r>
    </w:p>
    <w:p>
      <w:pPr>
        <w:framePr w:hSpace="180" w:wrap="around" w:vAnchor="text" w:hAnchor="margin" w:xAlign="center" w:y="480"/>
        <w:widowControl/>
        <w:adjustRightInd w:val="0"/>
        <w:snapToGrid w:val="0"/>
        <w:rPr>
          <w:rFonts w:hint="eastAsia" w:ascii="宋体" w:hAnsi="宋体" w:cs="宋体"/>
          <w:color w:val="auto"/>
          <w:szCs w:val="21"/>
          <w:highlight w:val="none"/>
        </w:rPr>
      </w:pPr>
    </w:p>
    <w:p>
      <w:pPr>
        <w:pStyle w:val="276"/>
        <w:ind w:firstLine="420" w:firstLineChars="200"/>
        <w:rPr>
          <w:rFonts w:hint="eastAsia" w:ascii="宋体" w:hAnsi="宋体" w:cs="宋体"/>
          <w:color w:val="auto"/>
          <w:highlight w:val="none"/>
        </w:rPr>
      </w:pPr>
    </w:p>
    <w:p>
      <w:pPr>
        <w:pStyle w:val="276"/>
        <w:spacing w:line="360" w:lineRule="auto"/>
        <w:jc w:val="center"/>
        <w:rPr>
          <w:rFonts w:hint="eastAsia" w:ascii="黑体" w:hAnsi="黑体" w:eastAsia="黑体" w:cs="宋体"/>
          <w:color w:val="auto"/>
          <w:sz w:val="24"/>
          <w:highlight w:val="none"/>
        </w:rPr>
      </w:pPr>
      <w:r>
        <w:rPr>
          <w:rFonts w:hint="eastAsia" w:ascii="宋体" w:hAnsi="宋体" w:cs="宋体"/>
          <w:b/>
          <w:color w:val="auto"/>
          <w:sz w:val="24"/>
          <w:highlight w:val="none"/>
        </w:rPr>
        <w:br w:type="page"/>
      </w:r>
      <w:r>
        <w:rPr>
          <w:rFonts w:hint="eastAsia" w:ascii="黑体" w:hAnsi="黑体" w:eastAsia="黑体" w:cs="宋体"/>
          <w:color w:val="auto"/>
          <w:sz w:val="24"/>
          <w:highlight w:val="none"/>
        </w:rPr>
        <w:t>表 2</w:t>
      </w:r>
      <w:r>
        <w:rPr>
          <w:rFonts w:hint="eastAsia" w:ascii="黑体" w:hAnsi="黑体" w:eastAsia="黑体" w:cs="宋体"/>
          <w:color w:val="auto"/>
          <w:sz w:val="24"/>
          <w:highlight w:val="none"/>
        </w:rPr>
        <w:tab/>
      </w:r>
      <w:r>
        <w:rPr>
          <w:rFonts w:hint="eastAsia" w:ascii="黑体" w:hAnsi="黑体" w:eastAsia="黑体" w:cs="宋体"/>
          <w:color w:val="auto"/>
          <w:sz w:val="24"/>
          <w:highlight w:val="none"/>
        </w:rPr>
        <w:t>监理人员服务费报价表</w:t>
      </w:r>
    </w:p>
    <w:tbl>
      <w:tblPr>
        <w:tblStyle w:val="48"/>
        <w:tblW w:w="1425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8"/>
        <w:gridCol w:w="2543"/>
        <w:gridCol w:w="671"/>
        <w:gridCol w:w="1888"/>
        <w:gridCol w:w="952"/>
        <w:gridCol w:w="710"/>
        <w:gridCol w:w="2159"/>
        <w:gridCol w:w="899"/>
        <w:gridCol w:w="773"/>
        <w:gridCol w:w="181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exact"/>
        </w:trPr>
        <w:tc>
          <w:tcPr>
            <w:tcW w:w="538" w:type="dxa"/>
            <w:vMerge w:val="restart"/>
            <w:vAlign w:val="center"/>
          </w:tcPr>
          <w:p>
            <w:pPr>
              <w:pStyle w:val="276"/>
              <w:jc w:val="center"/>
              <w:rPr>
                <w:rFonts w:hint="eastAsia" w:ascii="宋体" w:hAnsi="宋体" w:cs="宋体"/>
                <w:color w:val="auto"/>
                <w:szCs w:val="21"/>
                <w:highlight w:val="none"/>
              </w:rPr>
            </w:pP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序</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号</w:t>
            </w:r>
          </w:p>
        </w:tc>
        <w:tc>
          <w:tcPr>
            <w:tcW w:w="2543" w:type="dxa"/>
            <w:vMerge w:val="restart"/>
            <w:vAlign w:val="center"/>
          </w:tcPr>
          <w:p>
            <w:pPr>
              <w:pStyle w:val="276"/>
              <w:jc w:val="center"/>
              <w:rPr>
                <w:rFonts w:hint="eastAsia" w:ascii="宋体" w:hAnsi="宋体" w:cs="宋体"/>
                <w:color w:val="auto"/>
                <w:szCs w:val="21"/>
                <w:highlight w:val="none"/>
              </w:rPr>
            </w:pP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人员</w:t>
            </w:r>
          </w:p>
        </w:tc>
        <w:tc>
          <w:tcPr>
            <w:tcW w:w="3511" w:type="dxa"/>
            <w:gridSpan w:val="3"/>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施工期（含施工准备期）</w:t>
            </w:r>
          </w:p>
        </w:tc>
        <w:tc>
          <w:tcPr>
            <w:tcW w:w="3768" w:type="dxa"/>
            <w:gridSpan w:val="3"/>
            <w:vAlign w:val="center"/>
          </w:tcPr>
          <w:p>
            <w:pPr>
              <w:pStyle w:val="276"/>
              <w:jc w:val="center"/>
              <w:rPr>
                <w:rFonts w:hint="eastAsia" w:ascii="宋体" w:hAnsi="宋体" w:cs="宋体"/>
                <w:color w:val="auto"/>
                <w:szCs w:val="21"/>
                <w:highlight w:val="none"/>
              </w:rPr>
            </w:pPr>
            <w:r>
              <w:rPr>
                <w:rFonts w:hint="eastAsia" w:ascii="宋体" w:hAnsi="宋体" w:cs="宋体"/>
                <w:color w:val="auto"/>
                <w:kern w:val="0"/>
                <w:szCs w:val="21"/>
                <w:highlight w:val="none"/>
              </w:rPr>
              <w:t>□</w:t>
            </w:r>
            <w:r>
              <w:rPr>
                <w:rFonts w:hint="eastAsia" w:ascii="宋体" w:hAnsi="宋体" w:cs="宋体"/>
                <w:color w:val="auto"/>
                <w:szCs w:val="21"/>
                <w:highlight w:val="none"/>
              </w:rPr>
              <w:t>试运行期</w:t>
            </w:r>
          </w:p>
        </w:tc>
        <w:tc>
          <w:tcPr>
            <w:tcW w:w="3897" w:type="dxa"/>
            <w:gridSpan w:val="3"/>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缺陷责任期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exact"/>
        </w:trPr>
        <w:tc>
          <w:tcPr>
            <w:tcW w:w="538" w:type="dxa"/>
            <w:vMerge w:val="continue"/>
            <w:vAlign w:val="center"/>
          </w:tcPr>
          <w:p>
            <w:pPr>
              <w:pStyle w:val="276"/>
              <w:jc w:val="center"/>
              <w:rPr>
                <w:rFonts w:hint="eastAsia" w:ascii="宋体" w:hAnsi="宋体" w:cs="宋体"/>
                <w:color w:val="auto"/>
                <w:szCs w:val="21"/>
                <w:highlight w:val="none"/>
              </w:rPr>
            </w:pPr>
          </w:p>
        </w:tc>
        <w:tc>
          <w:tcPr>
            <w:tcW w:w="2543" w:type="dxa"/>
            <w:vMerge w:val="continue"/>
            <w:vAlign w:val="center"/>
          </w:tcPr>
          <w:p>
            <w:pPr>
              <w:pStyle w:val="276"/>
              <w:jc w:val="center"/>
              <w:rPr>
                <w:rFonts w:hint="eastAsia" w:ascii="宋体" w:hAnsi="宋体" w:cs="宋体"/>
                <w:color w:val="auto"/>
                <w:szCs w:val="21"/>
                <w:highlight w:val="none"/>
              </w:rPr>
            </w:pPr>
          </w:p>
        </w:tc>
        <w:tc>
          <w:tcPr>
            <w:tcW w:w="671"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188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单价</w:t>
            </w:r>
          </w:p>
          <w:p>
            <w:pPr>
              <w:pStyle w:val="276"/>
              <w:jc w:val="center"/>
              <w:rPr>
                <w:rFonts w:hint="eastAsia" w:ascii="宋体" w:hAnsi="宋体" w:cs="宋体"/>
                <w:color w:val="auto"/>
                <w:szCs w:val="21"/>
                <w:highlight w:val="none"/>
              </w:rPr>
            </w:pPr>
            <w:r>
              <w:rPr>
                <w:rFonts w:hint="eastAsia" w:ascii="宋体" w:hAnsi="宋体" w:cs="宋体"/>
                <w:color w:val="000000" w:themeColor="text1"/>
                <w:highlight w:val="none"/>
                <w14:textFill>
                  <w14:solidFill>
                    <w14:schemeClr w14:val="tx1"/>
                  </w14:solidFill>
                </w14:textFill>
              </w:rPr>
              <w:t>［元/（人·月）］</w:t>
            </w:r>
          </w:p>
        </w:tc>
        <w:tc>
          <w:tcPr>
            <w:tcW w:w="952"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金额（元）</w:t>
            </w:r>
          </w:p>
        </w:tc>
        <w:tc>
          <w:tcPr>
            <w:tcW w:w="710"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2159"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单价</w:t>
            </w:r>
          </w:p>
          <w:p>
            <w:pPr>
              <w:pStyle w:val="276"/>
              <w:jc w:val="center"/>
              <w:rPr>
                <w:rFonts w:hint="eastAsia" w:ascii="宋体" w:hAnsi="宋体" w:cs="宋体"/>
                <w:color w:val="auto"/>
                <w:szCs w:val="21"/>
                <w:highlight w:val="none"/>
              </w:rPr>
            </w:pPr>
            <w:r>
              <w:rPr>
                <w:rFonts w:hint="eastAsia" w:ascii="宋体" w:hAnsi="宋体" w:cs="宋体"/>
                <w:color w:val="000000" w:themeColor="text1"/>
                <w:highlight w:val="none"/>
                <w14:textFill>
                  <w14:solidFill>
                    <w14:schemeClr w14:val="tx1"/>
                  </w14:solidFill>
                </w14:textFill>
              </w:rPr>
              <w:t>［元/（人·月）］</w:t>
            </w:r>
          </w:p>
        </w:tc>
        <w:tc>
          <w:tcPr>
            <w:tcW w:w="899"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金额（元）</w:t>
            </w:r>
          </w:p>
        </w:tc>
        <w:tc>
          <w:tcPr>
            <w:tcW w:w="77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1816"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单价</w:t>
            </w:r>
          </w:p>
          <w:p>
            <w:pPr>
              <w:pStyle w:val="276"/>
              <w:jc w:val="center"/>
              <w:rPr>
                <w:rFonts w:hint="eastAsia" w:ascii="宋体" w:hAnsi="宋体" w:cs="宋体"/>
                <w:color w:val="auto"/>
                <w:szCs w:val="21"/>
                <w:highlight w:val="none"/>
              </w:rPr>
            </w:pPr>
            <w:r>
              <w:rPr>
                <w:rFonts w:hint="eastAsia" w:ascii="宋体" w:hAnsi="宋体" w:cs="宋体"/>
                <w:color w:val="000000" w:themeColor="text1"/>
                <w:highlight w:val="none"/>
                <w14:textFill>
                  <w14:solidFill>
                    <w14:schemeClr w14:val="tx1"/>
                  </w14:solidFill>
                </w14:textFill>
              </w:rPr>
              <w:t>［元/（人·月）］</w:t>
            </w:r>
          </w:p>
        </w:tc>
        <w:tc>
          <w:tcPr>
            <w:tcW w:w="130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总监理工程师</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副总监理工程师（如有）</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驻地监理工程师（如有）</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专业监理工程师</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专业监理工程师</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专业监理工程师</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专业监理 工程师</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专业监理工程师</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专业监理工程师</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543" w:type="dxa"/>
            <w:vAlign w:val="center"/>
          </w:tcPr>
          <w:p>
            <w:pPr>
              <w:pStyle w:val="276"/>
              <w:ind w:firstLine="1050" w:firstLineChars="500"/>
              <w:jc w:val="left"/>
              <w:rPr>
                <w:rFonts w:hint="eastAsia" w:ascii="宋体" w:hAnsi="宋体" w:cs="宋体"/>
                <w:color w:val="auto"/>
                <w:szCs w:val="21"/>
                <w:highlight w:val="none"/>
              </w:rPr>
            </w:pPr>
            <w:r>
              <w:rPr>
                <w:rFonts w:hint="eastAsia" w:ascii="宋体" w:hAnsi="宋体" w:cs="宋体"/>
                <w:color w:val="auto"/>
                <w:szCs w:val="21"/>
                <w:highlight w:val="none"/>
              </w:rPr>
              <w:t>……</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监理员</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□试验室主任</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14</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□技术负责人</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15</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□试验检测工程师</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trPr>
        <w:tc>
          <w:tcPr>
            <w:tcW w:w="53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16</w:t>
            </w:r>
          </w:p>
        </w:tc>
        <w:tc>
          <w:tcPr>
            <w:tcW w:w="254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□试验员</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exact"/>
        </w:trPr>
        <w:tc>
          <w:tcPr>
            <w:tcW w:w="3081" w:type="dxa"/>
            <w:gridSpan w:val="2"/>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合计（元）</w:t>
            </w:r>
          </w:p>
        </w:tc>
        <w:tc>
          <w:tcPr>
            <w:tcW w:w="671" w:type="dxa"/>
            <w:vAlign w:val="center"/>
          </w:tcPr>
          <w:p>
            <w:pPr>
              <w:pStyle w:val="276"/>
              <w:jc w:val="center"/>
              <w:rPr>
                <w:rFonts w:hint="eastAsia" w:ascii="宋体" w:hAnsi="宋体" w:cs="宋体"/>
                <w:color w:val="auto"/>
                <w:szCs w:val="21"/>
                <w:highlight w:val="none"/>
              </w:rPr>
            </w:pPr>
          </w:p>
        </w:tc>
        <w:tc>
          <w:tcPr>
            <w:tcW w:w="1888" w:type="dxa"/>
            <w:vAlign w:val="center"/>
          </w:tcPr>
          <w:p>
            <w:pPr>
              <w:pStyle w:val="276"/>
              <w:jc w:val="center"/>
              <w:rPr>
                <w:rFonts w:hint="eastAsia" w:ascii="宋体" w:hAnsi="宋体" w:cs="宋体"/>
                <w:color w:val="auto"/>
                <w:szCs w:val="21"/>
                <w:highlight w:val="none"/>
              </w:rPr>
            </w:pPr>
          </w:p>
        </w:tc>
        <w:tc>
          <w:tcPr>
            <w:tcW w:w="952" w:type="dxa"/>
            <w:vAlign w:val="center"/>
          </w:tcPr>
          <w:p>
            <w:pPr>
              <w:pStyle w:val="276"/>
              <w:jc w:val="center"/>
              <w:rPr>
                <w:rFonts w:hint="eastAsia" w:ascii="宋体" w:hAnsi="宋体" w:cs="宋体"/>
                <w:color w:val="auto"/>
                <w:szCs w:val="21"/>
                <w:highlight w:val="none"/>
              </w:rPr>
            </w:pPr>
          </w:p>
        </w:tc>
        <w:tc>
          <w:tcPr>
            <w:tcW w:w="710" w:type="dxa"/>
          </w:tcPr>
          <w:p>
            <w:pPr>
              <w:pStyle w:val="276"/>
              <w:jc w:val="center"/>
              <w:rPr>
                <w:rFonts w:hint="eastAsia" w:ascii="宋体" w:hAnsi="宋体" w:cs="宋体"/>
                <w:color w:val="auto"/>
                <w:szCs w:val="21"/>
                <w:highlight w:val="none"/>
              </w:rPr>
            </w:pPr>
          </w:p>
        </w:tc>
        <w:tc>
          <w:tcPr>
            <w:tcW w:w="2159" w:type="dxa"/>
          </w:tcPr>
          <w:p>
            <w:pPr>
              <w:pStyle w:val="276"/>
              <w:jc w:val="center"/>
              <w:rPr>
                <w:rFonts w:hint="eastAsia" w:ascii="宋体" w:hAnsi="宋体" w:cs="宋体"/>
                <w:color w:val="auto"/>
                <w:szCs w:val="21"/>
                <w:highlight w:val="none"/>
              </w:rPr>
            </w:pPr>
          </w:p>
        </w:tc>
        <w:tc>
          <w:tcPr>
            <w:tcW w:w="899" w:type="dxa"/>
          </w:tcPr>
          <w:p>
            <w:pPr>
              <w:pStyle w:val="276"/>
              <w:jc w:val="center"/>
              <w:rPr>
                <w:rFonts w:hint="eastAsia" w:ascii="宋体" w:hAnsi="宋体" w:cs="宋体"/>
                <w:color w:val="auto"/>
                <w:szCs w:val="21"/>
                <w:highlight w:val="none"/>
              </w:rPr>
            </w:pPr>
          </w:p>
        </w:tc>
        <w:tc>
          <w:tcPr>
            <w:tcW w:w="773" w:type="dxa"/>
            <w:vAlign w:val="center"/>
          </w:tcPr>
          <w:p>
            <w:pPr>
              <w:pStyle w:val="276"/>
              <w:jc w:val="center"/>
              <w:rPr>
                <w:rFonts w:hint="eastAsia" w:ascii="宋体" w:hAnsi="宋体" w:cs="宋体"/>
                <w:color w:val="auto"/>
                <w:szCs w:val="21"/>
                <w:highlight w:val="none"/>
              </w:rPr>
            </w:pPr>
          </w:p>
        </w:tc>
        <w:tc>
          <w:tcPr>
            <w:tcW w:w="1816" w:type="dxa"/>
            <w:vAlign w:val="center"/>
          </w:tcPr>
          <w:p>
            <w:pPr>
              <w:pStyle w:val="276"/>
              <w:jc w:val="center"/>
              <w:rPr>
                <w:rFonts w:hint="eastAsia" w:ascii="宋体" w:hAnsi="宋体" w:cs="宋体"/>
                <w:color w:val="auto"/>
                <w:szCs w:val="21"/>
                <w:highlight w:val="none"/>
              </w:rPr>
            </w:pPr>
          </w:p>
        </w:tc>
        <w:tc>
          <w:tcPr>
            <w:tcW w:w="1308" w:type="dxa"/>
            <w:vAlign w:val="center"/>
          </w:tcPr>
          <w:p>
            <w:pPr>
              <w:pStyle w:val="276"/>
              <w:jc w:val="center"/>
              <w:rPr>
                <w:rFonts w:hint="eastAsia" w:ascii="宋体" w:hAnsi="宋体" w:cs="宋体"/>
                <w:color w:val="auto"/>
                <w:szCs w:val="21"/>
                <w:highlight w:val="none"/>
              </w:rPr>
            </w:pPr>
          </w:p>
        </w:tc>
      </w:tr>
    </w:tbl>
    <w:p>
      <w:pPr>
        <w:pStyle w:val="298"/>
        <w:numPr>
          <w:ilvl w:val="255"/>
          <w:numId w:val="0"/>
        </w:numPr>
        <w:spacing w:line="3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注：表中数量：为投标人拟投入的某个岗位的人员数</w:t>
      </w:r>
      <w:r>
        <w:rPr>
          <w:rFonts w:ascii="Arial" w:hAnsi="Arial" w:cs="Arial"/>
          <w:color w:val="auto"/>
          <w:szCs w:val="21"/>
          <w:highlight w:val="none"/>
        </w:rPr>
        <w:t>×</w:t>
      </w:r>
      <w:r>
        <w:rPr>
          <w:rFonts w:hint="eastAsia" w:ascii="宋体" w:hAnsi="宋体" w:cs="宋体"/>
          <w:color w:val="auto"/>
          <w:szCs w:val="21"/>
          <w:highlight w:val="none"/>
        </w:rPr>
        <w:t>服务月数</w:t>
      </w:r>
    </w:p>
    <w:p>
      <w:pPr>
        <w:pStyle w:val="298"/>
        <w:spacing w:line="320" w:lineRule="exact"/>
        <w:ind w:firstLine="840" w:firstLineChars="400"/>
        <w:rPr>
          <w:rFonts w:hint="eastAsia" w:ascii="宋体" w:hAnsi="宋体" w:cs="宋体"/>
          <w:color w:val="auto"/>
          <w:szCs w:val="21"/>
          <w:highlight w:val="none"/>
        </w:rPr>
      </w:pPr>
      <w:r>
        <w:rPr>
          <w:rFonts w:hint="eastAsia" w:ascii="宋体" w:hAnsi="宋体" w:cs="宋体"/>
          <w:color w:val="auto"/>
          <w:szCs w:val="21"/>
          <w:highlight w:val="none"/>
        </w:rPr>
        <w:t>服务月数：指某个岗位人员在现场的服务月数</w:t>
      </w:r>
    </w:p>
    <w:p>
      <w:pPr>
        <w:pStyle w:val="298"/>
        <w:spacing w:line="320" w:lineRule="exact"/>
        <w:ind w:firstLine="1260" w:firstLineChars="600"/>
        <w:rPr>
          <w:rFonts w:hint="eastAsia" w:ascii="宋体" w:hAnsi="宋体" w:cs="宋体"/>
          <w:color w:val="auto"/>
          <w:szCs w:val="21"/>
          <w:highlight w:val="none"/>
        </w:rPr>
      </w:pPr>
      <w:r>
        <w:rPr>
          <w:rFonts w:hint="eastAsia" w:ascii="宋体" w:hAnsi="宋体" w:cs="宋体"/>
          <w:color w:val="auto"/>
          <w:szCs w:val="21"/>
          <w:highlight w:val="none"/>
        </w:rPr>
        <w:t>金额=数量</w:t>
      </w:r>
      <w:r>
        <w:rPr>
          <w:rFonts w:ascii="Arial" w:hAnsi="Arial" w:cs="Arial"/>
          <w:color w:val="auto"/>
          <w:szCs w:val="21"/>
          <w:highlight w:val="none"/>
        </w:rPr>
        <w:t>×</w:t>
      </w:r>
      <w:r>
        <w:rPr>
          <w:rFonts w:hint="eastAsia" w:ascii="宋体" w:hAnsi="宋体" w:cs="宋体"/>
          <w:color w:val="auto"/>
          <w:szCs w:val="21"/>
          <w:highlight w:val="none"/>
        </w:rPr>
        <w:t>单价</w:t>
      </w:r>
    </w:p>
    <w:p>
      <w:pPr>
        <w:pStyle w:val="276"/>
        <w:spacing w:line="320" w:lineRule="exact"/>
        <w:rPr>
          <w:rFonts w:hint="eastAsia" w:ascii="宋体" w:hAnsi="宋体" w:cs="宋体"/>
          <w:color w:val="auto"/>
          <w:highlight w:val="none"/>
        </w:rPr>
        <w:sectPr>
          <w:footnotePr>
            <w:numFmt w:val="decimalEnclosedCircleChinese"/>
            <w:numRestart w:val="eachPage"/>
          </w:footnotePr>
          <w:pgSz w:w="16840" w:h="11907" w:orient="landscape"/>
          <w:pgMar w:top="1701" w:right="1417" w:bottom="1418" w:left="1417" w:header="1009" w:footer="680" w:gutter="0"/>
          <w:cols w:space="720" w:num="1"/>
          <w:docGrid w:linePitch="286" w:charSpace="0"/>
        </w:sectPr>
      </w:pPr>
    </w:p>
    <w:p>
      <w:pPr>
        <w:pStyle w:val="276"/>
        <w:jc w:val="center"/>
        <w:rPr>
          <w:rFonts w:hint="eastAsia" w:ascii="黑体" w:hAnsi="黑体" w:eastAsia="黑体" w:cs="宋体"/>
          <w:color w:val="auto"/>
          <w:sz w:val="24"/>
          <w:highlight w:val="none"/>
        </w:rPr>
      </w:pPr>
      <w:r>
        <w:rPr>
          <w:rFonts w:hint="eastAsia" w:ascii="黑体" w:hAnsi="黑体" w:eastAsia="黑体" w:cs="宋体"/>
          <w:color w:val="auto"/>
          <w:sz w:val="24"/>
          <w:highlight w:val="none"/>
        </w:rPr>
        <w:t>表3</w:t>
      </w:r>
      <w:r>
        <w:rPr>
          <w:rFonts w:hint="eastAsia" w:ascii="黑体" w:hAnsi="黑体" w:eastAsia="黑体" w:cs="宋体"/>
          <w:color w:val="auto"/>
          <w:sz w:val="24"/>
          <w:highlight w:val="none"/>
        </w:rPr>
        <w:tab/>
      </w:r>
      <w:r>
        <w:rPr>
          <w:rFonts w:hint="eastAsia" w:ascii="黑体" w:hAnsi="黑体" w:eastAsia="黑体" w:cs="宋体"/>
          <w:color w:val="auto"/>
          <w:sz w:val="24"/>
          <w:highlight w:val="none"/>
        </w:rPr>
        <w:t>监理工程师办公设施费报价表</w:t>
      </w:r>
    </w:p>
    <w:p>
      <w:pPr>
        <w:pStyle w:val="276"/>
        <w:rPr>
          <w:rFonts w:hint="eastAsia" w:ascii="宋体" w:hAnsi="宋体" w:cs="宋体"/>
          <w:color w:val="auto"/>
          <w:highlight w:val="none"/>
        </w:rPr>
      </w:pPr>
    </w:p>
    <w:tbl>
      <w:tblPr>
        <w:tblStyle w:val="48"/>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5"/>
        <w:gridCol w:w="735"/>
        <w:gridCol w:w="735"/>
        <w:gridCol w:w="736"/>
        <w:gridCol w:w="735"/>
        <w:gridCol w:w="735"/>
        <w:gridCol w:w="737"/>
        <w:gridCol w:w="736"/>
        <w:gridCol w:w="733"/>
        <w:gridCol w:w="735"/>
        <w:gridCol w:w="733"/>
        <w:gridCol w:w="733"/>
        <w:gridCol w:w="735"/>
        <w:gridCol w:w="733"/>
        <w:gridCol w:w="733"/>
        <w:gridCol w:w="735"/>
        <w:gridCol w:w="733"/>
        <w:gridCol w:w="992"/>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exact"/>
        </w:trPr>
        <w:tc>
          <w:tcPr>
            <w:tcW w:w="735" w:type="dxa"/>
            <w:vMerge w:val="restart"/>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4413" w:type="dxa"/>
            <w:gridSpan w:val="6"/>
            <w:vAlign w:val="center"/>
          </w:tcPr>
          <w:p>
            <w:pPr>
              <w:pStyle w:val="276"/>
              <w:jc w:val="center"/>
              <w:rPr>
                <w:rFonts w:hint="eastAsia" w:ascii="宋体" w:hAnsi="宋体" w:cs="宋体"/>
                <w:color w:val="auto"/>
                <w:highlight w:val="none"/>
              </w:rPr>
            </w:pPr>
            <w:r>
              <w:rPr>
                <w:rFonts w:hint="eastAsia" w:ascii="宋体" w:hAnsi="宋体" w:cs="宋体"/>
                <w:color w:val="auto"/>
                <w:szCs w:val="21"/>
                <w:highlight w:val="none"/>
              </w:rPr>
              <w:t>施工期（含施工准备期）</w:t>
            </w:r>
          </w:p>
        </w:tc>
        <w:tc>
          <w:tcPr>
            <w:tcW w:w="4405" w:type="dxa"/>
            <w:gridSpan w:val="6"/>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r>
              <w:rPr>
                <w:rFonts w:hint="eastAsia" w:ascii="宋体" w:hAnsi="宋体" w:cs="宋体"/>
                <w:color w:val="auto"/>
                <w:szCs w:val="21"/>
                <w:highlight w:val="none"/>
              </w:rPr>
              <w:t>试运行期</w:t>
            </w:r>
          </w:p>
        </w:tc>
        <w:tc>
          <w:tcPr>
            <w:tcW w:w="4741" w:type="dxa"/>
            <w:gridSpan w:val="6"/>
            <w:vAlign w:val="center"/>
          </w:tcPr>
          <w:p>
            <w:pPr>
              <w:pStyle w:val="276"/>
              <w:jc w:val="center"/>
              <w:rPr>
                <w:rFonts w:hint="eastAsia" w:ascii="宋体" w:hAnsi="宋体" w:cs="宋体"/>
                <w:color w:val="auto"/>
                <w:highlight w:val="none"/>
              </w:rPr>
            </w:pPr>
            <w:r>
              <w:rPr>
                <w:rFonts w:hint="eastAsia" w:ascii="宋体" w:hAnsi="宋体" w:cs="宋体"/>
                <w:color w:val="auto"/>
                <w:szCs w:val="21"/>
                <w:highlight w:val="none"/>
              </w:rPr>
              <w:t>缺陷责任期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7" w:hRule="exact"/>
        </w:trPr>
        <w:tc>
          <w:tcPr>
            <w:tcW w:w="735" w:type="dxa"/>
            <w:vMerge w:val="continue"/>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名称及型号</w:t>
            </w:r>
          </w:p>
        </w:tc>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数量</w:t>
            </w:r>
          </w:p>
        </w:tc>
        <w:tc>
          <w:tcPr>
            <w:tcW w:w="73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购置</w:t>
            </w:r>
          </w:p>
          <w:p>
            <w:pPr>
              <w:pStyle w:val="276"/>
              <w:jc w:val="center"/>
              <w:rPr>
                <w:rFonts w:hint="eastAsia" w:ascii="宋体" w:hAnsi="宋体" w:cs="宋体"/>
                <w:color w:val="auto"/>
                <w:highlight w:val="none"/>
              </w:rPr>
            </w:pPr>
            <w:r>
              <w:rPr>
                <w:rFonts w:hint="eastAsia" w:ascii="宋体" w:hAnsi="宋体" w:cs="宋体"/>
                <w:color w:val="auto"/>
                <w:highlight w:val="none"/>
              </w:rPr>
              <w:t>合价 （元）</w:t>
            </w:r>
          </w:p>
        </w:tc>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折旧费（元）</w:t>
            </w:r>
          </w:p>
        </w:tc>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使用费（元）</w:t>
            </w:r>
          </w:p>
        </w:tc>
        <w:tc>
          <w:tcPr>
            <w:tcW w:w="73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小计折旧及使用费（元）</w:t>
            </w:r>
          </w:p>
        </w:tc>
        <w:tc>
          <w:tcPr>
            <w:tcW w:w="73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名称及型号</w:t>
            </w:r>
          </w:p>
        </w:tc>
        <w:tc>
          <w:tcPr>
            <w:tcW w:w="73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数量</w:t>
            </w:r>
          </w:p>
        </w:tc>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购置</w:t>
            </w:r>
          </w:p>
          <w:p>
            <w:pPr>
              <w:pStyle w:val="276"/>
              <w:jc w:val="center"/>
              <w:rPr>
                <w:rFonts w:hint="eastAsia" w:ascii="宋体" w:hAnsi="宋体" w:cs="宋体"/>
                <w:color w:val="auto"/>
                <w:highlight w:val="none"/>
              </w:rPr>
            </w:pPr>
            <w:r>
              <w:rPr>
                <w:rFonts w:hint="eastAsia" w:ascii="宋体" w:hAnsi="宋体" w:cs="宋体"/>
                <w:color w:val="auto"/>
                <w:highlight w:val="none"/>
              </w:rPr>
              <w:t>合价 （元）</w:t>
            </w:r>
          </w:p>
        </w:tc>
        <w:tc>
          <w:tcPr>
            <w:tcW w:w="73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折旧费（元）</w:t>
            </w:r>
          </w:p>
        </w:tc>
        <w:tc>
          <w:tcPr>
            <w:tcW w:w="73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使用费（元）</w:t>
            </w:r>
          </w:p>
        </w:tc>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小计折旧及使用费（元）</w:t>
            </w:r>
          </w:p>
        </w:tc>
        <w:tc>
          <w:tcPr>
            <w:tcW w:w="73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名称及型号</w:t>
            </w:r>
          </w:p>
        </w:tc>
        <w:tc>
          <w:tcPr>
            <w:tcW w:w="73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数量</w:t>
            </w:r>
          </w:p>
        </w:tc>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购置合价（元）</w:t>
            </w:r>
          </w:p>
        </w:tc>
        <w:tc>
          <w:tcPr>
            <w:tcW w:w="73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折旧费</w:t>
            </w:r>
          </w:p>
          <w:p>
            <w:pPr>
              <w:pStyle w:val="276"/>
              <w:jc w:val="center"/>
              <w:rPr>
                <w:rFonts w:hint="eastAsia" w:ascii="宋体" w:hAnsi="宋体" w:cs="宋体"/>
                <w:color w:val="auto"/>
                <w:highlight w:val="none"/>
              </w:rPr>
            </w:pPr>
            <w:r>
              <w:rPr>
                <w:rFonts w:hint="eastAsia" w:ascii="宋体" w:hAnsi="宋体" w:cs="宋体"/>
                <w:color w:val="auto"/>
                <w:highlight w:val="none"/>
              </w:rPr>
              <w:t>（元）</w:t>
            </w:r>
          </w:p>
        </w:tc>
        <w:tc>
          <w:tcPr>
            <w:tcW w:w="99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使用费</w:t>
            </w:r>
          </w:p>
          <w:p>
            <w:pPr>
              <w:pStyle w:val="276"/>
              <w:jc w:val="center"/>
              <w:rPr>
                <w:rFonts w:hint="eastAsia" w:ascii="宋体" w:hAnsi="宋体" w:cs="宋体"/>
                <w:color w:val="auto"/>
                <w:highlight w:val="none"/>
              </w:rPr>
            </w:pPr>
            <w:r>
              <w:rPr>
                <w:rFonts w:hint="eastAsia" w:ascii="宋体" w:hAnsi="宋体" w:cs="宋体"/>
                <w:color w:val="auto"/>
                <w:highlight w:val="none"/>
              </w:rPr>
              <w:t>（元）</w:t>
            </w:r>
          </w:p>
        </w:tc>
        <w:tc>
          <w:tcPr>
            <w:tcW w:w="81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小计折旧及使用 费（元）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exact"/>
        </w:trPr>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736"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exact"/>
        </w:trPr>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2</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736"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exact"/>
        </w:trPr>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3</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736"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exact"/>
        </w:trPr>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4</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736"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exact"/>
        </w:trPr>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5</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736"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exact"/>
        </w:trPr>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6</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736"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exact"/>
        </w:trPr>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7</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736"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exact"/>
        </w:trPr>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8</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736"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exact"/>
        </w:trPr>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9</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736"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exact"/>
        </w:trPr>
        <w:tc>
          <w:tcPr>
            <w:tcW w:w="73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736"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exact"/>
        </w:trPr>
        <w:tc>
          <w:tcPr>
            <w:tcW w:w="2941" w:type="dxa"/>
            <w:gridSpan w:val="4"/>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735"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737" w:type="dxa"/>
            <w:vAlign w:val="center"/>
          </w:tcPr>
          <w:p>
            <w:pPr>
              <w:pStyle w:val="276"/>
              <w:jc w:val="center"/>
              <w:rPr>
                <w:rFonts w:hint="eastAsia" w:ascii="宋体" w:hAnsi="宋体" w:cs="宋体"/>
                <w:color w:val="auto"/>
                <w:highlight w:val="none"/>
              </w:rPr>
            </w:pPr>
          </w:p>
        </w:tc>
        <w:tc>
          <w:tcPr>
            <w:tcW w:w="2204"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733" w:type="dxa"/>
          </w:tcPr>
          <w:p>
            <w:pPr>
              <w:pStyle w:val="276"/>
              <w:jc w:val="center"/>
              <w:rPr>
                <w:rFonts w:hint="eastAsia" w:ascii="宋体" w:hAnsi="宋体" w:cs="宋体"/>
                <w:color w:val="auto"/>
                <w:highlight w:val="none"/>
              </w:rPr>
            </w:pPr>
          </w:p>
        </w:tc>
        <w:tc>
          <w:tcPr>
            <w:tcW w:w="733" w:type="dxa"/>
          </w:tcPr>
          <w:p>
            <w:pPr>
              <w:pStyle w:val="276"/>
              <w:jc w:val="center"/>
              <w:rPr>
                <w:rFonts w:hint="eastAsia" w:ascii="宋体" w:hAnsi="宋体" w:cs="宋体"/>
                <w:color w:val="auto"/>
                <w:highlight w:val="none"/>
              </w:rPr>
            </w:pPr>
          </w:p>
        </w:tc>
        <w:tc>
          <w:tcPr>
            <w:tcW w:w="735" w:type="dxa"/>
          </w:tcPr>
          <w:p>
            <w:pPr>
              <w:pStyle w:val="276"/>
              <w:jc w:val="center"/>
              <w:rPr>
                <w:rFonts w:hint="eastAsia" w:ascii="宋体" w:hAnsi="宋体" w:cs="宋体"/>
                <w:color w:val="auto"/>
                <w:highlight w:val="none"/>
              </w:rPr>
            </w:pPr>
          </w:p>
        </w:tc>
        <w:tc>
          <w:tcPr>
            <w:tcW w:w="2201"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733" w:type="dxa"/>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815" w:type="dxa"/>
            <w:vAlign w:val="center"/>
          </w:tcPr>
          <w:p>
            <w:pPr>
              <w:pStyle w:val="276"/>
              <w:jc w:val="center"/>
              <w:rPr>
                <w:rFonts w:hint="eastAsia" w:ascii="宋体" w:hAnsi="宋体" w:cs="宋体"/>
                <w:color w:val="auto"/>
                <w:highlight w:val="none"/>
              </w:rPr>
            </w:pPr>
          </w:p>
        </w:tc>
      </w:tr>
    </w:tbl>
    <w:p>
      <w:pPr>
        <w:pStyle w:val="276"/>
        <w:rPr>
          <w:rFonts w:hint="eastAsia" w:ascii="宋体" w:hAnsi="宋体" w:cs="宋体"/>
          <w:color w:val="auto"/>
          <w:highlight w:val="none"/>
        </w:rPr>
      </w:pPr>
    </w:p>
    <w:p>
      <w:pPr>
        <w:pStyle w:val="276"/>
        <w:jc w:val="center"/>
        <w:rPr>
          <w:rFonts w:hint="eastAsia" w:ascii="黑体" w:hAnsi="黑体" w:eastAsia="黑体" w:cs="宋体"/>
          <w:color w:val="auto"/>
          <w:sz w:val="24"/>
          <w:highlight w:val="none"/>
        </w:rPr>
      </w:pPr>
      <w:r>
        <w:rPr>
          <w:rFonts w:hint="eastAsia" w:ascii="宋体" w:hAnsi="宋体" w:cs="宋体"/>
          <w:b/>
          <w:color w:val="auto"/>
          <w:sz w:val="24"/>
          <w:highlight w:val="none"/>
        </w:rPr>
        <w:br w:type="page"/>
      </w:r>
      <w:r>
        <w:rPr>
          <w:rFonts w:hint="eastAsia" w:ascii="黑体" w:hAnsi="黑体" w:eastAsia="黑体" w:cs="宋体"/>
          <w:color w:val="auto"/>
          <w:sz w:val="24"/>
          <w:highlight w:val="none"/>
        </w:rPr>
        <w:t>表4</w:t>
      </w:r>
      <w:r>
        <w:rPr>
          <w:rFonts w:hint="eastAsia" w:ascii="黑体" w:hAnsi="黑体" w:eastAsia="黑体" w:cs="宋体"/>
          <w:color w:val="auto"/>
          <w:sz w:val="24"/>
          <w:highlight w:val="none"/>
        </w:rPr>
        <w:tab/>
      </w:r>
      <w:r>
        <w:rPr>
          <w:rFonts w:hint="eastAsia" w:ascii="黑体" w:hAnsi="黑体" w:eastAsia="黑体" w:cs="宋体"/>
          <w:color w:val="auto"/>
          <w:sz w:val="24"/>
          <w:highlight w:val="none"/>
        </w:rPr>
        <w:t>监理工程师交通设施费报价表</w:t>
      </w:r>
    </w:p>
    <w:p>
      <w:pPr>
        <w:pStyle w:val="276"/>
        <w:rPr>
          <w:rFonts w:hint="eastAsia" w:ascii="宋体" w:hAnsi="宋体" w:cs="宋体"/>
          <w:color w:val="auto"/>
          <w:highlight w:val="none"/>
        </w:rPr>
      </w:pPr>
    </w:p>
    <w:tbl>
      <w:tblPr>
        <w:tblStyle w:val="48"/>
        <w:tblW w:w="144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91"/>
        <w:gridCol w:w="617"/>
        <w:gridCol w:w="619"/>
        <w:gridCol w:w="617"/>
        <w:gridCol w:w="624"/>
        <w:gridCol w:w="619"/>
        <w:gridCol w:w="617"/>
        <w:gridCol w:w="848"/>
        <w:gridCol w:w="708"/>
        <w:gridCol w:w="567"/>
        <w:gridCol w:w="709"/>
        <w:gridCol w:w="567"/>
        <w:gridCol w:w="709"/>
        <w:gridCol w:w="709"/>
        <w:gridCol w:w="850"/>
        <w:gridCol w:w="645"/>
        <w:gridCol w:w="573"/>
        <w:gridCol w:w="614"/>
        <w:gridCol w:w="614"/>
        <w:gridCol w:w="736"/>
        <w:gridCol w:w="671"/>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391" w:type="dxa"/>
            <w:vMerge w:val="restart"/>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4561" w:type="dxa"/>
            <w:gridSpan w:val="7"/>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施工期（含施工准备期）</w:t>
            </w:r>
          </w:p>
        </w:tc>
        <w:tc>
          <w:tcPr>
            <w:tcW w:w="4819" w:type="dxa"/>
            <w:gridSpan w:val="7"/>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r>
              <w:rPr>
                <w:rFonts w:hint="eastAsia" w:ascii="宋体" w:hAnsi="宋体" w:cs="宋体"/>
                <w:color w:val="auto"/>
                <w:highlight w:val="none"/>
              </w:rPr>
              <w:t>试运行期</w:t>
            </w:r>
          </w:p>
        </w:tc>
        <w:tc>
          <w:tcPr>
            <w:tcW w:w="4651" w:type="dxa"/>
            <w:gridSpan w:val="7"/>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缺陷责任期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2" w:hRule="exact"/>
        </w:trPr>
        <w:tc>
          <w:tcPr>
            <w:tcW w:w="391" w:type="dxa"/>
            <w:vMerge w:val="continue"/>
            <w:vAlign w:val="center"/>
          </w:tcPr>
          <w:p>
            <w:pPr>
              <w:pStyle w:val="276"/>
              <w:jc w:val="center"/>
              <w:rPr>
                <w:rFonts w:hint="eastAsia" w:ascii="宋体" w:hAnsi="宋体" w:cs="宋体"/>
                <w:color w:val="auto"/>
                <w:highlight w:val="none"/>
              </w:rPr>
            </w:pPr>
          </w:p>
        </w:tc>
        <w:tc>
          <w:tcPr>
            <w:tcW w:w="61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名称及</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型号</w:t>
            </w:r>
          </w:p>
        </w:tc>
        <w:tc>
          <w:tcPr>
            <w:tcW w:w="61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（辆）</w:t>
            </w:r>
          </w:p>
        </w:tc>
        <w:tc>
          <w:tcPr>
            <w:tcW w:w="61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单价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2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合价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1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1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848"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折旧及使用费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08"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名称及</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型号</w:t>
            </w:r>
          </w:p>
        </w:tc>
        <w:tc>
          <w:tcPr>
            <w:tcW w:w="56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（辆）</w:t>
            </w:r>
          </w:p>
        </w:tc>
        <w:tc>
          <w:tcPr>
            <w:tcW w:w="70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单价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56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合价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0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0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85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折旧及使用费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4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名称及</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型号</w:t>
            </w:r>
          </w:p>
        </w:tc>
        <w:tc>
          <w:tcPr>
            <w:tcW w:w="573"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（辆）</w:t>
            </w:r>
          </w:p>
        </w:tc>
        <w:tc>
          <w:tcPr>
            <w:tcW w:w="61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单价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1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合价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3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71"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98"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折旧及使用费（元）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3" w:hRule="exact"/>
        </w:trPr>
        <w:tc>
          <w:tcPr>
            <w:tcW w:w="39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w:t>
            </w:r>
          </w:p>
        </w:tc>
        <w:tc>
          <w:tcPr>
            <w:tcW w:w="617" w:type="dxa"/>
            <w:vAlign w:val="center"/>
          </w:tcPr>
          <w:p>
            <w:pPr>
              <w:pStyle w:val="276"/>
              <w:jc w:val="center"/>
              <w:rPr>
                <w:rFonts w:hint="eastAsia" w:ascii="宋体" w:hAnsi="宋体" w:cs="宋体"/>
                <w:color w:val="auto"/>
                <w:highlight w:val="none"/>
              </w:rPr>
            </w:pPr>
          </w:p>
        </w:tc>
        <w:tc>
          <w:tcPr>
            <w:tcW w:w="619" w:type="dxa"/>
            <w:vAlign w:val="center"/>
          </w:tcPr>
          <w:p>
            <w:pPr>
              <w:pStyle w:val="276"/>
              <w:jc w:val="center"/>
              <w:rPr>
                <w:rFonts w:hint="eastAsia" w:ascii="宋体" w:hAnsi="宋体" w:cs="宋体"/>
                <w:color w:val="auto"/>
                <w:highlight w:val="none"/>
              </w:rPr>
            </w:pPr>
          </w:p>
        </w:tc>
        <w:tc>
          <w:tcPr>
            <w:tcW w:w="617" w:type="dxa"/>
            <w:vAlign w:val="center"/>
          </w:tcPr>
          <w:p>
            <w:pPr>
              <w:pStyle w:val="276"/>
              <w:jc w:val="center"/>
              <w:rPr>
                <w:rFonts w:hint="eastAsia" w:ascii="宋体" w:hAnsi="宋体" w:cs="宋体"/>
                <w:color w:val="auto"/>
                <w:highlight w:val="none"/>
              </w:rPr>
            </w:pPr>
          </w:p>
        </w:tc>
        <w:tc>
          <w:tcPr>
            <w:tcW w:w="624" w:type="dxa"/>
            <w:vAlign w:val="center"/>
          </w:tcPr>
          <w:p>
            <w:pPr>
              <w:pStyle w:val="276"/>
              <w:jc w:val="center"/>
              <w:rPr>
                <w:rFonts w:hint="eastAsia" w:ascii="宋体" w:hAnsi="宋体" w:cs="宋体"/>
                <w:color w:val="auto"/>
                <w:highlight w:val="none"/>
              </w:rPr>
            </w:pPr>
          </w:p>
        </w:tc>
        <w:tc>
          <w:tcPr>
            <w:tcW w:w="619" w:type="dxa"/>
            <w:vAlign w:val="center"/>
          </w:tcPr>
          <w:p>
            <w:pPr>
              <w:pStyle w:val="276"/>
              <w:jc w:val="center"/>
              <w:rPr>
                <w:rFonts w:hint="eastAsia" w:ascii="宋体" w:hAnsi="宋体" w:cs="宋体"/>
                <w:color w:val="auto"/>
                <w:highlight w:val="none"/>
              </w:rPr>
            </w:pPr>
          </w:p>
        </w:tc>
        <w:tc>
          <w:tcPr>
            <w:tcW w:w="617" w:type="dxa"/>
            <w:vAlign w:val="center"/>
          </w:tcPr>
          <w:p>
            <w:pPr>
              <w:pStyle w:val="276"/>
              <w:jc w:val="center"/>
              <w:rPr>
                <w:rFonts w:hint="eastAsia" w:ascii="宋体" w:hAnsi="宋体" w:cs="宋体"/>
                <w:color w:val="auto"/>
                <w:highlight w:val="none"/>
              </w:rPr>
            </w:pPr>
          </w:p>
        </w:tc>
        <w:tc>
          <w:tcPr>
            <w:tcW w:w="848" w:type="dxa"/>
            <w:vAlign w:val="center"/>
          </w:tcPr>
          <w:p>
            <w:pPr>
              <w:pStyle w:val="276"/>
              <w:jc w:val="center"/>
              <w:rPr>
                <w:rFonts w:hint="eastAsia" w:ascii="宋体" w:hAnsi="宋体" w:cs="宋体"/>
                <w:color w:val="auto"/>
                <w:highlight w:val="none"/>
              </w:rPr>
            </w:pPr>
          </w:p>
        </w:tc>
        <w:tc>
          <w:tcPr>
            <w:tcW w:w="708"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645" w:type="dxa"/>
            <w:vAlign w:val="center"/>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614" w:type="dxa"/>
          </w:tcPr>
          <w:p>
            <w:pPr>
              <w:pStyle w:val="276"/>
              <w:jc w:val="center"/>
              <w:rPr>
                <w:rFonts w:hint="eastAsia" w:ascii="宋体" w:hAnsi="宋体" w:cs="宋体"/>
                <w:color w:val="auto"/>
                <w:highlight w:val="none"/>
              </w:rPr>
            </w:pPr>
          </w:p>
        </w:tc>
        <w:tc>
          <w:tcPr>
            <w:tcW w:w="614"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671" w:type="dxa"/>
            <w:vAlign w:val="center"/>
          </w:tcPr>
          <w:p>
            <w:pPr>
              <w:pStyle w:val="276"/>
              <w:jc w:val="center"/>
              <w:rPr>
                <w:rFonts w:hint="eastAsia" w:ascii="宋体" w:hAnsi="宋体" w:cs="宋体"/>
                <w:color w:val="auto"/>
                <w:highlight w:val="none"/>
              </w:rPr>
            </w:pPr>
          </w:p>
        </w:tc>
        <w:tc>
          <w:tcPr>
            <w:tcW w:w="798"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3" w:hRule="exact"/>
        </w:trPr>
        <w:tc>
          <w:tcPr>
            <w:tcW w:w="39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2</w:t>
            </w:r>
          </w:p>
        </w:tc>
        <w:tc>
          <w:tcPr>
            <w:tcW w:w="617" w:type="dxa"/>
            <w:vAlign w:val="center"/>
          </w:tcPr>
          <w:p>
            <w:pPr>
              <w:pStyle w:val="276"/>
              <w:jc w:val="center"/>
              <w:rPr>
                <w:rFonts w:hint="eastAsia" w:ascii="宋体" w:hAnsi="宋体" w:cs="宋体"/>
                <w:color w:val="auto"/>
                <w:highlight w:val="none"/>
              </w:rPr>
            </w:pPr>
          </w:p>
        </w:tc>
        <w:tc>
          <w:tcPr>
            <w:tcW w:w="619" w:type="dxa"/>
            <w:vAlign w:val="center"/>
          </w:tcPr>
          <w:p>
            <w:pPr>
              <w:pStyle w:val="276"/>
              <w:jc w:val="center"/>
              <w:rPr>
                <w:rFonts w:hint="eastAsia" w:ascii="宋体" w:hAnsi="宋体" w:cs="宋体"/>
                <w:color w:val="auto"/>
                <w:highlight w:val="none"/>
              </w:rPr>
            </w:pPr>
          </w:p>
        </w:tc>
        <w:tc>
          <w:tcPr>
            <w:tcW w:w="617" w:type="dxa"/>
            <w:vAlign w:val="center"/>
          </w:tcPr>
          <w:p>
            <w:pPr>
              <w:pStyle w:val="276"/>
              <w:jc w:val="center"/>
              <w:rPr>
                <w:rFonts w:hint="eastAsia" w:ascii="宋体" w:hAnsi="宋体" w:cs="宋体"/>
                <w:color w:val="auto"/>
                <w:highlight w:val="none"/>
              </w:rPr>
            </w:pPr>
          </w:p>
        </w:tc>
        <w:tc>
          <w:tcPr>
            <w:tcW w:w="624" w:type="dxa"/>
            <w:vAlign w:val="center"/>
          </w:tcPr>
          <w:p>
            <w:pPr>
              <w:pStyle w:val="276"/>
              <w:jc w:val="center"/>
              <w:rPr>
                <w:rFonts w:hint="eastAsia" w:ascii="宋体" w:hAnsi="宋体" w:cs="宋体"/>
                <w:color w:val="auto"/>
                <w:highlight w:val="none"/>
              </w:rPr>
            </w:pPr>
          </w:p>
        </w:tc>
        <w:tc>
          <w:tcPr>
            <w:tcW w:w="619" w:type="dxa"/>
            <w:vAlign w:val="center"/>
          </w:tcPr>
          <w:p>
            <w:pPr>
              <w:pStyle w:val="276"/>
              <w:jc w:val="center"/>
              <w:rPr>
                <w:rFonts w:hint="eastAsia" w:ascii="宋体" w:hAnsi="宋体" w:cs="宋体"/>
                <w:color w:val="auto"/>
                <w:highlight w:val="none"/>
              </w:rPr>
            </w:pPr>
          </w:p>
        </w:tc>
        <w:tc>
          <w:tcPr>
            <w:tcW w:w="617" w:type="dxa"/>
            <w:vAlign w:val="center"/>
          </w:tcPr>
          <w:p>
            <w:pPr>
              <w:pStyle w:val="276"/>
              <w:jc w:val="center"/>
              <w:rPr>
                <w:rFonts w:hint="eastAsia" w:ascii="宋体" w:hAnsi="宋体" w:cs="宋体"/>
                <w:color w:val="auto"/>
                <w:highlight w:val="none"/>
              </w:rPr>
            </w:pPr>
          </w:p>
        </w:tc>
        <w:tc>
          <w:tcPr>
            <w:tcW w:w="848" w:type="dxa"/>
            <w:vAlign w:val="center"/>
          </w:tcPr>
          <w:p>
            <w:pPr>
              <w:pStyle w:val="276"/>
              <w:jc w:val="center"/>
              <w:rPr>
                <w:rFonts w:hint="eastAsia" w:ascii="宋体" w:hAnsi="宋体" w:cs="宋体"/>
                <w:color w:val="auto"/>
                <w:highlight w:val="none"/>
              </w:rPr>
            </w:pPr>
          </w:p>
        </w:tc>
        <w:tc>
          <w:tcPr>
            <w:tcW w:w="708"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645" w:type="dxa"/>
            <w:vAlign w:val="center"/>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614" w:type="dxa"/>
          </w:tcPr>
          <w:p>
            <w:pPr>
              <w:pStyle w:val="276"/>
              <w:jc w:val="center"/>
              <w:rPr>
                <w:rFonts w:hint="eastAsia" w:ascii="宋体" w:hAnsi="宋体" w:cs="宋体"/>
                <w:color w:val="auto"/>
                <w:highlight w:val="none"/>
              </w:rPr>
            </w:pPr>
          </w:p>
        </w:tc>
        <w:tc>
          <w:tcPr>
            <w:tcW w:w="614"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671" w:type="dxa"/>
            <w:vAlign w:val="center"/>
          </w:tcPr>
          <w:p>
            <w:pPr>
              <w:pStyle w:val="276"/>
              <w:jc w:val="center"/>
              <w:rPr>
                <w:rFonts w:hint="eastAsia" w:ascii="宋体" w:hAnsi="宋体" w:cs="宋体"/>
                <w:color w:val="auto"/>
                <w:highlight w:val="none"/>
              </w:rPr>
            </w:pPr>
          </w:p>
        </w:tc>
        <w:tc>
          <w:tcPr>
            <w:tcW w:w="798"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3" w:hRule="exact"/>
        </w:trPr>
        <w:tc>
          <w:tcPr>
            <w:tcW w:w="39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3</w:t>
            </w:r>
          </w:p>
        </w:tc>
        <w:tc>
          <w:tcPr>
            <w:tcW w:w="617" w:type="dxa"/>
            <w:vAlign w:val="center"/>
          </w:tcPr>
          <w:p>
            <w:pPr>
              <w:pStyle w:val="276"/>
              <w:jc w:val="center"/>
              <w:rPr>
                <w:rFonts w:hint="eastAsia" w:ascii="宋体" w:hAnsi="宋体" w:cs="宋体"/>
                <w:color w:val="auto"/>
                <w:highlight w:val="none"/>
              </w:rPr>
            </w:pPr>
          </w:p>
        </w:tc>
        <w:tc>
          <w:tcPr>
            <w:tcW w:w="619" w:type="dxa"/>
            <w:vAlign w:val="center"/>
          </w:tcPr>
          <w:p>
            <w:pPr>
              <w:pStyle w:val="276"/>
              <w:jc w:val="center"/>
              <w:rPr>
                <w:rFonts w:hint="eastAsia" w:ascii="宋体" w:hAnsi="宋体" w:cs="宋体"/>
                <w:color w:val="auto"/>
                <w:highlight w:val="none"/>
              </w:rPr>
            </w:pPr>
          </w:p>
        </w:tc>
        <w:tc>
          <w:tcPr>
            <w:tcW w:w="617" w:type="dxa"/>
            <w:vAlign w:val="center"/>
          </w:tcPr>
          <w:p>
            <w:pPr>
              <w:pStyle w:val="276"/>
              <w:jc w:val="center"/>
              <w:rPr>
                <w:rFonts w:hint="eastAsia" w:ascii="宋体" w:hAnsi="宋体" w:cs="宋体"/>
                <w:color w:val="auto"/>
                <w:highlight w:val="none"/>
              </w:rPr>
            </w:pPr>
          </w:p>
        </w:tc>
        <w:tc>
          <w:tcPr>
            <w:tcW w:w="624" w:type="dxa"/>
            <w:vAlign w:val="center"/>
          </w:tcPr>
          <w:p>
            <w:pPr>
              <w:pStyle w:val="276"/>
              <w:jc w:val="center"/>
              <w:rPr>
                <w:rFonts w:hint="eastAsia" w:ascii="宋体" w:hAnsi="宋体" w:cs="宋体"/>
                <w:color w:val="auto"/>
                <w:highlight w:val="none"/>
              </w:rPr>
            </w:pPr>
          </w:p>
        </w:tc>
        <w:tc>
          <w:tcPr>
            <w:tcW w:w="619" w:type="dxa"/>
            <w:vAlign w:val="center"/>
          </w:tcPr>
          <w:p>
            <w:pPr>
              <w:pStyle w:val="276"/>
              <w:jc w:val="center"/>
              <w:rPr>
                <w:rFonts w:hint="eastAsia" w:ascii="宋体" w:hAnsi="宋体" w:cs="宋体"/>
                <w:color w:val="auto"/>
                <w:highlight w:val="none"/>
              </w:rPr>
            </w:pPr>
          </w:p>
        </w:tc>
        <w:tc>
          <w:tcPr>
            <w:tcW w:w="617" w:type="dxa"/>
            <w:vAlign w:val="center"/>
          </w:tcPr>
          <w:p>
            <w:pPr>
              <w:pStyle w:val="276"/>
              <w:jc w:val="center"/>
              <w:rPr>
                <w:rFonts w:hint="eastAsia" w:ascii="宋体" w:hAnsi="宋体" w:cs="宋体"/>
                <w:color w:val="auto"/>
                <w:highlight w:val="none"/>
              </w:rPr>
            </w:pPr>
          </w:p>
        </w:tc>
        <w:tc>
          <w:tcPr>
            <w:tcW w:w="848" w:type="dxa"/>
            <w:vAlign w:val="center"/>
          </w:tcPr>
          <w:p>
            <w:pPr>
              <w:pStyle w:val="276"/>
              <w:jc w:val="center"/>
              <w:rPr>
                <w:rFonts w:hint="eastAsia" w:ascii="宋体" w:hAnsi="宋体" w:cs="宋体"/>
                <w:color w:val="auto"/>
                <w:highlight w:val="none"/>
              </w:rPr>
            </w:pPr>
          </w:p>
        </w:tc>
        <w:tc>
          <w:tcPr>
            <w:tcW w:w="708"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645" w:type="dxa"/>
            <w:vAlign w:val="center"/>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614" w:type="dxa"/>
          </w:tcPr>
          <w:p>
            <w:pPr>
              <w:pStyle w:val="276"/>
              <w:jc w:val="center"/>
              <w:rPr>
                <w:rFonts w:hint="eastAsia" w:ascii="宋体" w:hAnsi="宋体" w:cs="宋体"/>
                <w:color w:val="auto"/>
                <w:highlight w:val="none"/>
              </w:rPr>
            </w:pPr>
          </w:p>
        </w:tc>
        <w:tc>
          <w:tcPr>
            <w:tcW w:w="614"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671" w:type="dxa"/>
            <w:vAlign w:val="center"/>
          </w:tcPr>
          <w:p>
            <w:pPr>
              <w:pStyle w:val="276"/>
              <w:jc w:val="center"/>
              <w:rPr>
                <w:rFonts w:hint="eastAsia" w:ascii="宋体" w:hAnsi="宋体" w:cs="宋体"/>
                <w:color w:val="auto"/>
                <w:highlight w:val="none"/>
              </w:rPr>
            </w:pPr>
          </w:p>
        </w:tc>
        <w:tc>
          <w:tcPr>
            <w:tcW w:w="798"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3" w:hRule="exact"/>
        </w:trPr>
        <w:tc>
          <w:tcPr>
            <w:tcW w:w="39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w:t>
            </w:r>
          </w:p>
        </w:tc>
        <w:tc>
          <w:tcPr>
            <w:tcW w:w="617" w:type="dxa"/>
            <w:vAlign w:val="center"/>
          </w:tcPr>
          <w:p>
            <w:pPr>
              <w:pStyle w:val="276"/>
              <w:jc w:val="center"/>
              <w:rPr>
                <w:rFonts w:hint="eastAsia" w:ascii="宋体" w:hAnsi="宋体" w:cs="宋体"/>
                <w:color w:val="auto"/>
                <w:highlight w:val="none"/>
              </w:rPr>
            </w:pPr>
          </w:p>
        </w:tc>
        <w:tc>
          <w:tcPr>
            <w:tcW w:w="619" w:type="dxa"/>
            <w:vAlign w:val="center"/>
          </w:tcPr>
          <w:p>
            <w:pPr>
              <w:pStyle w:val="276"/>
              <w:jc w:val="center"/>
              <w:rPr>
                <w:rFonts w:hint="eastAsia" w:ascii="宋体" w:hAnsi="宋体" w:cs="宋体"/>
                <w:color w:val="auto"/>
                <w:highlight w:val="none"/>
              </w:rPr>
            </w:pPr>
          </w:p>
        </w:tc>
        <w:tc>
          <w:tcPr>
            <w:tcW w:w="617" w:type="dxa"/>
            <w:vAlign w:val="center"/>
          </w:tcPr>
          <w:p>
            <w:pPr>
              <w:pStyle w:val="276"/>
              <w:jc w:val="center"/>
              <w:rPr>
                <w:rFonts w:hint="eastAsia" w:ascii="宋体" w:hAnsi="宋体" w:cs="宋体"/>
                <w:color w:val="auto"/>
                <w:highlight w:val="none"/>
              </w:rPr>
            </w:pPr>
          </w:p>
        </w:tc>
        <w:tc>
          <w:tcPr>
            <w:tcW w:w="624" w:type="dxa"/>
            <w:vAlign w:val="center"/>
          </w:tcPr>
          <w:p>
            <w:pPr>
              <w:pStyle w:val="276"/>
              <w:jc w:val="center"/>
              <w:rPr>
                <w:rFonts w:hint="eastAsia" w:ascii="宋体" w:hAnsi="宋体" w:cs="宋体"/>
                <w:color w:val="auto"/>
                <w:highlight w:val="none"/>
              </w:rPr>
            </w:pPr>
          </w:p>
        </w:tc>
        <w:tc>
          <w:tcPr>
            <w:tcW w:w="619" w:type="dxa"/>
            <w:vAlign w:val="center"/>
          </w:tcPr>
          <w:p>
            <w:pPr>
              <w:pStyle w:val="276"/>
              <w:jc w:val="center"/>
              <w:rPr>
                <w:rFonts w:hint="eastAsia" w:ascii="宋体" w:hAnsi="宋体" w:cs="宋体"/>
                <w:color w:val="auto"/>
                <w:highlight w:val="none"/>
              </w:rPr>
            </w:pPr>
          </w:p>
        </w:tc>
        <w:tc>
          <w:tcPr>
            <w:tcW w:w="617" w:type="dxa"/>
            <w:vAlign w:val="center"/>
          </w:tcPr>
          <w:p>
            <w:pPr>
              <w:pStyle w:val="276"/>
              <w:jc w:val="center"/>
              <w:rPr>
                <w:rFonts w:hint="eastAsia" w:ascii="宋体" w:hAnsi="宋体" w:cs="宋体"/>
                <w:color w:val="auto"/>
                <w:highlight w:val="none"/>
              </w:rPr>
            </w:pPr>
          </w:p>
        </w:tc>
        <w:tc>
          <w:tcPr>
            <w:tcW w:w="848" w:type="dxa"/>
            <w:vAlign w:val="center"/>
          </w:tcPr>
          <w:p>
            <w:pPr>
              <w:pStyle w:val="276"/>
              <w:jc w:val="center"/>
              <w:rPr>
                <w:rFonts w:hint="eastAsia" w:ascii="宋体" w:hAnsi="宋体" w:cs="宋体"/>
                <w:color w:val="auto"/>
                <w:highlight w:val="none"/>
              </w:rPr>
            </w:pPr>
          </w:p>
        </w:tc>
        <w:tc>
          <w:tcPr>
            <w:tcW w:w="708"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645" w:type="dxa"/>
            <w:vAlign w:val="center"/>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614" w:type="dxa"/>
          </w:tcPr>
          <w:p>
            <w:pPr>
              <w:pStyle w:val="276"/>
              <w:jc w:val="center"/>
              <w:rPr>
                <w:rFonts w:hint="eastAsia" w:ascii="宋体" w:hAnsi="宋体" w:cs="宋体"/>
                <w:color w:val="auto"/>
                <w:highlight w:val="none"/>
              </w:rPr>
            </w:pPr>
          </w:p>
        </w:tc>
        <w:tc>
          <w:tcPr>
            <w:tcW w:w="614" w:type="dxa"/>
            <w:vAlign w:val="center"/>
          </w:tcPr>
          <w:p>
            <w:pPr>
              <w:pStyle w:val="276"/>
              <w:jc w:val="center"/>
              <w:rPr>
                <w:rFonts w:hint="eastAsia" w:ascii="宋体" w:hAnsi="宋体" w:cs="宋体"/>
                <w:color w:val="auto"/>
                <w:highlight w:val="none"/>
              </w:rPr>
            </w:pPr>
          </w:p>
        </w:tc>
        <w:tc>
          <w:tcPr>
            <w:tcW w:w="736" w:type="dxa"/>
            <w:vAlign w:val="center"/>
          </w:tcPr>
          <w:p>
            <w:pPr>
              <w:pStyle w:val="276"/>
              <w:jc w:val="center"/>
              <w:rPr>
                <w:rFonts w:hint="eastAsia" w:ascii="宋体" w:hAnsi="宋体" w:cs="宋体"/>
                <w:color w:val="auto"/>
                <w:highlight w:val="none"/>
              </w:rPr>
            </w:pPr>
          </w:p>
        </w:tc>
        <w:tc>
          <w:tcPr>
            <w:tcW w:w="671" w:type="dxa"/>
            <w:vAlign w:val="center"/>
          </w:tcPr>
          <w:p>
            <w:pPr>
              <w:pStyle w:val="276"/>
              <w:jc w:val="center"/>
              <w:rPr>
                <w:rFonts w:hint="eastAsia" w:ascii="宋体" w:hAnsi="宋体" w:cs="宋体"/>
                <w:color w:val="auto"/>
                <w:highlight w:val="none"/>
              </w:rPr>
            </w:pPr>
          </w:p>
        </w:tc>
        <w:tc>
          <w:tcPr>
            <w:tcW w:w="798"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9" w:hRule="exact"/>
        </w:trPr>
        <w:tc>
          <w:tcPr>
            <w:tcW w:w="2868" w:type="dxa"/>
            <w:gridSpan w:val="5"/>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619" w:type="dxa"/>
            <w:vAlign w:val="center"/>
          </w:tcPr>
          <w:p>
            <w:pPr>
              <w:pStyle w:val="276"/>
              <w:jc w:val="center"/>
              <w:rPr>
                <w:rFonts w:hint="eastAsia" w:ascii="宋体" w:hAnsi="宋体" w:cs="宋体"/>
                <w:color w:val="auto"/>
                <w:highlight w:val="none"/>
              </w:rPr>
            </w:pPr>
          </w:p>
        </w:tc>
        <w:tc>
          <w:tcPr>
            <w:tcW w:w="617" w:type="dxa"/>
            <w:vAlign w:val="center"/>
          </w:tcPr>
          <w:p>
            <w:pPr>
              <w:pStyle w:val="276"/>
              <w:jc w:val="center"/>
              <w:rPr>
                <w:rFonts w:hint="eastAsia" w:ascii="宋体" w:hAnsi="宋体" w:cs="宋体"/>
                <w:color w:val="auto"/>
                <w:highlight w:val="none"/>
              </w:rPr>
            </w:pPr>
          </w:p>
        </w:tc>
        <w:tc>
          <w:tcPr>
            <w:tcW w:w="848" w:type="dxa"/>
            <w:vAlign w:val="center"/>
          </w:tcPr>
          <w:p>
            <w:pPr>
              <w:pStyle w:val="276"/>
              <w:jc w:val="center"/>
              <w:rPr>
                <w:rFonts w:hint="eastAsia" w:ascii="宋体" w:hAnsi="宋体" w:cs="宋体"/>
                <w:color w:val="auto"/>
                <w:highlight w:val="none"/>
              </w:rPr>
            </w:pPr>
          </w:p>
        </w:tc>
        <w:tc>
          <w:tcPr>
            <w:tcW w:w="2551" w:type="dxa"/>
            <w:gridSpan w:val="4"/>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709"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2446" w:type="dxa"/>
            <w:gridSpan w:val="4"/>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736" w:type="dxa"/>
            <w:vAlign w:val="center"/>
          </w:tcPr>
          <w:p>
            <w:pPr>
              <w:pStyle w:val="276"/>
              <w:jc w:val="center"/>
              <w:rPr>
                <w:rFonts w:hint="eastAsia" w:ascii="宋体" w:hAnsi="宋体" w:cs="宋体"/>
                <w:color w:val="auto"/>
                <w:highlight w:val="none"/>
              </w:rPr>
            </w:pPr>
          </w:p>
        </w:tc>
        <w:tc>
          <w:tcPr>
            <w:tcW w:w="671" w:type="dxa"/>
            <w:vAlign w:val="center"/>
          </w:tcPr>
          <w:p>
            <w:pPr>
              <w:pStyle w:val="276"/>
              <w:jc w:val="center"/>
              <w:rPr>
                <w:rFonts w:hint="eastAsia" w:ascii="宋体" w:hAnsi="宋体" w:cs="宋体"/>
                <w:color w:val="auto"/>
                <w:highlight w:val="none"/>
              </w:rPr>
            </w:pPr>
          </w:p>
        </w:tc>
        <w:tc>
          <w:tcPr>
            <w:tcW w:w="798" w:type="dxa"/>
            <w:vAlign w:val="center"/>
          </w:tcPr>
          <w:p>
            <w:pPr>
              <w:pStyle w:val="276"/>
              <w:jc w:val="center"/>
              <w:rPr>
                <w:rFonts w:hint="eastAsia" w:ascii="宋体" w:hAnsi="宋体" w:cs="宋体"/>
                <w:color w:val="auto"/>
                <w:highlight w:val="none"/>
              </w:rPr>
            </w:pPr>
          </w:p>
        </w:tc>
      </w:tr>
    </w:tbl>
    <w:p>
      <w:pPr>
        <w:pStyle w:val="276"/>
        <w:jc w:val="center"/>
        <w:rPr>
          <w:rFonts w:hint="eastAsia" w:ascii="宋体" w:hAnsi="宋体" w:cs="宋体"/>
          <w:b/>
          <w:color w:val="auto"/>
          <w:sz w:val="24"/>
          <w:highlight w:val="none"/>
        </w:rPr>
      </w:pPr>
    </w:p>
    <w:p>
      <w:pPr>
        <w:jc w:val="center"/>
        <w:rPr>
          <w:rFonts w:hint="eastAsia" w:ascii="黑体" w:hAnsi="黑体" w:eastAsia="黑体" w:cs="宋体"/>
          <w:color w:val="auto"/>
          <w:sz w:val="24"/>
          <w:highlight w:val="none"/>
        </w:rPr>
      </w:pPr>
      <w:r>
        <w:rPr>
          <w:rFonts w:hint="eastAsia" w:ascii="宋体" w:hAnsi="宋体" w:cs="宋体"/>
          <w:color w:val="auto"/>
          <w:highlight w:val="none"/>
        </w:rPr>
        <w:br w:type="page"/>
      </w:r>
      <w:r>
        <w:rPr>
          <w:rFonts w:hint="eastAsia" w:ascii="黑体" w:hAnsi="黑体" w:eastAsia="黑体" w:cs="宋体"/>
          <w:color w:val="auto"/>
          <w:sz w:val="24"/>
          <w:highlight w:val="none"/>
        </w:rPr>
        <w:t>表5</w:t>
      </w:r>
      <w:r>
        <w:rPr>
          <w:rFonts w:hint="eastAsia" w:ascii="黑体" w:hAnsi="黑体" w:eastAsia="黑体" w:cs="宋体"/>
          <w:color w:val="auto"/>
          <w:sz w:val="24"/>
          <w:highlight w:val="none"/>
        </w:rPr>
        <w:tab/>
      </w:r>
      <w:r>
        <w:rPr>
          <w:rFonts w:hint="eastAsia" w:ascii="黑体" w:hAnsi="黑体" w:eastAsia="黑体" w:cs="宋体"/>
          <w:color w:val="auto"/>
          <w:sz w:val="24"/>
          <w:highlight w:val="none"/>
        </w:rPr>
        <w:t>监理工程师生活设施费报价表</w:t>
      </w:r>
    </w:p>
    <w:p>
      <w:pPr>
        <w:pStyle w:val="276"/>
        <w:rPr>
          <w:rFonts w:hint="eastAsia" w:ascii="宋体" w:hAnsi="宋体" w:cs="宋体"/>
          <w:color w:val="auto"/>
          <w:highlight w:val="none"/>
        </w:rPr>
      </w:pPr>
    </w:p>
    <w:tbl>
      <w:tblPr>
        <w:tblStyle w:val="48"/>
        <w:tblW w:w="1436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88"/>
        <w:gridCol w:w="1020"/>
        <w:gridCol w:w="425"/>
        <w:gridCol w:w="851"/>
        <w:gridCol w:w="567"/>
        <w:gridCol w:w="708"/>
        <w:gridCol w:w="993"/>
        <w:gridCol w:w="992"/>
        <w:gridCol w:w="567"/>
        <w:gridCol w:w="850"/>
        <w:gridCol w:w="858"/>
        <w:gridCol w:w="702"/>
        <w:gridCol w:w="850"/>
        <w:gridCol w:w="992"/>
        <w:gridCol w:w="426"/>
        <w:gridCol w:w="850"/>
        <w:gridCol w:w="709"/>
        <w:gridCol w:w="741"/>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4" w:hRule="exact"/>
        </w:trPr>
        <w:tc>
          <w:tcPr>
            <w:tcW w:w="388" w:type="dxa"/>
            <w:vMerge w:val="restart"/>
            <w:vAlign w:val="center"/>
          </w:tcPr>
          <w:p>
            <w:pPr>
              <w:pStyle w:val="276"/>
              <w:jc w:val="center"/>
              <w:rPr>
                <w:rFonts w:hint="eastAsia" w:ascii="宋体" w:hAnsi="宋体" w:cs="宋体"/>
                <w:color w:val="auto"/>
                <w:highlight w:val="none"/>
              </w:rPr>
            </w:pPr>
          </w:p>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4564" w:type="dxa"/>
            <w:gridSpan w:val="6"/>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施工期（含施工准备期）</w:t>
            </w:r>
          </w:p>
        </w:tc>
        <w:tc>
          <w:tcPr>
            <w:tcW w:w="4819" w:type="dxa"/>
            <w:gridSpan w:val="6"/>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 xml:space="preserve">□ </w:t>
            </w:r>
            <w:r>
              <w:rPr>
                <w:rFonts w:hint="eastAsia" w:ascii="宋体" w:hAnsi="宋体" w:cs="宋体"/>
                <w:color w:val="auto"/>
                <w:highlight w:val="none"/>
              </w:rPr>
              <w:t>试运行期</w:t>
            </w:r>
          </w:p>
        </w:tc>
        <w:tc>
          <w:tcPr>
            <w:tcW w:w="4592" w:type="dxa"/>
            <w:gridSpan w:val="6"/>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缺陷责任期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2" w:hRule="atLeast"/>
        </w:trPr>
        <w:tc>
          <w:tcPr>
            <w:tcW w:w="388" w:type="dxa"/>
            <w:vMerge w:val="continue"/>
            <w:vAlign w:val="center"/>
          </w:tcPr>
          <w:p>
            <w:pPr>
              <w:pStyle w:val="276"/>
              <w:jc w:val="center"/>
              <w:rPr>
                <w:rFonts w:hint="eastAsia" w:ascii="宋体" w:hAnsi="宋体" w:cs="宋体"/>
                <w:color w:val="auto"/>
                <w:highlight w:val="none"/>
              </w:rPr>
            </w:pPr>
          </w:p>
        </w:tc>
        <w:tc>
          <w:tcPr>
            <w:tcW w:w="102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名称及型号</w:t>
            </w:r>
          </w:p>
        </w:tc>
        <w:tc>
          <w:tcPr>
            <w:tcW w:w="42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tc>
        <w:tc>
          <w:tcPr>
            <w:tcW w:w="851"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购置合价（元）</w:t>
            </w:r>
          </w:p>
        </w:tc>
        <w:tc>
          <w:tcPr>
            <w:tcW w:w="56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08"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993"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小计折旧及使用费（元）</w:t>
            </w:r>
          </w:p>
        </w:tc>
        <w:tc>
          <w:tcPr>
            <w:tcW w:w="99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名称及型号</w:t>
            </w:r>
          </w:p>
        </w:tc>
        <w:tc>
          <w:tcPr>
            <w:tcW w:w="56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tc>
        <w:tc>
          <w:tcPr>
            <w:tcW w:w="85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购置合价（元）</w:t>
            </w:r>
          </w:p>
        </w:tc>
        <w:tc>
          <w:tcPr>
            <w:tcW w:w="858"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0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85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小计折旧及使用费（元）</w:t>
            </w:r>
          </w:p>
        </w:tc>
        <w:tc>
          <w:tcPr>
            <w:tcW w:w="99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名称及型号</w:t>
            </w:r>
          </w:p>
        </w:tc>
        <w:tc>
          <w:tcPr>
            <w:tcW w:w="42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tc>
        <w:tc>
          <w:tcPr>
            <w:tcW w:w="85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购置合价（元）</w:t>
            </w:r>
          </w:p>
        </w:tc>
        <w:tc>
          <w:tcPr>
            <w:tcW w:w="70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41"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87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小计折旧及使用费（元）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1" w:hRule="exact"/>
        </w:trPr>
        <w:tc>
          <w:tcPr>
            <w:tcW w:w="3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w:t>
            </w:r>
          </w:p>
        </w:tc>
        <w:tc>
          <w:tcPr>
            <w:tcW w:w="1020"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8" w:type="dxa"/>
            <w:vAlign w:val="center"/>
          </w:tcPr>
          <w:p>
            <w:pPr>
              <w:pStyle w:val="276"/>
              <w:jc w:val="center"/>
              <w:rPr>
                <w:rFonts w:hint="eastAsia" w:ascii="宋体" w:hAnsi="宋体" w:cs="宋体"/>
                <w:color w:val="auto"/>
                <w:highlight w:val="none"/>
              </w:rPr>
            </w:pPr>
          </w:p>
        </w:tc>
        <w:tc>
          <w:tcPr>
            <w:tcW w:w="993" w:type="dxa"/>
            <w:vAlign w:val="center"/>
          </w:tcPr>
          <w:p>
            <w:pPr>
              <w:pStyle w:val="276"/>
              <w:jc w:val="center"/>
              <w:rPr>
                <w:rFonts w:hint="eastAsia" w:ascii="宋体" w:hAnsi="宋体" w:cs="宋体"/>
                <w:color w:val="auto"/>
                <w:highlight w:val="none"/>
              </w:rPr>
            </w:pPr>
          </w:p>
        </w:tc>
        <w:tc>
          <w:tcPr>
            <w:tcW w:w="992"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858" w:type="dxa"/>
          </w:tcPr>
          <w:p>
            <w:pPr>
              <w:pStyle w:val="276"/>
              <w:jc w:val="center"/>
              <w:rPr>
                <w:rFonts w:hint="eastAsia" w:ascii="宋体" w:hAnsi="宋体" w:cs="宋体"/>
                <w:color w:val="auto"/>
                <w:highlight w:val="none"/>
              </w:rPr>
            </w:pPr>
          </w:p>
        </w:tc>
        <w:tc>
          <w:tcPr>
            <w:tcW w:w="702"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426" w:type="dxa"/>
            <w:vAlign w:val="center"/>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741" w:type="dxa"/>
            <w:vAlign w:val="center"/>
          </w:tcPr>
          <w:p>
            <w:pPr>
              <w:pStyle w:val="276"/>
              <w:jc w:val="center"/>
              <w:rPr>
                <w:rFonts w:hint="eastAsia" w:ascii="宋体" w:hAnsi="宋体" w:cs="宋体"/>
                <w:color w:val="auto"/>
                <w:highlight w:val="none"/>
              </w:rPr>
            </w:pPr>
          </w:p>
        </w:tc>
        <w:tc>
          <w:tcPr>
            <w:tcW w:w="874"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3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2</w:t>
            </w:r>
          </w:p>
        </w:tc>
        <w:tc>
          <w:tcPr>
            <w:tcW w:w="1020"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8" w:type="dxa"/>
            <w:vAlign w:val="center"/>
          </w:tcPr>
          <w:p>
            <w:pPr>
              <w:pStyle w:val="276"/>
              <w:jc w:val="center"/>
              <w:rPr>
                <w:rFonts w:hint="eastAsia" w:ascii="宋体" w:hAnsi="宋体" w:cs="宋体"/>
                <w:color w:val="auto"/>
                <w:highlight w:val="none"/>
              </w:rPr>
            </w:pPr>
          </w:p>
        </w:tc>
        <w:tc>
          <w:tcPr>
            <w:tcW w:w="993" w:type="dxa"/>
            <w:vAlign w:val="center"/>
          </w:tcPr>
          <w:p>
            <w:pPr>
              <w:pStyle w:val="276"/>
              <w:jc w:val="center"/>
              <w:rPr>
                <w:rFonts w:hint="eastAsia" w:ascii="宋体" w:hAnsi="宋体" w:cs="宋体"/>
                <w:color w:val="auto"/>
                <w:highlight w:val="none"/>
              </w:rPr>
            </w:pPr>
          </w:p>
        </w:tc>
        <w:tc>
          <w:tcPr>
            <w:tcW w:w="992"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858" w:type="dxa"/>
          </w:tcPr>
          <w:p>
            <w:pPr>
              <w:pStyle w:val="276"/>
              <w:jc w:val="center"/>
              <w:rPr>
                <w:rFonts w:hint="eastAsia" w:ascii="宋体" w:hAnsi="宋体" w:cs="宋体"/>
                <w:color w:val="auto"/>
                <w:highlight w:val="none"/>
              </w:rPr>
            </w:pPr>
          </w:p>
        </w:tc>
        <w:tc>
          <w:tcPr>
            <w:tcW w:w="702"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426" w:type="dxa"/>
            <w:vAlign w:val="center"/>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741" w:type="dxa"/>
            <w:vAlign w:val="center"/>
          </w:tcPr>
          <w:p>
            <w:pPr>
              <w:pStyle w:val="276"/>
              <w:jc w:val="center"/>
              <w:rPr>
                <w:rFonts w:hint="eastAsia" w:ascii="宋体" w:hAnsi="宋体" w:cs="宋体"/>
                <w:color w:val="auto"/>
                <w:highlight w:val="none"/>
              </w:rPr>
            </w:pPr>
          </w:p>
        </w:tc>
        <w:tc>
          <w:tcPr>
            <w:tcW w:w="874"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3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3</w:t>
            </w:r>
          </w:p>
        </w:tc>
        <w:tc>
          <w:tcPr>
            <w:tcW w:w="1020"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8" w:type="dxa"/>
            <w:vAlign w:val="center"/>
          </w:tcPr>
          <w:p>
            <w:pPr>
              <w:pStyle w:val="276"/>
              <w:jc w:val="center"/>
              <w:rPr>
                <w:rFonts w:hint="eastAsia" w:ascii="宋体" w:hAnsi="宋体" w:cs="宋体"/>
                <w:color w:val="auto"/>
                <w:highlight w:val="none"/>
              </w:rPr>
            </w:pPr>
          </w:p>
        </w:tc>
        <w:tc>
          <w:tcPr>
            <w:tcW w:w="993" w:type="dxa"/>
            <w:vAlign w:val="center"/>
          </w:tcPr>
          <w:p>
            <w:pPr>
              <w:pStyle w:val="276"/>
              <w:jc w:val="center"/>
              <w:rPr>
                <w:rFonts w:hint="eastAsia" w:ascii="宋体" w:hAnsi="宋体" w:cs="宋体"/>
                <w:color w:val="auto"/>
                <w:highlight w:val="none"/>
              </w:rPr>
            </w:pPr>
          </w:p>
        </w:tc>
        <w:tc>
          <w:tcPr>
            <w:tcW w:w="992"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858" w:type="dxa"/>
          </w:tcPr>
          <w:p>
            <w:pPr>
              <w:pStyle w:val="276"/>
              <w:jc w:val="center"/>
              <w:rPr>
                <w:rFonts w:hint="eastAsia" w:ascii="宋体" w:hAnsi="宋体" w:cs="宋体"/>
                <w:color w:val="auto"/>
                <w:highlight w:val="none"/>
              </w:rPr>
            </w:pPr>
          </w:p>
        </w:tc>
        <w:tc>
          <w:tcPr>
            <w:tcW w:w="702"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426" w:type="dxa"/>
            <w:vAlign w:val="center"/>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741" w:type="dxa"/>
            <w:vAlign w:val="center"/>
          </w:tcPr>
          <w:p>
            <w:pPr>
              <w:pStyle w:val="276"/>
              <w:jc w:val="center"/>
              <w:rPr>
                <w:rFonts w:hint="eastAsia" w:ascii="宋体" w:hAnsi="宋体" w:cs="宋体"/>
                <w:color w:val="auto"/>
                <w:highlight w:val="none"/>
              </w:rPr>
            </w:pPr>
          </w:p>
        </w:tc>
        <w:tc>
          <w:tcPr>
            <w:tcW w:w="874"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1" w:hRule="exact"/>
        </w:trPr>
        <w:tc>
          <w:tcPr>
            <w:tcW w:w="3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4</w:t>
            </w:r>
          </w:p>
        </w:tc>
        <w:tc>
          <w:tcPr>
            <w:tcW w:w="1020"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8" w:type="dxa"/>
            <w:vAlign w:val="center"/>
          </w:tcPr>
          <w:p>
            <w:pPr>
              <w:pStyle w:val="276"/>
              <w:jc w:val="center"/>
              <w:rPr>
                <w:rFonts w:hint="eastAsia" w:ascii="宋体" w:hAnsi="宋体" w:cs="宋体"/>
                <w:color w:val="auto"/>
                <w:highlight w:val="none"/>
              </w:rPr>
            </w:pPr>
          </w:p>
        </w:tc>
        <w:tc>
          <w:tcPr>
            <w:tcW w:w="993" w:type="dxa"/>
            <w:vAlign w:val="center"/>
          </w:tcPr>
          <w:p>
            <w:pPr>
              <w:pStyle w:val="276"/>
              <w:jc w:val="center"/>
              <w:rPr>
                <w:rFonts w:hint="eastAsia" w:ascii="宋体" w:hAnsi="宋体" w:cs="宋体"/>
                <w:color w:val="auto"/>
                <w:highlight w:val="none"/>
              </w:rPr>
            </w:pPr>
          </w:p>
        </w:tc>
        <w:tc>
          <w:tcPr>
            <w:tcW w:w="992"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858" w:type="dxa"/>
          </w:tcPr>
          <w:p>
            <w:pPr>
              <w:pStyle w:val="276"/>
              <w:jc w:val="center"/>
              <w:rPr>
                <w:rFonts w:hint="eastAsia" w:ascii="宋体" w:hAnsi="宋体" w:cs="宋体"/>
                <w:color w:val="auto"/>
                <w:highlight w:val="none"/>
              </w:rPr>
            </w:pPr>
          </w:p>
        </w:tc>
        <w:tc>
          <w:tcPr>
            <w:tcW w:w="702"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426" w:type="dxa"/>
            <w:vAlign w:val="center"/>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741" w:type="dxa"/>
            <w:vAlign w:val="center"/>
          </w:tcPr>
          <w:p>
            <w:pPr>
              <w:pStyle w:val="276"/>
              <w:jc w:val="center"/>
              <w:rPr>
                <w:rFonts w:hint="eastAsia" w:ascii="宋体" w:hAnsi="宋体" w:cs="宋体"/>
                <w:color w:val="auto"/>
                <w:highlight w:val="none"/>
              </w:rPr>
            </w:pPr>
          </w:p>
        </w:tc>
        <w:tc>
          <w:tcPr>
            <w:tcW w:w="874"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3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5</w:t>
            </w:r>
          </w:p>
        </w:tc>
        <w:tc>
          <w:tcPr>
            <w:tcW w:w="1020"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8" w:type="dxa"/>
            <w:vAlign w:val="center"/>
          </w:tcPr>
          <w:p>
            <w:pPr>
              <w:pStyle w:val="276"/>
              <w:jc w:val="center"/>
              <w:rPr>
                <w:rFonts w:hint="eastAsia" w:ascii="宋体" w:hAnsi="宋体" w:cs="宋体"/>
                <w:color w:val="auto"/>
                <w:highlight w:val="none"/>
              </w:rPr>
            </w:pPr>
          </w:p>
        </w:tc>
        <w:tc>
          <w:tcPr>
            <w:tcW w:w="993" w:type="dxa"/>
            <w:vAlign w:val="center"/>
          </w:tcPr>
          <w:p>
            <w:pPr>
              <w:pStyle w:val="276"/>
              <w:jc w:val="center"/>
              <w:rPr>
                <w:rFonts w:hint="eastAsia" w:ascii="宋体" w:hAnsi="宋体" w:cs="宋体"/>
                <w:color w:val="auto"/>
                <w:highlight w:val="none"/>
              </w:rPr>
            </w:pPr>
          </w:p>
        </w:tc>
        <w:tc>
          <w:tcPr>
            <w:tcW w:w="992"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858" w:type="dxa"/>
          </w:tcPr>
          <w:p>
            <w:pPr>
              <w:pStyle w:val="276"/>
              <w:jc w:val="center"/>
              <w:rPr>
                <w:rFonts w:hint="eastAsia" w:ascii="宋体" w:hAnsi="宋体" w:cs="宋体"/>
                <w:color w:val="auto"/>
                <w:highlight w:val="none"/>
              </w:rPr>
            </w:pPr>
          </w:p>
        </w:tc>
        <w:tc>
          <w:tcPr>
            <w:tcW w:w="702"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426" w:type="dxa"/>
            <w:vAlign w:val="center"/>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741" w:type="dxa"/>
            <w:vAlign w:val="center"/>
          </w:tcPr>
          <w:p>
            <w:pPr>
              <w:pStyle w:val="276"/>
              <w:jc w:val="center"/>
              <w:rPr>
                <w:rFonts w:hint="eastAsia" w:ascii="宋体" w:hAnsi="宋体" w:cs="宋体"/>
                <w:color w:val="auto"/>
                <w:highlight w:val="none"/>
              </w:rPr>
            </w:pPr>
          </w:p>
        </w:tc>
        <w:tc>
          <w:tcPr>
            <w:tcW w:w="874"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3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6</w:t>
            </w:r>
          </w:p>
        </w:tc>
        <w:tc>
          <w:tcPr>
            <w:tcW w:w="1020"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8" w:type="dxa"/>
            <w:vAlign w:val="center"/>
          </w:tcPr>
          <w:p>
            <w:pPr>
              <w:pStyle w:val="276"/>
              <w:jc w:val="center"/>
              <w:rPr>
                <w:rFonts w:hint="eastAsia" w:ascii="宋体" w:hAnsi="宋体" w:cs="宋体"/>
                <w:color w:val="auto"/>
                <w:highlight w:val="none"/>
              </w:rPr>
            </w:pPr>
          </w:p>
        </w:tc>
        <w:tc>
          <w:tcPr>
            <w:tcW w:w="993" w:type="dxa"/>
            <w:vAlign w:val="center"/>
          </w:tcPr>
          <w:p>
            <w:pPr>
              <w:pStyle w:val="276"/>
              <w:jc w:val="center"/>
              <w:rPr>
                <w:rFonts w:hint="eastAsia" w:ascii="宋体" w:hAnsi="宋体" w:cs="宋体"/>
                <w:color w:val="auto"/>
                <w:highlight w:val="none"/>
              </w:rPr>
            </w:pPr>
          </w:p>
        </w:tc>
        <w:tc>
          <w:tcPr>
            <w:tcW w:w="992"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858" w:type="dxa"/>
          </w:tcPr>
          <w:p>
            <w:pPr>
              <w:pStyle w:val="276"/>
              <w:jc w:val="center"/>
              <w:rPr>
                <w:rFonts w:hint="eastAsia" w:ascii="宋体" w:hAnsi="宋体" w:cs="宋体"/>
                <w:color w:val="auto"/>
                <w:highlight w:val="none"/>
              </w:rPr>
            </w:pPr>
          </w:p>
        </w:tc>
        <w:tc>
          <w:tcPr>
            <w:tcW w:w="702"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426" w:type="dxa"/>
            <w:vAlign w:val="center"/>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741" w:type="dxa"/>
            <w:vAlign w:val="center"/>
          </w:tcPr>
          <w:p>
            <w:pPr>
              <w:pStyle w:val="276"/>
              <w:jc w:val="center"/>
              <w:rPr>
                <w:rFonts w:hint="eastAsia" w:ascii="宋体" w:hAnsi="宋体" w:cs="宋体"/>
                <w:color w:val="auto"/>
                <w:highlight w:val="none"/>
              </w:rPr>
            </w:pPr>
          </w:p>
        </w:tc>
        <w:tc>
          <w:tcPr>
            <w:tcW w:w="874"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3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7</w:t>
            </w:r>
          </w:p>
        </w:tc>
        <w:tc>
          <w:tcPr>
            <w:tcW w:w="1020"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8" w:type="dxa"/>
            <w:vAlign w:val="center"/>
          </w:tcPr>
          <w:p>
            <w:pPr>
              <w:pStyle w:val="276"/>
              <w:jc w:val="center"/>
              <w:rPr>
                <w:rFonts w:hint="eastAsia" w:ascii="宋体" w:hAnsi="宋体" w:cs="宋体"/>
                <w:color w:val="auto"/>
                <w:highlight w:val="none"/>
              </w:rPr>
            </w:pPr>
          </w:p>
        </w:tc>
        <w:tc>
          <w:tcPr>
            <w:tcW w:w="993" w:type="dxa"/>
            <w:vAlign w:val="center"/>
          </w:tcPr>
          <w:p>
            <w:pPr>
              <w:pStyle w:val="276"/>
              <w:jc w:val="center"/>
              <w:rPr>
                <w:rFonts w:hint="eastAsia" w:ascii="宋体" w:hAnsi="宋体" w:cs="宋体"/>
                <w:color w:val="auto"/>
                <w:highlight w:val="none"/>
              </w:rPr>
            </w:pPr>
          </w:p>
        </w:tc>
        <w:tc>
          <w:tcPr>
            <w:tcW w:w="992"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858" w:type="dxa"/>
          </w:tcPr>
          <w:p>
            <w:pPr>
              <w:pStyle w:val="276"/>
              <w:jc w:val="center"/>
              <w:rPr>
                <w:rFonts w:hint="eastAsia" w:ascii="宋体" w:hAnsi="宋体" w:cs="宋体"/>
                <w:color w:val="auto"/>
                <w:highlight w:val="none"/>
              </w:rPr>
            </w:pPr>
          </w:p>
        </w:tc>
        <w:tc>
          <w:tcPr>
            <w:tcW w:w="702"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426" w:type="dxa"/>
            <w:vAlign w:val="center"/>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741" w:type="dxa"/>
            <w:vAlign w:val="center"/>
          </w:tcPr>
          <w:p>
            <w:pPr>
              <w:pStyle w:val="276"/>
              <w:jc w:val="center"/>
              <w:rPr>
                <w:rFonts w:hint="eastAsia" w:ascii="宋体" w:hAnsi="宋体" w:cs="宋体"/>
                <w:color w:val="auto"/>
                <w:highlight w:val="none"/>
              </w:rPr>
            </w:pPr>
          </w:p>
        </w:tc>
        <w:tc>
          <w:tcPr>
            <w:tcW w:w="874"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1" w:hRule="exact"/>
        </w:trPr>
        <w:tc>
          <w:tcPr>
            <w:tcW w:w="3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8</w:t>
            </w:r>
          </w:p>
        </w:tc>
        <w:tc>
          <w:tcPr>
            <w:tcW w:w="1020"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8" w:type="dxa"/>
            <w:vAlign w:val="center"/>
          </w:tcPr>
          <w:p>
            <w:pPr>
              <w:pStyle w:val="276"/>
              <w:jc w:val="center"/>
              <w:rPr>
                <w:rFonts w:hint="eastAsia" w:ascii="宋体" w:hAnsi="宋体" w:cs="宋体"/>
                <w:color w:val="auto"/>
                <w:highlight w:val="none"/>
              </w:rPr>
            </w:pPr>
          </w:p>
        </w:tc>
        <w:tc>
          <w:tcPr>
            <w:tcW w:w="993" w:type="dxa"/>
            <w:vAlign w:val="center"/>
          </w:tcPr>
          <w:p>
            <w:pPr>
              <w:pStyle w:val="276"/>
              <w:jc w:val="center"/>
              <w:rPr>
                <w:rFonts w:hint="eastAsia" w:ascii="宋体" w:hAnsi="宋体" w:cs="宋体"/>
                <w:color w:val="auto"/>
                <w:highlight w:val="none"/>
              </w:rPr>
            </w:pPr>
          </w:p>
        </w:tc>
        <w:tc>
          <w:tcPr>
            <w:tcW w:w="992"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858" w:type="dxa"/>
          </w:tcPr>
          <w:p>
            <w:pPr>
              <w:pStyle w:val="276"/>
              <w:jc w:val="center"/>
              <w:rPr>
                <w:rFonts w:hint="eastAsia" w:ascii="宋体" w:hAnsi="宋体" w:cs="宋体"/>
                <w:color w:val="auto"/>
                <w:highlight w:val="none"/>
              </w:rPr>
            </w:pPr>
          </w:p>
        </w:tc>
        <w:tc>
          <w:tcPr>
            <w:tcW w:w="702"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426" w:type="dxa"/>
            <w:vAlign w:val="center"/>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741" w:type="dxa"/>
            <w:vAlign w:val="center"/>
          </w:tcPr>
          <w:p>
            <w:pPr>
              <w:pStyle w:val="276"/>
              <w:jc w:val="center"/>
              <w:rPr>
                <w:rFonts w:hint="eastAsia" w:ascii="宋体" w:hAnsi="宋体" w:cs="宋体"/>
                <w:color w:val="auto"/>
                <w:highlight w:val="none"/>
              </w:rPr>
            </w:pPr>
          </w:p>
        </w:tc>
        <w:tc>
          <w:tcPr>
            <w:tcW w:w="874"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3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w:t>
            </w:r>
          </w:p>
        </w:tc>
        <w:tc>
          <w:tcPr>
            <w:tcW w:w="1020"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8" w:type="dxa"/>
            <w:vAlign w:val="center"/>
          </w:tcPr>
          <w:p>
            <w:pPr>
              <w:pStyle w:val="276"/>
              <w:jc w:val="center"/>
              <w:rPr>
                <w:rFonts w:hint="eastAsia" w:ascii="宋体" w:hAnsi="宋体" w:cs="宋体"/>
                <w:color w:val="auto"/>
                <w:highlight w:val="none"/>
              </w:rPr>
            </w:pPr>
          </w:p>
        </w:tc>
        <w:tc>
          <w:tcPr>
            <w:tcW w:w="993" w:type="dxa"/>
            <w:vAlign w:val="center"/>
          </w:tcPr>
          <w:p>
            <w:pPr>
              <w:pStyle w:val="276"/>
              <w:jc w:val="center"/>
              <w:rPr>
                <w:rFonts w:hint="eastAsia" w:ascii="宋体" w:hAnsi="宋体" w:cs="宋体"/>
                <w:color w:val="auto"/>
                <w:highlight w:val="none"/>
              </w:rPr>
            </w:pPr>
          </w:p>
        </w:tc>
        <w:tc>
          <w:tcPr>
            <w:tcW w:w="992"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858" w:type="dxa"/>
          </w:tcPr>
          <w:p>
            <w:pPr>
              <w:pStyle w:val="276"/>
              <w:jc w:val="center"/>
              <w:rPr>
                <w:rFonts w:hint="eastAsia" w:ascii="宋体" w:hAnsi="宋体" w:cs="宋体"/>
                <w:color w:val="auto"/>
                <w:highlight w:val="none"/>
              </w:rPr>
            </w:pPr>
          </w:p>
        </w:tc>
        <w:tc>
          <w:tcPr>
            <w:tcW w:w="702"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426" w:type="dxa"/>
            <w:vAlign w:val="center"/>
          </w:tcPr>
          <w:p>
            <w:pPr>
              <w:pStyle w:val="276"/>
              <w:jc w:val="center"/>
              <w:rPr>
                <w:rFonts w:hint="eastAsia" w:ascii="宋体" w:hAnsi="宋体" w:cs="宋体"/>
                <w:color w:val="auto"/>
                <w:highlight w:val="none"/>
              </w:rPr>
            </w:pPr>
          </w:p>
        </w:tc>
        <w:tc>
          <w:tcPr>
            <w:tcW w:w="850"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741" w:type="dxa"/>
            <w:vAlign w:val="center"/>
          </w:tcPr>
          <w:p>
            <w:pPr>
              <w:pStyle w:val="276"/>
              <w:jc w:val="center"/>
              <w:rPr>
                <w:rFonts w:hint="eastAsia" w:ascii="宋体" w:hAnsi="宋体" w:cs="宋体"/>
                <w:color w:val="auto"/>
                <w:highlight w:val="none"/>
              </w:rPr>
            </w:pPr>
          </w:p>
        </w:tc>
        <w:tc>
          <w:tcPr>
            <w:tcW w:w="874"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trPr>
        <w:tc>
          <w:tcPr>
            <w:tcW w:w="2684" w:type="dxa"/>
            <w:gridSpan w:val="4"/>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567" w:type="dxa"/>
            <w:vAlign w:val="center"/>
          </w:tcPr>
          <w:p>
            <w:pPr>
              <w:pStyle w:val="276"/>
              <w:jc w:val="center"/>
              <w:rPr>
                <w:rFonts w:hint="eastAsia" w:ascii="宋体" w:hAnsi="宋体" w:cs="宋体"/>
                <w:color w:val="auto"/>
                <w:highlight w:val="none"/>
              </w:rPr>
            </w:pPr>
          </w:p>
        </w:tc>
        <w:tc>
          <w:tcPr>
            <w:tcW w:w="708" w:type="dxa"/>
            <w:vAlign w:val="center"/>
          </w:tcPr>
          <w:p>
            <w:pPr>
              <w:pStyle w:val="276"/>
              <w:jc w:val="center"/>
              <w:rPr>
                <w:rFonts w:hint="eastAsia" w:ascii="宋体" w:hAnsi="宋体" w:cs="宋体"/>
                <w:color w:val="auto"/>
                <w:highlight w:val="none"/>
              </w:rPr>
            </w:pPr>
          </w:p>
        </w:tc>
        <w:tc>
          <w:tcPr>
            <w:tcW w:w="993" w:type="dxa"/>
            <w:vAlign w:val="center"/>
          </w:tcPr>
          <w:p>
            <w:pPr>
              <w:pStyle w:val="276"/>
              <w:jc w:val="center"/>
              <w:rPr>
                <w:rFonts w:hint="eastAsia" w:ascii="宋体" w:hAnsi="宋体" w:cs="宋体"/>
                <w:color w:val="auto"/>
                <w:highlight w:val="none"/>
              </w:rPr>
            </w:pPr>
          </w:p>
        </w:tc>
        <w:tc>
          <w:tcPr>
            <w:tcW w:w="2409"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858" w:type="dxa"/>
          </w:tcPr>
          <w:p>
            <w:pPr>
              <w:pStyle w:val="276"/>
              <w:jc w:val="center"/>
              <w:rPr>
                <w:rFonts w:hint="eastAsia" w:ascii="宋体" w:hAnsi="宋体" w:cs="宋体"/>
                <w:color w:val="auto"/>
                <w:highlight w:val="none"/>
              </w:rPr>
            </w:pPr>
          </w:p>
        </w:tc>
        <w:tc>
          <w:tcPr>
            <w:tcW w:w="702" w:type="dxa"/>
          </w:tcPr>
          <w:p>
            <w:pPr>
              <w:pStyle w:val="276"/>
              <w:jc w:val="center"/>
              <w:rPr>
                <w:rFonts w:hint="eastAsia" w:ascii="宋体" w:hAnsi="宋体" w:cs="宋体"/>
                <w:color w:val="auto"/>
                <w:highlight w:val="none"/>
              </w:rPr>
            </w:pPr>
          </w:p>
        </w:tc>
        <w:tc>
          <w:tcPr>
            <w:tcW w:w="850" w:type="dxa"/>
          </w:tcPr>
          <w:p>
            <w:pPr>
              <w:pStyle w:val="276"/>
              <w:jc w:val="center"/>
              <w:rPr>
                <w:rFonts w:hint="eastAsia" w:ascii="宋体" w:hAnsi="宋体" w:cs="宋体"/>
                <w:color w:val="auto"/>
                <w:highlight w:val="none"/>
              </w:rPr>
            </w:pPr>
          </w:p>
        </w:tc>
        <w:tc>
          <w:tcPr>
            <w:tcW w:w="2268"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709" w:type="dxa"/>
            <w:vAlign w:val="center"/>
          </w:tcPr>
          <w:p>
            <w:pPr>
              <w:pStyle w:val="276"/>
              <w:jc w:val="center"/>
              <w:rPr>
                <w:rFonts w:hint="eastAsia" w:ascii="宋体" w:hAnsi="宋体" w:cs="宋体"/>
                <w:color w:val="auto"/>
                <w:highlight w:val="none"/>
              </w:rPr>
            </w:pPr>
          </w:p>
        </w:tc>
        <w:tc>
          <w:tcPr>
            <w:tcW w:w="741" w:type="dxa"/>
            <w:vAlign w:val="center"/>
          </w:tcPr>
          <w:p>
            <w:pPr>
              <w:pStyle w:val="276"/>
              <w:jc w:val="center"/>
              <w:rPr>
                <w:rFonts w:hint="eastAsia" w:ascii="宋体" w:hAnsi="宋体" w:cs="宋体"/>
                <w:color w:val="auto"/>
                <w:highlight w:val="none"/>
              </w:rPr>
            </w:pPr>
          </w:p>
        </w:tc>
        <w:tc>
          <w:tcPr>
            <w:tcW w:w="874" w:type="dxa"/>
            <w:vAlign w:val="center"/>
          </w:tcPr>
          <w:p>
            <w:pPr>
              <w:pStyle w:val="276"/>
              <w:jc w:val="center"/>
              <w:rPr>
                <w:rFonts w:hint="eastAsia" w:ascii="宋体" w:hAnsi="宋体" w:cs="宋体"/>
                <w:color w:val="auto"/>
                <w:highlight w:val="none"/>
              </w:rPr>
            </w:pPr>
          </w:p>
        </w:tc>
      </w:tr>
    </w:tbl>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jc w:val="center"/>
        <w:rPr>
          <w:rFonts w:hint="eastAsia" w:ascii="黑体" w:hAnsi="黑体" w:eastAsia="黑体" w:cs="宋体"/>
          <w:color w:val="auto"/>
          <w:sz w:val="24"/>
          <w:highlight w:val="none"/>
        </w:rPr>
      </w:pPr>
      <w:r>
        <w:rPr>
          <w:rFonts w:hint="eastAsia" w:ascii="黑体" w:hAnsi="黑体" w:eastAsia="黑体" w:cs="宋体"/>
          <w:b/>
          <w:bCs/>
          <w:color w:val="auto"/>
          <w:kern w:val="0"/>
          <w:sz w:val="24"/>
          <w:highlight w:val="none"/>
        </w:rPr>
        <w:t xml:space="preserve">□ </w:t>
      </w:r>
      <w:r>
        <w:rPr>
          <w:rFonts w:hint="eastAsia" w:ascii="黑体" w:hAnsi="黑体" w:eastAsia="黑体" w:cs="宋体"/>
          <w:color w:val="auto"/>
          <w:sz w:val="24"/>
          <w:highlight w:val="none"/>
        </w:rPr>
        <w:t>表6</w:t>
      </w:r>
      <w:r>
        <w:rPr>
          <w:rFonts w:hint="eastAsia" w:ascii="黑体" w:hAnsi="黑体" w:eastAsia="黑体" w:cs="宋体"/>
          <w:color w:val="auto"/>
          <w:sz w:val="24"/>
          <w:highlight w:val="none"/>
        </w:rPr>
        <w:tab/>
      </w:r>
      <w:r>
        <w:rPr>
          <w:rFonts w:hint="eastAsia" w:ascii="黑体" w:hAnsi="黑体" w:eastAsia="黑体" w:cs="宋体"/>
          <w:color w:val="auto"/>
          <w:sz w:val="24"/>
          <w:highlight w:val="none"/>
        </w:rPr>
        <w:t xml:space="preserve">  监理试验室试验设施费报价表（仅适用于招标范围包含监理试验室时的情形）</w:t>
      </w:r>
    </w:p>
    <w:p>
      <w:pPr>
        <w:jc w:val="center"/>
        <w:rPr>
          <w:rFonts w:hint="eastAsia" w:ascii="宋体" w:hAnsi="宋体" w:cs="宋体"/>
          <w:b/>
          <w:color w:val="auto"/>
          <w:sz w:val="24"/>
          <w:highlight w:val="none"/>
        </w:rPr>
      </w:pPr>
    </w:p>
    <w:tbl>
      <w:tblPr>
        <w:tblStyle w:val="48"/>
        <w:tblW w:w="1440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90"/>
        <w:gridCol w:w="734"/>
        <w:gridCol w:w="851"/>
        <w:gridCol w:w="425"/>
        <w:gridCol w:w="709"/>
        <w:gridCol w:w="567"/>
        <w:gridCol w:w="709"/>
        <w:gridCol w:w="825"/>
        <w:gridCol w:w="734"/>
        <w:gridCol w:w="709"/>
        <w:gridCol w:w="567"/>
        <w:gridCol w:w="708"/>
        <w:gridCol w:w="567"/>
        <w:gridCol w:w="709"/>
        <w:gridCol w:w="674"/>
        <w:gridCol w:w="744"/>
        <w:gridCol w:w="567"/>
        <w:gridCol w:w="404"/>
        <w:gridCol w:w="614"/>
        <w:gridCol w:w="735"/>
        <w:gridCol w:w="670"/>
        <w:gridCol w:w="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1" w:hRule="exact"/>
        </w:trPr>
        <w:tc>
          <w:tcPr>
            <w:tcW w:w="390" w:type="dxa"/>
            <w:vMerge w:val="restart"/>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4820" w:type="dxa"/>
            <w:gridSpan w:val="7"/>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施工期（含施工准备期）</w:t>
            </w:r>
          </w:p>
        </w:tc>
        <w:tc>
          <w:tcPr>
            <w:tcW w:w="4668" w:type="dxa"/>
            <w:gridSpan w:val="7"/>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 xml:space="preserve">□ </w:t>
            </w:r>
            <w:r>
              <w:rPr>
                <w:rFonts w:hint="eastAsia" w:ascii="宋体" w:hAnsi="宋体" w:cs="宋体"/>
                <w:color w:val="auto"/>
                <w:highlight w:val="none"/>
              </w:rPr>
              <w:t>试运行期</w:t>
            </w:r>
          </w:p>
        </w:tc>
        <w:tc>
          <w:tcPr>
            <w:tcW w:w="4531" w:type="dxa"/>
            <w:gridSpan w:val="7"/>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缺陷责任期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9" w:hRule="exact"/>
        </w:trPr>
        <w:tc>
          <w:tcPr>
            <w:tcW w:w="390" w:type="dxa"/>
            <w:vMerge w:val="continue"/>
            <w:vAlign w:val="center"/>
          </w:tcPr>
          <w:p>
            <w:pPr>
              <w:pStyle w:val="276"/>
              <w:jc w:val="center"/>
              <w:rPr>
                <w:rFonts w:hint="eastAsia" w:ascii="宋体" w:hAnsi="宋体" w:cs="宋体"/>
                <w:color w:val="auto"/>
                <w:highlight w:val="none"/>
              </w:rPr>
            </w:pPr>
          </w:p>
        </w:tc>
        <w:tc>
          <w:tcPr>
            <w:tcW w:w="73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设备名称</w:t>
            </w:r>
          </w:p>
        </w:tc>
        <w:tc>
          <w:tcPr>
            <w:tcW w:w="851"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型号</w:t>
            </w:r>
          </w:p>
        </w:tc>
        <w:tc>
          <w:tcPr>
            <w:tcW w:w="42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tc>
        <w:tc>
          <w:tcPr>
            <w:tcW w:w="70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购置</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合价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56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0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82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折旧及使用费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3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设备名称</w:t>
            </w:r>
          </w:p>
        </w:tc>
        <w:tc>
          <w:tcPr>
            <w:tcW w:w="70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型号</w:t>
            </w:r>
          </w:p>
        </w:tc>
        <w:tc>
          <w:tcPr>
            <w:tcW w:w="56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tc>
        <w:tc>
          <w:tcPr>
            <w:tcW w:w="708"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购置</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合价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56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0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7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折旧及使用费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4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设备名称</w:t>
            </w:r>
          </w:p>
        </w:tc>
        <w:tc>
          <w:tcPr>
            <w:tcW w:w="56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型号</w:t>
            </w:r>
          </w:p>
        </w:tc>
        <w:tc>
          <w:tcPr>
            <w:tcW w:w="40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tc>
        <w:tc>
          <w:tcPr>
            <w:tcW w:w="61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购置</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合价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3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7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9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折旧及使用费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exact"/>
        </w:trPr>
        <w:tc>
          <w:tcPr>
            <w:tcW w:w="39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w:t>
            </w:r>
          </w:p>
        </w:tc>
        <w:tc>
          <w:tcPr>
            <w:tcW w:w="734"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825" w:type="dxa"/>
            <w:vAlign w:val="center"/>
          </w:tcPr>
          <w:p>
            <w:pPr>
              <w:pStyle w:val="276"/>
              <w:jc w:val="center"/>
              <w:rPr>
                <w:rFonts w:hint="eastAsia" w:ascii="宋体" w:hAnsi="宋体" w:cs="宋体"/>
                <w:color w:val="auto"/>
                <w:highlight w:val="none"/>
              </w:rPr>
            </w:pPr>
          </w:p>
        </w:tc>
        <w:tc>
          <w:tcPr>
            <w:tcW w:w="734"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8"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674" w:type="dxa"/>
            <w:vAlign w:val="center"/>
          </w:tcPr>
          <w:p>
            <w:pPr>
              <w:pStyle w:val="276"/>
              <w:jc w:val="center"/>
              <w:rPr>
                <w:rFonts w:hint="eastAsia" w:ascii="宋体" w:hAnsi="宋体" w:cs="宋体"/>
                <w:color w:val="auto"/>
                <w:highlight w:val="none"/>
              </w:rPr>
            </w:pPr>
          </w:p>
        </w:tc>
        <w:tc>
          <w:tcPr>
            <w:tcW w:w="744"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404" w:type="dxa"/>
          </w:tcPr>
          <w:p>
            <w:pPr>
              <w:pStyle w:val="276"/>
              <w:jc w:val="center"/>
              <w:rPr>
                <w:rFonts w:hint="eastAsia" w:ascii="宋体" w:hAnsi="宋体" w:cs="宋体"/>
                <w:color w:val="auto"/>
                <w:highlight w:val="none"/>
              </w:rPr>
            </w:pPr>
          </w:p>
        </w:tc>
        <w:tc>
          <w:tcPr>
            <w:tcW w:w="614"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670" w:type="dxa"/>
            <w:vAlign w:val="center"/>
          </w:tcPr>
          <w:p>
            <w:pPr>
              <w:pStyle w:val="276"/>
              <w:jc w:val="center"/>
              <w:rPr>
                <w:rFonts w:hint="eastAsia" w:ascii="宋体" w:hAnsi="宋体" w:cs="宋体"/>
                <w:color w:val="auto"/>
                <w:highlight w:val="none"/>
              </w:rPr>
            </w:pPr>
          </w:p>
        </w:tc>
        <w:tc>
          <w:tcPr>
            <w:tcW w:w="797"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exact"/>
        </w:trPr>
        <w:tc>
          <w:tcPr>
            <w:tcW w:w="39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2</w:t>
            </w:r>
          </w:p>
        </w:tc>
        <w:tc>
          <w:tcPr>
            <w:tcW w:w="734"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825" w:type="dxa"/>
            <w:vAlign w:val="center"/>
          </w:tcPr>
          <w:p>
            <w:pPr>
              <w:pStyle w:val="276"/>
              <w:jc w:val="center"/>
              <w:rPr>
                <w:rFonts w:hint="eastAsia" w:ascii="宋体" w:hAnsi="宋体" w:cs="宋体"/>
                <w:color w:val="auto"/>
                <w:highlight w:val="none"/>
              </w:rPr>
            </w:pPr>
          </w:p>
        </w:tc>
        <w:tc>
          <w:tcPr>
            <w:tcW w:w="734"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8"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674" w:type="dxa"/>
            <w:vAlign w:val="center"/>
          </w:tcPr>
          <w:p>
            <w:pPr>
              <w:pStyle w:val="276"/>
              <w:jc w:val="center"/>
              <w:rPr>
                <w:rFonts w:hint="eastAsia" w:ascii="宋体" w:hAnsi="宋体" w:cs="宋体"/>
                <w:color w:val="auto"/>
                <w:highlight w:val="none"/>
              </w:rPr>
            </w:pPr>
          </w:p>
        </w:tc>
        <w:tc>
          <w:tcPr>
            <w:tcW w:w="744"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404" w:type="dxa"/>
          </w:tcPr>
          <w:p>
            <w:pPr>
              <w:pStyle w:val="276"/>
              <w:jc w:val="center"/>
              <w:rPr>
                <w:rFonts w:hint="eastAsia" w:ascii="宋体" w:hAnsi="宋体" w:cs="宋体"/>
                <w:color w:val="auto"/>
                <w:highlight w:val="none"/>
              </w:rPr>
            </w:pPr>
          </w:p>
        </w:tc>
        <w:tc>
          <w:tcPr>
            <w:tcW w:w="614"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670" w:type="dxa"/>
            <w:vAlign w:val="center"/>
          </w:tcPr>
          <w:p>
            <w:pPr>
              <w:pStyle w:val="276"/>
              <w:jc w:val="center"/>
              <w:rPr>
                <w:rFonts w:hint="eastAsia" w:ascii="宋体" w:hAnsi="宋体" w:cs="宋体"/>
                <w:color w:val="auto"/>
                <w:highlight w:val="none"/>
              </w:rPr>
            </w:pPr>
          </w:p>
        </w:tc>
        <w:tc>
          <w:tcPr>
            <w:tcW w:w="797"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exact"/>
        </w:trPr>
        <w:tc>
          <w:tcPr>
            <w:tcW w:w="39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3</w:t>
            </w:r>
          </w:p>
        </w:tc>
        <w:tc>
          <w:tcPr>
            <w:tcW w:w="734"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825" w:type="dxa"/>
            <w:vAlign w:val="center"/>
          </w:tcPr>
          <w:p>
            <w:pPr>
              <w:pStyle w:val="276"/>
              <w:jc w:val="center"/>
              <w:rPr>
                <w:rFonts w:hint="eastAsia" w:ascii="宋体" w:hAnsi="宋体" w:cs="宋体"/>
                <w:color w:val="auto"/>
                <w:highlight w:val="none"/>
              </w:rPr>
            </w:pPr>
          </w:p>
        </w:tc>
        <w:tc>
          <w:tcPr>
            <w:tcW w:w="734"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8"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674" w:type="dxa"/>
            <w:vAlign w:val="center"/>
          </w:tcPr>
          <w:p>
            <w:pPr>
              <w:pStyle w:val="276"/>
              <w:jc w:val="center"/>
              <w:rPr>
                <w:rFonts w:hint="eastAsia" w:ascii="宋体" w:hAnsi="宋体" w:cs="宋体"/>
                <w:color w:val="auto"/>
                <w:highlight w:val="none"/>
              </w:rPr>
            </w:pPr>
          </w:p>
        </w:tc>
        <w:tc>
          <w:tcPr>
            <w:tcW w:w="744"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404" w:type="dxa"/>
          </w:tcPr>
          <w:p>
            <w:pPr>
              <w:pStyle w:val="276"/>
              <w:jc w:val="center"/>
              <w:rPr>
                <w:rFonts w:hint="eastAsia" w:ascii="宋体" w:hAnsi="宋体" w:cs="宋体"/>
                <w:color w:val="auto"/>
                <w:highlight w:val="none"/>
              </w:rPr>
            </w:pPr>
          </w:p>
        </w:tc>
        <w:tc>
          <w:tcPr>
            <w:tcW w:w="614"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670" w:type="dxa"/>
            <w:vAlign w:val="center"/>
          </w:tcPr>
          <w:p>
            <w:pPr>
              <w:pStyle w:val="276"/>
              <w:jc w:val="center"/>
              <w:rPr>
                <w:rFonts w:hint="eastAsia" w:ascii="宋体" w:hAnsi="宋体" w:cs="宋体"/>
                <w:color w:val="auto"/>
                <w:highlight w:val="none"/>
              </w:rPr>
            </w:pPr>
          </w:p>
        </w:tc>
        <w:tc>
          <w:tcPr>
            <w:tcW w:w="797"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exact"/>
        </w:trPr>
        <w:tc>
          <w:tcPr>
            <w:tcW w:w="39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w:t>
            </w:r>
          </w:p>
        </w:tc>
        <w:tc>
          <w:tcPr>
            <w:tcW w:w="734" w:type="dxa"/>
            <w:vAlign w:val="center"/>
          </w:tcPr>
          <w:p>
            <w:pPr>
              <w:pStyle w:val="276"/>
              <w:jc w:val="center"/>
              <w:rPr>
                <w:rFonts w:hint="eastAsia" w:ascii="宋体" w:hAnsi="宋体" w:cs="宋体"/>
                <w:color w:val="auto"/>
                <w:highlight w:val="none"/>
              </w:rPr>
            </w:pPr>
          </w:p>
        </w:tc>
        <w:tc>
          <w:tcPr>
            <w:tcW w:w="851" w:type="dxa"/>
            <w:vAlign w:val="center"/>
          </w:tcPr>
          <w:p>
            <w:pPr>
              <w:pStyle w:val="276"/>
              <w:jc w:val="center"/>
              <w:rPr>
                <w:rFonts w:hint="eastAsia" w:ascii="宋体" w:hAnsi="宋体" w:cs="宋体"/>
                <w:color w:val="auto"/>
                <w:highlight w:val="none"/>
              </w:rPr>
            </w:pPr>
          </w:p>
        </w:tc>
        <w:tc>
          <w:tcPr>
            <w:tcW w:w="425"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825" w:type="dxa"/>
            <w:vAlign w:val="center"/>
          </w:tcPr>
          <w:p>
            <w:pPr>
              <w:pStyle w:val="276"/>
              <w:jc w:val="center"/>
              <w:rPr>
                <w:rFonts w:hint="eastAsia" w:ascii="宋体" w:hAnsi="宋体" w:cs="宋体"/>
                <w:color w:val="auto"/>
                <w:highlight w:val="none"/>
              </w:rPr>
            </w:pPr>
          </w:p>
        </w:tc>
        <w:tc>
          <w:tcPr>
            <w:tcW w:w="734"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8" w:type="dxa"/>
          </w:tcPr>
          <w:p>
            <w:pPr>
              <w:pStyle w:val="276"/>
              <w:jc w:val="center"/>
              <w:rPr>
                <w:rFonts w:hint="eastAsia" w:ascii="宋体" w:hAnsi="宋体" w:cs="宋体"/>
                <w:color w:val="auto"/>
                <w:highlight w:val="none"/>
              </w:rPr>
            </w:pP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674" w:type="dxa"/>
            <w:vAlign w:val="center"/>
          </w:tcPr>
          <w:p>
            <w:pPr>
              <w:pStyle w:val="276"/>
              <w:jc w:val="center"/>
              <w:rPr>
                <w:rFonts w:hint="eastAsia" w:ascii="宋体" w:hAnsi="宋体" w:cs="宋体"/>
                <w:color w:val="auto"/>
                <w:highlight w:val="none"/>
              </w:rPr>
            </w:pPr>
          </w:p>
        </w:tc>
        <w:tc>
          <w:tcPr>
            <w:tcW w:w="744" w:type="dxa"/>
            <w:vAlign w:val="center"/>
          </w:tcPr>
          <w:p>
            <w:pPr>
              <w:pStyle w:val="276"/>
              <w:jc w:val="center"/>
              <w:rPr>
                <w:rFonts w:hint="eastAsia" w:ascii="宋体" w:hAnsi="宋体" w:cs="宋体"/>
                <w:color w:val="auto"/>
                <w:highlight w:val="none"/>
              </w:rPr>
            </w:pPr>
          </w:p>
        </w:tc>
        <w:tc>
          <w:tcPr>
            <w:tcW w:w="567" w:type="dxa"/>
            <w:vAlign w:val="center"/>
          </w:tcPr>
          <w:p>
            <w:pPr>
              <w:pStyle w:val="276"/>
              <w:jc w:val="center"/>
              <w:rPr>
                <w:rFonts w:hint="eastAsia" w:ascii="宋体" w:hAnsi="宋体" w:cs="宋体"/>
                <w:color w:val="auto"/>
                <w:highlight w:val="none"/>
              </w:rPr>
            </w:pPr>
          </w:p>
        </w:tc>
        <w:tc>
          <w:tcPr>
            <w:tcW w:w="404" w:type="dxa"/>
          </w:tcPr>
          <w:p>
            <w:pPr>
              <w:pStyle w:val="276"/>
              <w:jc w:val="center"/>
              <w:rPr>
                <w:rFonts w:hint="eastAsia" w:ascii="宋体" w:hAnsi="宋体" w:cs="宋体"/>
                <w:color w:val="auto"/>
                <w:highlight w:val="none"/>
              </w:rPr>
            </w:pPr>
          </w:p>
        </w:tc>
        <w:tc>
          <w:tcPr>
            <w:tcW w:w="614" w:type="dxa"/>
            <w:vAlign w:val="center"/>
          </w:tcPr>
          <w:p>
            <w:pPr>
              <w:pStyle w:val="276"/>
              <w:jc w:val="center"/>
              <w:rPr>
                <w:rFonts w:hint="eastAsia" w:ascii="宋体" w:hAnsi="宋体" w:cs="宋体"/>
                <w:color w:val="auto"/>
                <w:highlight w:val="none"/>
              </w:rPr>
            </w:pPr>
          </w:p>
        </w:tc>
        <w:tc>
          <w:tcPr>
            <w:tcW w:w="735" w:type="dxa"/>
            <w:vAlign w:val="center"/>
          </w:tcPr>
          <w:p>
            <w:pPr>
              <w:pStyle w:val="276"/>
              <w:jc w:val="center"/>
              <w:rPr>
                <w:rFonts w:hint="eastAsia" w:ascii="宋体" w:hAnsi="宋体" w:cs="宋体"/>
                <w:color w:val="auto"/>
                <w:highlight w:val="none"/>
              </w:rPr>
            </w:pPr>
          </w:p>
        </w:tc>
        <w:tc>
          <w:tcPr>
            <w:tcW w:w="670" w:type="dxa"/>
            <w:vAlign w:val="center"/>
          </w:tcPr>
          <w:p>
            <w:pPr>
              <w:pStyle w:val="276"/>
              <w:jc w:val="center"/>
              <w:rPr>
                <w:rFonts w:hint="eastAsia" w:ascii="宋体" w:hAnsi="宋体" w:cs="宋体"/>
                <w:color w:val="auto"/>
                <w:highlight w:val="none"/>
              </w:rPr>
            </w:pPr>
          </w:p>
        </w:tc>
        <w:tc>
          <w:tcPr>
            <w:tcW w:w="797"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3" w:hRule="exact"/>
        </w:trPr>
        <w:tc>
          <w:tcPr>
            <w:tcW w:w="3109" w:type="dxa"/>
            <w:gridSpan w:val="5"/>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567" w:type="dxa"/>
            <w:vAlign w:val="center"/>
          </w:tcPr>
          <w:p>
            <w:pPr>
              <w:pStyle w:val="276"/>
              <w:jc w:val="center"/>
              <w:rPr>
                <w:rFonts w:hint="eastAsia" w:ascii="宋体" w:hAnsi="宋体" w:cs="宋体"/>
                <w:color w:val="auto"/>
                <w:highlight w:val="none"/>
              </w:rPr>
            </w:pPr>
          </w:p>
        </w:tc>
        <w:tc>
          <w:tcPr>
            <w:tcW w:w="709" w:type="dxa"/>
            <w:vAlign w:val="center"/>
          </w:tcPr>
          <w:p>
            <w:pPr>
              <w:pStyle w:val="276"/>
              <w:jc w:val="center"/>
              <w:rPr>
                <w:rFonts w:hint="eastAsia" w:ascii="宋体" w:hAnsi="宋体" w:cs="宋体"/>
                <w:color w:val="auto"/>
                <w:highlight w:val="none"/>
              </w:rPr>
            </w:pPr>
          </w:p>
        </w:tc>
        <w:tc>
          <w:tcPr>
            <w:tcW w:w="3543" w:type="dxa"/>
            <w:gridSpan w:val="5"/>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567" w:type="dxa"/>
          </w:tcPr>
          <w:p>
            <w:pPr>
              <w:pStyle w:val="276"/>
              <w:jc w:val="center"/>
              <w:rPr>
                <w:rFonts w:hint="eastAsia" w:ascii="宋体" w:hAnsi="宋体" w:cs="宋体"/>
                <w:color w:val="auto"/>
                <w:highlight w:val="none"/>
              </w:rPr>
            </w:pPr>
          </w:p>
        </w:tc>
        <w:tc>
          <w:tcPr>
            <w:tcW w:w="709" w:type="dxa"/>
          </w:tcPr>
          <w:p>
            <w:pPr>
              <w:pStyle w:val="276"/>
              <w:jc w:val="center"/>
              <w:rPr>
                <w:rFonts w:hint="eastAsia" w:ascii="宋体" w:hAnsi="宋体" w:cs="宋体"/>
                <w:color w:val="auto"/>
                <w:highlight w:val="none"/>
              </w:rPr>
            </w:pPr>
          </w:p>
        </w:tc>
        <w:tc>
          <w:tcPr>
            <w:tcW w:w="674" w:type="dxa"/>
          </w:tcPr>
          <w:p>
            <w:pPr>
              <w:pStyle w:val="276"/>
              <w:jc w:val="center"/>
              <w:rPr>
                <w:rFonts w:hint="eastAsia" w:ascii="宋体" w:hAnsi="宋体" w:cs="宋体"/>
                <w:color w:val="auto"/>
                <w:highlight w:val="none"/>
              </w:rPr>
            </w:pPr>
          </w:p>
        </w:tc>
        <w:tc>
          <w:tcPr>
            <w:tcW w:w="2329" w:type="dxa"/>
            <w:gridSpan w:val="4"/>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735" w:type="dxa"/>
            <w:vAlign w:val="center"/>
          </w:tcPr>
          <w:p>
            <w:pPr>
              <w:pStyle w:val="276"/>
              <w:jc w:val="center"/>
              <w:rPr>
                <w:rFonts w:hint="eastAsia" w:ascii="宋体" w:hAnsi="宋体" w:cs="宋体"/>
                <w:color w:val="auto"/>
                <w:highlight w:val="none"/>
              </w:rPr>
            </w:pPr>
          </w:p>
        </w:tc>
        <w:tc>
          <w:tcPr>
            <w:tcW w:w="670" w:type="dxa"/>
            <w:vAlign w:val="center"/>
          </w:tcPr>
          <w:p>
            <w:pPr>
              <w:pStyle w:val="276"/>
              <w:jc w:val="center"/>
              <w:rPr>
                <w:rFonts w:hint="eastAsia" w:ascii="宋体" w:hAnsi="宋体" w:cs="宋体"/>
                <w:color w:val="auto"/>
                <w:highlight w:val="none"/>
              </w:rPr>
            </w:pPr>
          </w:p>
        </w:tc>
        <w:tc>
          <w:tcPr>
            <w:tcW w:w="797" w:type="dxa"/>
            <w:vAlign w:val="center"/>
          </w:tcPr>
          <w:p>
            <w:pPr>
              <w:pStyle w:val="276"/>
              <w:jc w:val="center"/>
              <w:rPr>
                <w:rFonts w:hint="eastAsia" w:ascii="宋体" w:hAnsi="宋体" w:cs="宋体"/>
                <w:color w:val="auto"/>
                <w:highlight w:val="none"/>
              </w:rPr>
            </w:pPr>
          </w:p>
        </w:tc>
      </w:tr>
    </w:tbl>
    <w:p>
      <w:pPr>
        <w:pStyle w:val="276"/>
        <w:rPr>
          <w:rFonts w:hint="eastAsia" w:ascii="宋体" w:hAnsi="宋体" w:cs="宋体"/>
          <w:color w:val="auto"/>
          <w:highlight w:val="none"/>
        </w:rPr>
      </w:pPr>
    </w:p>
    <w:p>
      <w:pPr>
        <w:pStyle w:val="276"/>
        <w:rPr>
          <w:rFonts w:hint="eastAsia" w:ascii="宋体" w:hAnsi="宋体" w:cs="宋体"/>
          <w:color w:val="auto"/>
          <w:highlight w:val="none"/>
        </w:rPr>
        <w:sectPr>
          <w:footerReference r:id="rId34" w:type="default"/>
          <w:footnotePr>
            <w:numFmt w:val="decimalEnclosedCircleChinese"/>
            <w:numRestart w:val="eachPage"/>
          </w:footnotePr>
          <w:type w:val="continuous"/>
          <w:pgSz w:w="16839" w:h="11920" w:orient="landscape"/>
          <w:pgMar w:top="1418" w:right="1134" w:bottom="1418" w:left="1474" w:header="1009" w:footer="680" w:gutter="0"/>
          <w:cols w:space="720" w:num="1"/>
          <w:docGrid w:linePitch="286" w:charSpace="0"/>
        </w:sectPr>
      </w:pPr>
    </w:p>
    <w:p>
      <w:pPr>
        <w:pStyle w:val="276"/>
        <w:spacing w:line="360" w:lineRule="auto"/>
        <w:jc w:val="center"/>
        <w:rPr>
          <w:rFonts w:hint="eastAsia" w:ascii="黑体" w:hAnsi="黑体" w:eastAsia="黑体" w:cs="宋体"/>
          <w:color w:val="auto"/>
          <w:sz w:val="24"/>
          <w:highlight w:val="none"/>
        </w:rPr>
      </w:pPr>
      <w:bookmarkStart w:id="774" w:name="_Toc513555859"/>
      <w:bookmarkStart w:id="775" w:name="_Toc519777902"/>
      <w:bookmarkStart w:id="776" w:name="_Toc519601522"/>
      <w:bookmarkStart w:id="777" w:name="_Toc519778515"/>
      <w:bookmarkStart w:id="778" w:name="_Toc519777850"/>
      <w:bookmarkStart w:id="779" w:name="_Toc513555615"/>
      <w:bookmarkStart w:id="780" w:name="_Toc513556699"/>
      <w:r>
        <w:rPr>
          <w:rFonts w:hint="eastAsia" w:ascii="黑体" w:hAnsi="黑体" w:eastAsia="黑体" w:cs="宋体"/>
          <w:color w:val="auto"/>
          <w:sz w:val="24"/>
          <w:highlight w:val="none"/>
        </w:rPr>
        <w:t>附件1  监理人员工作计划安排表</w:t>
      </w:r>
      <w:bookmarkEnd w:id="774"/>
      <w:bookmarkEnd w:id="775"/>
      <w:bookmarkEnd w:id="776"/>
      <w:bookmarkEnd w:id="777"/>
      <w:bookmarkEnd w:id="778"/>
      <w:bookmarkEnd w:id="779"/>
      <w:bookmarkEnd w:id="780"/>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标段： </w:t>
      </w:r>
    </w:p>
    <w:tbl>
      <w:tblPr>
        <w:tblStyle w:val="48"/>
        <w:tblW w:w="92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902"/>
        <w:gridCol w:w="1590"/>
        <w:gridCol w:w="444"/>
        <w:gridCol w:w="1242"/>
        <w:gridCol w:w="1242"/>
        <w:gridCol w:w="1155"/>
        <w:gridCol w:w="1256"/>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dxa"/>
            <w:vMerge w:val="restart"/>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序号</w:t>
            </w:r>
          </w:p>
        </w:tc>
        <w:tc>
          <w:tcPr>
            <w:tcW w:w="2492" w:type="dxa"/>
            <w:gridSpan w:val="2"/>
            <w:vMerge w:val="restart"/>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岗位</w:t>
            </w:r>
          </w:p>
        </w:tc>
        <w:tc>
          <w:tcPr>
            <w:tcW w:w="5339" w:type="dxa"/>
            <w:gridSpan w:val="5"/>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总监理工程师办公室或驻地监理工程师办公室</w:t>
            </w:r>
          </w:p>
        </w:tc>
        <w:tc>
          <w:tcPr>
            <w:tcW w:w="926" w:type="dxa"/>
            <w:vMerge w:val="restart"/>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合计</w:t>
            </w:r>
          </w:p>
          <w:p>
            <w:pPr>
              <w:pStyle w:val="276"/>
              <w:rPr>
                <w:rFonts w:hint="eastAsia" w:ascii="宋体" w:hAnsi="宋体" w:cs="宋体"/>
                <w:color w:val="auto"/>
                <w:sz w:val="18"/>
                <w:szCs w:val="18"/>
                <w:highlight w:val="none"/>
              </w:rPr>
            </w:pPr>
            <w:r>
              <w:rPr>
                <w:rFonts w:hint="eastAsia" w:ascii="宋体" w:hAnsi="宋体" w:cs="宋体"/>
                <w:color w:val="auto"/>
                <w:sz w:val="18"/>
                <w:szCs w:val="18"/>
                <w:highlight w:val="none"/>
              </w:rPr>
              <w:t>（月数）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7" w:type="dxa"/>
            <w:vMerge w:val="continue"/>
            <w:vAlign w:val="center"/>
          </w:tcPr>
          <w:p>
            <w:pPr>
              <w:pStyle w:val="276"/>
              <w:jc w:val="center"/>
              <w:rPr>
                <w:rFonts w:hint="eastAsia" w:ascii="宋体" w:hAnsi="宋体" w:cs="宋体"/>
                <w:color w:val="auto"/>
                <w:sz w:val="18"/>
                <w:szCs w:val="18"/>
                <w:highlight w:val="none"/>
              </w:rPr>
            </w:pPr>
          </w:p>
        </w:tc>
        <w:tc>
          <w:tcPr>
            <w:tcW w:w="2492" w:type="dxa"/>
            <w:gridSpan w:val="2"/>
            <w:vMerge w:val="continue"/>
            <w:vAlign w:val="center"/>
          </w:tcPr>
          <w:p>
            <w:pPr>
              <w:pStyle w:val="276"/>
              <w:jc w:val="center"/>
              <w:rPr>
                <w:rFonts w:hint="eastAsia" w:ascii="宋体" w:hAnsi="宋体" w:cs="宋体"/>
                <w:color w:val="auto"/>
                <w:sz w:val="18"/>
                <w:szCs w:val="18"/>
                <w:highlight w:val="none"/>
              </w:rPr>
            </w:pPr>
          </w:p>
        </w:tc>
        <w:tc>
          <w:tcPr>
            <w:tcW w:w="444" w:type="dxa"/>
            <w:vMerge w:val="restart"/>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w:t>
            </w:r>
          </w:p>
        </w:tc>
        <w:tc>
          <w:tcPr>
            <w:tcW w:w="4895" w:type="dxa"/>
            <w:gridSpan w:val="4"/>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进驻月数（人·月）</w:t>
            </w:r>
          </w:p>
        </w:tc>
        <w:tc>
          <w:tcPr>
            <w:tcW w:w="926" w:type="dxa"/>
            <w:vMerge w:val="continue"/>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7" w:type="dxa"/>
            <w:vMerge w:val="continue"/>
            <w:vAlign w:val="center"/>
          </w:tcPr>
          <w:p>
            <w:pPr>
              <w:pStyle w:val="276"/>
              <w:jc w:val="center"/>
              <w:rPr>
                <w:rFonts w:hint="eastAsia" w:ascii="宋体" w:hAnsi="宋体" w:cs="宋体"/>
                <w:color w:val="auto"/>
                <w:sz w:val="18"/>
                <w:szCs w:val="18"/>
                <w:highlight w:val="none"/>
              </w:rPr>
            </w:pPr>
          </w:p>
        </w:tc>
        <w:tc>
          <w:tcPr>
            <w:tcW w:w="2492" w:type="dxa"/>
            <w:gridSpan w:val="2"/>
            <w:vMerge w:val="continue"/>
            <w:vAlign w:val="center"/>
          </w:tcPr>
          <w:p>
            <w:pPr>
              <w:pStyle w:val="276"/>
              <w:jc w:val="center"/>
              <w:rPr>
                <w:rFonts w:hint="eastAsia" w:ascii="宋体" w:hAnsi="宋体" w:cs="宋体"/>
                <w:color w:val="auto"/>
                <w:sz w:val="18"/>
                <w:szCs w:val="18"/>
                <w:highlight w:val="none"/>
              </w:rPr>
            </w:pPr>
          </w:p>
        </w:tc>
        <w:tc>
          <w:tcPr>
            <w:tcW w:w="444" w:type="dxa"/>
            <w:vMerge w:val="continue"/>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准备期</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施工期</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r>
              <w:rPr>
                <w:rFonts w:hint="eastAsia" w:ascii="宋体" w:hAnsi="宋体" w:cs="宋体"/>
                <w:color w:val="auto"/>
                <w:sz w:val="18"/>
                <w:szCs w:val="18"/>
                <w:highlight w:val="none"/>
              </w:rPr>
              <w:t>试运行期</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缺陷责任期</w:t>
            </w:r>
          </w:p>
        </w:tc>
        <w:tc>
          <w:tcPr>
            <w:tcW w:w="926" w:type="dxa"/>
            <w:vMerge w:val="continue"/>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1</w:t>
            </w:r>
          </w:p>
        </w:tc>
        <w:tc>
          <w:tcPr>
            <w:tcW w:w="902" w:type="dxa"/>
            <w:vMerge w:val="restart"/>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□总监理工程师办公室</w:t>
            </w: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总监理工程师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2</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rPr>
                <w:rFonts w:hint="eastAsia" w:ascii="宋体" w:hAnsi="宋体" w:cs="宋体"/>
                <w:color w:val="auto"/>
                <w:sz w:val="18"/>
                <w:szCs w:val="18"/>
                <w:highlight w:val="none"/>
              </w:rPr>
            </w:pPr>
            <w:r>
              <w:rPr>
                <w:rFonts w:hint="eastAsia" w:ascii="宋体" w:hAnsi="宋体" w:cs="宋体"/>
                <w:color w:val="auto"/>
                <w:sz w:val="18"/>
                <w:szCs w:val="18"/>
                <w:highlight w:val="none"/>
              </w:rPr>
              <w:t>副总监理工程师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3</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u w:val="single"/>
              </w:rPr>
              <w:t xml:space="preserve">   </w:t>
            </w:r>
            <w:r>
              <w:rPr>
                <w:rFonts w:hint="eastAsia" w:ascii="宋体" w:hAnsi="宋体" w:cs="宋体"/>
                <w:color w:val="auto"/>
                <w:sz w:val="18"/>
                <w:szCs w:val="18"/>
                <w:highlight w:val="none"/>
              </w:rPr>
              <w:t>专业监理</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4</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u w:val="single"/>
              </w:rPr>
              <w:t xml:space="preserve">   </w:t>
            </w:r>
            <w:r>
              <w:rPr>
                <w:rFonts w:hint="eastAsia" w:ascii="宋体" w:hAnsi="宋体" w:cs="宋体"/>
                <w:color w:val="auto"/>
                <w:sz w:val="18"/>
                <w:szCs w:val="18"/>
                <w:highlight w:val="none"/>
              </w:rPr>
              <w:t>专业监理</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5</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□机电专业监理工程师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6</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□隧道机电专业监理工程师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ind w:firstLine="180" w:firstLineChars="100"/>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ind w:firstLine="180" w:firstLineChars="100"/>
              <w:rPr>
                <w:rFonts w:hint="eastAsia" w:ascii="宋体" w:hAnsi="宋体" w:cs="宋体"/>
                <w:color w:val="auto"/>
                <w:sz w:val="18"/>
                <w:szCs w:val="18"/>
                <w:highlight w:val="none"/>
                <w:u w:val="single"/>
              </w:rPr>
            </w:pPr>
            <w:r>
              <w:rPr>
                <w:rFonts w:hint="eastAsia" w:ascii="宋体" w:hAnsi="宋体" w:cs="宋体"/>
                <w:color w:val="auto"/>
                <w:sz w:val="18"/>
                <w:szCs w:val="18"/>
                <w:highlight w:val="none"/>
              </w:rPr>
              <w:t>□监理员</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1</w:t>
            </w:r>
          </w:p>
        </w:tc>
        <w:tc>
          <w:tcPr>
            <w:tcW w:w="902" w:type="dxa"/>
            <w:vMerge w:val="restart"/>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□驻地监理工程师办公室</w:t>
            </w: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驻地监理工程师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2</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u w:val="single"/>
              </w:rPr>
              <w:t xml:space="preserve">   </w:t>
            </w:r>
            <w:r>
              <w:rPr>
                <w:rFonts w:hint="eastAsia" w:ascii="宋体" w:hAnsi="宋体" w:cs="宋体"/>
                <w:color w:val="auto"/>
                <w:sz w:val="18"/>
                <w:szCs w:val="18"/>
                <w:highlight w:val="none"/>
              </w:rPr>
              <w:t>专业监理</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3</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u w:val="single"/>
              </w:rPr>
              <w:t xml:space="preserve">   </w:t>
            </w:r>
            <w:r>
              <w:rPr>
                <w:rFonts w:hint="eastAsia" w:ascii="宋体" w:hAnsi="宋体" w:cs="宋体"/>
                <w:color w:val="auto"/>
                <w:sz w:val="18"/>
                <w:szCs w:val="18"/>
                <w:highlight w:val="none"/>
              </w:rPr>
              <w:t>专业监理</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4</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u w:val="single"/>
              </w:rPr>
              <w:t xml:space="preserve">   </w:t>
            </w:r>
            <w:r>
              <w:rPr>
                <w:rFonts w:hint="eastAsia" w:ascii="宋体" w:hAnsi="宋体" w:cs="宋体"/>
                <w:color w:val="auto"/>
                <w:sz w:val="18"/>
                <w:szCs w:val="18"/>
                <w:highlight w:val="none"/>
              </w:rPr>
              <w:t>专业监理</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5</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□机电专业监理工程师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6</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□隧道机电专业监理工程师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监理员</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1</w:t>
            </w:r>
          </w:p>
        </w:tc>
        <w:tc>
          <w:tcPr>
            <w:tcW w:w="902" w:type="dxa"/>
            <w:vMerge w:val="restart"/>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r>
              <w:rPr>
                <w:rFonts w:hint="eastAsia" w:ascii="宋体" w:hAnsi="宋体" w:cs="宋体"/>
                <w:color w:val="auto"/>
                <w:sz w:val="18"/>
                <w:szCs w:val="18"/>
                <w:highlight w:val="none"/>
              </w:rPr>
              <w:t>监理试验室</w:t>
            </w: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试验室主任</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tcPr>
          <w:p>
            <w:pPr>
              <w:pStyle w:val="276"/>
              <w:jc w:val="center"/>
              <w:rPr>
                <w:rFonts w:hint="eastAsia" w:ascii="宋体" w:hAnsi="宋体" w:cs="宋体"/>
                <w:color w:val="auto"/>
                <w:sz w:val="18"/>
                <w:szCs w:val="18"/>
                <w:highlight w:val="none"/>
              </w:rPr>
            </w:pP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2</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技术负责人</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3</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试验检测工程师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4</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1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12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37" w:type="dxa"/>
            <w:vMerge w:val="restart"/>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5</w:t>
            </w:r>
          </w:p>
        </w:tc>
        <w:tc>
          <w:tcPr>
            <w:tcW w:w="902" w:type="dxa"/>
            <w:vMerge w:val="continue"/>
            <w:vAlign w:val="center"/>
          </w:tcPr>
          <w:p>
            <w:pPr>
              <w:pStyle w:val="276"/>
              <w:jc w:val="center"/>
              <w:rPr>
                <w:rFonts w:hint="eastAsia" w:ascii="宋体" w:hAnsi="宋体" w:cs="宋体"/>
                <w:color w:val="auto"/>
                <w:sz w:val="18"/>
                <w:szCs w:val="18"/>
                <w:highlight w:val="none"/>
              </w:rPr>
            </w:pPr>
          </w:p>
        </w:tc>
        <w:tc>
          <w:tcPr>
            <w:tcW w:w="159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试验员/助理试验检测工程师</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人数×月数</w:t>
            </w:r>
          </w:p>
        </w:tc>
        <w:tc>
          <w:tcPr>
            <w:tcW w:w="1155" w:type="dxa"/>
          </w:tcPr>
          <w:p>
            <w:pPr>
              <w:pStyle w:val="276"/>
              <w:jc w:val="center"/>
              <w:rPr>
                <w:rFonts w:hint="eastAsia" w:ascii="宋体" w:hAnsi="宋体" w:cs="宋体"/>
                <w:color w:val="auto"/>
                <w:sz w:val="18"/>
                <w:szCs w:val="18"/>
                <w:highlight w:val="none"/>
              </w:rPr>
            </w:pPr>
          </w:p>
        </w:tc>
        <w:tc>
          <w:tcPr>
            <w:tcW w:w="1256" w:type="dxa"/>
            <w:vAlign w:val="center"/>
          </w:tcPr>
          <w:p>
            <w:pPr>
              <w:pStyle w:val="276"/>
              <w:jc w:val="center"/>
              <w:rPr>
                <w:rFonts w:hint="eastAsia" w:ascii="宋体" w:hAnsi="宋体" w:cs="宋体"/>
                <w:color w:val="auto"/>
                <w:sz w:val="18"/>
                <w:szCs w:val="18"/>
                <w:highlight w:val="none"/>
              </w:rPr>
            </w:pPr>
          </w:p>
        </w:tc>
        <w:tc>
          <w:tcPr>
            <w:tcW w:w="926" w:type="dxa"/>
            <w:vAlign w:val="center"/>
          </w:tcPr>
          <w:p>
            <w:pPr>
              <w:pStyle w:val="276"/>
              <w:jc w:val="center"/>
              <w:rPr>
                <w:rFonts w:hint="eastAsia"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37" w:type="dxa"/>
            <w:vMerge w:val="continue"/>
            <w:vAlign w:val="center"/>
          </w:tcPr>
          <w:p>
            <w:pPr>
              <w:pStyle w:val="276"/>
              <w:jc w:val="center"/>
              <w:rPr>
                <w:rFonts w:hint="eastAsia" w:ascii="宋体" w:hAnsi="宋体" w:cs="宋体"/>
                <w:color w:val="auto"/>
                <w:sz w:val="18"/>
                <w:szCs w:val="18"/>
                <w:highlight w:val="none"/>
              </w:rPr>
            </w:pPr>
          </w:p>
        </w:tc>
        <w:tc>
          <w:tcPr>
            <w:tcW w:w="8757" w:type="dxa"/>
            <w:gridSpan w:val="8"/>
            <w:vAlign w:val="center"/>
          </w:tcPr>
          <w:p>
            <w:pPr>
              <w:pStyle w:val="276"/>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监理试验室仅适用于招标范围包含监理试验室时的情形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29" w:type="dxa"/>
            <w:gridSpan w:val="3"/>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每月应在工地的监理人员合计</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（人数）</w:t>
            </w:r>
          </w:p>
        </w:tc>
        <w:tc>
          <w:tcPr>
            <w:tcW w:w="444"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p>
        </w:tc>
        <w:tc>
          <w:tcPr>
            <w:tcW w:w="1242" w:type="dxa"/>
            <w:vAlign w:val="center"/>
          </w:tcPr>
          <w:p>
            <w:pPr>
              <w:pStyle w:val="276"/>
              <w:jc w:val="center"/>
              <w:rPr>
                <w:rFonts w:hint="eastAsia" w:ascii="宋体" w:hAnsi="宋体" w:cs="宋体"/>
                <w:color w:val="auto"/>
                <w:sz w:val="18"/>
                <w:szCs w:val="18"/>
                <w:highlight w:val="none"/>
              </w:rPr>
            </w:pPr>
          </w:p>
        </w:tc>
        <w:tc>
          <w:tcPr>
            <w:tcW w:w="1155" w:type="dxa"/>
          </w:tcPr>
          <w:p>
            <w:pPr>
              <w:pStyle w:val="276"/>
              <w:jc w:val="center"/>
              <w:rPr>
                <w:rFonts w:hint="eastAsia" w:ascii="宋体" w:hAnsi="宋体" w:cs="宋体"/>
                <w:color w:val="auto"/>
                <w:sz w:val="18"/>
                <w:szCs w:val="18"/>
                <w:highlight w:val="none"/>
              </w:rPr>
            </w:pPr>
          </w:p>
        </w:tc>
        <w:tc>
          <w:tcPr>
            <w:tcW w:w="1256" w:type="dxa"/>
            <w:vAlign w:val="center"/>
          </w:tcPr>
          <w:p>
            <w:pPr>
              <w:pStyle w:val="276"/>
              <w:jc w:val="center"/>
              <w:rPr>
                <w:rFonts w:hint="eastAsia" w:ascii="宋体" w:hAnsi="宋体" w:cs="宋体"/>
                <w:color w:val="auto"/>
                <w:sz w:val="18"/>
                <w:szCs w:val="18"/>
                <w:highlight w:val="none"/>
              </w:rPr>
            </w:pPr>
          </w:p>
        </w:tc>
        <w:tc>
          <w:tcPr>
            <w:tcW w:w="926" w:type="dxa"/>
            <w:vAlign w:val="center"/>
          </w:tcPr>
          <w:p>
            <w:pPr>
              <w:pStyle w:val="276"/>
              <w:jc w:val="center"/>
              <w:rPr>
                <w:rFonts w:hint="eastAsia" w:ascii="宋体" w:hAnsi="宋体" w:cs="宋体"/>
                <w:color w:val="auto"/>
                <w:sz w:val="18"/>
                <w:szCs w:val="18"/>
                <w:highlight w:val="none"/>
              </w:rPr>
            </w:pPr>
          </w:p>
        </w:tc>
      </w:tr>
    </w:tbl>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t>注：按照拟投入本工程现场监理人员的计划在岗安排据实填报。</w:t>
      </w:r>
    </w:p>
    <w:p>
      <w:pPr>
        <w:rPr>
          <w:color w:val="auto"/>
          <w:highlight w:val="none"/>
        </w:rPr>
      </w:pPr>
    </w:p>
    <w:sectPr>
      <w:footnotePr>
        <w:numFmt w:val="decimalEnclosedCircleChinese"/>
        <w:numRestart w:val="eachPage"/>
      </w:footnotePr>
      <w:pgSz w:w="11900" w:h="16840"/>
      <w:pgMar w:top="1418" w:right="1417" w:bottom="1418" w:left="1701" w:header="885" w:footer="680" w:gutter="0"/>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Calibri-Bold">
    <w:altName w:val="汉仪新人文宋简"/>
    <w:panose1 w:val="00000000000000000000"/>
    <w:charset w:val="00"/>
    <w:family w:val="roman"/>
    <w:pitch w:val="default"/>
    <w:sig w:usb0="00000000" w:usb1="00000000" w:usb2="00000000" w:usb3="00000000" w:csb0="00040001" w:csb1="00000000"/>
  </w:font>
  <w:font w:name="MingLiU">
    <w:altName w:val="宋体"/>
    <w:panose1 w:val="02010609000101010101"/>
    <w:charset w:val="88"/>
    <w:family w:val="modern"/>
    <w:pitch w:val="default"/>
    <w:sig w:usb0="00000000" w:usb1="00000000" w:usb2="00000016" w:usb3="00000000" w:csb0="00100001" w:csb1="00000000"/>
  </w:font>
  <w:font w:name="HiddenHorzOCl">
    <w:altName w:val="宋体"/>
    <w:panose1 w:val="00000000000000000000"/>
    <w:charset w:val="86"/>
    <w:family w:val="swiss"/>
    <w:pitch w:val="default"/>
    <w:sig w:usb0="00000000" w:usb1="00000000" w:usb2="00000010" w:usb3="00000000" w:csb0="00040000" w:csb1="00000000"/>
  </w:font>
  <w:font w:name="Roman 10cpi">
    <w:altName w:val="汉仪叶叶相思体简"/>
    <w:panose1 w:val="00000000000000000000"/>
    <w:charset w:val="00"/>
    <w:family w:val="modern"/>
    <w:pitch w:val="default"/>
    <w:sig w:usb0="00000000" w:usb1="00000000" w:usb2="00000000" w:usb3="00000000" w:csb0="00000001" w:csb1="00000000"/>
  </w:font>
  <w:font w:name="Tahoma">
    <w:altName w:val="DejaVu Sans"/>
    <w:panose1 w:val="020B0604030504040204"/>
    <w:charset w:val="00"/>
    <w:family w:val="swiss"/>
    <w:pitch w:val="default"/>
    <w:sig w:usb0="00000000" w:usb1="00000000" w:usb2="00000029" w:usb3="00000000" w:csb0="000101FF" w:csb1="00000000"/>
  </w:font>
  <w:font w:name="Verdana">
    <w:altName w:val="DejaVu Sans"/>
    <w:panose1 w:val="020B0604030504040204"/>
    <w:charset w:val="00"/>
    <w:family w:val="swiss"/>
    <w:pitch w:val="default"/>
    <w:sig w:usb0="00000000" w:usb1="00000000" w:usb2="00000010" w:usb3="00000000" w:csb0="0000019F" w:csb1="00000000"/>
  </w:font>
  <w:font w:name="Century Gothic">
    <w:altName w:val="汉仪君黑-35简"/>
    <w:panose1 w:val="020B0502020202020204"/>
    <w:charset w:val="00"/>
    <w:family w:val="swiss"/>
    <w:pitch w:val="default"/>
    <w:sig w:usb0="00000000" w:usb1="00000000" w:usb2="00000000" w:usb3="00000000" w:csb0="0000009F"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center" w:pos="4535"/>
        <w:tab w:val="clear" w:pos="4153"/>
      </w:tabs>
      <w:ind w:right="360"/>
      <w:rPr>
        <w:sz w:val="15"/>
        <w:szCs w:val="15"/>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 PAGE   \* MERGEFORMAT </w:instrText>
    </w:r>
    <w:r>
      <w:fldChar w:fldCharType="separate"/>
    </w:r>
    <w:r>
      <w:rPr>
        <w:lang w:val="zh-CN"/>
      </w:rPr>
      <w:t>138</w:t>
    </w:r>
    <w:r>
      <w:rPr>
        <w:lang w:val="zh-CN"/>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 PAGE   \* MERGEFORMAT </w:instrText>
    </w:r>
    <w:r>
      <w:fldChar w:fldCharType="separate"/>
    </w:r>
    <w:r>
      <w:rPr>
        <w:lang w:val="zh-CN"/>
      </w:rPr>
      <w:t>141</w:t>
    </w:r>
    <w:r>
      <w:rPr>
        <w:lang w:val="zh-CN"/>
      </w:rPr>
      <w:fldChar w:fldCharType="end"/>
    </w:r>
  </w:p>
  <w:p>
    <w:pPr>
      <w:pStyle w:val="21"/>
      <w:spacing w:line="14" w:lineRule="auto"/>
      <w:rPr>
        <w:rFonts w:hint="eastAsia"/>
        <w:sz w:val="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0"/>
      </w:rPr>
    </w:pPr>
    <w:r>
      <mc:AlternateContent>
        <mc:Choice Requires="wps">
          <w:drawing>
            <wp:anchor distT="0" distB="0" distL="114300" distR="114300" simplePos="0" relativeHeight="251663360" behindDoc="1" locked="0" layoutInCell="1" allowOverlap="1">
              <wp:simplePos x="0" y="0"/>
              <wp:positionH relativeFrom="page">
                <wp:posOffset>977900</wp:posOffset>
              </wp:positionH>
              <wp:positionV relativeFrom="page">
                <wp:posOffset>10015220</wp:posOffset>
              </wp:positionV>
              <wp:extent cx="222250" cy="139700"/>
              <wp:effectExtent l="0" t="0" r="6350" b="12700"/>
              <wp:wrapNone/>
              <wp:docPr id="7" name="文本框 55"/>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w="9525">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246</w:t>
                          </w:r>
                          <w:r>
                            <w:fldChar w:fldCharType="end"/>
                          </w:r>
                        </w:p>
                      </w:txbxContent>
                    </wps:txbx>
                    <wps:bodyPr lIns="0" tIns="0" rIns="0" bIns="0" upright="true"/>
                  </wps:wsp>
                </a:graphicData>
              </a:graphic>
            </wp:anchor>
          </w:drawing>
        </mc:Choice>
        <mc:Fallback>
          <w:pict>
            <v:shape id="文本框 55" o:spid="_x0000_s1026" o:spt="202" type="#_x0000_t202" style="position:absolute;left:0pt;margin-left:77pt;margin-top:788.6pt;height:11pt;width:17.5pt;mso-position-horizontal-relative:page;mso-position-vertical-relative:page;z-index:-251653120;mso-width-relative:page;mso-height-relative:page;" filled="f" stroked="f" coordsize="21600,21600" o:gfxdata="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NoAPHXXAAAADQEA&#10;AA8AAAAAAAAAAQAgAAAAIgAAAGRycy9kb3ducmV2LnhtbFBLAQIUABQAAAAIAIdO4kAJOD4TqQEA&#10;ADMDAAAOAAAAAAAAAAEAIAAAACYBAABkcnMvZTJvRG9jLnhtbFBLBQYAAAAABgAGAFkBAABBBQAA&#10;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246</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 PAGE   \* MERGEFORMAT </w:instrText>
    </w:r>
    <w:r>
      <w:fldChar w:fldCharType="separate"/>
    </w:r>
    <w:r>
      <w:rPr>
        <w:lang w:val="zh-CN"/>
      </w:rPr>
      <w:t>172</w:t>
    </w:r>
    <w:r>
      <w:rPr>
        <w:lang w:val="zh-CN"/>
      </w:rPr>
      <w:fldChar w:fldCharType="end"/>
    </w:r>
  </w:p>
  <w:p>
    <w:pPr>
      <w:pStyle w:val="21"/>
      <w:spacing w:line="14" w:lineRule="auto"/>
      <w:rPr>
        <w:rFonts w:hint="eastAsia"/>
        <w:sz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0"/>
      </w:rPr>
    </w:pPr>
    <w:r>
      <mc:AlternateContent>
        <mc:Choice Requires="wps">
          <w:drawing>
            <wp:anchor distT="0" distB="0" distL="114300" distR="114300" simplePos="0" relativeHeight="251666432" behindDoc="1" locked="0" layoutInCell="1" allowOverlap="1">
              <wp:simplePos x="0" y="0"/>
              <wp:positionH relativeFrom="page">
                <wp:posOffset>977900</wp:posOffset>
              </wp:positionH>
              <wp:positionV relativeFrom="page">
                <wp:posOffset>10015220</wp:posOffset>
              </wp:positionV>
              <wp:extent cx="222250" cy="139700"/>
              <wp:effectExtent l="0" t="0" r="6350" b="12700"/>
              <wp:wrapNone/>
              <wp:docPr id="10" name="文本框 64"/>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w="9525">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252</w:t>
                          </w:r>
                          <w:r>
                            <w:fldChar w:fldCharType="end"/>
                          </w:r>
                        </w:p>
                      </w:txbxContent>
                    </wps:txbx>
                    <wps:bodyPr lIns="0" tIns="0" rIns="0" bIns="0" upright="true"/>
                  </wps:wsp>
                </a:graphicData>
              </a:graphic>
            </wp:anchor>
          </w:drawing>
        </mc:Choice>
        <mc:Fallback>
          <w:pict>
            <v:shape id="文本框 64" o:spid="_x0000_s1026" o:spt="202" type="#_x0000_t202" style="position:absolute;left:0pt;margin-left:77pt;margin-top:788.6pt;height:11pt;width:17.5pt;mso-position-horizontal-relative:page;mso-position-vertical-relative:page;z-index:-251650048;mso-width-relative:page;mso-height-relative:page;" filled="f" stroked="f" coordsize="21600,21600" o:gfxdata="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aADx11wAAAA0B&#10;AAAPAAAAAAAAAAEAIAAAACIAAABkcnMvZG93bnJldi54bWxQSwECFAAUAAAACACHTuJA6CQxU6oB&#10;AAA0AwAADgAAAAAAAAABACAAAAAmAQAAZHJzL2Uyb0RvYy54bWxQSwUGAAAAAAYABgBZAQAAQgUA&#10;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252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 PAGE   \* MERGEFORMAT </w:instrText>
    </w:r>
    <w:r>
      <w:fldChar w:fldCharType="separate"/>
    </w:r>
    <w:r>
      <w:rPr>
        <w:lang w:val="zh-CN"/>
      </w:rPr>
      <w:t>178</w:t>
    </w:r>
    <w:r>
      <w:rPr>
        <w:lang w:val="zh-CN"/>
      </w:rPr>
      <w:fldChar w:fldCharType="end"/>
    </w:r>
  </w:p>
  <w:p>
    <w:pPr>
      <w:pStyle w:val="21"/>
      <w:spacing w:line="14" w:lineRule="auto"/>
      <w:rPr>
        <w:rFonts w:hint="eastAsia"/>
        <w:sz w:val="20"/>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0"/>
      </w:rPr>
    </w:pPr>
    <w:r>
      <mc:AlternateContent>
        <mc:Choice Requires="wps">
          <w:drawing>
            <wp:anchor distT="0" distB="0" distL="114300" distR="114300" simplePos="0" relativeHeight="251667456" behindDoc="1" locked="0" layoutInCell="1" allowOverlap="1">
              <wp:simplePos x="0" y="0"/>
              <wp:positionH relativeFrom="page">
                <wp:posOffset>977900</wp:posOffset>
              </wp:positionH>
              <wp:positionV relativeFrom="page">
                <wp:posOffset>10015220</wp:posOffset>
              </wp:positionV>
              <wp:extent cx="222250" cy="139700"/>
              <wp:effectExtent l="0" t="0" r="6350" b="12700"/>
              <wp:wrapNone/>
              <wp:docPr id="11" name="文本框 79"/>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w="9525">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280</w:t>
                          </w:r>
                          <w:r>
                            <w:fldChar w:fldCharType="end"/>
                          </w:r>
                        </w:p>
                      </w:txbxContent>
                    </wps:txbx>
                    <wps:bodyPr lIns="0" tIns="0" rIns="0" bIns="0" upright="true"/>
                  </wps:wsp>
                </a:graphicData>
              </a:graphic>
            </wp:anchor>
          </w:drawing>
        </mc:Choice>
        <mc:Fallback>
          <w:pict>
            <v:shape id="文本框 79" o:spid="_x0000_s1026" o:spt="202" type="#_x0000_t202" style="position:absolute;left:0pt;margin-left:77pt;margin-top:788.6pt;height:11pt;width:17.5pt;mso-position-horizontal-relative:page;mso-position-vertical-relative:page;z-index:-251649024;mso-width-relative:page;mso-height-relative:page;" filled="f" stroked="f" coordsize="21600,21600" o:gfxdata="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aADx11wAAAA0B&#10;AAAPAAAAAAAAAAEAIAAAACIAAABkcnMvZG93bnJldi54bWxQSwECFAAUAAAACACHTuJAgnv2GqoB&#10;AAA0AwAADgAAAAAAAAABACAAAAAmAQAAZHJzL2Uyb0RvYy54bWxQSwUGAAAAAAYABgBZAQAAQgUA&#10;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280</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 PAGE   \* MERGEFORMAT </w:instrText>
    </w:r>
    <w:r>
      <w:fldChar w:fldCharType="separate"/>
    </w:r>
    <w:r>
      <w:rPr>
        <w:lang w:val="zh-CN"/>
      </w:rPr>
      <w:t>184</w:t>
    </w:r>
    <w:r>
      <w:rPr>
        <w:lang w:val="zh-CN"/>
      </w:rPr>
      <w:fldChar w:fldCharType="end"/>
    </w:r>
  </w:p>
  <w:p>
    <w:pPr>
      <w:pStyle w:val="32"/>
      <w:spacing w:line="360" w:lineRule="auto"/>
      <w:ind w:left="420"/>
      <w:rPr>
        <w:sz w:val="15"/>
        <w:szCs w:val="15"/>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 PAGE   \* MERGEFORMAT </w:instrText>
    </w:r>
    <w:r>
      <w:fldChar w:fldCharType="separate"/>
    </w:r>
    <w:r>
      <w:rPr>
        <w:lang w:val="zh-CN"/>
      </w:rPr>
      <w:t>189</w:t>
    </w:r>
    <w:r>
      <w:rPr>
        <w:lang w:val="zh-CN"/>
      </w:rPr>
      <w:fldChar w:fldCharType="end"/>
    </w:r>
  </w:p>
  <w:p>
    <w:pPr>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spacing w:line="360" w:lineRule="auto"/>
      <w:ind w:left="420"/>
      <w:rPr>
        <w:sz w:val="15"/>
        <w:szCs w:val="1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 PAGE   \* MERGEFORMAT </w:instrText>
    </w:r>
    <w:r>
      <w:fldChar w:fldCharType="separate"/>
    </w:r>
    <w:r>
      <w:rPr>
        <w:lang w:val="zh-CN"/>
      </w:rPr>
      <w:t>3</w:t>
    </w:r>
    <w:r>
      <w:fldChar w:fldCharType="end"/>
    </w:r>
  </w:p>
  <w:p>
    <w:pPr>
      <w:pStyle w:val="32"/>
      <w:spacing w:line="360" w:lineRule="auto"/>
      <w:ind w:left="420"/>
      <w:rPr>
        <w:sz w:val="15"/>
        <w:szCs w:val="15"/>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 PAGE   \* MERGEFORMAT </w:instrText>
    </w:r>
    <w:r>
      <w:fldChar w:fldCharType="separate"/>
    </w:r>
    <w:r>
      <w:rPr>
        <w:lang w:val="zh-CN"/>
      </w:rPr>
      <w:t>70</w:t>
    </w:r>
    <w:r>
      <w:rPr>
        <w:lang w:val="zh-CN"/>
      </w:rPr>
      <w:fldChar w:fldCharType="end"/>
    </w:r>
  </w:p>
  <w:p>
    <w:pPr>
      <w:pStyle w:val="21"/>
      <w:spacing w:line="14" w:lineRule="auto"/>
      <w:rPr>
        <w:rFonts w:hint="eastAsia"/>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0"/>
      </w:rPr>
    </w:pPr>
    <w:r>
      <mc:AlternateContent>
        <mc:Choice Requires="wps">
          <w:drawing>
            <wp:anchor distT="0" distB="0" distL="114300" distR="114300" simplePos="0" relativeHeight="251659264" behindDoc="1" locked="0" layoutInCell="1" allowOverlap="1">
              <wp:simplePos x="0" y="0"/>
              <wp:positionH relativeFrom="page">
                <wp:posOffset>1018540</wp:posOffset>
              </wp:positionH>
              <wp:positionV relativeFrom="page">
                <wp:posOffset>10021570</wp:posOffset>
              </wp:positionV>
              <wp:extent cx="222250" cy="139700"/>
              <wp:effectExtent l="0" t="0" r="6350" b="12700"/>
              <wp:wrapNone/>
              <wp:docPr id="2" name="文本框 46"/>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w="9525">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w:t>
                          </w:r>
                          <w:r>
                            <w:fldChar w:fldCharType="end"/>
                          </w:r>
                        </w:p>
                      </w:txbxContent>
                    </wps:txbx>
                    <wps:bodyPr lIns="0" tIns="0" rIns="0" bIns="0" upright="true"/>
                  </wps:wsp>
                </a:graphicData>
              </a:graphic>
            </wp:anchor>
          </w:drawing>
        </mc:Choice>
        <mc:Fallback>
          <w:pict>
            <v:shape id="文本框 46" o:spid="_x0000_s1026" o:spt="202" type="#_x0000_t202" style="position:absolute;left:0pt;margin-left:80.2pt;margin-top:789.1pt;height:11pt;width:17.5pt;mso-position-horizontal-relative:page;mso-position-vertical-relative:page;z-index:-251657216;mso-width-relative:page;mso-height-relative:page;" filled="f" stroked="f" coordsize="21600,21600" o:gfxdata="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J+Yr0TZAAAA&#10;DQEAAA8AAAAAAAAAAQAgAAAAIgAAAGRycy9kb3ducmV2LnhtbFBLAQIUABQAAAAIAIdO4kCyGLMJ&#10;qgEAADMDAAAOAAAAAAAAAAEAIAAAACgBAABkcnMvZTJvRG9jLnhtbFBLBQYAAAAABgAGAFkBAABE&#10;BQA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 PAGE   \* MERGEFORMAT </w:instrText>
    </w:r>
    <w:r>
      <w:fldChar w:fldCharType="separate"/>
    </w:r>
    <w:r>
      <w:rPr>
        <w:lang w:val="zh-CN"/>
      </w:rPr>
      <w:t>125</w:t>
    </w:r>
    <w:r>
      <w:fldChar w:fldCharType="end"/>
    </w:r>
  </w:p>
  <w:p>
    <w:pPr>
      <w:pStyle w:val="21"/>
      <w:spacing w:line="14" w:lineRule="auto"/>
      <w:rPr>
        <w:rFonts w:hint="eastAsia"/>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0"/>
      </w:rPr>
    </w:pPr>
    <w:r>
      <mc:AlternateContent>
        <mc:Choice Requires="wps">
          <w:drawing>
            <wp:anchor distT="0" distB="0" distL="114300" distR="114300" simplePos="0" relativeHeight="251668480" behindDoc="1" locked="0" layoutInCell="1" allowOverlap="1">
              <wp:simplePos x="0" y="0"/>
              <wp:positionH relativeFrom="page">
                <wp:posOffset>1018540</wp:posOffset>
              </wp:positionH>
              <wp:positionV relativeFrom="page">
                <wp:posOffset>10021570</wp:posOffset>
              </wp:positionV>
              <wp:extent cx="222250" cy="139700"/>
              <wp:effectExtent l="0" t="0" r="6350" b="12700"/>
              <wp:wrapNone/>
              <wp:docPr id="13" name="文本框 82"/>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w="9525">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w:t>
                          </w:r>
                          <w:r>
                            <w:fldChar w:fldCharType="end"/>
                          </w:r>
                        </w:p>
                      </w:txbxContent>
                    </wps:txbx>
                    <wps:bodyPr lIns="0" tIns="0" rIns="0" bIns="0" upright="true"/>
                  </wps:wsp>
                </a:graphicData>
              </a:graphic>
            </wp:anchor>
          </w:drawing>
        </mc:Choice>
        <mc:Fallback>
          <w:pict>
            <v:shape id="文本框 82" o:spid="_x0000_s1026" o:spt="202" type="#_x0000_t202" style="position:absolute;left:0pt;margin-left:80.2pt;margin-top:789.1pt;height:11pt;width:17.5pt;mso-position-horizontal-relative:page;mso-position-vertical-relative:page;z-index:-251648000;mso-width-relative:page;mso-height-relative:page;" filled="f" stroked="f" coordsize="21600,21600" o:gfxdata="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n5ivRNkAAAAN&#10;AQAADwAAAAAAAAABACAAAAAiAAAAZHJzL2Rvd25yZXYueG1sUEsBAhQAFAAAAAgAh07iQEqrV8Kp&#10;AQAANAMAAA4AAAAAAAAAAQAgAAAAKAEAAGRycy9lMm9Eb2MueG1sUEsFBgAAAAAGAAYAWQEAAEMF&#10;AA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 PAGE   \* MERGEFORMAT </w:instrText>
    </w:r>
    <w:r>
      <w:fldChar w:fldCharType="separate"/>
    </w:r>
    <w:r>
      <w:rPr>
        <w:lang w:val="zh-CN"/>
      </w:rPr>
      <w:t>129</w:t>
    </w:r>
    <w:r>
      <w:fldChar w:fldCharType="end"/>
    </w:r>
  </w:p>
  <w:p>
    <w:pPr>
      <w:pStyle w:val="21"/>
      <w:spacing w:line="14" w:lineRule="auto"/>
      <w:rPr>
        <w:rFonts w:hint="eastAsia"/>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0"/>
      </w:rPr>
    </w:pPr>
    <w:r>
      <mc:AlternateContent>
        <mc:Choice Requires="wps">
          <w:drawing>
            <wp:anchor distT="0" distB="0" distL="114300" distR="114300" simplePos="0" relativeHeight="251660288" behindDoc="1" locked="0" layoutInCell="1" allowOverlap="1">
              <wp:simplePos x="0" y="0"/>
              <wp:positionH relativeFrom="page">
                <wp:posOffset>1031240</wp:posOffset>
              </wp:positionH>
              <wp:positionV relativeFrom="page">
                <wp:posOffset>10021570</wp:posOffset>
              </wp:positionV>
              <wp:extent cx="196850" cy="139700"/>
              <wp:effectExtent l="0" t="0" r="12700" b="12700"/>
              <wp:wrapNone/>
              <wp:docPr id="3" name="文本框 47"/>
              <wp:cNvGraphicFramePr/>
              <a:graphic xmlns:a="http://schemas.openxmlformats.org/drawingml/2006/main">
                <a:graphicData uri="http://schemas.microsoft.com/office/word/2010/wordprocessingShape">
                  <wps:wsp>
                    <wps:cNvSpPr txBox="true"/>
                    <wps:spPr>
                      <a:xfrm>
                        <a:off x="0" y="0"/>
                        <a:ext cx="196850" cy="139700"/>
                      </a:xfrm>
                      <a:prstGeom prst="rect">
                        <a:avLst/>
                      </a:prstGeom>
                      <a:noFill/>
                      <a:ln w="9525">
                        <a:noFill/>
                      </a:ln>
                    </wps:spPr>
                    <wps:txbx>
                      <w:txbxContent>
                        <w:p>
                          <w:pPr>
                            <w:spacing w:line="204" w:lineRule="exact"/>
                            <w:ind w:left="20"/>
                            <w:rPr>
                              <w:sz w:val="18"/>
                            </w:rPr>
                          </w:pPr>
                          <w:r>
                            <w:rPr>
                              <w:sz w:val="18"/>
                            </w:rPr>
                            <w:t>200</w:t>
                          </w:r>
                        </w:p>
                      </w:txbxContent>
                    </wps:txbx>
                    <wps:bodyPr lIns="0" tIns="0" rIns="0" bIns="0" upright="true"/>
                  </wps:wsp>
                </a:graphicData>
              </a:graphic>
            </wp:anchor>
          </w:drawing>
        </mc:Choice>
        <mc:Fallback>
          <w:pict>
            <v:shape id="文本框 47" o:spid="_x0000_s1026" o:spt="202" type="#_x0000_t202" style="position:absolute;left:0pt;margin-left:81.2pt;margin-top:789.1pt;height:11pt;width:15.5pt;mso-position-horizontal-relative:page;mso-position-vertical-relative:page;z-index:-251656192;mso-width-relative:page;mso-height-relative:page;" filled="f" stroked="f" coordsize="21600,21600" o:gfxdata="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IiiwI2QAA&#10;AA0BAAAPAAAAAAAAAAEAIAAAACIAAABkcnMvZG93bnJldi54bWxQSwECFAAUAAAACACHTuJAu+7H&#10;h6sBAAAzAwAADgAAAAAAAAABACAAAAAoAQAAZHJzL2Uyb0RvYy54bWxQSwUGAAAAAAYABgBZAQAA&#10;RQUAAAAA&#10;">
              <v:fill on="f" focussize="0,0"/>
              <v:stroke on="f"/>
              <v:imagedata o:title=""/>
              <o:lock v:ext="edit" aspectratio="f"/>
              <v:textbox inset="0mm,0mm,0mm,0mm">
                <w:txbxContent>
                  <w:p>
                    <w:pPr>
                      <w:spacing w:line="204" w:lineRule="exact"/>
                      <w:ind w:left="20"/>
                      <w:rPr>
                        <w:sz w:val="18"/>
                      </w:rPr>
                    </w:pPr>
                    <w:r>
                      <w:rPr>
                        <w:sz w:val="18"/>
                      </w:rPr>
                      <w:t>200</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40" w:lineRule="auto"/>
      </w:pPr>
      <w:r>
        <w:separator/>
      </w:r>
    </w:p>
  </w:footnote>
  <w:footnote w:type="continuationSeparator" w:id="3">
    <w:p>
      <w:pPr>
        <w:spacing w:line="240" w:lineRule="auto"/>
      </w:pPr>
      <w:r>
        <w:continuationSeparator/>
      </w:r>
    </w:p>
  </w:footnote>
  <w:footnote w:id="0">
    <w:p>
      <w:pPr>
        <w:pStyle w:val="37"/>
        <w:ind w:left="360" w:hanging="360" w:hangingChars="200"/>
        <w:jc w:val="both"/>
        <w:rPr>
          <w:rFonts w:hint="eastAsia" w:ascii="宋体" w:hAnsi="宋体" w:cs="宋体"/>
        </w:rPr>
      </w:pPr>
      <w:r>
        <w:rPr>
          <w:rStyle w:val="58"/>
          <w:rFonts w:hint="eastAsia" w:ascii="宋体" w:hAnsi="宋体" w:cs="宋体"/>
          <w:vertAlign w:val="baseline"/>
        </w:rPr>
        <w:footnoteRef/>
      </w:r>
      <w:r>
        <w:rPr>
          <w:rFonts w:hint="eastAsia" w:ascii="宋体" w:hAnsi="宋体" w:cs="宋体"/>
        </w:rPr>
        <w:t xml:space="preserve">  </w:t>
      </w:r>
      <w:r>
        <w:rPr>
          <w:rFonts w:hint="eastAsia" w:ascii="宋体" w:hAnsi="宋体" w:cs="宋体"/>
          <w:szCs w:val="21"/>
        </w:rPr>
        <w:t>本项规定仅适用于根据《关于发布公路工程从业企业资质名录的通知》（厅公路字〔2011〕114号）要求，招标人应通过名录对投标人资质条件进行审核的公路施工监理企业。</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0"/>
      </w:rPr>
    </w:pPr>
    <w:r>
      <mc:AlternateContent>
        <mc:Choice Requires="wps">
          <w:drawing>
            <wp:anchor distT="0" distB="0" distL="114300" distR="114300" simplePos="0" relativeHeight="251661312" behindDoc="1" locked="0" layoutInCell="1" allowOverlap="1">
              <wp:simplePos x="0" y="0"/>
              <wp:positionH relativeFrom="page">
                <wp:posOffset>1024890</wp:posOffset>
              </wp:positionH>
              <wp:positionV relativeFrom="page">
                <wp:posOffset>737235</wp:posOffset>
              </wp:positionV>
              <wp:extent cx="5426075" cy="0"/>
              <wp:effectExtent l="0" t="0" r="22225" b="19050"/>
              <wp:wrapNone/>
              <wp:docPr id="5" name="直线 51"/>
              <wp:cNvGraphicFramePr/>
              <a:graphic xmlns:a="http://schemas.openxmlformats.org/drawingml/2006/main">
                <a:graphicData uri="http://schemas.microsoft.com/office/word/2010/wordprocessingShape">
                  <wps:wsp>
                    <wps:cNvCnPr/>
                    <wps:spPr>
                      <a:xfrm>
                        <a:off x="0" y="0"/>
                        <a:ext cx="5426075"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51" o:spid="_x0000_s1026" o:spt="20" style="position:absolute;left:0pt;margin-left:80.7pt;margin-top:58.05pt;height:0pt;width:427.25pt;mso-position-horizontal-relative:page;mso-position-vertical-relative:page;z-index:-251655168;mso-width-relative:page;mso-height-relative:page;" filled="f" stroked="t" coordsize="21600,21600" o:gfxdata="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bWwOu2AAAAAwBAAAPAAAAAAAAAAEAIAAAACIAAABkcnMvZG93bnJl&#10;di54bWxQSwECFAAUAAAACACHTuJAbxLGTcQBAACCAwAADgAAAAAAAAABACAAAAAnAQAAZHJzL2Uy&#10;b0RvYy54bWxQSwUGAAAAAAYABgBZAQAAXQU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1031240</wp:posOffset>
              </wp:positionH>
              <wp:positionV relativeFrom="page">
                <wp:posOffset>548640</wp:posOffset>
              </wp:positionV>
              <wp:extent cx="2575560" cy="172720"/>
              <wp:effectExtent l="0" t="0" r="0" b="0"/>
              <wp:wrapNone/>
              <wp:docPr id="6" name="文本框 52"/>
              <wp:cNvGraphicFramePr/>
              <a:graphic xmlns:a="http://schemas.openxmlformats.org/drawingml/2006/main">
                <a:graphicData uri="http://schemas.microsoft.com/office/word/2010/wordprocessingShape">
                  <wps:wsp>
                    <wps:cNvSpPr txBox="true"/>
                    <wps:spPr>
                      <a:xfrm>
                        <a:off x="0" y="0"/>
                        <a:ext cx="2575560" cy="172720"/>
                      </a:xfrm>
                      <a:prstGeom prst="rect">
                        <a:avLst/>
                      </a:prstGeom>
                      <a:noFill/>
                      <a:ln w="9525">
                        <a:noFill/>
                      </a:ln>
                    </wps:spPr>
                    <wps:txbx>
                      <w:txbxContent>
                        <w:p>
                          <w:pPr>
                            <w:spacing w:line="256" w:lineRule="exact"/>
                            <w:ind w:left="20"/>
                            <w:rPr>
                              <w:rFonts w:ascii="黑体" w:eastAsia="黑体"/>
                            </w:rPr>
                          </w:pPr>
                          <w:r>
                            <w:rPr>
                              <w:rFonts w:hint="eastAsia" w:ascii="黑体" w:eastAsia="黑体"/>
                            </w:rPr>
                            <w:t>公路工程标准施工招标文件（</w:t>
                          </w:r>
                          <w:r>
                            <w:rPr>
                              <w:rFonts w:eastAsia="Times New Roman"/>
                            </w:rPr>
                            <w:t xml:space="preserve">2017 </w:t>
                          </w:r>
                          <w:r>
                            <w:rPr>
                              <w:rFonts w:hint="eastAsia" w:ascii="黑体" w:eastAsia="黑体"/>
                            </w:rPr>
                            <w:t>年版）</w:t>
                          </w:r>
                        </w:p>
                      </w:txbxContent>
                    </wps:txbx>
                    <wps:bodyPr lIns="0" tIns="0" rIns="0" bIns="0" upright="true"/>
                  </wps:wsp>
                </a:graphicData>
              </a:graphic>
            </wp:anchor>
          </w:drawing>
        </mc:Choice>
        <mc:Fallback>
          <w:pict>
            <v:shape id="文本框 52" o:spid="_x0000_s1026" o:spt="202" type="#_x0000_t202" style="position:absolute;left:0pt;margin-left:81.2pt;margin-top:43.2pt;height:13.6pt;width:202.8pt;mso-position-horizontal-relative:page;mso-position-vertical-relative:page;z-index:-251654144;mso-width-relative:page;mso-height-relative:page;" filled="f" stroked="f" coordsize="21600,21600" o:gfxdata="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y6pvHNgAAAAK&#10;AQAADwAAAAAAAAABACAAAAAiAAAAZHJzL2Rvd25yZXYueG1sUEsBAhQAFAAAAAgAh07iQBeJL4Cq&#10;AQAANAMAAA4AAAAAAAAAAQAgAAAAJwEAAGRycy9lMm9Eb2MueG1sUEsFBgAAAAAGAAYAWQEAAEMF&#10;AAAAAA==&#10;">
              <v:fill on="f" focussize="0,0"/>
              <v:stroke on="f"/>
              <v:imagedata o:title=""/>
              <o:lock v:ext="edit" aspectratio="f"/>
              <v:textbox inset="0mm,0mm,0mm,0mm">
                <w:txbxContent>
                  <w:p>
                    <w:pPr>
                      <w:spacing w:line="256" w:lineRule="exact"/>
                      <w:ind w:left="20"/>
                      <w:rPr>
                        <w:rFonts w:ascii="黑体" w:eastAsia="黑体"/>
                      </w:rPr>
                    </w:pPr>
                    <w:r>
                      <w:rPr>
                        <w:rFonts w:hint="eastAsia" w:ascii="黑体" w:eastAsia="黑体"/>
                      </w:rPr>
                      <w:t>公路工程标准施工招标文件（</w:t>
                    </w:r>
                    <w:r>
                      <w:rPr>
                        <w:rFonts w:eastAsia="Times New Roman"/>
                      </w:rPr>
                      <w:t xml:space="preserve">2017 </w:t>
                    </w:r>
                    <w:r>
                      <w:rPr>
                        <w:rFonts w:hint="eastAsia" w:ascii="黑体" w:eastAsia="黑体"/>
                      </w:rPr>
                      <w:t>年版）</w:t>
                    </w:r>
                  </w:p>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0"/>
      </w:rPr>
    </w:pPr>
    <w:r>
      <mc:AlternateContent>
        <mc:Choice Requires="wps">
          <w:drawing>
            <wp:anchor distT="0" distB="0" distL="114300" distR="114300" simplePos="0" relativeHeight="251664384" behindDoc="1" locked="0" layoutInCell="1" allowOverlap="1">
              <wp:simplePos x="0" y="0"/>
              <wp:positionH relativeFrom="page">
                <wp:posOffset>1024890</wp:posOffset>
              </wp:positionH>
              <wp:positionV relativeFrom="page">
                <wp:posOffset>737235</wp:posOffset>
              </wp:positionV>
              <wp:extent cx="5426075" cy="0"/>
              <wp:effectExtent l="0" t="0" r="22225" b="19050"/>
              <wp:wrapNone/>
              <wp:docPr id="8" name="直线 61"/>
              <wp:cNvGraphicFramePr/>
              <a:graphic xmlns:a="http://schemas.openxmlformats.org/drawingml/2006/main">
                <a:graphicData uri="http://schemas.microsoft.com/office/word/2010/wordprocessingShape">
                  <wps:wsp>
                    <wps:cNvCnPr/>
                    <wps:spPr>
                      <a:xfrm>
                        <a:off x="0" y="0"/>
                        <a:ext cx="5426075"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61" o:spid="_x0000_s1026" o:spt="20" style="position:absolute;left:0pt;margin-left:80.7pt;margin-top:58.05pt;height:0pt;width:427.25pt;mso-position-horizontal-relative:page;mso-position-vertical-relative:page;z-index:-251652096;mso-width-relative:page;mso-height-relative:page;" filled="f" stroked="t" coordsize="21600,21600" o:gfxdata="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NtbA67YAAAADAEAAA8AAAAAAAAAAQAgAAAAIgAAAGRycy9kb3du&#10;cmV2LnhtbFBLAQIUABQAAAAIAIdO4kBGiiJ7xgEAAIIDAAAOAAAAAAAAAAEAIAAAACcBAABkcnMv&#10;ZTJvRG9jLnhtbFBLBQYAAAAABgAGAFkBAABfBQ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65408" behindDoc="1" locked="0" layoutInCell="1" allowOverlap="1">
              <wp:simplePos x="0" y="0"/>
              <wp:positionH relativeFrom="page">
                <wp:posOffset>1031240</wp:posOffset>
              </wp:positionH>
              <wp:positionV relativeFrom="page">
                <wp:posOffset>548640</wp:posOffset>
              </wp:positionV>
              <wp:extent cx="2575560" cy="172720"/>
              <wp:effectExtent l="0" t="0" r="0" b="0"/>
              <wp:wrapNone/>
              <wp:docPr id="9" name="文本框 62"/>
              <wp:cNvGraphicFramePr/>
              <a:graphic xmlns:a="http://schemas.openxmlformats.org/drawingml/2006/main">
                <a:graphicData uri="http://schemas.microsoft.com/office/word/2010/wordprocessingShape">
                  <wps:wsp>
                    <wps:cNvSpPr txBox="true"/>
                    <wps:spPr>
                      <a:xfrm>
                        <a:off x="0" y="0"/>
                        <a:ext cx="2575560" cy="172720"/>
                      </a:xfrm>
                      <a:prstGeom prst="rect">
                        <a:avLst/>
                      </a:prstGeom>
                      <a:noFill/>
                      <a:ln w="9525">
                        <a:noFill/>
                      </a:ln>
                    </wps:spPr>
                    <wps:txbx>
                      <w:txbxContent>
                        <w:p>
                          <w:pPr>
                            <w:spacing w:line="256" w:lineRule="exact"/>
                            <w:ind w:left="20"/>
                            <w:rPr>
                              <w:rFonts w:ascii="黑体" w:eastAsia="黑体"/>
                            </w:rPr>
                          </w:pPr>
                          <w:r>
                            <w:rPr>
                              <w:rFonts w:hint="eastAsia" w:ascii="黑体" w:eastAsia="黑体"/>
                            </w:rPr>
                            <w:t>公路工程标准施工招标文件（</w:t>
                          </w:r>
                          <w:r>
                            <w:rPr>
                              <w:rFonts w:eastAsia="Times New Roman"/>
                            </w:rPr>
                            <w:t xml:space="preserve">2017 </w:t>
                          </w:r>
                          <w:r>
                            <w:rPr>
                              <w:rFonts w:hint="eastAsia" w:ascii="黑体" w:eastAsia="黑体"/>
                            </w:rPr>
                            <w:t>年版）</w:t>
                          </w:r>
                        </w:p>
                      </w:txbxContent>
                    </wps:txbx>
                    <wps:bodyPr lIns="0" tIns="0" rIns="0" bIns="0" upright="true"/>
                  </wps:wsp>
                </a:graphicData>
              </a:graphic>
            </wp:anchor>
          </w:drawing>
        </mc:Choice>
        <mc:Fallback>
          <w:pict>
            <v:shape id="文本框 62" o:spid="_x0000_s1026" o:spt="202" type="#_x0000_t202" style="position:absolute;left:0pt;margin-left:81.2pt;margin-top:43.2pt;height:13.6pt;width:202.8pt;mso-position-horizontal-relative:page;mso-position-vertical-relative:page;z-index:-251651072;mso-width-relative:page;mso-height-relative:page;" filled="f" stroked="f" coordsize="21600,21600" o:gfxdata="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y6pvHNgAAAAK&#10;AQAADwAAAAAAAAABACAAAAAiAAAAZHJzL2Rvd25yZXYueG1sUEsBAhQAFAAAAAgAh07iQNo7ZZqq&#10;AQAANAMAAA4AAAAAAAAAAQAgAAAAJwEAAGRycy9lMm9Eb2MueG1sUEsFBgAAAAAGAAYAWQEAAEMF&#10;AAAAAA==&#10;">
              <v:fill on="f" focussize="0,0"/>
              <v:stroke on="f"/>
              <v:imagedata o:title=""/>
              <o:lock v:ext="edit" aspectratio="f"/>
              <v:textbox inset="0mm,0mm,0mm,0mm">
                <w:txbxContent>
                  <w:p>
                    <w:pPr>
                      <w:spacing w:line="256" w:lineRule="exact"/>
                      <w:ind w:left="20"/>
                      <w:rPr>
                        <w:rFonts w:ascii="黑体" w:eastAsia="黑体"/>
                      </w:rPr>
                    </w:pPr>
                    <w:r>
                      <w:rPr>
                        <w:rFonts w:hint="eastAsia" w:ascii="黑体" w:eastAsia="黑体"/>
                      </w:rPr>
                      <w:t>公路工程标准施工招标文件（</w:t>
                    </w:r>
                    <w:r>
                      <w:rPr>
                        <w:rFonts w:eastAsia="Times New Roman"/>
                      </w:rPr>
                      <w:t xml:space="preserve">2017 </w:t>
                    </w:r>
                    <w:r>
                      <w:rPr>
                        <w:rFonts w:hint="eastAsia" w:ascii="黑体" w:eastAsia="黑体"/>
                      </w:rPr>
                      <w:t>年版）</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E3056B"/>
    <w:multiLevelType w:val="multilevel"/>
    <w:tmpl w:val="53E3056B"/>
    <w:lvl w:ilvl="0" w:tentative="0">
      <w:start w:val="3"/>
      <w:numFmt w:val="bullet"/>
      <w:lvlText w:val="□"/>
      <w:lvlJc w:val="left"/>
      <w:pPr>
        <w:ind w:left="360" w:hanging="360"/>
      </w:pPr>
      <w:rPr>
        <w:rFonts w:hint="eastAsia" w:ascii="宋体" w:hAnsi="宋体" w:eastAsia="宋体" w:cs="Times New Roman"/>
        <w:b/>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AFAB02F"/>
    <w:multiLevelType w:val="singleLevel"/>
    <w:tmpl w:val="5AFAB02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true"/>
  <w:bordersDoNotSurroundHeader w:val="true"/>
  <w:bordersDoNotSurroundFooter w:val="true"/>
  <w:hideSpellingErrors/>
  <w:doNotTrackFormatting/>
  <w:revisionView w:markup="0"/>
  <w:trackRevisions w:val="true"/>
  <w:documentProtection w:enforcement="0"/>
  <w:defaultTabStop w:val="420"/>
  <w:drawingGridHorizontalSpacing w:val="105"/>
  <w:drawingGridVerticalSpacing w:val="156"/>
  <w:noPunctuationKerning w:val="true"/>
  <w:characterSpacingControl w:val="compressPunctuation"/>
  <w:footnotePr>
    <w:numFmt w:val="decimalEnclosedCircleChinese"/>
    <w:numRestart w:val="eachPage"/>
    <w:footnote w:id="2"/>
    <w:footnote w:id="3"/>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wYjZmNjNhYjdkOGQxMDIxNWQwZTA0MzkxMTk4YjMifQ=="/>
    <w:docVar w:name="KSO_WPS_MARK_KEY" w:val="6b412349-3684-41e8-a053-6550fed5d8ac"/>
  </w:docVars>
  <w:rsids>
    <w:rsidRoot w:val="00CB382F"/>
    <w:rsid w:val="00000039"/>
    <w:rsid w:val="000004D3"/>
    <w:rsid w:val="00003693"/>
    <w:rsid w:val="00003707"/>
    <w:rsid w:val="0000443A"/>
    <w:rsid w:val="00005003"/>
    <w:rsid w:val="000054A7"/>
    <w:rsid w:val="00005626"/>
    <w:rsid w:val="00005E5E"/>
    <w:rsid w:val="00010843"/>
    <w:rsid w:val="00010A54"/>
    <w:rsid w:val="0001115C"/>
    <w:rsid w:val="00011ED2"/>
    <w:rsid w:val="00012CA4"/>
    <w:rsid w:val="00013453"/>
    <w:rsid w:val="00013523"/>
    <w:rsid w:val="000141DC"/>
    <w:rsid w:val="00015338"/>
    <w:rsid w:val="00015934"/>
    <w:rsid w:val="00016D4E"/>
    <w:rsid w:val="000202A0"/>
    <w:rsid w:val="00020CEA"/>
    <w:rsid w:val="00020EA5"/>
    <w:rsid w:val="000210A6"/>
    <w:rsid w:val="00022938"/>
    <w:rsid w:val="0002298A"/>
    <w:rsid w:val="0002345A"/>
    <w:rsid w:val="00023F4F"/>
    <w:rsid w:val="0002468D"/>
    <w:rsid w:val="00024773"/>
    <w:rsid w:val="000255BD"/>
    <w:rsid w:val="00025953"/>
    <w:rsid w:val="00026C7E"/>
    <w:rsid w:val="00026EE2"/>
    <w:rsid w:val="0002732E"/>
    <w:rsid w:val="000275E2"/>
    <w:rsid w:val="00030D11"/>
    <w:rsid w:val="00031935"/>
    <w:rsid w:val="00031CE6"/>
    <w:rsid w:val="000323A4"/>
    <w:rsid w:val="00033543"/>
    <w:rsid w:val="00033D57"/>
    <w:rsid w:val="000348EC"/>
    <w:rsid w:val="00034F69"/>
    <w:rsid w:val="00035868"/>
    <w:rsid w:val="00035D4F"/>
    <w:rsid w:val="000366EF"/>
    <w:rsid w:val="00036DEF"/>
    <w:rsid w:val="000374C1"/>
    <w:rsid w:val="0003767F"/>
    <w:rsid w:val="00037EF6"/>
    <w:rsid w:val="000424CD"/>
    <w:rsid w:val="00042C30"/>
    <w:rsid w:val="0004401D"/>
    <w:rsid w:val="00044F5F"/>
    <w:rsid w:val="00045446"/>
    <w:rsid w:val="000466DC"/>
    <w:rsid w:val="00050565"/>
    <w:rsid w:val="00050BB6"/>
    <w:rsid w:val="00050C9A"/>
    <w:rsid w:val="00051075"/>
    <w:rsid w:val="00051E78"/>
    <w:rsid w:val="00052816"/>
    <w:rsid w:val="00052B98"/>
    <w:rsid w:val="0005406C"/>
    <w:rsid w:val="000546ED"/>
    <w:rsid w:val="000547E4"/>
    <w:rsid w:val="0005556A"/>
    <w:rsid w:val="00055E04"/>
    <w:rsid w:val="0005700A"/>
    <w:rsid w:val="0005766B"/>
    <w:rsid w:val="00057930"/>
    <w:rsid w:val="00057B89"/>
    <w:rsid w:val="00060501"/>
    <w:rsid w:val="00060687"/>
    <w:rsid w:val="0006072F"/>
    <w:rsid w:val="00060904"/>
    <w:rsid w:val="00061C7D"/>
    <w:rsid w:val="000623CF"/>
    <w:rsid w:val="00065399"/>
    <w:rsid w:val="00065E65"/>
    <w:rsid w:val="000667F1"/>
    <w:rsid w:val="000670F5"/>
    <w:rsid w:val="000679B5"/>
    <w:rsid w:val="00067DF5"/>
    <w:rsid w:val="00067FA1"/>
    <w:rsid w:val="0007054C"/>
    <w:rsid w:val="00070668"/>
    <w:rsid w:val="00070E88"/>
    <w:rsid w:val="0007133A"/>
    <w:rsid w:val="00071404"/>
    <w:rsid w:val="00071995"/>
    <w:rsid w:val="000726BC"/>
    <w:rsid w:val="000729D4"/>
    <w:rsid w:val="00072B54"/>
    <w:rsid w:val="00072C2E"/>
    <w:rsid w:val="00072EF7"/>
    <w:rsid w:val="000731A6"/>
    <w:rsid w:val="00073787"/>
    <w:rsid w:val="00074129"/>
    <w:rsid w:val="00074CA3"/>
    <w:rsid w:val="00075611"/>
    <w:rsid w:val="000756DF"/>
    <w:rsid w:val="00075B68"/>
    <w:rsid w:val="00075F36"/>
    <w:rsid w:val="000775E2"/>
    <w:rsid w:val="000777BD"/>
    <w:rsid w:val="00077D6B"/>
    <w:rsid w:val="000814BE"/>
    <w:rsid w:val="00082AF4"/>
    <w:rsid w:val="00083B1F"/>
    <w:rsid w:val="00084156"/>
    <w:rsid w:val="000841BF"/>
    <w:rsid w:val="00084658"/>
    <w:rsid w:val="0008498D"/>
    <w:rsid w:val="000875E5"/>
    <w:rsid w:val="00087DB2"/>
    <w:rsid w:val="00087EB6"/>
    <w:rsid w:val="000902AE"/>
    <w:rsid w:val="00090343"/>
    <w:rsid w:val="00090FC0"/>
    <w:rsid w:val="0009173F"/>
    <w:rsid w:val="000946D0"/>
    <w:rsid w:val="00094F67"/>
    <w:rsid w:val="0009553B"/>
    <w:rsid w:val="00095C5C"/>
    <w:rsid w:val="00095E93"/>
    <w:rsid w:val="00096ABF"/>
    <w:rsid w:val="00096D9A"/>
    <w:rsid w:val="00097094"/>
    <w:rsid w:val="00097445"/>
    <w:rsid w:val="00097F4F"/>
    <w:rsid w:val="000A0615"/>
    <w:rsid w:val="000A1740"/>
    <w:rsid w:val="000A1BB1"/>
    <w:rsid w:val="000A39E6"/>
    <w:rsid w:val="000A3F24"/>
    <w:rsid w:val="000A4243"/>
    <w:rsid w:val="000A61D8"/>
    <w:rsid w:val="000A6393"/>
    <w:rsid w:val="000A6611"/>
    <w:rsid w:val="000A75C4"/>
    <w:rsid w:val="000A75D7"/>
    <w:rsid w:val="000A7652"/>
    <w:rsid w:val="000B0247"/>
    <w:rsid w:val="000B1ED5"/>
    <w:rsid w:val="000B1EFC"/>
    <w:rsid w:val="000B26FB"/>
    <w:rsid w:val="000B2711"/>
    <w:rsid w:val="000B2738"/>
    <w:rsid w:val="000B4D2A"/>
    <w:rsid w:val="000B4E9C"/>
    <w:rsid w:val="000B521E"/>
    <w:rsid w:val="000B5C07"/>
    <w:rsid w:val="000B6744"/>
    <w:rsid w:val="000B694A"/>
    <w:rsid w:val="000B6C80"/>
    <w:rsid w:val="000B7136"/>
    <w:rsid w:val="000B7319"/>
    <w:rsid w:val="000B7C6B"/>
    <w:rsid w:val="000B7CC6"/>
    <w:rsid w:val="000B7E08"/>
    <w:rsid w:val="000C16CA"/>
    <w:rsid w:val="000C1C08"/>
    <w:rsid w:val="000C2B96"/>
    <w:rsid w:val="000C398D"/>
    <w:rsid w:val="000C3AB3"/>
    <w:rsid w:val="000C3C2F"/>
    <w:rsid w:val="000C51FE"/>
    <w:rsid w:val="000C5E7C"/>
    <w:rsid w:val="000C6202"/>
    <w:rsid w:val="000C6F4A"/>
    <w:rsid w:val="000C78AF"/>
    <w:rsid w:val="000D0EC5"/>
    <w:rsid w:val="000D1927"/>
    <w:rsid w:val="000D1BBA"/>
    <w:rsid w:val="000D426D"/>
    <w:rsid w:val="000D4566"/>
    <w:rsid w:val="000D4D39"/>
    <w:rsid w:val="000D4EB9"/>
    <w:rsid w:val="000D52DF"/>
    <w:rsid w:val="000D6801"/>
    <w:rsid w:val="000D689B"/>
    <w:rsid w:val="000D7276"/>
    <w:rsid w:val="000D7BD1"/>
    <w:rsid w:val="000E0F27"/>
    <w:rsid w:val="000E1018"/>
    <w:rsid w:val="000E296C"/>
    <w:rsid w:val="000E2E08"/>
    <w:rsid w:val="000E3309"/>
    <w:rsid w:val="000E3A0B"/>
    <w:rsid w:val="000E3AF3"/>
    <w:rsid w:val="000E3BE4"/>
    <w:rsid w:val="000E3EA8"/>
    <w:rsid w:val="000E48C0"/>
    <w:rsid w:val="000E501E"/>
    <w:rsid w:val="000E508D"/>
    <w:rsid w:val="000E7C5A"/>
    <w:rsid w:val="000F0C28"/>
    <w:rsid w:val="000F18BA"/>
    <w:rsid w:val="000F295E"/>
    <w:rsid w:val="000F2E2F"/>
    <w:rsid w:val="000F3703"/>
    <w:rsid w:val="000F3A4B"/>
    <w:rsid w:val="000F51CC"/>
    <w:rsid w:val="000F57B5"/>
    <w:rsid w:val="000F5B9C"/>
    <w:rsid w:val="000F6ACB"/>
    <w:rsid w:val="000F73A2"/>
    <w:rsid w:val="000F7427"/>
    <w:rsid w:val="000F7C7E"/>
    <w:rsid w:val="000F7C97"/>
    <w:rsid w:val="000F7CCE"/>
    <w:rsid w:val="001010BD"/>
    <w:rsid w:val="0010118F"/>
    <w:rsid w:val="00101875"/>
    <w:rsid w:val="001022E9"/>
    <w:rsid w:val="0010245B"/>
    <w:rsid w:val="00102B9E"/>
    <w:rsid w:val="001048BA"/>
    <w:rsid w:val="00104E9F"/>
    <w:rsid w:val="001050B8"/>
    <w:rsid w:val="001056B1"/>
    <w:rsid w:val="001059DC"/>
    <w:rsid w:val="001059E0"/>
    <w:rsid w:val="001072C4"/>
    <w:rsid w:val="001074CB"/>
    <w:rsid w:val="00110995"/>
    <w:rsid w:val="0011279A"/>
    <w:rsid w:val="0011297A"/>
    <w:rsid w:val="00114AE1"/>
    <w:rsid w:val="00115224"/>
    <w:rsid w:val="00115377"/>
    <w:rsid w:val="001158AE"/>
    <w:rsid w:val="00121968"/>
    <w:rsid w:val="00121BD5"/>
    <w:rsid w:val="001221A8"/>
    <w:rsid w:val="00122D89"/>
    <w:rsid w:val="00123FDC"/>
    <w:rsid w:val="0012419E"/>
    <w:rsid w:val="00125BA9"/>
    <w:rsid w:val="001260A4"/>
    <w:rsid w:val="00126209"/>
    <w:rsid w:val="00126DED"/>
    <w:rsid w:val="001303AC"/>
    <w:rsid w:val="00130728"/>
    <w:rsid w:val="001310D7"/>
    <w:rsid w:val="0013184F"/>
    <w:rsid w:val="0013193A"/>
    <w:rsid w:val="001327FD"/>
    <w:rsid w:val="00133EF9"/>
    <w:rsid w:val="00134909"/>
    <w:rsid w:val="001354B5"/>
    <w:rsid w:val="001366C7"/>
    <w:rsid w:val="00136F77"/>
    <w:rsid w:val="001370D1"/>
    <w:rsid w:val="001373FF"/>
    <w:rsid w:val="001401BE"/>
    <w:rsid w:val="00140850"/>
    <w:rsid w:val="00140A09"/>
    <w:rsid w:val="00140D6A"/>
    <w:rsid w:val="00143388"/>
    <w:rsid w:val="00143732"/>
    <w:rsid w:val="001437A1"/>
    <w:rsid w:val="00143913"/>
    <w:rsid w:val="00144194"/>
    <w:rsid w:val="00145FE1"/>
    <w:rsid w:val="00146295"/>
    <w:rsid w:val="001514A5"/>
    <w:rsid w:val="00151536"/>
    <w:rsid w:val="00151F12"/>
    <w:rsid w:val="00153510"/>
    <w:rsid w:val="00153C6C"/>
    <w:rsid w:val="00153CF0"/>
    <w:rsid w:val="00155551"/>
    <w:rsid w:val="00155CC0"/>
    <w:rsid w:val="00155E8E"/>
    <w:rsid w:val="00155EF6"/>
    <w:rsid w:val="00156DF8"/>
    <w:rsid w:val="0015725B"/>
    <w:rsid w:val="0015729A"/>
    <w:rsid w:val="001577DA"/>
    <w:rsid w:val="0015788A"/>
    <w:rsid w:val="00157F23"/>
    <w:rsid w:val="0016111D"/>
    <w:rsid w:val="001613F7"/>
    <w:rsid w:val="001628DA"/>
    <w:rsid w:val="00163131"/>
    <w:rsid w:val="001636DE"/>
    <w:rsid w:val="001638B0"/>
    <w:rsid w:val="00163C06"/>
    <w:rsid w:val="00163C7D"/>
    <w:rsid w:val="00163DBD"/>
    <w:rsid w:val="00163FE7"/>
    <w:rsid w:val="00164525"/>
    <w:rsid w:val="00164E0F"/>
    <w:rsid w:val="001652DF"/>
    <w:rsid w:val="00165786"/>
    <w:rsid w:val="00167B8A"/>
    <w:rsid w:val="001704C9"/>
    <w:rsid w:val="00171CC7"/>
    <w:rsid w:val="00172EDB"/>
    <w:rsid w:val="00173103"/>
    <w:rsid w:val="00173B34"/>
    <w:rsid w:val="00173FA9"/>
    <w:rsid w:val="0017485D"/>
    <w:rsid w:val="00175404"/>
    <w:rsid w:val="001759C7"/>
    <w:rsid w:val="00176663"/>
    <w:rsid w:val="001804C3"/>
    <w:rsid w:val="00180A42"/>
    <w:rsid w:val="00181945"/>
    <w:rsid w:val="00181DB4"/>
    <w:rsid w:val="001821A6"/>
    <w:rsid w:val="00182F0B"/>
    <w:rsid w:val="001839E3"/>
    <w:rsid w:val="00184EE7"/>
    <w:rsid w:val="001853F5"/>
    <w:rsid w:val="0018561F"/>
    <w:rsid w:val="001859DA"/>
    <w:rsid w:val="00185E78"/>
    <w:rsid w:val="001869AA"/>
    <w:rsid w:val="001878C5"/>
    <w:rsid w:val="00190086"/>
    <w:rsid w:val="00190D5C"/>
    <w:rsid w:val="001934C9"/>
    <w:rsid w:val="00193C21"/>
    <w:rsid w:val="00193EAA"/>
    <w:rsid w:val="00195CB1"/>
    <w:rsid w:val="00196C2A"/>
    <w:rsid w:val="00196C8D"/>
    <w:rsid w:val="001A0ECD"/>
    <w:rsid w:val="001A2162"/>
    <w:rsid w:val="001A3147"/>
    <w:rsid w:val="001A3256"/>
    <w:rsid w:val="001A3297"/>
    <w:rsid w:val="001A4744"/>
    <w:rsid w:val="001A4A21"/>
    <w:rsid w:val="001A65AA"/>
    <w:rsid w:val="001A6786"/>
    <w:rsid w:val="001A6D5D"/>
    <w:rsid w:val="001A726D"/>
    <w:rsid w:val="001A736B"/>
    <w:rsid w:val="001B13EF"/>
    <w:rsid w:val="001B334C"/>
    <w:rsid w:val="001B33E5"/>
    <w:rsid w:val="001B3472"/>
    <w:rsid w:val="001B385E"/>
    <w:rsid w:val="001B3CB8"/>
    <w:rsid w:val="001B4412"/>
    <w:rsid w:val="001B4E8B"/>
    <w:rsid w:val="001B58F9"/>
    <w:rsid w:val="001B5B69"/>
    <w:rsid w:val="001B6559"/>
    <w:rsid w:val="001B7685"/>
    <w:rsid w:val="001B78E2"/>
    <w:rsid w:val="001B7B6F"/>
    <w:rsid w:val="001C06AB"/>
    <w:rsid w:val="001C2F66"/>
    <w:rsid w:val="001C2F94"/>
    <w:rsid w:val="001C70C1"/>
    <w:rsid w:val="001D0AB4"/>
    <w:rsid w:val="001D1123"/>
    <w:rsid w:val="001D151E"/>
    <w:rsid w:val="001D29FC"/>
    <w:rsid w:val="001D2AF6"/>
    <w:rsid w:val="001D6C9E"/>
    <w:rsid w:val="001D7B62"/>
    <w:rsid w:val="001E030A"/>
    <w:rsid w:val="001E0DC7"/>
    <w:rsid w:val="001E104E"/>
    <w:rsid w:val="001E1385"/>
    <w:rsid w:val="001E1DD3"/>
    <w:rsid w:val="001E3FDA"/>
    <w:rsid w:val="001E54BC"/>
    <w:rsid w:val="001E55CC"/>
    <w:rsid w:val="001E56F3"/>
    <w:rsid w:val="001E604A"/>
    <w:rsid w:val="001E62C3"/>
    <w:rsid w:val="001E64CD"/>
    <w:rsid w:val="001E66A4"/>
    <w:rsid w:val="001E6C22"/>
    <w:rsid w:val="001E705A"/>
    <w:rsid w:val="001E755D"/>
    <w:rsid w:val="001E7A8B"/>
    <w:rsid w:val="001E7F0D"/>
    <w:rsid w:val="001F074C"/>
    <w:rsid w:val="001F0D8C"/>
    <w:rsid w:val="001F0FEB"/>
    <w:rsid w:val="001F1847"/>
    <w:rsid w:val="001F2544"/>
    <w:rsid w:val="001F2E5D"/>
    <w:rsid w:val="001F395A"/>
    <w:rsid w:val="001F44CC"/>
    <w:rsid w:val="001F4C9F"/>
    <w:rsid w:val="001F4E08"/>
    <w:rsid w:val="001F6345"/>
    <w:rsid w:val="001F67A4"/>
    <w:rsid w:val="001F69BB"/>
    <w:rsid w:val="001F757D"/>
    <w:rsid w:val="001F7777"/>
    <w:rsid w:val="00201690"/>
    <w:rsid w:val="0020177C"/>
    <w:rsid w:val="00205CD9"/>
    <w:rsid w:val="002065B5"/>
    <w:rsid w:val="00206BE6"/>
    <w:rsid w:val="002102EC"/>
    <w:rsid w:val="00210B83"/>
    <w:rsid w:val="002117E0"/>
    <w:rsid w:val="00211817"/>
    <w:rsid w:val="00212C79"/>
    <w:rsid w:val="002135E3"/>
    <w:rsid w:val="0021370C"/>
    <w:rsid w:val="00214996"/>
    <w:rsid w:val="002149A6"/>
    <w:rsid w:val="0021599F"/>
    <w:rsid w:val="00215DAC"/>
    <w:rsid w:val="00215F0D"/>
    <w:rsid w:val="00216A8A"/>
    <w:rsid w:val="00217723"/>
    <w:rsid w:val="00217A3C"/>
    <w:rsid w:val="00220184"/>
    <w:rsid w:val="00222EBB"/>
    <w:rsid w:val="00222F1F"/>
    <w:rsid w:val="00223E36"/>
    <w:rsid w:val="0022403E"/>
    <w:rsid w:val="00224A19"/>
    <w:rsid w:val="00226C67"/>
    <w:rsid w:val="00226CEB"/>
    <w:rsid w:val="00227970"/>
    <w:rsid w:val="00227C5D"/>
    <w:rsid w:val="00230729"/>
    <w:rsid w:val="00230FB6"/>
    <w:rsid w:val="0023150F"/>
    <w:rsid w:val="00231695"/>
    <w:rsid w:val="00231906"/>
    <w:rsid w:val="00232073"/>
    <w:rsid w:val="002336E6"/>
    <w:rsid w:val="00233B63"/>
    <w:rsid w:val="00234892"/>
    <w:rsid w:val="00234F3F"/>
    <w:rsid w:val="0023580C"/>
    <w:rsid w:val="00235B05"/>
    <w:rsid w:val="00236C97"/>
    <w:rsid w:val="00240213"/>
    <w:rsid w:val="00242EB8"/>
    <w:rsid w:val="00245E39"/>
    <w:rsid w:val="0024641E"/>
    <w:rsid w:val="00247188"/>
    <w:rsid w:val="00247BAD"/>
    <w:rsid w:val="002500C4"/>
    <w:rsid w:val="00251ADE"/>
    <w:rsid w:val="00251BD0"/>
    <w:rsid w:val="00254D94"/>
    <w:rsid w:val="00255306"/>
    <w:rsid w:val="00256C57"/>
    <w:rsid w:val="0026024E"/>
    <w:rsid w:val="00260EDF"/>
    <w:rsid w:val="00262508"/>
    <w:rsid w:val="00262CE4"/>
    <w:rsid w:val="00265587"/>
    <w:rsid w:val="002657CB"/>
    <w:rsid w:val="002660CC"/>
    <w:rsid w:val="00266680"/>
    <w:rsid w:val="00267009"/>
    <w:rsid w:val="00267454"/>
    <w:rsid w:val="00270274"/>
    <w:rsid w:val="002709BC"/>
    <w:rsid w:val="00271123"/>
    <w:rsid w:val="00271973"/>
    <w:rsid w:val="00272C3F"/>
    <w:rsid w:val="00274829"/>
    <w:rsid w:val="0027492E"/>
    <w:rsid w:val="002749A1"/>
    <w:rsid w:val="00276154"/>
    <w:rsid w:val="0027623A"/>
    <w:rsid w:val="00277123"/>
    <w:rsid w:val="002771D9"/>
    <w:rsid w:val="002778B1"/>
    <w:rsid w:val="00277FA6"/>
    <w:rsid w:val="00280548"/>
    <w:rsid w:val="002805C7"/>
    <w:rsid w:val="00280DB1"/>
    <w:rsid w:val="00280F9E"/>
    <w:rsid w:val="00282352"/>
    <w:rsid w:val="00282C2B"/>
    <w:rsid w:val="00285CEC"/>
    <w:rsid w:val="00286CAA"/>
    <w:rsid w:val="0028767D"/>
    <w:rsid w:val="002876CF"/>
    <w:rsid w:val="00290277"/>
    <w:rsid w:val="002904EC"/>
    <w:rsid w:val="00290C53"/>
    <w:rsid w:val="002915B6"/>
    <w:rsid w:val="00292985"/>
    <w:rsid w:val="00292C6E"/>
    <w:rsid w:val="0029485B"/>
    <w:rsid w:val="0029485C"/>
    <w:rsid w:val="0029516A"/>
    <w:rsid w:val="00296475"/>
    <w:rsid w:val="002975BD"/>
    <w:rsid w:val="002A0105"/>
    <w:rsid w:val="002A050E"/>
    <w:rsid w:val="002A0A55"/>
    <w:rsid w:val="002A183E"/>
    <w:rsid w:val="002A227C"/>
    <w:rsid w:val="002A23C3"/>
    <w:rsid w:val="002A3D00"/>
    <w:rsid w:val="002A4CB3"/>
    <w:rsid w:val="002A7545"/>
    <w:rsid w:val="002B0854"/>
    <w:rsid w:val="002B0ECF"/>
    <w:rsid w:val="002B108C"/>
    <w:rsid w:val="002B1539"/>
    <w:rsid w:val="002B1736"/>
    <w:rsid w:val="002B1C71"/>
    <w:rsid w:val="002B22D9"/>
    <w:rsid w:val="002B31D2"/>
    <w:rsid w:val="002B3473"/>
    <w:rsid w:val="002B4E0A"/>
    <w:rsid w:val="002B6DE0"/>
    <w:rsid w:val="002C0457"/>
    <w:rsid w:val="002C0929"/>
    <w:rsid w:val="002C0B94"/>
    <w:rsid w:val="002C1065"/>
    <w:rsid w:val="002C167F"/>
    <w:rsid w:val="002C1CD5"/>
    <w:rsid w:val="002C30EB"/>
    <w:rsid w:val="002C3A61"/>
    <w:rsid w:val="002C3C99"/>
    <w:rsid w:val="002C3EFC"/>
    <w:rsid w:val="002C40FF"/>
    <w:rsid w:val="002C4875"/>
    <w:rsid w:val="002C5473"/>
    <w:rsid w:val="002C590C"/>
    <w:rsid w:val="002C5CA3"/>
    <w:rsid w:val="002C6753"/>
    <w:rsid w:val="002C6A6A"/>
    <w:rsid w:val="002D0222"/>
    <w:rsid w:val="002D0BF8"/>
    <w:rsid w:val="002D1D3C"/>
    <w:rsid w:val="002D1DF6"/>
    <w:rsid w:val="002D2193"/>
    <w:rsid w:val="002D27FE"/>
    <w:rsid w:val="002D37FF"/>
    <w:rsid w:val="002D44C6"/>
    <w:rsid w:val="002D6ABA"/>
    <w:rsid w:val="002D6DF9"/>
    <w:rsid w:val="002E05CE"/>
    <w:rsid w:val="002E0E9B"/>
    <w:rsid w:val="002E0FCA"/>
    <w:rsid w:val="002E1100"/>
    <w:rsid w:val="002E11DB"/>
    <w:rsid w:val="002E2536"/>
    <w:rsid w:val="002E272E"/>
    <w:rsid w:val="002E30D8"/>
    <w:rsid w:val="002E389C"/>
    <w:rsid w:val="002E3A7E"/>
    <w:rsid w:val="002E3E88"/>
    <w:rsid w:val="002E4ECB"/>
    <w:rsid w:val="002E58A6"/>
    <w:rsid w:val="002E5EC3"/>
    <w:rsid w:val="002E61B3"/>
    <w:rsid w:val="002E660C"/>
    <w:rsid w:val="002E7008"/>
    <w:rsid w:val="002E7937"/>
    <w:rsid w:val="002F05DE"/>
    <w:rsid w:val="002F1A01"/>
    <w:rsid w:val="002F4383"/>
    <w:rsid w:val="002F4734"/>
    <w:rsid w:val="002F5525"/>
    <w:rsid w:val="002F5A87"/>
    <w:rsid w:val="002F6361"/>
    <w:rsid w:val="002F6625"/>
    <w:rsid w:val="002F7E8E"/>
    <w:rsid w:val="00300937"/>
    <w:rsid w:val="00302EB1"/>
    <w:rsid w:val="003051F8"/>
    <w:rsid w:val="00306088"/>
    <w:rsid w:val="00307183"/>
    <w:rsid w:val="00307423"/>
    <w:rsid w:val="00310506"/>
    <w:rsid w:val="00310599"/>
    <w:rsid w:val="00310747"/>
    <w:rsid w:val="00311388"/>
    <w:rsid w:val="00311809"/>
    <w:rsid w:val="0031266A"/>
    <w:rsid w:val="00312853"/>
    <w:rsid w:val="00313217"/>
    <w:rsid w:val="00313253"/>
    <w:rsid w:val="00316097"/>
    <w:rsid w:val="0031644B"/>
    <w:rsid w:val="00316B74"/>
    <w:rsid w:val="00316C5E"/>
    <w:rsid w:val="00316EF5"/>
    <w:rsid w:val="00317A3D"/>
    <w:rsid w:val="00317F0F"/>
    <w:rsid w:val="003209C4"/>
    <w:rsid w:val="0032151F"/>
    <w:rsid w:val="00322F95"/>
    <w:rsid w:val="003236AD"/>
    <w:rsid w:val="00323AA4"/>
    <w:rsid w:val="003256F2"/>
    <w:rsid w:val="00325D30"/>
    <w:rsid w:val="00326C4D"/>
    <w:rsid w:val="00327FD4"/>
    <w:rsid w:val="00330526"/>
    <w:rsid w:val="00330E4E"/>
    <w:rsid w:val="003317CF"/>
    <w:rsid w:val="00331F57"/>
    <w:rsid w:val="00332277"/>
    <w:rsid w:val="00333489"/>
    <w:rsid w:val="003356ED"/>
    <w:rsid w:val="00335791"/>
    <w:rsid w:val="00336CB0"/>
    <w:rsid w:val="00337240"/>
    <w:rsid w:val="00337A48"/>
    <w:rsid w:val="0034053D"/>
    <w:rsid w:val="003412D8"/>
    <w:rsid w:val="00341C02"/>
    <w:rsid w:val="00341F60"/>
    <w:rsid w:val="00342488"/>
    <w:rsid w:val="00342E9F"/>
    <w:rsid w:val="00343773"/>
    <w:rsid w:val="00344396"/>
    <w:rsid w:val="00344AEC"/>
    <w:rsid w:val="003461A4"/>
    <w:rsid w:val="00346CA6"/>
    <w:rsid w:val="00346F35"/>
    <w:rsid w:val="00351995"/>
    <w:rsid w:val="00353AE2"/>
    <w:rsid w:val="0035406F"/>
    <w:rsid w:val="00354B99"/>
    <w:rsid w:val="0035596C"/>
    <w:rsid w:val="003572F0"/>
    <w:rsid w:val="00360F1B"/>
    <w:rsid w:val="003616F6"/>
    <w:rsid w:val="0036218A"/>
    <w:rsid w:val="00362966"/>
    <w:rsid w:val="00362F97"/>
    <w:rsid w:val="0036343D"/>
    <w:rsid w:val="0036402A"/>
    <w:rsid w:val="00365DA7"/>
    <w:rsid w:val="00366580"/>
    <w:rsid w:val="00367768"/>
    <w:rsid w:val="00367DDF"/>
    <w:rsid w:val="003702A8"/>
    <w:rsid w:val="003706B8"/>
    <w:rsid w:val="00373DD7"/>
    <w:rsid w:val="00374243"/>
    <w:rsid w:val="0037461C"/>
    <w:rsid w:val="0037559C"/>
    <w:rsid w:val="00375A3B"/>
    <w:rsid w:val="0037620E"/>
    <w:rsid w:val="00376609"/>
    <w:rsid w:val="003804C7"/>
    <w:rsid w:val="003807B3"/>
    <w:rsid w:val="003814E8"/>
    <w:rsid w:val="0038219B"/>
    <w:rsid w:val="00382955"/>
    <w:rsid w:val="00382A63"/>
    <w:rsid w:val="00383D03"/>
    <w:rsid w:val="00384C9B"/>
    <w:rsid w:val="00385F7F"/>
    <w:rsid w:val="00385FF0"/>
    <w:rsid w:val="003861CB"/>
    <w:rsid w:val="00386ACF"/>
    <w:rsid w:val="003875C5"/>
    <w:rsid w:val="00387756"/>
    <w:rsid w:val="003905F0"/>
    <w:rsid w:val="003907DB"/>
    <w:rsid w:val="00390A8A"/>
    <w:rsid w:val="00391FA3"/>
    <w:rsid w:val="00391FBB"/>
    <w:rsid w:val="003921E2"/>
    <w:rsid w:val="003930AB"/>
    <w:rsid w:val="003931A1"/>
    <w:rsid w:val="0039361C"/>
    <w:rsid w:val="00395507"/>
    <w:rsid w:val="00396615"/>
    <w:rsid w:val="00396CE3"/>
    <w:rsid w:val="003A038E"/>
    <w:rsid w:val="003A0C33"/>
    <w:rsid w:val="003A2D8F"/>
    <w:rsid w:val="003A30CC"/>
    <w:rsid w:val="003A3149"/>
    <w:rsid w:val="003A438D"/>
    <w:rsid w:val="003A45D6"/>
    <w:rsid w:val="003A4F65"/>
    <w:rsid w:val="003A4FB7"/>
    <w:rsid w:val="003A5795"/>
    <w:rsid w:val="003A7595"/>
    <w:rsid w:val="003A7936"/>
    <w:rsid w:val="003B0256"/>
    <w:rsid w:val="003B0354"/>
    <w:rsid w:val="003B15E0"/>
    <w:rsid w:val="003B1BFE"/>
    <w:rsid w:val="003B2CAC"/>
    <w:rsid w:val="003B33D7"/>
    <w:rsid w:val="003B40D9"/>
    <w:rsid w:val="003B45FC"/>
    <w:rsid w:val="003B5726"/>
    <w:rsid w:val="003B5ECC"/>
    <w:rsid w:val="003B7C37"/>
    <w:rsid w:val="003B7F72"/>
    <w:rsid w:val="003C0702"/>
    <w:rsid w:val="003C0A62"/>
    <w:rsid w:val="003C0BE7"/>
    <w:rsid w:val="003C19FC"/>
    <w:rsid w:val="003C21C4"/>
    <w:rsid w:val="003C21E3"/>
    <w:rsid w:val="003C23DC"/>
    <w:rsid w:val="003C4ED2"/>
    <w:rsid w:val="003C69E2"/>
    <w:rsid w:val="003C6CD0"/>
    <w:rsid w:val="003C6F25"/>
    <w:rsid w:val="003C7503"/>
    <w:rsid w:val="003C78AB"/>
    <w:rsid w:val="003C7C03"/>
    <w:rsid w:val="003C7DA4"/>
    <w:rsid w:val="003D0708"/>
    <w:rsid w:val="003D0D4B"/>
    <w:rsid w:val="003D13B2"/>
    <w:rsid w:val="003D246D"/>
    <w:rsid w:val="003D30D7"/>
    <w:rsid w:val="003D4A4E"/>
    <w:rsid w:val="003D5AE3"/>
    <w:rsid w:val="003E02F4"/>
    <w:rsid w:val="003E06CC"/>
    <w:rsid w:val="003E0CCC"/>
    <w:rsid w:val="003E2104"/>
    <w:rsid w:val="003E22AC"/>
    <w:rsid w:val="003E23A4"/>
    <w:rsid w:val="003E3AA0"/>
    <w:rsid w:val="003E3EEE"/>
    <w:rsid w:val="003E4B62"/>
    <w:rsid w:val="003E4E45"/>
    <w:rsid w:val="003E6336"/>
    <w:rsid w:val="003E6CF8"/>
    <w:rsid w:val="003E6F66"/>
    <w:rsid w:val="003E724D"/>
    <w:rsid w:val="003E7732"/>
    <w:rsid w:val="003E79B4"/>
    <w:rsid w:val="003E7FA6"/>
    <w:rsid w:val="003F0A91"/>
    <w:rsid w:val="003F0E1B"/>
    <w:rsid w:val="003F1CD1"/>
    <w:rsid w:val="003F34A9"/>
    <w:rsid w:val="003F3DAD"/>
    <w:rsid w:val="003F447E"/>
    <w:rsid w:val="003F4FDD"/>
    <w:rsid w:val="003F5992"/>
    <w:rsid w:val="003F7098"/>
    <w:rsid w:val="004007A2"/>
    <w:rsid w:val="004008B1"/>
    <w:rsid w:val="00401CB8"/>
    <w:rsid w:val="00401D6F"/>
    <w:rsid w:val="00402784"/>
    <w:rsid w:val="00402908"/>
    <w:rsid w:val="0040299D"/>
    <w:rsid w:val="00402FAF"/>
    <w:rsid w:val="004037E0"/>
    <w:rsid w:val="00404409"/>
    <w:rsid w:val="004051C4"/>
    <w:rsid w:val="0040554D"/>
    <w:rsid w:val="0040575F"/>
    <w:rsid w:val="00405957"/>
    <w:rsid w:val="00405A77"/>
    <w:rsid w:val="00405D1E"/>
    <w:rsid w:val="00407C2A"/>
    <w:rsid w:val="0041017A"/>
    <w:rsid w:val="0041054F"/>
    <w:rsid w:val="00413337"/>
    <w:rsid w:val="0041403B"/>
    <w:rsid w:val="00414497"/>
    <w:rsid w:val="00414613"/>
    <w:rsid w:val="004157A2"/>
    <w:rsid w:val="00416C02"/>
    <w:rsid w:val="00417158"/>
    <w:rsid w:val="004178DF"/>
    <w:rsid w:val="00420C20"/>
    <w:rsid w:val="00420C42"/>
    <w:rsid w:val="00420DBE"/>
    <w:rsid w:val="00424D9E"/>
    <w:rsid w:val="0042711F"/>
    <w:rsid w:val="00427366"/>
    <w:rsid w:val="004277C9"/>
    <w:rsid w:val="00430529"/>
    <w:rsid w:val="00430B85"/>
    <w:rsid w:val="004317D9"/>
    <w:rsid w:val="00433986"/>
    <w:rsid w:val="004342F0"/>
    <w:rsid w:val="004349B0"/>
    <w:rsid w:val="00434DB7"/>
    <w:rsid w:val="00435BC5"/>
    <w:rsid w:val="00436959"/>
    <w:rsid w:val="00437D82"/>
    <w:rsid w:val="00442344"/>
    <w:rsid w:val="00442F7E"/>
    <w:rsid w:val="004431C9"/>
    <w:rsid w:val="004468CB"/>
    <w:rsid w:val="00446A06"/>
    <w:rsid w:val="00446B5F"/>
    <w:rsid w:val="00447A20"/>
    <w:rsid w:val="00447DE7"/>
    <w:rsid w:val="004512E6"/>
    <w:rsid w:val="0045154D"/>
    <w:rsid w:val="00454065"/>
    <w:rsid w:val="0045451D"/>
    <w:rsid w:val="00455679"/>
    <w:rsid w:val="00455AA7"/>
    <w:rsid w:val="00455AE9"/>
    <w:rsid w:val="004560D0"/>
    <w:rsid w:val="00456141"/>
    <w:rsid w:val="00456C0F"/>
    <w:rsid w:val="00460383"/>
    <w:rsid w:val="00460CF0"/>
    <w:rsid w:val="00460EA8"/>
    <w:rsid w:val="004611C9"/>
    <w:rsid w:val="0046123B"/>
    <w:rsid w:val="0046124B"/>
    <w:rsid w:val="00461953"/>
    <w:rsid w:val="00462A00"/>
    <w:rsid w:val="00463761"/>
    <w:rsid w:val="004638A5"/>
    <w:rsid w:val="004642DD"/>
    <w:rsid w:val="004649B8"/>
    <w:rsid w:val="00464B9B"/>
    <w:rsid w:val="0046585C"/>
    <w:rsid w:val="004665E6"/>
    <w:rsid w:val="00466772"/>
    <w:rsid w:val="00466892"/>
    <w:rsid w:val="004675C5"/>
    <w:rsid w:val="00470A76"/>
    <w:rsid w:val="00470E5B"/>
    <w:rsid w:val="00470E9C"/>
    <w:rsid w:val="004716BA"/>
    <w:rsid w:val="00472A8E"/>
    <w:rsid w:val="00472BC1"/>
    <w:rsid w:val="00473663"/>
    <w:rsid w:val="00474363"/>
    <w:rsid w:val="00475D3F"/>
    <w:rsid w:val="004767A5"/>
    <w:rsid w:val="0047738C"/>
    <w:rsid w:val="00477654"/>
    <w:rsid w:val="00480021"/>
    <w:rsid w:val="004807AB"/>
    <w:rsid w:val="00481024"/>
    <w:rsid w:val="00482EAC"/>
    <w:rsid w:val="004831FA"/>
    <w:rsid w:val="00483375"/>
    <w:rsid w:val="00484F84"/>
    <w:rsid w:val="0048597F"/>
    <w:rsid w:val="00486A70"/>
    <w:rsid w:val="00487696"/>
    <w:rsid w:val="004905F1"/>
    <w:rsid w:val="00491015"/>
    <w:rsid w:val="00491C7C"/>
    <w:rsid w:val="00492DCB"/>
    <w:rsid w:val="00493CDD"/>
    <w:rsid w:val="004947FA"/>
    <w:rsid w:val="0049502D"/>
    <w:rsid w:val="00497404"/>
    <w:rsid w:val="00497BC5"/>
    <w:rsid w:val="00497D1F"/>
    <w:rsid w:val="004A173D"/>
    <w:rsid w:val="004A18FB"/>
    <w:rsid w:val="004A1DE7"/>
    <w:rsid w:val="004A1F14"/>
    <w:rsid w:val="004A2FB8"/>
    <w:rsid w:val="004A3BC1"/>
    <w:rsid w:val="004A3D38"/>
    <w:rsid w:val="004A407A"/>
    <w:rsid w:val="004A45BC"/>
    <w:rsid w:val="004A4FC5"/>
    <w:rsid w:val="004A5CB8"/>
    <w:rsid w:val="004A5F7D"/>
    <w:rsid w:val="004A61FA"/>
    <w:rsid w:val="004A65DC"/>
    <w:rsid w:val="004A79F8"/>
    <w:rsid w:val="004B0614"/>
    <w:rsid w:val="004B1933"/>
    <w:rsid w:val="004B3F8A"/>
    <w:rsid w:val="004B4E70"/>
    <w:rsid w:val="004B785A"/>
    <w:rsid w:val="004C02D7"/>
    <w:rsid w:val="004C1484"/>
    <w:rsid w:val="004C14E0"/>
    <w:rsid w:val="004C1580"/>
    <w:rsid w:val="004C201A"/>
    <w:rsid w:val="004C209D"/>
    <w:rsid w:val="004C2BF5"/>
    <w:rsid w:val="004C462F"/>
    <w:rsid w:val="004C46C6"/>
    <w:rsid w:val="004C509E"/>
    <w:rsid w:val="004C5484"/>
    <w:rsid w:val="004C54C5"/>
    <w:rsid w:val="004C5F2B"/>
    <w:rsid w:val="004C631A"/>
    <w:rsid w:val="004C67D3"/>
    <w:rsid w:val="004D04A4"/>
    <w:rsid w:val="004D0DD9"/>
    <w:rsid w:val="004D0E57"/>
    <w:rsid w:val="004D17B7"/>
    <w:rsid w:val="004D273B"/>
    <w:rsid w:val="004D3880"/>
    <w:rsid w:val="004D3AC2"/>
    <w:rsid w:val="004D5AE0"/>
    <w:rsid w:val="004D6099"/>
    <w:rsid w:val="004D6E69"/>
    <w:rsid w:val="004E00F5"/>
    <w:rsid w:val="004E1589"/>
    <w:rsid w:val="004E1E0E"/>
    <w:rsid w:val="004E2972"/>
    <w:rsid w:val="004E311C"/>
    <w:rsid w:val="004E4362"/>
    <w:rsid w:val="004E46B1"/>
    <w:rsid w:val="004E4C13"/>
    <w:rsid w:val="004E4E56"/>
    <w:rsid w:val="004E5CAB"/>
    <w:rsid w:val="004E6D8D"/>
    <w:rsid w:val="004E74F9"/>
    <w:rsid w:val="004E78CD"/>
    <w:rsid w:val="004E7944"/>
    <w:rsid w:val="004E7A30"/>
    <w:rsid w:val="004F0670"/>
    <w:rsid w:val="004F0FA5"/>
    <w:rsid w:val="004F11FD"/>
    <w:rsid w:val="004F12A3"/>
    <w:rsid w:val="004F165D"/>
    <w:rsid w:val="004F28FA"/>
    <w:rsid w:val="004F2ACE"/>
    <w:rsid w:val="004F4A97"/>
    <w:rsid w:val="004F59F3"/>
    <w:rsid w:val="004F656E"/>
    <w:rsid w:val="004F65EE"/>
    <w:rsid w:val="004F693C"/>
    <w:rsid w:val="004F6D44"/>
    <w:rsid w:val="004F756E"/>
    <w:rsid w:val="004F79F0"/>
    <w:rsid w:val="0050096B"/>
    <w:rsid w:val="00500FED"/>
    <w:rsid w:val="005027E8"/>
    <w:rsid w:val="00502E15"/>
    <w:rsid w:val="0050328F"/>
    <w:rsid w:val="005036D6"/>
    <w:rsid w:val="00503C60"/>
    <w:rsid w:val="00504367"/>
    <w:rsid w:val="005044CE"/>
    <w:rsid w:val="0050581A"/>
    <w:rsid w:val="005068D8"/>
    <w:rsid w:val="00506E64"/>
    <w:rsid w:val="00507820"/>
    <w:rsid w:val="00507BE5"/>
    <w:rsid w:val="005108AD"/>
    <w:rsid w:val="00511DCD"/>
    <w:rsid w:val="00513269"/>
    <w:rsid w:val="005140D1"/>
    <w:rsid w:val="00515070"/>
    <w:rsid w:val="00515C5F"/>
    <w:rsid w:val="0051627A"/>
    <w:rsid w:val="0051726B"/>
    <w:rsid w:val="00517EE5"/>
    <w:rsid w:val="0052015A"/>
    <w:rsid w:val="0052084B"/>
    <w:rsid w:val="00521005"/>
    <w:rsid w:val="005210A6"/>
    <w:rsid w:val="005210C2"/>
    <w:rsid w:val="00521982"/>
    <w:rsid w:val="005221C0"/>
    <w:rsid w:val="005222E3"/>
    <w:rsid w:val="00525DB6"/>
    <w:rsid w:val="00526894"/>
    <w:rsid w:val="00526CEF"/>
    <w:rsid w:val="0052733C"/>
    <w:rsid w:val="005274D2"/>
    <w:rsid w:val="0053021F"/>
    <w:rsid w:val="00530B17"/>
    <w:rsid w:val="00531894"/>
    <w:rsid w:val="00531C59"/>
    <w:rsid w:val="0053369E"/>
    <w:rsid w:val="00533A09"/>
    <w:rsid w:val="0053434B"/>
    <w:rsid w:val="0053450B"/>
    <w:rsid w:val="00535034"/>
    <w:rsid w:val="005364B6"/>
    <w:rsid w:val="005401D8"/>
    <w:rsid w:val="005408A9"/>
    <w:rsid w:val="00540E7D"/>
    <w:rsid w:val="00541B83"/>
    <w:rsid w:val="0054209A"/>
    <w:rsid w:val="00542DB7"/>
    <w:rsid w:val="00542FAF"/>
    <w:rsid w:val="00544322"/>
    <w:rsid w:val="0054499F"/>
    <w:rsid w:val="00544F21"/>
    <w:rsid w:val="00545122"/>
    <w:rsid w:val="005455D9"/>
    <w:rsid w:val="00545823"/>
    <w:rsid w:val="005458F4"/>
    <w:rsid w:val="0055050C"/>
    <w:rsid w:val="00550AEC"/>
    <w:rsid w:val="00550EF1"/>
    <w:rsid w:val="00552B59"/>
    <w:rsid w:val="00552B83"/>
    <w:rsid w:val="00553221"/>
    <w:rsid w:val="005536B0"/>
    <w:rsid w:val="00554F7E"/>
    <w:rsid w:val="00555004"/>
    <w:rsid w:val="005550B8"/>
    <w:rsid w:val="00555B2C"/>
    <w:rsid w:val="00556888"/>
    <w:rsid w:val="00556DFE"/>
    <w:rsid w:val="005576D8"/>
    <w:rsid w:val="00560AB2"/>
    <w:rsid w:val="00563393"/>
    <w:rsid w:val="005633AF"/>
    <w:rsid w:val="00564191"/>
    <w:rsid w:val="00564595"/>
    <w:rsid w:val="0056484D"/>
    <w:rsid w:val="00564CF5"/>
    <w:rsid w:val="00564FCF"/>
    <w:rsid w:val="005651F8"/>
    <w:rsid w:val="0056548D"/>
    <w:rsid w:val="00566539"/>
    <w:rsid w:val="00567274"/>
    <w:rsid w:val="00567498"/>
    <w:rsid w:val="00570069"/>
    <w:rsid w:val="00570690"/>
    <w:rsid w:val="0057180A"/>
    <w:rsid w:val="00571A96"/>
    <w:rsid w:val="0057250F"/>
    <w:rsid w:val="00573584"/>
    <w:rsid w:val="005735DF"/>
    <w:rsid w:val="00573862"/>
    <w:rsid w:val="005738A7"/>
    <w:rsid w:val="00573F9C"/>
    <w:rsid w:val="00574529"/>
    <w:rsid w:val="00575F62"/>
    <w:rsid w:val="005763C3"/>
    <w:rsid w:val="00576770"/>
    <w:rsid w:val="00577A72"/>
    <w:rsid w:val="005826EC"/>
    <w:rsid w:val="00583AAE"/>
    <w:rsid w:val="00586B5F"/>
    <w:rsid w:val="00586BF7"/>
    <w:rsid w:val="00587218"/>
    <w:rsid w:val="00587C82"/>
    <w:rsid w:val="00587FDA"/>
    <w:rsid w:val="0059031C"/>
    <w:rsid w:val="00590415"/>
    <w:rsid w:val="00590448"/>
    <w:rsid w:val="00590A58"/>
    <w:rsid w:val="00591529"/>
    <w:rsid w:val="00591FBD"/>
    <w:rsid w:val="0059210D"/>
    <w:rsid w:val="00592C5A"/>
    <w:rsid w:val="00592FCE"/>
    <w:rsid w:val="005939DA"/>
    <w:rsid w:val="00593D22"/>
    <w:rsid w:val="00594498"/>
    <w:rsid w:val="005944A3"/>
    <w:rsid w:val="0059700E"/>
    <w:rsid w:val="0059720E"/>
    <w:rsid w:val="005A011D"/>
    <w:rsid w:val="005A0614"/>
    <w:rsid w:val="005A1EC7"/>
    <w:rsid w:val="005A3A99"/>
    <w:rsid w:val="005A3C46"/>
    <w:rsid w:val="005A42AD"/>
    <w:rsid w:val="005A44E6"/>
    <w:rsid w:val="005A5504"/>
    <w:rsid w:val="005A56E6"/>
    <w:rsid w:val="005A5854"/>
    <w:rsid w:val="005A6596"/>
    <w:rsid w:val="005A660F"/>
    <w:rsid w:val="005B050F"/>
    <w:rsid w:val="005B075B"/>
    <w:rsid w:val="005B0921"/>
    <w:rsid w:val="005B135D"/>
    <w:rsid w:val="005B15F5"/>
    <w:rsid w:val="005B1866"/>
    <w:rsid w:val="005B1955"/>
    <w:rsid w:val="005B1A72"/>
    <w:rsid w:val="005B2F65"/>
    <w:rsid w:val="005B332B"/>
    <w:rsid w:val="005B3953"/>
    <w:rsid w:val="005B3A8F"/>
    <w:rsid w:val="005B49FA"/>
    <w:rsid w:val="005B4E5C"/>
    <w:rsid w:val="005B6113"/>
    <w:rsid w:val="005B6D26"/>
    <w:rsid w:val="005B71A0"/>
    <w:rsid w:val="005B759D"/>
    <w:rsid w:val="005B7BB7"/>
    <w:rsid w:val="005C19CB"/>
    <w:rsid w:val="005C35B7"/>
    <w:rsid w:val="005C36DD"/>
    <w:rsid w:val="005C47EF"/>
    <w:rsid w:val="005C4DA3"/>
    <w:rsid w:val="005C4FB4"/>
    <w:rsid w:val="005C50BA"/>
    <w:rsid w:val="005C52DF"/>
    <w:rsid w:val="005C5330"/>
    <w:rsid w:val="005C686B"/>
    <w:rsid w:val="005C6FF9"/>
    <w:rsid w:val="005C7058"/>
    <w:rsid w:val="005D3199"/>
    <w:rsid w:val="005D4107"/>
    <w:rsid w:val="005D5238"/>
    <w:rsid w:val="005D57C4"/>
    <w:rsid w:val="005D6CD8"/>
    <w:rsid w:val="005D774E"/>
    <w:rsid w:val="005D7768"/>
    <w:rsid w:val="005E00B9"/>
    <w:rsid w:val="005E0813"/>
    <w:rsid w:val="005E1779"/>
    <w:rsid w:val="005E2B43"/>
    <w:rsid w:val="005E2C77"/>
    <w:rsid w:val="005E3512"/>
    <w:rsid w:val="005E3836"/>
    <w:rsid w:val="005E3DE0"/>
    <w:rsid w:val="005E510F"/>
    <w:rsid w:val="005F0354"/>
    <w:rsid w:val="005F0823"/>
    <w:rsid w:val="005F1ED4"/>
    <w:rsid w:val="005F2B25"/>
    <w:rsid w:val="005F32D8"/>
    <w:rsid w:val="005F3880"/>
    <w:rsid w:val="005F461E"/>
    <w:rsid w:val="005F468D"/>
    <w:rsid w:val="005F4D3A"/>
    <w:rsid w:val="005F596D"/>
    <w:rsid w:val="006024FC"/>
    <w:rsid w:val="00602911"/>
    <w:rsid w:val="00604E90"/>
    <w:rsid w:val="00606F73"/>
    <w:rsid w:val="00607233"/>
    <w:rsid w:val="00607246"/>
    <w:rsid w:val="00607A2C"/>
    <w:rsid w:val="00607C32"/>
    <w:rsid w:val="00607EEB"/>
    <w:rsid w:val="0061133C"/>
    <w:rsid w:val="006115D7"/>
    <w:rsid w:val="0061185F"/>
    <w:rsid w:val="00613F35"/>
    <w:rsid w:val="00614AE4"/>
    <w:rsid w:val="006155B0"/>
    <w:rsid w:val="00615C59"/>
    <w:rsid w:val="00616665"/>
    <w:rsid w:val="00616ACA"/>
    <w:rsid w:val="00616BA0"/>
    <w:rsid w:val="00617342"/>
    <w:rsid w:val="006201A3"/>
    <w:rsid w:val="00620978"/>
    <w:rsid w:val="00620B50"/>
    <w:rsid w:val="006212F9"/>
    <w:rsid w:val="00621F72"/>
    <w:rsid w:val="0062379D"/>
    <w:rsid w:val="00623964"/>
    <w:rsid w:val="00623B9B"/>
    <w:rsid w:val="00625239"/>
    <w:rsid w:val="00625BF2"/>
    <w:rsid w:val="00625F69"/>
    <w:rsid w:val="006262BB"/>
    <w:rsid w:val="00626AB5"/>
    <w:rsid w:val="00626EB5"/>
    <w:rsid w:val="00627805"/>
    <w:rsid w:val="00630C92"/>
    <w:rsid w:val="00630F1C"/>
    <w:rsid w:val="00632230"/>
    <w:rsid w:val="00632523"/>
    <w:rsid w:val="00632F7D"/>
    <w:rsid w:val="006333D7"/>
    <w:rsid w:val="00634C8D"/>
    <w:rsid w:val="006360A8"/>
    <w:rsid w:val="0063690C"/>
    <w:rsid w:val="0063693B"/>
    <w:rsid w:val="0063720A"/>
    <w:rsid w:val="0063777C"/>
    <w:rsid w:val="00641F6C"/>
    <w:rsid w:val="00642C0E"/>
    <w:rsid w:val="006434C8"/>
    <w:rsid w:val="00643D42"/>
    <w:rsid w:val="00644960"/>
    <w:rsid w:val="00645835"/>
    <w:rsid w:val="00645FB6"/>
    <w:rsid w:val="006460C9"/>
    <w:rsid w:val="00646422"/>
    <w:rsid w:val="0064643F"/>
    <w:rsid w:val="006467F5"/>
    <w:rsid w:val="00647757"/>
    <w:rsid w:val="006477B6"/>
    <w:rsid w:val="00647827"/>
    <w:rsid w:val="00647BF7"/>
    <w:rsid w:val="006510AF"/>
    <w:rsid w:val="006512D3"/>
    <w:rsid w:val="00651A83"/>
    <w:rsid w:val="00652B81"/>
    <w:rsid w:val="0065308A"/>
    <w:rsid w:val="00653748"/>
    <w:rsid w:val="00653F04"/>
    <w:rsid w:val="00654562"/>
    <w:rsid w:val="006545DF"/>
    <w:rsid w:val="00654935"/>
    <w:rsid w:val="00654BB3"/>
    <w:rsid w:val="006554D4"/>
    <w:rsid w:val="00655EF9"/>
    <w:rsid w:val="00656BDC"/>
    <w:rsid w:val="00657E7B"/>
    <w:rsid w:val="00661B7F"/>
    <w:rsid w:val="00661E32"/>
    <w:rsid w:val="0066345C"/>
    <w:rsid w:val="00663A31"/>
    <w:rsid w:val="00663D3C"/>
    <w:rsid w:val="00664E0D"/>
    <w:rsid w:val="00665BB6"/>
    <w:rsid w:val="00666C99"/>
    <w:rsid w:val="006672CF"/>
    <w:rsid w:val="0066772B"/>
    <w:rsid w:val="00667CE6"/>
    <w:rsid w:val="00667D5C"/>
    <w:rsid w:val="0067112B"/>
    <w:rsid w:val="00672186"/>
    <w:rsid w:val="00672328"/>
    <w:rsid w:val="00672EAD"/>
    <w:rsid w:val="00672F0A"/>
    <w:rsid w:val="00673F3F"/>
    <w:rsid w:val="0067545E"/>
    <w:rsid w:val="006768B5"/>
    <w:rsid w:val="006771A9"/>
    <w:rsid w:val="00680456"/>
    <w:rsid w:val="006806AB"/>
    <w:rsid w:val="00680D8A"/>
    <w:rsid w:val="00681C44"/>
    <w:rsid w:val="00682DE2"/>
    <w:rsid w:val="0068314C"/>
    <w:rsid w:val="006833AB"/>
    <w:rsid w:val="00683E40"/>
    <w:rsid w:val="0068431E"/>
    <w:rsid w:val="0068576E"/>
    <w:rsid w:val="00685A60"/>
    <w:rsid w:val="0069011F"/>
    <w:rsid w:val="006905DD"/>
    <w:rsid w:val="006913C9"/>
    <w:rsid w:val="00692B17"/>
    <w:rsid w:val="00693609"/>
    <w:rsid w:val="00694F5F"/>
    <w:rsid w:val="0069543E"/>
    <w:rsid w:val="00696547"/>
    <w:rsid w:val="006971D2"/>
    <w:rsid w:val="006A1058"/>
    <w:rsid w:val="006A2884"/>
    <w:rsid w:val="006A28D7"/>
    <w:rsid w:val="006A2A49"/>
    <w:rsid w:val="006A3AB1"/>
    <w:rsid w:val="006A3BBD"/>
    <w:rsid w:val="006A5A3C"/>
    <w:rsid w:val="006A5B16"/>
    <w:rsid w:val="006A5B18"/>
    <w:rsid w:val="006A5D0A"/>
    <w:rsid w:val="006A7A05"/>
    <w:rsid w:val="006B0B35"/>
    <w:rsid w:val="006B1011"/>
    <w:rsid w:val="006B1AF3"/>
    <w:rsid w:val="006B411A"/>
    <w:rsid w:val="006B46FC"/>
    <w:rsid w:val="006B4978"/>
    <w:rsid w:val="006B549E"/>
    <w:rsid w:val="006B5A91"/>
    <w:rsid w:val="006B6397"/>
    <w:rsid w:val="006B6CF6"/>
    <w:rsid w:val="006B6F63"/>
    <w:rsid w:val="006B7AD1"/>
    <w:rsid w:val="006B7B54"/>
    <w:rsid w:val="006C0407"/>
    <w:rsid w:val="006C0A8F"/>
    <w:rsid w:val="006C2558"/>
    <w:rsid w:val="006C29EC"/>
    <w:rsid w:val="006C2B13"/>
    <w:rsid w:val="006C5923"/>
    <w:rsid w:val="006C6434"/>
    <w:rsid w:val="006C711A"/>
    <w:rsid w:val="006C7FCC"/>
    <w:rsid w:val="006D04D1"/>
    <w:rsid w:val="006D0980"/>
    <w:rsid w:val="006D121B"/>
    <w:rsid w:val="006D18A0"/>
    <w:rsid w:val="006D33EC"/>
    <w:rsid w:val="006D4608"/>
    <w:rsid w:val="006D4733"/>
    <w:rsid w:val="006D5568"/>
    <w:rsid w:val="006D6294"/>
    <w:rsid w:val="006D7360"/>
    <w:rsid w:val="006D7505"/>
    <w:rsid w:val="006D75C8"/>
    <w:rsid w:val="006D78E9"/>
    <w:rsid w:val="006D7CD6"/>
    <w:rsid w:val="006E00D1"/>
    <w:rsid w:val="006E0328"/>
    <w:rsid w:val="006E10AC"/>
    <w:rsid w:val="006E19A0"/>
    <w:rsid w:val="006E2B88"/>
    <w:rsid w:val="006E324A"/>
    <w:rsid w:val="006E34F4"/>
    <w:rsid w:val="006E3B74"/>
    <w:rsid w:val="006E4F3C"/>
    <w:rsid w:val="006E5FF9"/>
    <w:rsid w:val="006E61A6"/>
    <w:rsid w:val="006E7F1A"/>
    <w:rsid w:val="006F23F9"/>
    <w:rsid w:val="006F288A"/>
    <w:rsid w:val="006F3023"/>
    <w:rsid w:val="006F30F2"/>
    <w:rsid w:val="006F49CC"/>
    <w:rsid w:val="006F4A9F"/>
    <w:rsid w:val="006F5264"/>
    <w:rsid w:val="006F5411"/>
    <w:rsid w:val="006F6586"/>
    <w:rsid w:val="006F716A"/>
    <w:rsid w:val="00700022"/>
    <w:rsid w:val="0070102A"/>
    <w:rsid w:val="007012EC"/>
    <w:rsid w:val="00702255"/>
    <w:rsid w:val="00702A93"/>
    <w:rsid w:val="00702B21"/>
    <w:rsid w:val="007034E6"/>
    <w:rsid w:val="00706195"/>
    <w:rsid w:val="00707798"/>
    <w:rsid w:val="00707979"/>
    <w:rsid w:val="00707BA1"/>
    <w:rsid w:val="007118AF"/>
    <w:rsid w:val="00711DC3"/>
    <w:rsid w:val="00711FBB"/>
    <w:rsid w:val="0071267D"/>
    <w:rsid w:val="00712AAE"/>
    <w:rsid w:val="0071567A"/>
    <w:rsid w:val="00716767"/>
    <w:rsid w:val="007169C0"/>
    <w:rsid w:val="007178E9"/>
    <w:rsid w:val="00717F70"/>
    <w:rsid w:val="00720613"/>
    <w:rsid w:val="00721478"/>
    <w:rsid w:val="00722056"/>
    <w:rsid w:val="0072207A"/>
    <w:rsid w:val="0072267D"/>
    <w:rsid w:val="00722F98"/>
    <w:rsid w:val="007235DC"/>
    <w:rsid w:val="007235E3"/>
    <w:rsid w:val="00723F91"/>
    <w:rsid w:val="007242D5"/>
    <w:rsid w:val="00724FE8"/>
    <w:rsid w:val="00725A21"/>
    <w:rsid w:val="00725F8B"/>
    <w:rsid w:val="0072780C"/>
    <w:rsid w:val="00730106"/>
    <w:rsid w:val="00730347"/>
    <w:rsid w:val="00731333"/>
    <w:rsid w:val="0073171B"/>
    <w:rsid w:val="00733044"/>
    <w:rsid w:val="00734DC5"/>
    <w:rsid w:val="00735373"/>
    <w:rsid w:val="00735812"/>
    <w:rsid w:val="007373D1"/>
    <w:rsid w:val="0073771A"/>
    <w:rsid w:val="00740852"/>
    <w:rsid w:val="00743119"/>
    <w:rsid w:val="007438F8"/>
    <w:rsid w:val="0074390E"/>
    <w:rsid w:val="00743CC0"/>
    <w:rsid w:val="00744515"/>
    <w:rsid w:val="00744CA0"/>
    <w:rsid w:val="0074566C"/>
    <w:rsid w:val="00746CB0"/>
    <w:rsid w:val="0074739F"/>
    <w:rsid w:val="007474A2"/>
    <w:rsid w:val="007501CB"/>
    <w:rsid w:val="007506F0"/>
    <w:rsid w:val="00751AA7"/>
    <w:rsid w:val="007522E8"/>
    <w:rsid w:val="007528E1"/>
    <w:rsid w:val="00752972"/>
    <w:rsid w:val="00753455"/>
    <w:rsid w:val="00753894"/>
    <w:rsid w:val="00754128"/>
    <w:rsid w:val="007555DE"/>
    <w:rsid w:val="00756627"/>
    <w:rsid w:val="007566CB"/>
    <w:rsid w:val="00756ECD"/>
    <w:rsid w:val="0075747E"/>
    <w:rsid w:val="00757A7C"/>
    <w:rsid w:val="00760F3F"/>
    <w:rsid w:val="007632DD"/>
    <w:rsid w:val="00763666"/>
    <w:rsid w:val="00763B10"/>
    <w:rsid w:val="00764872"/>
    <w:rsid w:val="0076512A"/>
    <w:rsid w:val="00765655"/>
    <w:rsid w:val="00765D41"/>
    <w:rsid w:val="0076632B"/>
    <w:rsid w:val="007665AE"/>
    <w:rsid w:val="007707E2"/>
    <w:rsid w:val="00770813"/>
    <w:rsid w:val="0077156E"/>
    <w:rsid w:val="00772C25"/>
    <w:rsid w:val="00773164"/>
    <w:rsid w:val="00773D0D"/>
    <w:rsid w:val="007744E0"/>
    <w:rsid w:val="0077488D"/>
    <w:rsid w:val="00775E3D"/>
    <w:rsid w:val="00776FD9"/>
    <w:rsid w:val="00777E6C"/>
    <w:rsid w:val="00777F66"/>
    <w:rsid w:val="00780974"/>
    <w:rsid w:val="00780FB4"/>
    <w:rsid w:val="007814E5"/>
    <w:rsid w:val="00782785"/>
    <w:rsid w:val="0078286F"/>
    <w:rsid w:val="00782FF5"/>
    <w:rsid w:val="00783682"/>
    <w:rsid w:val="00784DDE"/>
    <w:rsid w:val="00785239"/>
    <w:rsid w:val="00790AB7"/>
    <w:rsid w:val="00791714"/>
    <w:rsid w:val="007917D0"/>
    <w:rsid w:val="0079199F"/>
    <w:rsid w:val="00791FA6"/>
    <w:rsid w:val="00793071"/>
    <w:rsid w:val="00793679"/>
    <w:rsid w:val="00794C14"/>
    <w:rsid w:val="00794CD2"/>
    <w:rsid w:val="00794F8E"/>
    <w:rsid w:val="00795548"/>
    <w:rsid w:val="007963F5"/>
    <w:rsid w:val="00796AAB"/>
    <w:rsid w:val="00796C32"/>
    <w:rsid w:val="007973C0"/>
    <w:rsid w:val="00797A26"/>
    <w:rsid w:val="007A005F"/>
    <w:rsid w:val="007A2070"/>
    <w:rsid w:val="007A2E29"/>
    <w:rsid w:val="007A2FE2"/>
    <w:rsid w:val="007A3E5C"/>
    <w:rsid w:val="007A4463"/>
    <w:rsid w:val="007A4C31"/>
    <w:rsid w:val="007A5F82"/>
    <w:rsid w:val="007B09FF"/>
    <w:rsid w:val="007B15FB"/>
    <w:rsid w:val="007B1BFB"/>
    <w:rsid w:val="007B274C"/>
    <w:rsid w:val="007B37D7"/>
    <w:rsid w:val="007B4394"/>
    <w:rsid w:val="007B590F"/>
    <w:rsid w:val="007B5DBC"/>
    <w:rsid w:val="007B6225"/>
    <w:rsid w:val="007C0852"/>
    <w:rsid w:val="007C0F3C"/>
    <w:rsid w:val="007C1438"/>
    <w:rsid w:val="007C1439"/>
    <w:rsid w:val="007C1EBC"/>
    <w:rsid w:val="007C255E"/>
    <w:rsid w:val="007C2775"/>
    <w:rsid w:val="007C2946"/>
    <w:rsid w:val="007C2B69"/>
    <w:rsid w:val="007C43C9"/>
    <w:rsid w:val="007C4592"/>
    <w:rsid w:val="007C598D"/>
    <w:rsid w:val="007C7862"/>
    <w:rsid w:val="007D01DC"/>
    <w:rsid w:val="007D0207"/>
    <w:rsid w:val="007D07F7"/>
    <w:rsid w:val="007D2D19"/>
    <w:rsid w:val="007D367B"/>
    <w:rsid w:val="007D3F35"/>
    <w:rsid w:val="007D411A"/>
    <w:rsid w:val="007D4FF9"/>
    <w:rsid w:val="007D5EE7"/>
    <w:rsid w:val="007D6368"/>
    <w:rsid w:val="007D6D16"/>
    <w:rsid w:val="007D780D"/>
    <w:rsid w:val="007E03D7"/>
    <w:rsid w:val="007E0D3F"/>
    <w:rsid w:val="007E1177"/>
    <w:rsid w:val="007E1708"/>
    <w:rsid w:val="007E1B53"/>
    <w:rsid w:val="007E267F"/>
    <w:rsid w:val="007E332A"/>
    <w:rsid w:val="007E41D1"/>
    <w:rsid w:val="007E4D15"/>
    <w:rsid w:val="007E5425"/>
    <w:rsid w:val="007E7147"/>
    <w:rsid w:val="007E7511"/>
    <w:rsid w:val="007F1069"/>
    <w:rsid w:val="007F1470"/>
    <w:rsid w:val="007F2043"/>
    <w:rsid w:val="007F503C"/>
    <w:rsid w:val="007F60B9"/>
    <w:rsid w:val="007F6871"/>
    <w:rsid w:val="007F7740"/>
    <w:rsid w:val="007F79BE"/>
    <w:rsid w:val="0080116B"/>
    <w:rsid w:val="0080235C"/>
    <w:rsid w:val="0080311A"/>
    <w:rsid w:val="00803351"/>
    <w:rsid w:val="00803705"/>
    <w:rsid w:val="00803796"/>
    <w:rsid w:val="00803E12"/>
    <w:rsid w:val="00803E23"/>
    <w:rsid w:val="008040B0"/>
    <w:rsid w:val="0080493C"/>
    <w:rsid w:val="00805764"/>
    <w:rsid w:val="00805D08"/>
    <w:rsid w:val="00805DBB"/>
    <w:rsid w:val="00805FF3"/>
    <w:rsid w:val="00806114"/>
    <w:rsid w:val="008061EE"/>
    <w:rsid w:val="0080622F"/>
    <w:rsid w:val="008063BC"/>
    <w:rsid w:val="00806604"/>
    <w:rsid w:val="0080663A"/>
    <w:rsid w:val="008069B9"/>
    <w:rsid w:val="00807396"/>
    <w:rsid w:val="00807BC4"/>
    <w:rsid w:val="00810449"/>
    <w:rsid w:val="00810C42"/>
    <w:rsid w:val="00811398"/>
    <w:rsid w:val="00811663"/>
    <w:rsid w:val="008119C7"/>
    <w:rsid w:val="00812D12"/>
    <w:rsid w:val="008134F9"/>
    <w:rsid w:val="0081396C"/>
    <w:rsid w:val="00813F14"/>
    <w:rsid w:val="00813FD1"/>
    <w:rsid w:val="008143D1"/>
    <w:rsid w:val="00814F91"/>
    <w:rsid w:val="00815A62"/>
    <w:rsid w:val="008163FE"/>
    <w:rsid w:val="00816787"/>
    <w:rsid w:val="008177B1"/>
    <w:rsid w:val="00817C6A"/>
    <w:rsid w:val="00820793"/>
    <w:rsid w:val="00820FC4"/>
    <w:rsid w:val="00821BFF"/>
    <w:rsid w:val="0082262F"/>
    <w:rsid w:val="008230CE"/>
    <w:rsid w:val="0082399C"/>
    <w:rsid w:val="00823EFA"/>
    <w:rsid w:val="0082455B"/>
    <w:rsid w:val="00824F1B"/>
    <w:rsid w:val="008252D7"/>
    <w:rsid w:val="00825307"/>
    <w:rsid w:val="008271C1"/>
    <w:rsid w:val="008277D4"/>
    <w:rsid w:val="00831E1F"/>
    <w:rsid w:val="00831FE3"/>
    <w:rsid w:val="008348A1"/>
    <w:rsid w:val="00835028"/>
    <w:rsid w:val="008359E9"/>
    <w:rsid w:val="00835C91"/>
    <w:rsid w:val="00835EFD"/>
    <w:rsid w:val="00836278"/>
    <w:rsid w:val="00836659"/>
    <w:rsid w:val="008369A5"/>
    <w:rsid w:val="00836DAB"/>
    <w:rsid w:val="008371B1"/>
    <w:rsid w:val="008375E2"/>
    <w:rsid w:val="00837BEC"/>
    <w:rsid w:val="0084137D"/>
    <w:rsid w:val="008415B7"/>
    <w:rsid w:val="008426B7"/>
    <w:rsid w:val="00843248"/>
    <w:rsid w:val="00843318"/>
    <w:rsid w:val="00843680"/>
    <w:rsid w:val="00843FD5"/>
    <w:rsid w:val="008446EB"/>
    <w:rsid w:val="00844C37"/>
    <w:rsid w:val="00846355"/>
    <w:rsid w:val="008516D6"/>
    <w:rsid w:val="00851F54"/>
    <w:rsid w:val="00852D76"/>
    <w:rsid w:val="00852DCA"/>
    <w:rsid w:val="008533E4"/>
    <w:rsid w:val="00853580"/>
    <w:rsid w:val="00855BFA"/>
    <w:rsid w:val="008578D7"/>
    <w:rsid w:val="00860358"/>
    <w:rsid w:val="0086089C"/>
    <w:rsid w:val="00860A1B"/>
    <w:rsid w:val="00860E92"/>
    <w:rsid w:val="00863564"/>
    <w:rsid w:val="00863772"/>
    <w:rsid w:val="00863C22"/>
    <w:rsid w:val="00864E28"/>
    <w:rsid w:val="00864EF8"/>
    <w:rsid w:val="00865514"/>
    <w:rsid w:val="00866E7D"/>
    <w:rsid w:val="00867CDA"/>
    <w:rsid w:val="00867DF4"/>
    <w:rsid w:val="00870038"/>
    <w:rsid w:val="008701EA"/>
    <w:rsid w:val="008703B9"/>
    <w:rsid w:val="00870E2F"/>
    <w:rsid w:val="00871101"/>
    <w:rsid w:val="008715D9"/>
    <w:rsid w:val="00871AFF"/>
    <w:rsid w:val="008721D6"/>
    <w:rsid w:val="008724FD"/>
    <w:rsid w:val="0087284A"/>
    <w:rsid w:val="0087468C"/>
    <w:rsid w:val="00875B42"/>
    <w:rsid w:val="00876871"/>
    <w:rsid w:val="00880010"/>
    <w:rsid w:val="00881393"/>
    <w:rsid w:val="00881AE2"/>
    <w:rsid w:val="00881C70"/>
    <w:rsid w:val="008823B8"/>
    <w:rsid w:val="008827B4"/>
    <w:rsid w:val="008831FF"/>
    <w:rsid w:val="00883482"/>
    <w:rsid w:val="00884A59"/>
    <w:rsid w:val="008855DE"/>
    <w:rsid w:val="00886ED9"/>
    <w:rsid w:val="00887026"/>
    <w:rsid w:val="0088757E"/>
    <w:rsid w:val="00887C2B"/>
    <w:rsid w:val="00890252"/>
    <w:rsid w:val="008903A6"/>
    <w:rsid w:val="00890B0A"/>
    <w:rsid w:val="00890B4E"/>
    <w:rsid w:val="00890D26"/>
    <w:rsid w:val="00892153"/>
    <w:rsid w:val="00892C3A"/>
    <w:rsid w:val="00893E4B"/>
    <w:rsid w:val="008940FA"/>
    <w:rsid w:val="008955DE"/>
    <w:rsid w:val="00895DFC"/>
    <w:rsid w:val="008974F4"/>
    <w:rsid w:val="00897A58"/>
    <w:rsid w:val="008A06B4"/>
    <w:rsid w:val="008A0BA0"/>
    <w:rsid w:val="008A0CE2"/>
    <w:rsid w:val="008A14F9"/>
    <w:rsid w:val="008A1DAA"/>
    <w:rsid w:val="008A4232"/>
    <w:rsid w:val="008A5510"/>
    <w:rsid w:val="008A55AC"/>
    <w:rsid w:val="008A55C3"/>
    <w:rsid w:val="008A5B2D"/>
    <w:rsid w:val="008B164C"/>
    <w:rsid w:val="008B1865"/>
    <w:rsid w:val="008B2937"/>
    <w:rsid w:val="008B2F5B"/>
    <w:rsid w:val="008B3933"/>
    <w:rsid w:val="008B4109"/>
    <w:rsid w:val="008B5EA9"/>
    <w:rsid w:val="008B607B"/>
    <w:rsid w:val="008B6F6F"/>
    <w:rsid w:val="008B72C6"/>
    <w:rsid w:val="008B7833"/>
    <w:rsid w:val="008B78AA"/>
    <w:rsid w:val="008B7CA0"/>
    <w:rsid w:val="008C0417"/>
    <w:rsid w:val="008C0697"/>
    <w:rsid w:val="008C1969"/>
    <w:rsid w:val="008C27FD"/>
    <w:rsid w:val="008C295A"/>
    <w:rsid w:val="008C3276"/>
    <w:rsid w:val="008C3721"/>
    <w:rsid w:val="008C6950"/>
    <w:rsid w:val="008C7485"/>
    <w:rsid w:val="008C7F74"/>
    <w:rsid w:val="008D003E"/>
    <w:rsid w:val="008D1090"/>
    <w:rsid w:val="008D1AC2"/>
    <w:rsid w:val="008D26F4"/>
    <w:rsid w:val="008D31DA"/>
    <w:rsid w:val="008D4606"/>
    <w:rsid w:val="008D4A76"/>
    <w:rsid w:val="008D4E73"/>
    <w:rsid w:val="008D506A"/>
    <w:rsid w:val="008D5601"/>
    <w:rsid w:val="008D57D8"/>
    <w:rsid w:val="008D5F8C"/>
    <w:rsid w:val="008D662C"/>
    <w:rsid w:val="008D6634"/>
    <w:rsid w:val="008D6A2D"/>
    <w:rsid w:val="008D6B67"/>
    <w:rsid w:val="008D735F"/>
    <w:rsid w:val="008D79D8"/>
    <w:rsid w:val="008E0550"/>
    <w:rsid w:val="008E10A9"/>
    <w:rsid w:val="008E10D4"/>
    <w:rsid w:val="008E1288"/>
    <w:rsid w:val="008E1C93"/>
    <w:rsid w:val="008E295F"/>
    <w:rsid w:val="008E308C"/>
    <w:rsid w:val="008E32CD"/>
    <w:rsid w:val="008E3694"/>
    <w:rsid w:val="008E37BE"/>
    <w:rsid w:val="008E3F44"/>
    <w:rsid w:val="008E632E"/>
    <w:rsid w:val="008E6669"/>
    <w:rsid w:val="008E7085"/>
    <w:rsid w:val="008E757E"/>
    <w:rsid w:val="008E7DB5"/>
    <w:rsid w:val="008F0074"/>
    <w:rsid w:val="008F11A0"/>
    <w:rsid w:val="008F326D"/>
    <w:rsid w:val="008F38FA"/>
    <w:rsid w:val="008F40DC"/>
    <w:rsid w:val="008F4334"/>
    <w:rsid w:val="008F5DF2"/>
    <w:rsid w:val="008F6978"/>
    <w:rsid w:val="008F7634"/>
    <w:rsid w:val="00900239"/>
    <w:rsid w:val="00901472"/>
    <w:rsid w:val="0090318B"/>
    <w:rsid w:val="00903466"/>
    <w:rsid w:val="00903609"/>
    <w:rsid w:val="0090361F"/>
    <w:rsid w:val="009036BE"/>
    <w:rsid w:val="00904D8C"/>
    <w:rsid w:val="00905026"/>
    <w:rsid w:val="00905B52"/>
    <w:rsid w:val="00905FD1"/>
    <w:rsid w:val="00905FF8"/>
    <w:rsid w:val="009068B2"/>
    <w:rsid w:val="0090697F"/>
    <w:rsid w:val="00906FAD"/>
    <w:rsid w:val="00912211"/>
    <w:rsid w:val="009126ED"/>
    <w:rsid w:val="0091290B"/>
    <w:rsid w:val="009140CE"/>
    <w:rsid w:val="00916378"/>
    <w:rsid w:val="0091689B"/>
    <w:rsid w:val="0091787A"/>
    <w:rsid w:val="00920A1B"/>
    <w:rsid w:val="00920ED4"/>
    <w:rsid w:val="00920FF3"/>
    <w:rsid w:val="00921A72"/>
    <w:rsid w:val="00922A16"/>
    <w:rsid w:val="00923691"/>
    <w:rsid w:val="00923D88"/>
    <w:rsid w:val="00923E7C"/>
    <w:rsid w:val="009254D2"/>
    <w:rsid w:val="00925F9D"/>
    <w:rsid w:val="00926A22"/>
    <w:rsid w:val="00927A7F"/>
    <w:rsid w:val="00927DEB"/>
    <w:rsid w:val="0093090D"/>
    <w:rsid w:val="009311E1"/>
    <w:rsid w:val="0093183D"/>
    <w:rsid w:val="00931CC2"/>
    <w:rsid w:val="0093212D"/>
    <w:rsid w:val="0093226B"/>
    <w:rsid w:val="00934224"/>
    <w:rsid w:val="0093453B"/>
    <w:rsid w:val="00934935"/>
    <w:rsid w:val="00934FE3"/>
    <w:rsid w:val="00935F6E"/>
    <w:rsid w:val="00936A48"/>
    <w:rsid w:val="00936A91"/>
    <w:rsid w:val="009376BB"/>
    <w:rsid w:val="00940B1F"/>
    <w:rsid w:val="009412B5"/>
    <w:rsid w:val="00941608"/>
    <w:rsid w:val="00942364"/>
    <w:rsid w:val="00942DD8"/>
    <w:rsid w:val="00942FB6"/>
    <w:rsid w:val="00944CC9"/>
    <w:rsid w:val="00944CDF"/>
    <w:rsid w:val="00944DC0"/>
    <w:rsid w:val="00945250"/>
    <w:rsid w:val="00946AAA"/>
    <w:rsid w:val="009500BC"/>
    <w:rsid w:val="0095018D"/>
    <w:rsid w:val="009506A1"/>
    <w:rsid w:val="00950798"/>
    <w:rsid w:val="009511FA"/>
    <w:rsid w:val="00952138"/>
    <w:rsid w:val="00952986"/>
    <w:rsid w:val="00953A02"/>
    <w:rsid w:val="0095403C"/>
    <w:rsid w:val="00954201"/>
    <w:rsid w:val="009550D8"/>
    <w:rsid w:val="009551FE"/>
    <w:rsid w:val="00955352"/>
    <w:rsid w:val="00955EB2"/>
    <w:rsid w:val="0095641D"/>
    <w:rsid w:val="0095771F"/>
    <w:rsid w:val="00960100"/>
    <w:rsid w:val="00960669"/>
    <w:rsid w:val="009612BE"/>
    <w:rsid w:val="00962EBE"/>
    <w:rsid w:val="00963176"/>
    <w:rsid w:val="00963967"/>
    <w:rsid w:val="009639C4"/>
    <w:rsid w:val="00963B02"/>
    <w:rsid w:val="00964E0E"/>
    <w:rsid w:val="00964F77"/>
    <w:rsid w:val="00966F4C"/>
    <w:rsid w:val="0096748A"/>
    <w:rsid w:val="00967C78"/>
    <w:rsid w:val="0097108E"/>
    <w:rsid w:val="0097165E"/>
    <w:rsid w:val="00971758"/>
    <w:rsid w:val="0097266A"/>
    <w:rsid w:val="009729CF"/>
    <w:rsid w:val="00973104"/>
    <w:rsid w:val="009734B5"/>
    <w:rsid w:val="00973520"/>
    <w:rsid w:val="009744A7"/>
    <w:rsid w:val="00980779"/>
    <w:rsid w:val="00980BE4"/>
    <w:rsid w:val="00982881"/>
    <w:rsid w:val="00982A2D"/>
    <w:rsid w:val="00982C2B"/>
    <w:rsid w:val="0098351B"/>
    <w:rsid w:val="00984A42"/>
    <w:rsid w:val="009860A7"/>
    <w:rsid w:val="0098644D"/>
    <w:rsid w:val="00986F0A"/>
    <w:rsid w:val="009879E9"/>
    <w:rsid w:val="00987D42"/>
    <w:rsid w:val="009903C3"/>
    <w:rsid w:val="0099084A"/>
    <w:rsid w:val="0099134C"/>
    <w:rsid w:val="009925B2"/>
    <w:rsid w:val="0099262A"/>
    <w:rsid w:val="0099350F"/>
    <w:rsid w:val="00993D08"/>
    <w:rsid w:val="00994B69"/>
    <w:rsid w:val="00994BF8"/>
    <w:rsid w:val="009950D7"/>
    <w:rsid w:val="00995250"/>
    <w:rsid w:val="00995770"/>
    <w:rsid w:val="00997641"/>
    <w:rsid w:val="0099766C"/>
    <w:rsid w:val="009A115B"/>
    <w:rsid w:val="009A122A"/>
    <w:rsid w:val="009A1A69"/>
    <w:rsid w:val="009A28FB"/>
    <w:rsid w:val="009A4053"/>
    <w:rsid w:val="009A4076"/>
    <w:rsid w:val="009A411D"/>
    <w:rsid w:val="009A4AE4"/>
    <w:rsid w:val="009A4BF8"/>
    <w:rsid w:val="009B145E"/>
    <w:rsid w:val="009B1B8F"/>
    <w:rsid w:val="009B2095"/>
    <w:rsid w:val="009B239D"/>
    <w:rsid w:val="009B2651"/>
    <w:rsid w:val="009B26B4"/>
    <w:rsid w:val="009B3626"/>
    <w:rsid w:val="009B3738"/>
    <w:rsid w:val="009B4E1F"/>
    <w:rsid w:val="009B508F"/>
    <w:rsid w:val="009B51E9"/>
    <w:rsid w:val="009B6200"/>
    <w:rsid w:val="009B65D4"/>
    <w:rsid w:val="009B6C9E"/>
    <w:rsid w:val="009B713E"/>
    <w:rsid w:val="009B7FF7"/>
    <w:rsid w:val="009C0211"/>
    <w:rsid w:val="009C0387"/>
    <w:rsid w:val="009C1412"/>
    <w:rsid w:val="009C1BC5"/>
    <w:rsid w:val="009C21ED"/>
    <w:rsid w:val="009C2659"/>
    <w:rsid w:val="009C33A5"/>
    <w:rsid w:val="009C49B1"/>
    <w:rsid w:val="009C4C88"/>
    <w:rsid w:val="009C602A"/>
    <w:rsid w:val="009C61DE"/>
    <w:rsid w:val="009C6403"/>
    <w:rsid w:val="009C6960"/>
    <w:rsid w:val="009C70A0"/>
    <w:rsid w:val="009C7208"/>
    <w:rsid w:val="009D012B"/>
    <w:rsid w:val="009D10D2"/>
    <w:rsid w:val="009D1379"/>
    <w:rsid w:val="009D14F3"/>
    <w:rsid w:val="009D16D8"/>
    <w:rsid w:val="009D25DC"/>
    <w:rsid w:val="009D2AB7"/>
    <w:rsid w:val="009D4C8F"/>
    <w:rsid w:val="009D4D09"/>
    <w:rsid w:val="009D4D14"/>
    <w:rsid w:val="009D5C22"/>
    <w:rsid w:val="009D5D0C"/>
    <w:rsid w:val="009D647F"/>
    <w:rsid w:val="009D673D"/>
    <w:rsid w:val="009D6B8D"/>
    <w:rsid w:val="009D771A"/>
    <w:rsid w:val="009E04A2"/>
    <w:rsid w:val="009E0E63"/>
    <w:rsid w:val="009E1689"/>
    <w:rsid w:val="009E24FC"/>
    <w:rsid w:val="009E2B77"/>
    <w:rsid w:val="009E2BC6"/>
    <w:rsid w:val="009E3576"/>
    <w:rsid w:val="009E3D3D"/>
    <w:rsid w:val="009E40FE"/>
    <w:rsid w:val="009E50F7"/>
    <w:rsid w:val="009E557B"/>
    <w:rsid w:val="009E6CE0"/>
    <w:rsid w:val="009E7068"/>
    <w:rsid w:val="009F1587"/>
    <w:rsid w:val="009F2E7C"/>
    <w:rsid w:val="009F51B9"/>
    <w:rsid w:val="009F5CC5"/>
    <w:rsid w:val="00A00967"/>
    <w:rsid w:val="00A00BD5"/>
    <w:rsid w:val="00A00D64"/>
    <w:rsid w:val="00A01AF1"/>
    <w:rsid w:val="00A01E7E"/>
    <w:rsid w:val="00A02336"/>
    <w:rsid w:val="00A028BC"/>
    <w:rsid w:val="00A02ED5"/>
    <w:rsid w:val="00A040EE"/>
    <w:rsid w:val="00A042EF"/>
    <w:rsid w:val="00A04417"/>
    <w:rsid w:val="00A04902"/>
    <w:rsid w:val="00A04DC6"/>
    <w:rsid w:val="00A0512A"/>
    <w:rsid w:val="00A06389"/>
    <w:rsid w:val="00A10358"/>
    <w:rsid w:val="00A1052A"/>
    <w:rsid w:val="00A10DEE"/>
    <w:rsid w:val="00A10E4A"/>
    <w:rsid w:val="00A10E8F"/>
    <w:rsid w:val="00A12938"/>
    <w:rsid w:val="00A12AAC"/>
    <w:rsid w:val="00A12AE7"/>
    <w:rsid w:val="00A12E02"/>
    <w:rsid w:val="00A12E25"/>
    <w:rsid w:val="00A133B5"/>
    <w:rsid w:val="00A14148"/>
    <w:rsid w:val="00A147E2"/>
    <w:rsid w:val="00A14B42"/>
    <w:rsid w:val="00A1699C"/>
    <w:rsid w:val="00A16A4F"/>
    <w:rsid w:val="00A17962"/>
    <w:rsid w:val="00A17C61"/>
    <w:rsid w:val="00A2053D"/>
    <w:rsid w:val="00A2125A"/>
    <w:rsid w:val="00A2229E"/>
    <w:rsid w:val="00A22424"/>
    <w:rsid w:val="00A226A1"/>
    <w:rsid w:val="00A22A0E"/>
    <w:rsid w:val="00A24623"/>
    <w:rsid w:val="00A2508D"/>
    <w:rsid w:val="00A26D85"/>
    <w:rsid w:val="00A27350"/>
    <w:rsid w:val="00A27680"/>
    <w:rsid w:val="00A30FAB"/>
    <w:rsid w:val="00A315CE"/>
    <w:rsid w:val="00A3263C"/>
    <w:rsid w:val="00A34925"/>
    <w:rsid w:val="00A34AC2"/>
    <w:rsid w:val="00A35264"/>
    <w:rsid w:val="00A352A9"/>
    <w:rsid w:val="00A356DA"/>
    <w:rsid w:val="00A36354"/>
    <w:rsid w:val="00A363D6"/>
    <w:rsid w:val="00A37775"/>
    <w:rsid w:val="00A40080"/>
    <w:rsid w:val="00A40FD4"/>
    <w:rsid w:val="00A4129D"/>
    <w:rsid w:val="00A414A4"/>
    <w:rsid w:val="00A414AA"/>
    <w:rsid w:val="00A42A6D"/>
    <w:rsid w:val="00A451A9"/>
    <w:rsid w:val="00A45462"/>
    <w:rsid w:val="00A45514"/>
    <w:rsid w:val="00A45DDA"/>
    <w:rsid w:val="00A468BE"/>
    <w:rsid w:val="00A468E2"/>
    <w:rsid w:val="00A51042"/>
    <w:rsid w:val="00A51E00"/>
    <w:rsid w:val="00A5461E"/>
    <w:rsid w:val="00A55014"/>
    <w:rsid w:val="00A56485"/>
    <w:rsid w:val="00A564B0"/>
    <w:rsid w:val="00A56FB2"/>
    <w:rsid w:val="00A57DBE"/>
    <w:rsid w:val="00A57E48"/>
    <w:rsid w:val="00A61C82"/>
    <w:rsid w:val="00A62217"/>
    <w:rsid w:val="00A6355A"/>
    <w:rsid w:val="00A64E9C"/>
    <w:rsid w:val="00A65276"/>
    <w:rsid w:val="00A65741"/>
    <w:rsid w:val="00A66053"/>
    <w:rsid w:val="00A66101"/>
    <w:rsid w:val="00A66382"/>
    <w:rsid w:val="00A667B9"/>
    <w:rsid w:val="00A668F7"/>
    <w:rsid w:val="00A66F8C"/>
    <w:rsid w:val="00A67249"/>
    <w:rsid w:val="00A70263"/>
    <w:rsid w:val="00A702FA"/>
    <w:rsid w:val="00A70822"/>
    <w:rsid w:val="00A70827"/>
    <w:rsid w:val="00A71426"/>
    <w:rsid w:val="00A71518"/>
    <w:rsid w:val="00A72A33"/>
    <w:rsid w:val="00A74BEE"/>
    <w:rsid w:val="00A75CFE"/>
    <w:rsid w:val="00A75E6A"/>
    <w:rsid w:val="00A76D1D"/>
    <w:rsid w:val="00A77635"/>
    <w:rsid w:val="00A77EA4"/>
    <w:rsid w:val="00A803A7"/>
    <w:rsid w:val="00A80FB1"/>
    <w:rsid w:val="00A80FC3"/>
    <w:rsid w:val="00A823AA"/>
    <w:rsid w:val="00A8318F"/>
    <w:rsid w:val="00A834C7"/>
    <w:rsid w:val="00A83683"/>
    <w:rsid w:val="00A83706"/>
    <w:rsid w:val="00A84007"/>
    <w:rsid w:val="00A86319"/>
    <w:rsid w:val="00A878A5"/>
    <w:rsid w:val="00A87BC6"/>
    <w:rsid w:val="00A90D70"/>
    <w:rsid w:val="00A920D6"/>
    <w:rsid w:val="00A92472"/>
    <w:rsid w:val="00A9285D"/>
    <w:rsid w:val="00A92D3C"/>
    <w:rsid w:val="00A937F7"/>
    <w:rsid w:val="00A94228"/>
    <w:rsid w:val="00A9458E"/>
    <w:rsid w:val="00A94BE0"/>
    <w:rsid w:val="00A94F7D"/>
    <w:rsid w:val="00A9554D"/>
    <w:rsid w:val="00A95C25"/>
    <w:rsid w:val="00A96655"/>
    <w:rsid w:val="00A966C5"/>
    <w:rsid w:val="00AA1940"/>
    <w:rsid w:val="00AA1988"/>
    <w:rsid w:val="00AA24E0"/>
    <w:rsid w:val="00AA3695"/>
    <w:rsid w:val="00AA39F8"/>
    <w:rsid w:val="00AA42DF"/>
    <w:rsid w:val="00AA4818"/>
    <w:rsid w:val="00AA5DA3"/>
    <w:rsid w:val="00AA72FE"/>
    <w:rsid w:val="00AA7DAB"/>
    <w:rsid w:val="00AB1005"/>
    <w:rsid w:val="00AB17C0"/>
    <w:rsid w:val="00AB1804"/>
    <w:rsid w:val="00AB45A3"/>
    <w:rsid w:val="00AB4D03"/>
    <w:rsid w:val="00AB5307"/>
    <w:rsid w:val="00AB690E"/>
    <w:rsid w:val="00AB6C4F"/>
    <w:rsid w:val="00AB799A"/>
    <w:rsid w:val="00AB7A9E"/>
    <w:rsid w:val="00AC1AD9"/>
    <w:rsid w:val="00AC1E27"/>
    <w:rsid w:val="00AC3E21"/>
    <w:rsid w:val="00AC3ED4"/>
    <w:rsid w:val="00AC4BD7"/>
    <w:rsid w:val="00AC51E8"/>
    <w:rsid w:val="00AC6428"/>
    <w:rsid w:val="00AC6CAC"/>
    <w:rsid w:val="00AC6D87"/>
    <w:rsid w:val="00AD0608"/>
    <w:rsid w:val="00AD0DD4"/>
    <w:rsid w:val="00AD17CF"/>
    <w:rsid w:val="00AD20C7"/>
    <w:rsid w:val="00AD311B"/>
    <w:rsid w:val="00AD4BE1"/>
    <w:rsid w:val="00AD4FBE"/>
    <w:rsid w:val="00AD54B8"/>
    <w:rsid w:val="00AD63B0"/>
    <w:rsid w:val="00AD74FC"/>
    <w:rsid w:val="00AD7666"/>
    <w:rsid w:val="00AD7F1D"/>
    <w:rsid w:val="00AD7FF3"/>
    <w:rsid w:val="00AE04ED"/>
    <w:rsid w:val="00AE12B2"/>
    <w:rsid w:val="00AE18CD"/>
    <w:rsid w:val="00AE2E8D"/>
    <w:rsid w:val="00AE325B"/>
    <w:rsid w:val="00AE3425"/>
    <w:rsid w:val="00AE459A"/>
    <w:rsid w:val="00AE4745"/>
    <w:rsid w:val="00AE4FE6"/>
    <w:rsid w:val="00AE55DE"/>
    <w:rsid w:val="00AE5862"/>
    <w:rsid w:val="00AE68F3"/>
    <w:rsid w:val="00AE7393"/>
    <w:rsid w:val="00AF0708"/>
    <w:rsid w:val="00AF1CB8"/>
    <w:rsid w:val="00AF24B3"/>
    <w:rsid w:val="00AF4FC8"/>
    <w:rsid w:val="00AF530D"/>
    <w:rsid w:val="00AF55B5"/>
    <w:rsid w:val="00AF593D"/>
    <w:rsid w:val="00AF6688"/>
    <w:rsid w:val="00AF6B69"/>
    <w:rsid w:val="00AF6F74"/>
    <w:rsid w:val="00AF72A6"/>
    <w:rsid w:val="00B01B2C"/>
    <w:rsid w:val="00B023C1"/>
    <w:rsid w:val="00B025EB"/>
    <w:rsid w:val="00B028CC"/>
    <w:rsid w:val="00B0327F"/>
    <w:rsid w:val="00B0460D"/>
    <w:rsid w:val="00B04630"/>
    <w:rsid w:val="00B0517C"/>
    <w:rsid w:val="00B05884"/>
    <w:rsid w:val="00B106D4"/>
    <w:rsid w:val="00B1099D"/>
    <w:rsid w:val="00B116A4"/>
    <w:rsid w:val="00B1228C"/>
    <w:rsid w:val="00B126DB"/>
    <w:rsid w:val="00B12742"/>
    <w:rsid w:val="00B16735"/>
    <w:rsid w:val="00B16B17"/>
    <w:rsid w:val="00B20030"/>
    <w:rsid w:val="00B20F9E"/>
    <w:rsid w:val="00B2270F"/>
    <w:rsid w:val="00B22F40"/>
    <w:rsid w:val="00B254EB"/>
    <w:rsid w:val="00B25977"/>
    <w:rsid w:val="00B25F5C"/>
    <w:rsid w:val="00B263FE"/>
    <w:rsid w:val="00B2693D"/>
    <w:rsid w:val="00B26C2C"/>
    <w:rsid w:val="00B27691"/>
    <w:rsid w:val="00B27AF1"/>
    <w:rsid w:val="00B306FA"/>
    <w:rsid w:val="00B30729"/>
    <w:rsid w:val="00B311A2"/>
    <w:rsid w:val="00B3128D"/>
    <w:rsid w:val="00B313F3"/>
    <w:rsid w:val="00B32010"/>
    <w:rsid w:val="00B33169"/>
    <w:rsid w:val="00B33666"/>
    <w:rsid w:val="00B34E1E"/>
    <w:rsid w:val="00B35B1D"/>
    <w:rsid w:val="00B36F3A"/>
    <w:rsid w:val="00B37164"/>
    <w:rsid w:val="00B3748A"/>
    <w:rsid w:val="00B37758"/>
    <w:rsid w:val="00B37F42"/>
    <w:rsid w:val="00B4011C"/>
    <w:rsid w:val="00B419D8"/>
    <w:rsid w:val="00B41DFD"/>
    <w:rsid w:val="00B41F0B"/>
    <w:rsid w:val="00B4226C"/>
    <w:rsid w:val="00B42764"/>
    <w:rsid w:val="00B42F97"/>
    <w:rsid w:val="00B43442"/>
    <w:rsid w:val="00B443DF"/>
    <w:rsid w:val="00B44488"/>
    <w:rsid w:val="00B448E8"/>
    <w:rsid w:val="00B44E08"/>
    <w:rsid w:val="00B45105"/>
    <w:rsid w:val="00B457BE"/>
    <w:rsid w:val="00B46032"/>
    <w:rsid w:val="00B473EC"/>
    <w:rsid w:val="00B474A8"/>
    <w:rsid w:val="00B476F7"/>
    <w:rsid w:val="00B47D2A"/>
    <w:rsid w:val="00B47EAF"/>
    <w:rsid w:val="00B504BE"/>
    <w:rsid w:val="00B52528"/>
    <w:rsid w:val="00B53E88"/>
    <w:rsid w:val="00B55965"/>
    <w:rsid w:val="00B5689D"/>
    <w:rsid w:val="00B56A4E"/>
    <w:rsid w:val="00B56AFA"/>
    <w:rsid w:val="00B619D3"/>
    <w:rsid w:val="00B61DC8"/>
    <w:rsid w:val="00B61F0A"/>
    <w:rsid w:val="00B622F0"/>
    <w:rsid w:val="00B64B9E"/>
    <w:rsid w:val="00B6505D"/>
    <w:rsid w:val="00B650FD"/>
    <w:rsid w:val="00B651CD"/>
    <w:rsid w:val="00B6659C"/>
    <w:rsid w:val="00B66641"/>
    <w:rsid w:val="00B67ACA"/>
    <w:rsid w:val="00B707B1"/>
    <w:rsid w:val="00B7184E"/>
    <w:rsid w:val="00B72328"/>
    <w:rsid w:val="00B72488"/>
    <w:rsid w:val="00B73099"/>
    <w:rsid w:val="00B73C61"/>
    <w:rsid w:val="00B75205"/>
    <w:rsid w:val="00B752BF"/>
    <w:rsid w:val="00B75CDB"/>
    <w:rsid w:val="00B75D5D"/>
    <w:rsid w:val="00B75E49"/>
    <w:rsid w:val="00B76A6D"/>
    <w:rsid w:val="00B77563"/>
    <w:rsid w:val="00B779FC"/>
    <w:rsid w:val="00B80B6C"/>
    <w:rsid w:val="00B80CC1"/>
    <w:rsid w:val="00B80ECD"/>
    <w:rsid w:val="00B81CC1"/>
    <w:rsid w:val="00B829EF"/>
    <w:rsid w:val="00B82F9C"/>
    <w:rsid w:val="00B8410B"/>
    <w:rsid w:val="00B84C2B"/>
    <w:rsid w:val="00B84EDF"/>
    <w:rsid w:val="00B85F91"/>
    <w:rsid w:val="00B86111"/>
    <w:rsid w:val="00B91D61"/>
    <w:rsid w:val="00B91DA3"/>
    <w:rsid w:val="00B924CF"/>
    <w:rsid w:val="00B92B7F"/>
    <w:rsid w:val="00B946B4"/>
    <w:rsid w:val="00B948B6"/>
    <w:rsid w:val="00B954EE"/>
    <w:rsid w:val="00B9602C"/>
    <w:rsid w:val="00B96A27"/>
    <w:rsid w:val="00B9778D"/>
    <w:rsid w:val="00BA06B2"/>
    <w:rsid w:val="00BA094F"/>
    <w:rsid w:val="00BA0D2C"/>
    <w:rsid w:val="00BA1718"/>
    <w:rsid w:val="00BA3F51"/>
    <w:rsid w:val="00BA4417"/>
    <w:rsid w:val="00BA4A16"/>
    <w:rsid w:val="00BA53B7"/>
    <w:rsid w:val="00BA649B"/>
    <w:rsid w:val="00BA6581"/>
    <w:rsid w:val="00BB075C"/>
    <w:rsid w:val="00BB1A7A"/>
    <w:rsid w:val="00BB27DC"/>
    <w:rsid w:val="00BB40A9"/>
    <w:rsid w:val="00BB42BD"/>
    <w:rsid w:val="00BB4FB3"/>
    <w:rsid w:val="00BB505E"/>
    <w:rsid w:val="00BB5216"/>
    <w:rsid w:val="00BB584F"/>
    <w:rsid w:val="00BB6649"/>
    <w:rsid w:val="00BB68F9"/>
    <w:rsid w:val="00BC05D1"/>
    <w:rsid w:val="00BC06DA"/>
    <w:rsid w:val="00BC1032"/>
    <w:rsid w:val="00BC17F2"/>
    <w:rsid w:val="00BC2092"/>
    <w:rsid w:val="00BC398D"/>
    <w:rsid w:val="00BC3EBA"/>
    <w:rsid w:val="00BC4E84"/>
    <w:rsid w:val="00BC51FB"/>
    <w:rsid w:val="00BC5268"/>
    <w:rsid w:val="00BC65AF"/>
    <w:rsid w:val="00BC6622"/>
    <w:rsid w:val="00BC67CA"/>
    <w:rsid w:val="00BC6FFA"/>
    <w:rsid w:val="00BD0213"/>
    <w:rsid w:val="00BD078D"/>
    <w:rsid w:val="00BD12CA"/>
    <w:rsid w:val="00BD1348"/>
    <w:rsid w:val="00BD1A18"/>
    <w:rsid w:val="00BD1C2C"/>
    <w:rsid w:val="00BD1EB7"/>
    <w:rsid w:val="00BD2992"/>
    <w:rsid w:val="00BD3EAB"/>
    <w:rsid w:val="00BD414B"/>
    <w:rsid w:val="00BD43EB"/>
    <w:rsid w:val="00BD5996"/>
    <w:rsid w:val="00BD5B87"/>
    <w:rsid w:val="00BD6653"/>
    <w:rsid w:val="00BD67F7"/>
    <w:rsid w:val="00BD6FDC"/>
    <w:rsid w:val="00BD7587"/>
    <w:rsid w:val="00BE0666"/>
    <w:rsid w:val="00BE08D4"/>
    <w:rsid w:val="00BE1143"/>
    <w:rsid w:val="00BE1EDB"/>
    <w:rsid w:val="00BE4743"/>
    <w:rsid w:val="00BE4B5C"/>
    <w:rsid w:val="00BE535F"/>
    <w:rsid w:val="00BE642A"/>
    <w:rsid w:val="00BF05A0"/>
    <w:rsid w:val="00BF1AED"/>
    <w:rsid w:val="00BF1D37"/>
    <w:rsid w:val="00BF1E3C"/>
    <w:rsid w:val="00BF23E8"/>
    <w:rsid w:val="00BF2663"/>
    <w:rsid w:val="00BF29CD"/>
    <w:rsid w:val="00BF32A5"/>
    <w:rsid w:val="00BF358A"/>
    <w:rsid w:val="00BF39E5"/>
    <w:rsid w:val="00BF4B5D"/>
    <w:rsid w:val="00BF4E0C"/>
    <w:rsid w:val="00BF4E73"/>
    <w:rsid w:val="00BF5394"/>
    <w:rsid w:val="00BF6E7C"/>
    <w:rsid w:val="00BF6EDB"/>
    <w:rsid w:val="00BF7805"/>
    <w:rsid w:val="00C000FE"/>
    <w:rsid w:val="00C00503"/>
    <w:rsid w:val="00C01724"/>
    <w:rsid w:val="00C01D2B"/>
    <w:rsid w:val="00C031A2"/>
    <w:rsid w:val="00C03DB5"/>
    <w:rsid w:val="00C047A9"/>
    <w:rsid w:val="00C0493B"/>
    <w:rsid w:val="00C051BC"/>
    <w:rsid w:val="00C05B52"/>
    <w:rsid w:val="00C06263"/>
    <w:rsid w:val="00C06FF4"/>
    <w:rsid w:val="00C0732E"/>
    <w:rsid w:val="00C079DE"/>
    <w:rsid w:val="00C113D3"/>
    <w:rsid w:val="00C115D8"/>
    <w:rsid w:val="00C1221F"/>
    <w:rsid w:val="00C1246D"/>
    <w:rsid w:val="00C14F0D"/>
    <w:rsid w:val="00C1586E"/>
    <w:rsid w:val="00C15F64"/>
    <w:rsid w:val="00C1630A"/>
    <w:rsid w:val="00C16A85"/>
    <w:rsid w:val="00C175B3"/>
    <w:rsid w:val="00C17841"/>
    <w:rsid w:val="00C20123"/>
    <w:rsid w:val="00C201F1"/>
    <w:rsid w:val="00C20D41"/>
    <w:rsid w:val="00C223D7"/>
    <w:rsid w:val="00C22FD3"/>
    <w:rsid w:val="00C23081"/>
    <w:rsid w:val="00C253D3"/>
    <w:rsid w:val="00C25548"/>
    <w:rsid w:val="00C25AC4"/>
    <w:rsid w:val="00C2638E"/>
    <w:rsid w:val="00C26909"/>
    <w:rsid w:val="00C26C97"/>
    <w:rsid w:val="00C26F1C"/>
    <w:rsid w:val="00C27307"/>
    <w:rsid w:val="00C27FD8"/>
    <w:rsid w:val="00C304EE"/>
    <w:rsid w:val="00C31FBF"/>
    <w:rsid w:val="00C32D63"/>
    <w:rsid w:val="00C32F70"/>
    <w:rsid w:val="00C334B2"/>
    <w:rsid w:val="00C33BBC"/>
    <w:rsid w:val="00C35465"/>
    <w:rsid w:val="00C35938"/>
    <w:rsid w:val="00C36095"/>
    <w:rsid w:val="00C369A2"/>
    <w:rsid w:val="00C36D0E"/>
    <w:rsid w:val="00C40870"/>
    <w:rsid w:val="00C4090F"/>
    <w:rsid w:val="00C416FC"/>
    <w:rsid w:val="00C41A55"/>
    <w:rsid w:val="00C4212A"/>
    <w:rsid w:val="00C42222"/>
    <w:rsid w:val="00C426B3"/>
    <w:rsid w:val="00C4362C"/>
    <w:rsid w:val="00C442B8"/>
    <w:rsid w:val="00C4571B"/>
    <w:rsid w:val="00C459D0"/>
    <w:rsid w:val="00C46558"/>
    <w:rsid w:val="00C474C7"/>
    <w:rsid w:val="00C47D47"/>
    <w:rsid w:val="00C51D5B"/>
    <w:rsid w:val="00C51E89"/>
    <w:rsid w:val="00C51FC4"/>
    <w:rsid w:val="00C52226"/>
    <w:rsid w:val="00C52EAE"/>
    <w:rsid w:val="00C5368F"/>
    <w:rsid w:val="00C53A43"/>
    <w:rsid w:val="00C53AB3"/>
    <w:rsid w:val="00C543AF"/>
    <w:rsid w:val="00C545F8"/>
    <w:rsid w:val="00C5482F"/>
    <w:rsid w:val="00C548CF"/>
    <w:rsid w:val="00C55915"/>
    <w:rsid w:val="00C5620E"/>
    <w:rsid w:val="00C56EC0"/>
    <w:rsid w:val="00C573F9"/>
    <w:rsid w:val="00C600B8"/>
    <w:rsid w:val="00C600FF"/>
    <w:rsid w:val="00C607AA"/>
    <w:rsid w:val="00C6141E"/>
    <w:rsid w:val="00C61B51"/>
    <w:rsid w:val="00C61BE1"/>
    <w:rsid w:val="00C633A7"/>
    <w:rsid w:val="00C6532C"/>
    <w:rsid w:val="00C6624D"/>
    <w:rsid w:val="00C67312"/>
    <w:rsid w:val="00C701F3"/>
    <w:rsid w:val="00C71189"/>
    <w:rsid w:val="00C71BA7"/>
    <w:rsid w:val="00C72778"/>
    <w:rsid w:val="00C7344A"/>
    <w:rsid w:val="00C73EFF"/>
    <w:rsid w:val="00C74270"/>
    <w:rsid w:val="00C746A8"/>
    <w:rsid w:val="00C771CE"/>
    <w:rsid w:val="00C80C8B"/>
    <w:rsid w:val="00C8182B"/>
    <w:rsid w:val="00C81B2B"/>
    <w:rsid w:val="00C82AEA"/>
    <w:rsid w:val="00C82D16"/>
    <w:rsid w:val="00C8330C"/>
    <w:rsid w:val="00C850B5"/>
    <w:rsid w:val="00C85577"/>
    <w:rsid w:val="00C86A59"/>
    <w:rsid w:val="00C871BF"/>
    <w:rsid w:val="00C87A52"/>
    <w:rsid w:val="00C90246"/>
    <w:rsid w:val="00C909F3"/>
    <w:rsid w:val="00C92C92"/>
    <w:rsid w:val="00C94021"/>
    <w:rsid w:val="00C943A9"/>
    <w:rsid w:val="00C94E36"/>
    <w:rsid w:val="00C9533F"/>
    <w:rsid w:val="00C95C74"/>
    <w:rsid w:val="00C95CD4"/>
    <w:rsid w:val="00C97387"/>
    <w:rsid w:val="00C974B7"/>
    <w:rsid w:val="00C97C8E"/>
    <w:rsid w:val="00C97EED"/>
    <w:rsid w:val="00CA00CE"/>
    <w:rsid w:val="00CA246B"/>
    <w:rsid w:val="00CA255F"/>
    <w:rsid w:val="00CA39F7"/>
    <w:rsid w:val="00CA4064"/>
    <w:rsid w:val="00CA4B76"/>
    <w:rsid w:val="00CA5B4B"/>
    <w:rsid w:val="00CA6017"/>
    <w:rsid w:val="00CA660B"/>
    <w:rsid w:val="00CA6A7C"/>
    <w:rsid w:val="00CA7A95"/>
    <w:rsid w:val="00CB0E60"/>
    <w:rsid w:val="00CB1618"/>
    <w:rsid w:val="00CB1F92"/>
    <w:rsid w:val="00CB2CEE"/>
    <w:rsid w:val="00CB2FFC"/>
    <w:rsid w:val="00CB3529"/>
    <w:rsid w:val="00CB382F"/>
    <w:rsid w:val="00CB4153"/>
    <w:rsid w:val="00CB4D83"/>
    <w:rsid w:val="00CB502A"/>
    <w:rsid w:val="00CB70FA"/>
    <w:rsid w:val="00CB766D"/>
    <w:rsid w:val="00CB7F9C"/>
    <w:rsid w:val="00CC01D3"/>
    <w:rsid w:val="00CC0903"/>
    <w:rsid w:val="00CC13C9"/>
    <w:rsid w:val="00CC232C"/>
    <w:rsid w:val="00CC2494"/>
    <w:rsid w:val="00CC2FC5"/>
    <w:rsid w:val="00CC2FC9"/>
    <w:rsid w:val="00CC3FAA"/>
    <w:rsid w:val="00CC4D02"/>
    <w:rsid w:val="00CC56F6"/>
    <w:rsid w:val="00CC6046"/>
    <w:rsid w:val="00CC7084"/>
    <w:rsid w:val="00CC79C7"/>
    <w:rsid w:val="00CD0B85"/>
    <w:rsid w:val="00CD0FB0"/>
    <w:rsid w:val="00CD112F"/>
    <w:rsid w:val="00CD12AE"/>
    <w:rsid w:val="00CD1648"/>
    <w:rsid w:val="00CD1D88"/>
    <w:rsid w:val="00CD2900"/>
    <w:rsid w:val="00CD3385"/>
    <w:rsid w:val="00CD3A30"/>
    <w:rsid w:val="00CD4D8F"/>
    <w:rsid w:val="00CD5C42"/>
    <w:rsid w:val="00CD62DC"/>
    <w:rsid w:val="00CD68DA"/>
    <w:rsid w:val="00CD7066"/>
    <w:rsid w:val="00CD77F6"/>
    <w:rsid w:val="00CE034C"/>
    <w:rsid w:val="00CE0A9E"/>
    <w:rsid w:val="00CE1440"/>
    <w:rsid w:val="00CE2022"/>
    <w:rsid w:val="00CE38AF"/>
    <w:rsid w:val="00CE4101"/>
    <w:rsid w:val="00CE4CD3"/>
    <w:rsid w:val="00CE4F88"/>
    <w:rsid w:val="00CE55A9"/>
    <w:rsid w:val="00CE5984"/>
    <w:rsid w:val="00CE5D7B"/>
    <w:rsid w:val="00CE5E1A"/>
    <w:rsid w:val="00CE6B54"/>
    <w:rsid w:val="00CE7162"/>
    <w:rsid w:val="00CE778E"/>
    <w:rsid w:val="00CE7D57"/>
    <w:rsid w:val="00CF056E"/>
    <w:rsid w:val="00CF0894"/>
    <w:rsid w:val="00CF0925"/>
    <w:rsid w:val="00CF0E3F"/>
    <w:rsid w:val="00CF12E9"/>
    <w:rsid w:val="00CF174D"/>
    <w:rsid w:val="00CF1A67"/>
    <w:rsid w:val="00CF2E2C"/>
    <w:rsid w:val="00CF4070"/>
    <w:rsid w:val="00CF4AA2"/>
    <w:rsid w:val="00CF506F"/>
    <w:rsid w:val="00CF5792"/>
    <w:rsid w:val="00CF6BD2"/>
    <w:rsid w:val="00CF6CD6"/>
    <w:rsid w:val="00CF7303"/>
    <w:rsid w:val="00D01A13"/>
    <w:rsid w:val="00D01E9D"/>
    <w:rsid w:val="00D01EA3"/>
    <w:rsid w:val="00D02FB9"/>
    <w:rsid w:val="00D048D6"/>
    <w:rsid w:val="00D05633"/>
    <w:rsid w:val="00D062AA"/>
    <w:rsid w:val="00D06D23"/>
    <w:rsid w:val="00D138D0"/>
    <w:rsid w:val="00D13EF8"/>
    <w:rsid w:val="00D162F7"/>
    <w:rsid w:val="00D167E9"/>
    <w:rsid w:val="00D2093B"/>
    <w:rsid w:val="00D2167E"/>
    <w:rsid w:val="00D21919"/>
    <w:rsid w:val="00D22F52"/>
    <w:rsid w:val="00D240AB"/>
    <w:rsid w:val="00D249BA"/>
    <w:rsid w:val="00D24CA0"/>
    <w:rsid w:val="00D252A6"/>
    <w:rsid w:val="00D253F6"/>
    <w:rsid w:val="00D25C54"/>
    <w:rsid w:val="00D2670A"/>
    <w:rsid w:val="00D2707A"/>
    <w:rsid w:val="00D27206"/>
    <w:rsid w:val="00D27279"/>
    <w:rsid w:val="00D2773D"/>
    <w:rsid w:val="00D27761"/>
    <w:rsid w:val="00D31030"/>
    <w:rsid w:val="00D32294"/>
    <w:rsid w:val="00D3336E"/>
    <w:rsid w:val="00D333BD"/>
    <w:rsid w:val="00D33A3B"/>
    <w:rsid w:val="00D33EBD"/>
    <w:rsid w:val="00D3446C"/>
    <w:rsid w:val="00D34C95"/>
    <w:rsid w:val="00D34E26"/>
    <w:rsid w:val="00D3511E"/>
    <w:rsid w:val="00D36C8E"/>
    <w:rsid w:val="00D37402"/>
    <w:rsid w:val="00D37C21"/>
    <w:rsid w:val="00D37C7B"/>
    <w:rsid w:val="00D37DEE"/>
    <w:rsid w:val="00D37FEF"/>
    <w:rsid w:val="00D415F2"/>
    <w:rsid w:val="00D419B6"/>
    <w:rsid w:val="00D43485"/>
    <w:rsid w:val="00D475F2"/>
    <w:rsid w:val="00D51786"/>
    <w:rsid w:val="00D5187E"/>
    <w:rsid w:val="00D518E4"/>
    <w:rsid w:val="00D51D32"/>
    <w:rsid w:val="00D52350"/>
    <w:rsid w:val="00D548C5"/>
    <w:rsid w:val="00D5500F"/>
    <w:rsid w:val="00D5513B"/>
    <w:rsid w:val="00D55708"/>
    <w:rsid w:val="00D55B72"/>
    <w:rsid w:val="00D5752F"/>
    <w:rsid w:val="00D57634"/>
    <w:rsid w:val="00D57760"/>
    <w:rsid w:val="00D60CA7"/>
    <w:rsid w:val="00D6178A"/>
    <w:rsid w:val="00D6183B"/>
    <w:rsid w:val="00D61891"/>
    <w:rsid w:val="00D62037"/>
    <w:rsid w:val="00D62271"/>
    <w:rsid w:val="00D62D4B"/>
    <w:rsid w:val="00D63615"/>
    <w:rsid w:val="00D6427E"/>
    <w:rsid w:val="00D64601"/>
    <w:rsid w:val="00D653EC"/>
    <w:rsid w:val="00D661DA"/>
    <w:rsid w:val="00D66C7E"/>
    <w:rsid w:val="00D7004A"/>
    <w:rsid w:val="00D71218"/>
    <w:rsid w:val="00D71FB3"/>
    <w:rsid w:val="00D721EA"/>
    <w:rsid w:val="00D72BFF"/>
    <w:rsid w:val="00D72E33"/>
    <w:rsid w:val="00D72FDB"/>
    <w:rsid w:val="00D73072"/>
    <w:rsid w:val="00D738CA"/>
    <w:rsid w:val="00D74005"/>
    <w:rsid w:val="00D7498E"/>
    <w:rsid w:val="00D75577"/>
    <w:rsid w:val="00D760A9"/>
    <w:rsid w:val="00D76165"/>
    <w:rsid w:val="00D762C6"/>
    <w:rsid w:val="00D76F71"/>
    <w:rsid w:val="00D826B4"/>
    <w:rsid w:val="00D835D9"/>
    <w:rsid w:val="00D83666"/>
    <w:rsid w:val="00D84D04"/>
    <w:rsid w:val="00D84F57"/>
    <w:rsid w:val="00D8592D"/>
    <w:rsid w:val="00D865D3"/>
    <w:rsid w:val="00D87B9F"/>
    <w:rsid w:val="00D9080C"/>
    <w:rsid w:val="00D90975"/>
    <w:rsid w:val="00D91DC9"/>
    <w:rsid w:val="00D92ED3"/>
    <w:rsid w:val="00D93384"/>
    <w:rsid w:val="00D93CCC"/>
    <w:rsid w:val="00D94DB9"/>
    <w:rsid w:val="00D95749"/>
    <w:rsid w:val="00D95AD6"/>
    <w:rsid w:val="00D95F86"/>
    <w:rsid w:val="00D96D19"/>
    <w:rsid w:val="00D97040"/>
    <w:rsid w:val="00D97DD9"/>
    <w:rsid w:val="00DA0FBB"/>
    <w:rsid w:val="00DA1269"/>
    <w:rsid w:val="00DA17E9"/>
    <w:rsid w:val="00DA1F3B"/>
    <w:rsid w:val="00DA22B4"/>
    <w:rsid w:val="00DA345B"/>
    <w:rsid w:val="00DA36F6"/>
    <w:rsid w:val="00DA3D60"/>
    <w:rsid w:val="00DA4598"/>
    <w:rsid w:val="00DA4D7B"/>
    <w:rsid w:val="00DA6039"/>
    <w:rsid w:val="00DA61CA"/>
    <w:rsid w:val="00DA62B4"/>
    <w:rsid w:val="00DA637D"/>
    <w:rsid w:val="00DA6AAC"/>
    <w:rsid w:val="00DA7146"/>
    <w:rsid w:val="00DA7359"/>
    <w:rsid w:val="00DA75EF"/>
    <w:rsid w:val="00DA7B3E"/>
    <w:rsid w:val="00DB1294"/>
    <w:rsid w:val="00DB2A4F"/>
    <w:rsid w:val="00DB2F35"/>
    <w:rsid w:val="00DB2FAD"/>
    <w:rsid w:val="00DB34B1"/>
    <w:rsid w:val="00DB3E23"/>
    <w:rsid w:val="00DB3E47"/>
    <w:rsid w:val="00DB4A4C"/>
    <w:rsid w:val="00DB4F12"/>
    <w:rsid w:val="00DB5A07"/>
    <w:rsid w:val="00DB63DD"/>
    <w:rsid w:val="00DB6C5A"/>
    <w:rsid w:val="00DB6EDD"/>
    <w:rsid w:val="00DC2819"/>
    <w:rsid w:val="00DC2A48"/>
    <w:rsid w:val="00DC2B66"/>
    <w:rsid w:val="00DC3226"/>
    <w:rsid w:val="00DC373D"/>
    <w:rsid w:val="00DC37AA"/>
    <w:rsid w:val="00DC396F"/>
    <w:rsid w:val="00DC3FBF"/>
    <w:rsid w:val="00DC49C2"/>
    <w:rsid w:val="00DC4F41"/>
    <w:rsid w:val="00DC6261"/>
    <w:rsid w:val="00DC6319"/>
    <w:rsid w:val="00DC6545"/>
    <w:rsid w:val="00DC6B67"/>
    <w:rsid w:val="00DC703A"/>
    <w:rsid w:val="00DC723E"/>
    <w:rsid w:val="00DC7A2E"/>
    <w:rsid w:val="00DD0341"/>
    <w:rsid w:val="00DD16B1"/>
    <w:rsid w:val="00DD1AD4"/>
    <w:rsid w:val="00DD278A"/>
    <w:rsid w:val="00DD2D46"/>
    <w:rsid w:val="00DD38D3"/>
    <w:rsid w:val="00DD42AF"/>
    <w:rsid w:val="00DD44BE"/>
    <w:rsid w:val="00DD4538"/>
    <w:rsid w:val="00DD52EB"/>
    <w:rsid w:val="00DD5BA5"/>
    <w:rsid w:val="00DD6777"/>
    <w:rsid w:val="00DD684B"/>
    <w:rsid w:val="00DD6DDE"/>
    <w:rsid w:val="00DD73C0"/>
    <w:rsid w:val="00DD7567"/>
    <w:rsid w:val="00DE0ED1"/>
    <w:rsid w:val="00DE0FDB"/>
    <w:rsid w:val="00DE1E0E"/>
    <w:rsid w:val="00DE26F8"/>
    <w:rsid w:val="00DE2B8E"/>
    <w:rsid w:val="00DE3CB3"/>
    <w:rsid w:val="00DE4144"/>
    <w:rsid w:val="00DE47F3"/>
    <w:rsid w:val="00DE4FD9"/>
    <w:rsid w:val="00DE5F78"/>
    <w:rsid w:val="00DE6727"/>
    <w:rsid w:val="00DF0003"/>
    <w:rsid w:val="00DF048F"/>
    <w:rsid w:val="00DF0B02"/>
    <w:rsid w:val="00DF12C2"/>
    <w:rsid w:val="00DF141A"/>
    <w:rsid w:val="00DF1B47"/>
    <w:rsid w:val="00DF3B23"/>
    <w:rsid w:val="00DF4126"/>
    <w:rsid w:val="00DF41D1"/>
    <w:rsid w:val="00DF4318"/>
    <w:rsid w:val="00DF545A"/>
    <w:rsid w:val="00DF6806"/>
    <w:rsid w:val="00DF6875"/>
    <w:rsid w:val="00DF7E69"/>
    <w:rsid w:val="00E0007E"/>
    <w:rsid w:val="00E004D0"/>
    <w:rsid w:val="00E01BC9"/>
    <w:rsid w:val="00E0206E"/>
    <w:rsid w:val="00E021E6"/>
    <w:rsid w:val="00E03416"/>
    <w:rsid w:val="00E041AE"/>
    <w:rsid w:val="00E04E1E"/>
    <w:rsid w:val="00E05312"/>
    <w:rsid w:val="00E06996"/>
    <w:rsid w:val="00E07421"/>
    <w:rsid w:val="00E10F4A"/>
    <w:rsid w:val="00E11194"/>
    <w:rsid w:val="00E111EA"/>
    <w:rsid w:val="00E11B95"/>
    <w:rsid w:val="00E1357A"/>
    <w:rsid w:val="00E13E56"/>
    <w:rsid w:val="00E13E66"/>
    <w:rsid w:val="00E14674"/>
    <w:rsid w:val="00E1554E"/>
    <w:rsid w:val="00E16A4C"/>
    <w:rsid w:val="00E20137"/>
    <w:rsid w:val="00E2049E"/>
    <w:rsid w:val="00E21076"/>
    <w:rsid w:val="00E2148B"/>
    <w:rsid w:val="00E2196E"/>
    <w:rsid w:val="00E23051"/>
    <w:rsid w:val="00E2485D"/>
    <w:rsid w:val="00E25711"/>
    <w:rsid w:val="00E2574B"/>
    <w:rsid w:val="00E25A90"/>
    <w:rsid w:val="00E25AEF"/>
    <w:rsid w:val="00E267FB"/>
    <w:rsid w:val="00E279A9"/>
    <w:rsid w:val="00E31D9A"/>
    <w:rsid w:val="00E31F68"/>
    <w:rsid w:val="00E32F34"/>
    <w:rsid w:val="00E35724"/>
    <w:rsid w:val="00E35AD1"/>
    <w:rsid w:val="00E35E20"/>
    <w:rsid w:val="00E35FB5"/>
    <w:rsid w:val="00E36A01"/>
    <w:rsid w:val="00E37127"/>
    <w:rsid w:val="00E37AC8"/>
    <w:rsid w:val="00E414D3"/>
    <w:rsid w:val="00E41AE1"/>
    <w:rsid w:val="00E41F7A"/>
    <w:rsid w:val="00E41FDC"/>
    <w:rsid w:val="00E42B1E"/>
    <w:rsid w:val="00E43A93"/>
    <w:rsid w:val="00E43C05"/>
    <w:rsid w:val="00E4485C"/>
    <w:rsid w:val="00E4616C"/>
    <w:rsid w:val="00E46976"/>
    <w:rsid w:val="00E5030E"/>
    <w:rsid w:val="00E50AD4"/>
    <w:rsid w:val="00E50C1F"/>
    <w:rsid w:val="00E515A1"/>
    <w:rsid w:val="00E5170E"/>
    <w:rsid w:val="00E51FF6"/>
    <w:rsid w:val="00E53057"/>
    <w:rsid w:val="00E53DE6"/>
    <w:rsid w:val="00E542A8"/>
    <w:rsid w:val="00E54F2F"/>
    <w:rsid w:val="00E551EA"/>
    <w:rsid w:val="00E56BF7"/>
    <w:rsid w:val="00E57439"/>
    <w:rsid w:val="00E5771A"/>
    <w:rsid w:val="00E57931"/>
    <w:rsid w:val="00E57A77"/>
    <w:rsid w:val="00E60009"/>
    <w:rsid w:val="00E6096D"/>
    <w:rsid w:val="00E61A00"/>
    <w:rsid w:val="00E61F4B"/>
    <w:rsid w:val="00E6283E"/>
    <w:rsid w:val="00E63869"/>
    <w:rsid w:val="00E6387E"/>
    <w:rsid w:val="00E64D60"/>
    <w:rsid w:val="00E64E5C"/>
    <w:rsid w:val="00E6528D"/>
    <w:rsid w:val="00E662D9"/>
    <w:rsid w:val="00E66BDC"/>
    <w:rsid w:val="00E6725C"/>
    <w:rsid w:val="00E67C06"/>
    <w:rsid w:val="00E67E7F"/>
    <w:rsid w:val="00E70BF9"/>
    <w:rsid w:val="00E71216"/>
    <w:rsid w:val="00E713E4"/>
    <w:rsid w:val="00E722EA"/>
    <w:rsid w:val="00E72B96"/>
    <w:rsid w:val="00E72B9D"/>
    <w:rsid w:val="00E73432"/>
    <w:rsid w:val="00E7435E"/>
    <w:rsid w:val="00E748A7"/>
    <w:rsid w:val="00E74AE4"/>
    <w:rsid w:val="00E760C5"/>
    <w:rsid w:val="00E767C8"/>
    <w:rsid w:val="00E815B6"/>
    <w:rsid w:val="00E819FF"/>
    <w:rsid w:val="00E81BCB"/>
    <w:rsid w:val="00E81F36"/>
    <w:rsid w:val="00E8389F"/>
    <w:rsid w:val="00E85741"/>
    <w:rsid w:val="00E857ED"/>
    <w:rsid w:val="00E87D96"/>
    <w:rsid w:val="00E909D5"/>
    <w:rsid w:val="00E90CB8"/>
    <w:rsid w:val="00E9253B"/>
    <w:rsid w:val="00E92B8B"/>
    <w:rsid w:val="00E933B9"/>
    <w:rsid w:val="00E93D9B"/>
    <w:rsid w:val="00E9517C"/>
    <w:rsid w:val="00E9549A"/>
    <w:rsid w:val="00E957D5"/>
    <w:rsid w:val="00E96684"/>
    <w:rsid w:val="00E9668A"/>
    <w:rsid w:val="00EA0555"/>
    <w:rsid w:val="00EA12D3"/>
    <w:rsid w:val="00EA30A0"/>
    <w:rsid w:val="00EA3131"/>
    <w:rsid w:val="00EA4A67"/>
    <w:rsid w:val="00EA4C16"/>
    <w:rsid w:val="00EA55AC"/>
    <w:rsid w:val="00EA5E6A"/>
    <w:rsid w:val="00EB14E4"/>
    <w:rsid w:val="00EB1CA5"/>
    <w:rsid w:val="00EB3991"/>
    <w:rsid w:val="00EB3A9D"/>
    <w:rsid w:val="00EB552E"/>
    <w:rsid w:val="00EB6554"/>
    <w:rsid w:val="00EB6D94"/>
    <w:rsid w:val="00EB7A84"/>
    <w:rsid w:val="00EC1076"/>
    <w:rsid w:val="00EC3105"/>
    <w:rsid w:val="00EC3149"/>
    <w:rsid w:val="00EC5391"/>
    <w:rsid w:val="00EC7613"/>
    <w:rsid w:val="00ED0097"/>
    <w:rsid w:val="00ED098E"/>
    <w:rsid w:val="00ED2250"/>
    <w:rsid w:val="00ED3293"/>
    <w:rsid w:val="00ED33AE"/>
    <w:rsid w:val="00ED3D88"/>
    <w:rsid w:val="00ED4B25"/>
    <w:rsid w:val="00ED5790"/>
    <w:rsid w:val="00ED598F"/>
    <w:rsid w:val="00ED5BDA"/>
    <w:rsid w:val="00ED7681"/>
    <w:rsid w:val="00EE002D"/>
    <w:rsid w:val="00EE04FE"/>
    <w:rsid w:val="00EE14D9"/>
    <w:rsid w:val="00EE1BB2"/>
    <w:rsid w:val="00EE1C82"/>
    <w:rsid w:val="00EE1E99"/>
    <w:rsid w:val="00EE2050"/>
    <w:rsid w:val="00EE2577"/>
    <w:rsid w:val="00EE2643"/>
    <w:rsid w:val="00EE270C"/>
    <w:rsid w:val="00EE2C7C"/>
    <w:rsid w:val="00EE34FF"/>
    <w:rsid w:val="00EE3761"/>
    <w:rsid w:val="00EE3EBF"/>
    <w:rsid w:val="00EE426A"/>
    <w:rsid w:val="00EE4668"/>
    <w:rsid w:val="00EE5724"/>
    <w:rsid w:val="00EF06F7"/>
    <w:rsid w:val="00EF0EB3"/>
    <w:rsid w:val="00EF2B86"/>
    <w:rsid w:val="00EF362A"/>
    <w:rsid w:val="00EF44CF"/>
    <w:rsid w:val="00EF46A3"/>
    <w:rsid w:val="00EF590F"/>
    <w:rsid w:val="00EF623B"/>
    <w:rsid w:val="00EF657C"/>
    <w:rsid w:val="00EF6F92"/>
    <w:rsid w:val="00EF7228"/>
    <w:rsid w:val="00EF7BE9"/>
    <w:rsid w:val="00F00210"/>
    <w:rsid w:val="00F00DC9"/>
    <w:rsid w:val="00F014AB"/>
    <w:rsid w:val="00F01DD3"/>
    <w:rsid w:val="00F01ED9"/>
    <w:rsid w:val="00F03335"/>
    <w:rsid w:val="00F03762"/>
    <w:rsid w:val="00F04512"/>
    <w:rsid w:val="00F04AD6"/>
    <w:rsid w:val="00F04F4B"/>
    <w:rsid w:val="00F05F6B"/>
    <w:rsid w:val="00F06E7D"/>
    <w:rsid w:val="00F073E3"/>
    <w:rsid w:val="00F10970"/>
    <w:rsid w:val="00F11108"/>
    <w:rsid w:val="00F1393D"/>
    <w:rsid w:val="00F14207"/>
    <w:rsid w:val="00F150BD"/>
    <w:rsid w:val="00F152C8"/>
    <w:rsid w:val="00F156B5"/>
    <w:rsid w:val="00F16DDE"/>
    <w:rsid w:val="00F17831"/>
    <w:rsid w:val="00F17D1A"/>
    <w:rsid w:val="00F17EAA"/>
    <w:rsid w:val="00F206AE"/>
    <w:rsid w:val="00F2088E"/>
    <w:rsid w:val="00F20A94"/>
    <w:rsid w:val="00F21762"/>
    <w:rsid w:val="00F217A7"/>
    <w:rsid w:val="00F217B8"/>
    <w:rsid w:val="00F221DB"/>
    <w:rsid w:val="00F22300"/>
    <w:rsid w:val="00F22A64"/>
    <w:rsid w:val="00F25A3F"/>
    <w:rsid w:val="00F26698"/>
    <w:rsid w:val="00F26C94"/>
    <w:rsid w:val="00F30346"/>
    <w:rsid w:val="00F30D97"/>
    <w:rsid w:val="00F30F2F"/>
    <w:rsid w:val="00F310A1"/>
    <w:rsid w:val="00F329BB"/>
    <w:rsid w:val="00F32AAC"/>
    <w:rsid w:val="00F33049"/>
    <w:rsid w:val="00F331ED"/>
    <w:rsid w:val="00F33FFD"/>
    <w:rsid w:val="00F34137"/>
    <w:rsid w:val="00F34223"/>
    <w:rsid w:val="00F34E5B"/>
    <w:rsid w:val="00F358F8"/>
    <w:rsid w:val="00F3674E"/>
    <w:rsid w:val="00F370F1"/>
    <w:rsid w:val="00F371C2"/>
    <w:rsid w:val="00F372C5"/>
    <w:rsid w:val="00F37344"/>
    <w:rsid w:val="00F4099C"/>
    <w:rsid w:val="00F43284"/>
    <w:rsid w:val="00F4489C"/>
    <w:rsid w:val="00F44F34"/>
    <w:rsid w:val="00F44F37"/>
    <w:rsid w:val="00F464B2"/>
    <w:rsid w:val="00F46B4C"/>
    <w:rsid w:val="00F5065A"/>
    <w:rsid w:val="00F50773"/>
    <w:rsid w:val="00F50E4A"/>
    <w:rsid w:val="00F527DE"/>
    <w:rsid w:val="00F530D0"/>
    <w:rsid w:val="00F53B81"/>
    <w:rsid w:val="00F5508B"/>
    <w:rsid w:val="00F56684"/>
    <w:rsid w:val="00F5712D"/>
    <w:rsid w:val="00F577AB"/>
    <w:rsid w:val="00F6013F"/>
    <w:rsid w:val="00F60EB7"/>
    <w:rsid w:val="00F6166F"/>
    <w:rsid w:val="00F61967"/>
    <w:rsid w:val="00F6199B"/>
    <w:rsid w:val="00F6247F"/>
    <w:rsid w:val="00F630B0"/>
    <w:rsid w:val="00F63387"/>
    <w:rsid w:val="00F63BFE"/>
    <w:rsid w:val="00F63F21"/>
    <w:rsid w:val="00F65438"/>
    <w:rsid w:val="00F658D6"/>
    <w:rsid w:val="00F65CBC"/>
    <w:rsid w:val="00F6645A"/>
    <w:rsid w:val="00F66D82"/>
    <w:rsid w:val="00F6724E"/>
    <w:rsid w:val="00F67FF9"/>
    <w:rsid w:val="00F7056F"/>
    <w:rsid w:val="00F713B4"/>
    <w:rsid w:val="00F71884"/>
    <w:rsid w:val="00F72FC5"/>
    <w:rsid w:val="00F7328E"/>
    <w:rsid w:val="00F73925"/>
    <w:rsid w:val="00F73B6D"/>
    <w:rsid w:val="00F7440A"/>
    <w:rsid w:val="00F755C9"/>
    <w:rsid w:val="00F75BE6"/>
    <w:rsid w:val="00F7689C"/>
    <w:rsid w:val="00F772A6"/>
    <w:rsid w:val="00F77814"/>
    <w:rsid w:val="00F805FA"/>
    <w:rsid w:val="00F80B1A"/>
    <w:rsid w:val="00F82449"/>
    <w:rsid w:val="00F82AC0"/>
    <w:rsid w:val="00F82B20"/>
    <w:rsid w:val="00F832F0"/>
    <w:rsid w:val="00F83705"/>
    <w:rsid w:val="00F83711"/>
    <w:rsid w:val="00F847BE"/>
    <w:rsid w:val="00F84E8A"/>
    <w:rsid w:val="00F85571"/>
    <w:rsid w:val="00F8671A"/>
    <w:rsid w:val="00F871C7"/>
    <w:rsid w:val="00F90230"/>
    <w:rsid w:val="00F912E9"/>
    <w:rsid w:val="00F916D8"/>
    <w:rsid w:val="00F92654"/>
    <w:rsid w:val="00F93149"/>
    <w:rsid w:val="00F93A31"/>
    <w:rsid w:val="00F93C13"/>
    <w:rsid w:val="00F9487F"/>
    <w:rsid w:val="00F94E8B"/>
    <w:rsid w:val="00F9538C"/>
    <w:rsid w:val="00F95BD8"/>
    <w:rsid w:val="00F9609E"/>
    <w:rsid w:val="00F960C7"/>
    <w:rsid w:val="00F962F9"/>
    <w:rsid w:val="00F96316"/>
    <w:rsid w:val="00F96796"/>
    <w:rsid w:val="00F972A3"/>
    <w:rsid w:val="00F97695"/>
    <w:rsid w:val="00F976F4"/>
    <w:rsid w:val="00F97EFD"/>
    <w:rsid w:val="00FA2833"/>
    <w:rsid w:val="00FA361A"/>
    <w:rsid w:val="00FA3801"/>
    <w:rsid w:val="00FA45CF"/>
    <w:rsid w:val="00FA59D6"/>
    <w:rsid w:val="00FA5D91"/>
    <w:rsid w:val="00FA7051"/>
    <w:rsid w:val="00FB03B5"/>
    <w:rsid w:val="00FB0CEF"/>
    <w:rsid w:val="00FB0D93"/>
    <w:rsid w:val="00FB22F9"/>
    <w:rsid w:val="00FB37DD"/>
    <w:rsid w:val="00FB4A8E"/>
    <w:rsid w:val="00FB5545"/>
    <w:rsid w:val="00FB5629"/>
    <w:rsid w:val="00FB58DB"/>
    <w:rsid w:val="00FB7F26"/>
    <w:rsid w:val="00FB7FEB"/>
    <w:rsid w:val="00FC0A09"/>
    <w:rsid w:val="00FC0A5F"/>
    <w:rsid w:val="00FC0ABF"/>
    <w:rsid w:val="00FC1828"/>
    <w:rsid w:val="00FC543A"/>
    <w:rsid w:val="00FC5590"/>
    <w:rsid w:val="00FC58F5"/>
    <w:rsid w:val="00FC5C64"/>
    <w:rsid w:val="00FC5E82"/>
    <w:rsid w:val="00FD05FC"/>
    <w:rsid w:val="00FD17A4"/>
    <w:rsid w:val="00FD1A46"/>
    <w:rsid w:val="00FD228E"/>
    <w:rsid w:val="00FD25C6"/>
    <w:rsid w:val="00FD3191"/>
    <w:rsid w:val="00FD49A4"/>
    <w:rsid w:val="00FD4AE3"/>
    <w:rsid w:val="00FD4C01"/>
    <w:rsid w:val="00FD5E2E"/>
    <w:rsid w:val="00FD616F"/>
    <w:rsid w:val="00FD66C1"/>
    <w:rsid w:val="00FD7EDE"/>
    <w:rsid w:val="00FE0B44"/>
    <w:rsid w:val="00FE1E5C"/>
    <w:rsid w:val="00FE20E0"/>
    <w:rsid w:val="00FE2567"/>
    <w:rsid w:val="00FE300A"/>
    <w:rsid w:val="00FE4C21"/>
    <w:rsid w:val="00FE579E"/>
    <w:rsid w:val="00FE5987"/>
    <w:rsid w:val="00FE637A"/>
    <w:rsid w:val="00FE6A72"/>
    <w:rsid w:val="00FE7855"/>
    <w:rsid w:val="00FF2FF9"/>
    <w:rsid w:val="00FF3079"/>
    <w:rsid w:val="00FF3183"/>
    <w:rsid w:val="00FF3257"/>
    <w:rsid w:val="00FF4C74"/>
    <w:rsid w:val="00FF61E6"/>
    <w:rsid w:val="00FF62E3"/>
    <w:rsid w:val="00FF679E"/>
    <w:rsid w:val="00FF7A75"/>
    <w:rsid w:val="01366644"/>
    <w:rsid w:val="01755302"/>
    <w:rsid w:val="01945AF3"/>
    <w:rsid w:val="02107A59"/>
    <w:rsid w:val="028066BD"/>
    <w:rsid w:val="02851B5E"/>
    <w:rsid w:val="029F0F02"/>
    <w:rsid w:val="02A11321"/>
    <w:rsid w:val="02F72AEC"/>
    <w:rsid w:val="031E0736"/>
    <w:rsid w:val="033E6BA1"/>
    <w:rsid w:val="034207A3"/>
    <w:rsid w:val="03F340C7"/>
    <w:rsid w:val="04194CE4"/>
    <w:rsid w:val="042830CF"/>
    <w:rsid w:val="04415CDD"/>
    <w:rsid w:val="04441D61"/>
    <w:rsid w:val="046C3404"/>
    <w:rsid w:val="0503185F"/>
    <w:rsid w:val="0512588F"/>
    <w:rsid w:val="051412A1"/>
    <w:rsid w:val="052A0045"/>
    <w:rsid w:val="054C662D"/>
    <w:rsid w:val="05871F10"/>
    <w:rsid w:val="05E20DF8"/>
    <w:rsid w:val="06310D62"/>
    <w:rsid w:val="0639359C"/>
    <w:rsid w:val="0657237B"/>
    <w:rsid w:val="07221EBA"/>
    <w:rsid w:val="078546A5"/>
    <w:rsid w:val="079B5DF2"/>
    <w:rsid w:val="07B35C10"/>
    <w:rsid w:val="07B54D24"/>
    <w:rsid w:val="07D21B56"/>
    <w:rsid w:val="081157C1"/>
    <w:rsid w:val="083E4871"/>
    <w:rsid w:val="087A397A"/>
    <w:rsid w:val="08CC4A1B"/>
    <w:rsid w:val="09585B86"/>
    <w:rsid w:val="09603731"/>
    <w:rsid w:val="096A04BC"/>
    <w:rsid w:val="09B773CF"/>
    <w:rsid w:val="09B939F6"/>
    <w:rsid w:val="09E84694"/>
    <w:rsid w:val="09F45958"/>
    <w:rsid w:val="0A1D1FFF"/>
    <w:rsid w:val="0A291C09"/>
    <w:rsid w:val="0A643C1A"/>
    <w:rsid w:val="0A793470"/>
    <w:rsid w:val="0A832732"/>
    <w:rsid w:val="0ADB2590"/>
    <w:rsid w:val="0B136931"/>
    <w:rsid w:val="0B1F75BE"/>
    <w:rsid w:val="0B722D2F"/>
    <w:rsid w:val="0B8613A2"/>
    <w:rsid w:val="0BC417BC"/>
    <w:rsid w:val="0BE0162B"/>
    <w:rsid w:val="0C29502C"/>
    <w:rsid w:val="0C684A5B"/>
    <w:rsid w:val="0CC53DA5"/>
    <w:rsid w:val="0CE21E6C"/>
    <w:rsid w:val="0D0720FE"/>
    <w:rsid w:val="0D07213D"/>
    <w:rsid w:val="0D3864E9"/>
    <w:rsid w:val="0D6A7C29"/>
    <w:rsid w:val="0D7731A8"/>
    <w:rsid w:val="0DDF4E17"/>
    <w:rsid w:val="0E08599B"/>
    <w:rsid w:val="0E0D1DB2"/>
    <w:rsid w:val="0E0E2FE2"/>
    <w:rsid w:val="0E642142"/>
    <w:rsid w:val="0E6E743C"/>
    <w:rsid w:val="0F0D13E8"/>
    <w:rsid w:val="0F366DF6"/>
    <w:rsid w:val="0F4E1CE6"/>
    <w:rsid w:val="0FA21FAD"/>
    <w:rsid w:val="0FB034B9"/>
    <w:rsid w:val="0FD716C2"/>
    <w:rsid w:val="101F6BDC"/>
    <w:rsid w:val="10635140"/>
    <w:rsid w:val="111C1DD6"/>
    <w:rsid w:val="116321BF"/>
    <w:rsid w:val="11727B6C"/>
    <w:rsid w:val="11903360"/>
    <w:rsid w:val="11CF5F01"/>
    <w:rsid w:val="126B6655"/>
    <w:rsid w:val="12914FB0"/>
    <w:rsid w:val="12A71189"/>
    <w:rsid w:val="12DE3BC2"/>
    <w:rsid w:val="12E14357"/>
    <w:rsid w:val="13C80335"/>
    <w:rsid w:val="14151FF2"/>
    <w:rsid w:val="143D0635"/>
    <w:rsid w:val="148166BA"/>
    <w:rsid w:val="14884F48"/>
    <w:rsid w:val="148C24FF"/>
    <w:rsid w:val="14975DE8"/>
    <w:rsid w:val="149B40D5"/>
    <w:rsid w:val="14C51196"/>
    <w:rsid w:val="14D94748"/>
    <w:rsid w:val="15190FE8"/>
    <w:rsid w:val="155773B7"/>
    <w:rsid w:val="1568787A"/>
    <w:rsid w:val="158F5F46"/>
    <w:rsid w:val="15BA0592"/>
    <w:rsid w:val="15E9788E"/>
    <w:rsid w:val="161C6AB4"/>
    <w:rsid w:val="162C3BF5"/>
    <w:rsid w:val="164976AB"/>
    <w:rsid w:val="16EB61F9"/>
    <w:rsid w:val="16F539F6"/>
    <w:rsid w:val="17163F7D"/>
    <w:rsid w:val="171750B3"/>
    <w:rsid w:val="17480459"/>
    <w:rsid w:val="17967B1E"/>
    <w:rsid w:val="17B507B2"/>
    <w:rsid w:val="17EB32B9"/>
    <w:rsid w:val="181F2C69"/>
    <w:rsid w:val="186D277D"/>
    <w:rsid w:val="189E09EB"/>
    <w:rsid w:val="18BA03EC"/>
    <w:rsid w:val="18FD1352"/>
    <w:rsid w:val="18FF6AD5"/>
    <w:rsid w:val="191F6C53"/>
    <w:rsid w:val="19262424"/>
    <w:rsid w:val="196E67E4"/>
    <w:rsid w:val="1972295E"/>
    <w:rsid w:val="19A158A9"/>
    <w:rsid w:val="19AA0D92"/>
    <w:rsid w:val="19E971DB"/>
    <w:rsid w:val="1A381F10"/>
    <w:rsid w:val="1A3B4669"/>
    <w:rsid w:val="1A714F8C"/>
    <w:rsid w:val="1A750150"/>
    <w:rsid w:val="1A8011C2"/>
    <w:rsid w:val="1A82015E"/>
    <w:rsid w:val="1B567142"/>
    <w:rsid w:val="1B94708E"/>
    <w:rsid w:val="1C625023"/>
    <w:rsid w:val="1C726E8F"/>
    <w:rsid w:val="1CB938BD"/>
    <w:rsid w:val="1D1E53EE"/>
    <w:rsid w:val="1D77668C"/>
    <w:rsid w:val="1D8B166D"/>
    <w:rsid w:val="1E0D7BF8"/>
    <w:rsid w:val="1E0E09C8"/>
    <w:rsid w:val="1EBB05BB"/>
    <w:rsid w:val="1EC217F7"/>
    <w:rsid w:val="1FBA5666"/>
    <w:rsid w:val="20322872"/>
    <w:rsid w:val="206155F1"/>
    <w:rsid w:val="2073396C"/>
    <w:rsid w:val="208E71ED"/>
    <w:rsid w:val="20C94987"/>
    <w:rsid w:val="219E580C"/>
    <w:rsid w:val="21D37D1D"/>
    <w:rsid w:val="22060563"/>
    <w:rsid w:val="224F6049"/>
    <w:rsid w:val="227873DC"/>
    <w:rsid w:val="2285085B"/>
    <w:rsid w:val="229859DD"/>
    <w:rsid w:val="229F3B81"/>
    <w:rsid w:val="22BC411F"/>
    <w:rsid w:val="23CC5A57"/>
    <w:rsid w:val="24522928"/>
    <w:rsid w:val="246D27B7"/>
    <w:rsid w:val="246D6A95"/>
    <w:rsid w:val="24F6470E"/>
    <w:rsid w:val="250E36DE"/>
    <w:rsid w:val="254062E0"/>
    <w:rsid w:val="25463714"/>
    <w:rsid w:val="255D1825"/>
    <w:rsid w:val="25AB0E0A"/>
    <w:rsid w:val="25BF34E6"/>
    <w:rsid w:val="25F71165"/>
    <w:rsid w:val="26946721"/>
    <w:rsid w:val="26A000FF"/>
    <w:rsid w:val="2769410E"/>
    <w:rsid w:val="27814056"/>
    <w:rsid w:val="281049B4"/>
    <w:rsid w:val="288C5B04"/>
    <w:rsid w:val="28976986"/>
    <w:rsid w:val="28AF205E"/>
    <w:rsid w:val="28C72DDE"/>
    <w:rsid w:val="28C770DD"/>
    <w:rsid w:val="28FB206C"/>
    <w:rsid w:val="298FA997"/>
    <w:rsid w:val="2A5610C6"/>
    <w:rsid w:val="2A7C5461"/>
    <w:rsid w:val="2AE50F77"/>
    <w:rsid w:val="2AF4584A"/>
    <w:rsid w:val="2B114AE7"/>
    <w:rsid w:val="2B2E2EDF"/>
    <w:rsid w:val="2B7C29F5"/>
    <w:rsid w:val="2BA03472"/>
    <w:rsid w:val="2BEF61A7"/>
    <w:rsid w:val="2C1565BE"/>
    <w:rsid w:val="2C7566AC"/>
    <w:rsid w:val="2C78619D"/>
    <w:rsid w:val="2CA90EA0"/>
    <w:rsid w:val="2CC638E3"/>
    <w:rsid w:val="2CCB14DD"/>
    <w:rsid w:val="2CDB2611"/>
    <w:rsid w:val="2CE9332E"/>
    <w:rsid w:val="2D6A5864"/>
    <w:rsid w:val="2EEB70FA"/>
    <w:rsid w:val="2EFA62E7"/>
    <w:rsid w:val="2F885717"/>
    <w:rsid w:val="2FB376AE"/>
    <w:rsid w:val="2FC605A5"/>
    <w:rsid w:val="2FDE6282"/>
    <w:rsid w:val="307F1778"/>
    <w:rsid w:val="31493A78"/>
    <w:rsid w:val="319F3856"/>
    <w:rsid w:val="31EC1E55"/>
    <w:rsid w:val="31FA6B4A"/>
    <w:rsid w:val="32957CE5"/>
    <w:rsid w:val="32AC3C9B"/>
    <w:rsid w:val="32EE590C"/>
    <w:rsid w:val="32FD1814"/>
    <w:rsid w:val="330B7E50"/>
    <w:rsid w:val="334E3833"/>
    <w:rsid w:val="337032F7"/>
    <w:rsid w:val="33797BC3"/>
    <w:rsid w:val="341278CD"/>
    <w:rsid w:val="34242166"/>
    <w:rsid w:val="34947230"/>
    <w:rsid w:val="34AC438B"/>
    <w:rsid w:val="34CF4F40"/>
    <w:rsid w:val="35133E3C"/>
    <w:rsid w:val="35A01CF4"/>
    <w:rsid w:val="35A65B28"/>
    <w:rsid w:val="35EA7B26"/>
    <w:rsid w:val="35F70EDB"/>
    <w:rsid w:val="36C91572"/>
    <w:rsid w:val="36FF17EF"/>
    <w:rsid w:val="370D5527"/>
    <w:rsid w:val="371A19B1"/>
    <w:rsid w:val="372B7682"/>
    <w:rsid w:val="374E6E85"/>
    <w:rsid w:val="37686C93"/>
    <w:rsid w:val="376E4033"/>
    <w:rsid w:val="37882170"/>
    <w:rsid w:val="37B72D48"/>
    <w:rsid w:val="37EB6205"/>
    <w:rsid w:val="386A6960"/>
    <w:rsid w:val="38BA7F75"/>
    <w:rsid w:val="391728A5"/>
    <w:rsid w:val="39736669"/>
    <w:rsid w:val="39D37108"/>
    <w:rsid w:val="39D93FDE"/>
    <w:rsid w:val="3A073F5D"/>
    <w:rsid w:val="3A346134"/>
    <w:rsid w:val="3A371445"/>
    <w:rsid w:val="3A840261"/>
    <w:rsid w:val="3A9B4F19"/>
    <w:rsid w:val="3B1F13CF"/>
    <w:rsid w:val="3B313DE7"/>
    <w:rsid w:val="3B8C1DD0"/>
    <w:rsid w:val="3C200CAE"/>
    <w:rsid w:val="3C5530FC"/>
    <w:rsid w:val="3C966A3A"/>
    <w:rsid w:val="3CE31410"/>
    <w:rsid w:val="3D314BD3"/>
    <w:rsid w:val="3D4F6750"/>
    <w:rsid w:val="3D992A50"/>
    <w:rsid w:val="3DA16DA2"/>
    <w:rsid w:val="3E126849"/>
    <w:rsid w:val="3E7317B4"/>
    <w:rsid w:val="3E7521EA"/>
    <w:rsid w:val="3E7D0BA9"/>
    <w:rsid w:val="3EA52A36"/>
    <w:rsid w:val="3F0264C5"/>
    <w:rsid w:val="3F2752A1"/>
    <w:rsid w:val="3F334D1E"/>
    <w:rsid w:val="3F3521EB"/>
    <w:rsid w:val="3F3E3B34"/>
    <w:rsid w:val="3F4D57F3"/>
    <w:rsid w:val="3F6C3033"/>
    <w:rsid w:val="3FC5319C"/>
    <w:rsid w:val="40043331"/>
    <w:rsid w:val="400A44D8"/>
    <w:rsid w:val="40520B28"/>
    <w:rsid w:val="40523BC3"/>
    <w:rsid w:val="40810560"/>
    <w:rsid w:val="40810E92"/>
    <w:rsid w:val="409475F1"/>
    <w:rsid w:val="413F350F"/>
    <w:rsid w:val="414C4C65"/>
    <w:rsid w:val="418A7788"/>
    <w:rsid w:val="41A7577F"/>
    <w:rsid w:val="41C95079"/>
    <w:rsid w:val="41D8047E"/>
    <w:rsid w:val="42093FFB"/>
    <w:rsid w:val="420F00EB"/>
    <w:rsid w:val="42651EDC"/>
    <w:rsid w:val="429B52AA"/>
    <w:rsid w:val="432509D4"/>
    <w:rsid w:val="432F3601"/>
    <w:rsid w:val="43555E73"/>
    <w:rsid w:val="43A04967"/>
    <w:rsid w:val="43E91A02"/>
    <w:rsid w:val="444927F6"/>
    <w:rsid w:val="447B4624"/>
    <w:rsid w:val="44AC0039"/>
    <w:rsid w:val="44FB7867"/>
    <w:rsid w:val="459B1BD1"/>
    <w:rsid w:val="45BF7F76"/>
    <w:rsid w:val="463E2AAD"/>
    <w:rsid w:val="468C653D"/>
    <w:rsid w:val="46CD6B6A"/>
    <w:rsid w:val="46E73107"/>
    <w:rsid w:val="472C3BDD"/>
    <w:rsid w:val="477C1E84"/>
    <w:rsid w:val="477C6DD6"/>
    <w:rsid w:val="479B0CDA"/>
    <w:rsid w:val="47B45457"/>
    <w:rsid w:val="48AA4FA7"/>
    <w:rsid w:val="48BF71D5"/>
    <w:rsid w:val="494A32E3"/>
    <w:rsid w:val="49530D1B"/>
    <w:rsid w:val="497A6884"/>
    <w:rsid w:val="498D36FF"/>
    <w:rsid w:val="49942253"/>
    <w:rsid w:val="4A170FD5"/>
    <w:rsid w:val="4A186176"/>
    <w:rsid w:val="4A2669D2"/>
    <w:rsid w:val="4A9A45E2"/>
    <w:rsid w:val="4AAC3D1D"/>
    <w:rsid w:val="4B074556"/>
    <w:rsid w:val="4B3A2441"/>
    <w:rsid w:val="4BD904E7"/>
    <w:rsid w:val="4C037769"/>
    <w:rsid w:val="4C1E52F0"/>
    <w:rsid w:val="4C3E44CB"/>
    <w:rsid w:val="4C534308"/>
    <w:rsid w:val="4C7D61BC"/>
    <w:rsid w:val="4CA14A72"/>
    <w:rsid w:val="4CBEA2A3"/>
    <w:rsid w:val="4CC40578"/>
    <w:rsid w:val="4CC85932"/>
    <w:rsid w:val="4CD80866"/>
    <w:rsid w:val="4D7F24A6"/>
    <w:rsid w:val="4DA52436"/>
    <w:rsid w:val="4DCB1952"/>
    <w:rsid w:val="4DDE004E"/>
    <w:rsid w:val="4E0F676B"/>
    <w:rsid w:val="4E1F3A36"/>
    <w:rsid w:val="4E3A6A54"/>
    <w:rsid w:val="4E933631"/>
    <w:rsid w:val="4EA02C50"/>
    <w:rsid w:val="4EB02FD2"/>
    <w:rsid w:val="4F2F77E8"/>
    <w:rsid w:val="4F38383D"/>
    <w:rsid w:val="4FA83008"/>
    <w:rsid w:val="5015298B"/>
    <w:rsid w:val="50360630"/>
    <w:rsid w:val="50C235B7"/>
    <w:rsid w:val="50C50BBD"/>
    <w:rsid w:val="512313AD"/>
    <w:rsid w:val="515A6075"/>
    <w:rsid w:val="517C0C4A"/>
    <w:rsid w:val="51965F7A"/>
    <w:rsid w:val="51BA4CE9"/>
    <w:rsid w:val="52080920"/>
    <w:rsid w:val="52CA20B7"/>
    <w:rsid w:val="52E870BB"/>
    <w:rsid w:val="52F12681"/>
    <w:rsid w:val="536D69D3"/>
    <w:rsid w:val="538F115D"/>
    <w:rsid w:val="53A476F3"/>
    <w:rsid w:val="53C74832"/>
    <w:rsid w:val="54187F00"/>
    <w:rsid w:val="54F07795"/>
    <w:rsid w:val="556D7026"/>
    <w:rsid w:val="55B54BD2"/>
    <w:rsid w:val="56395A79"/>
    <w:rsid w:val="56694C24"/>
    <w:rsid w:val="567D5FDA"/>
    <w:rsid w:val="56D402F0"/>
    <w:rsid w:val="56D952A8"/>
    <w:rsid w:val="576F6B42"/>
    <w:rsid w:val="57876D22"/>
    <w:rsid w:val="57BB4471"/>
    <w:rsid w:val="57FB31C7"/>
    <w:rsid w:val="581B3F4C"/>
    <w:rsid w:val="58466E37"/>
    <w:rsid w:val="588E0D65"/>
    <w:rsid w:val="589715D5"/>
    <w:rsid w:val="58D5692B"/>
    <w:rsid w:val="592A2449"/>
    <w:rsid w:val="5956421A"/>
    <w:rsid w:val="59667A35"/>
    <w:rsid w:val="5A1703E9"/>
    <w:rsid w:val="5A1B4488"/>
    <w:rsid w:val="5A29635F"/>
    <w:rsid w:val="5A9F568D"/>
    <w:rsid w:val="5AB533A9"/>
    <w:rsid w:val="5ACD188E"/>
    <w:rsid w:val="5B016499"/>
    <w:rsid w:val="5BAA1A01"/>
    <w:rsid w:val="5C2A6C04"/>
    <w:rsid w:val="5C520332"/>
    <w:rsid w:val="5C846DBA"/>
    <w:rsid w:val="5CBA2FA9"/>
    <w:rsid w:val="5D206F21"/>
    <w:rsid w:val="5D3970FE"/>
    <w:rsid w:val="5D574D42"/>
    <w:rsid w:val="5DA14CA4"/>
    <w:rsid w:val="5DC310BE"/>
    <w:rsid w:val="5E672615"/>
    <w:rsid w:val="5EDD7F5D"/>
    <w:rsid w:val="5F266D1F"/>
    <w:rsid w:val="5F3130DE"/>
    <w:rsid w:val="5F7C25A1"/>
    <w:rsid w:val="5FEF0B12"/>
    <w:rsid w:val="5FEF4354"/>
    <w:rsid w:val="60170191"/>
    <w:rsid w:val="60822B6A"/>
    <w:rsid w:val="609A36BE"/>
    <w:rsid w:val="60B60A66"/>
    <w:rsid w:val="60BF3DBF"/>
    <w:rsid w:val="60FB79E4"/>
    <w:rsid w:val="610E5866"/>
    <w:rsid w:val="6142679E"/>
    <w:rsid w:val="61A75C3A"/>
    <w:rsid w:val="61D77E74"/>
    <w:rsid w:val="6231053D"/>
    <w:rsid w:val="62B120C6"/>
    <w:rsid w:val="62CA18FB"/>
    <w:rsid w:val="62DC0376"/>
    <w:rsid w:val="62F20514"/>
    <w:rsid w:val="630D2C0A"/>
    <w:rsid w:val="635D3719"/>
    <w:rsid w:val="639945D3"/>
    <w:rsid w:val="6427252D"/>
    <w:rsid w:val="647D4F44"/>
    <w:rsid w:val="64826658"/>
    <w:rsid w:val="6486320F"/>
    <w:rsid w:val="64CF009B"/>
    <w:rsid w:val="64D03C78"/>
    <w:rsid w:val="64DD3C11"/>
    <w:rsid w:val="64F6703A"/>
    <w:rsid w:val="651155E7"/>
    <w:rsid w:val="65834729"/>
    <w:rsid w:val="659608FC"/>
    <w:rsid w:val="65F56D9A"/>
    <w:rsid w:val="66203F79"/>
    <w:rsid w:val="66FB6F37"/>
    <w:rsid w:val="6756063E"/>
    <w:rsid w:val="67710DC5"/>
    <w:rsid w:val="67900F7E"/>
    <w:rsid w:val="68E5013A"/>
    <w:rsid w:val="695D4175"/>
    <w:rsid w:val="6A4A2854"/>
    <w:rsid w:val="6A6C5218"/>
    <w:rsid w:val="6A844E3D"/>
    <w:rsid w:val="6B335733"/>
    <w:rsid w:val="6B422938"/>
    <w:rsid w:val="6B96CCA5"/>
    <w:rsid w:val="6BAF72DD"/>
    <w:rsid w:val="6C2935C5"/>
    <w:rsid w:val="6C4936EE"/>
    <w:rsid w:val="6C5A499B"/>
    <w:rsid w:val="6CBA368C"/>
    <w:rsid w:val="6CE66E44"/>
    <w:rsid w:val="6CF61F99"/>
    <w:rsid w:val="6D007481"/>
    <w:rsid w:val="6D652858"/>
    <w:rsid w:val="6D6C1F92"/>
    <w:rsid w:val="6DD8477E"/>
    <w:rsid w:val="6DFEB209"/>
    <w:rsid w:val="6E561CD1"/>
    <w:rsid w:val="6ECA3B87"/>
    <w:rsid w:val="6ED74623"/>
    <w:rsid w:val="6EF64C01"/>
    <w:rsid w:val="6F066DCC"/>
    <w:rsid w:val="6F2D6E73"/>
    <w:rsid w:val="6FBB7DE2"/>
    <w:rsid w:val="6FC73BB1"/>
    <w:rsid w:val="6FCA50C6"/>
    <w:rsid w:val="70674715"/>
    <w:rsid w:val="707D4C77"/>
    <w:rsid w:val="70BB73B3"/>
    <w:rsid w:val="70BF7B4E"/>
    <w:rsid w:val="70F73101"/>
    <w:rsid w:val="712C278D"/>
    <w:rsid w:val="71434477"/>
    <w:rsid w:val="716920F8"/>
    <w:rsid w:val="719D586C"/>
    <w:rsid w:val="71A24F3F"/>
    <w:rsid w:val="71AF8885"/>
    <w:rsid w:val="72D94938"/>
    <w:rsid w:val="72FC908E"/>
    <w:rsid w:val="730169E5"/>
    <w:rsid w:val="730B339D"/>
    <w:rsid w:val="733D6908"/>
    <w:rsid w:val="737A44C3"/>
    <w:rsid w:val="7387413D"/>
    <w:rsid w:val="73A82852"/>
    <w:rsid w:val="73E93B8F"/>
    <w:rsid w:val="74013FFB"/>
    <w:rsid w:val="74247A73"/>
    <w:rsid w:val="7568637B"/>
    <w:rsid w:val="75A11342"/>
    <w:rsid w:val="75C43030"/>
    <w:rsid w:val="75F75951"/>
    <w:rsid w:val="767D5D76"/>
    <w:rsid w:val="76DA2674"/>
    <w:rsid w:val="77A17922"/>
    <w:rsid w:val="77B51620"/>
    <w:rsid w:val="77C17FC5"/>
    <w:rsid w:val="77F33222"/>
    <w:rsid w:val="78135DE8"/>
    <w:rsid w:val="784A2F2F"/>
    <w:rsid w:val="784A7FBA"/>
    <w:rsid w:val="78534B96"/>
    <w:rsid w:val="78FB1E09"/>
    <w:rsid w:val="790D77AD"/>
    <w:rsid w:val="79721510"/>
    <w:rsid w:val="797F5A12"/>
    <w:rsid w:val="79845235"/>
    <w:rsid w:val="79B67E59"/>
    <w:rsid w:val="79FA3283"/>
    <w:rsid w:val="7A023BE0"/>
    <w:rsid w:val="7A0B4033"/>
    <w:rsid w:val="7A32F0C1"/>
    <w:rsid w:val="7AEE07EE"/>
    <w:rsid w:val="7AF72614"/>
    <w:rsid w:val="7B5D6256"/>
    <w:rsid w:val="7BE71770"/>
    <w:rsid w:val="7BF82150"/>
    <w:rsid w:val="7C0679A2"/>
    <w:rsid w:val="7C2B4F57"/>
    <w:rsid w:val="7C532F1B"/>
    <w:rsid w:val="7C571E3D"/>
    <w:rsid w:val="7C955184"/>
    <w:rsid w:val="7D2A1C4A"/>
    <w:rsid w:val="7D985431"/>
    <w:rsid w:val="7DB74CB3"/>
    <w:rsid w:val="7E1172FC"/>
    <w:rsid w:val="7E33329E"/>
    <w:rsid w:val="7E356B3F"/>
    <w:rsid w:val="7E4D0ACF"/>
    <w:rsid w:val="7E8F0D20"/>
    <w:rsid w:val="7ECC0BE1"/>
    <w:rsid w:val="7ECC412B"/>
    <w:rsid w:val="7EDD2D38"/>
    <w:rsid w:val="7EE076BA"/>
    <w:rsid w:val="7EF83185"/>
    <w:rsid w:val="7F044BC0"/>
    <w:rsid w:val="7F5C6288"/>
    <w:rsid w:val="7F6F9448"/>
    <w:rsid w:val="7FDF6364"/>
    <w:rsid w:val="7FDFDEB4"/>
    <w:rsid w:val="7FFF153B"/>
    <w:rsid w:val="BB7738DF"/>
    <w:rsid w:val="BCED1DB5"/>
    <w:rsid w:val="BFBCECD7"/>
    <w:rsid w:val="C1D0F230"/>
    <w:rsid w:val="D51B2CBB"/>
    <w:rsid w:val="DEB4792D"/>
    <w:rsid w:val="EEFF13D0"/>
    <w:rsid w:val="EEFFE8A3"/>
    <w:rsid w:val="EF73BCF5"/>
    <w:rsid w:val="F17A8A8F"/>
    <w:rsid w:val="F2FB2811"/>
    <w:rsid w:val="F7DF35F4"/>
    <w:rsid w:val="FBAF0FB1"/>
    <w:rsid w:val="FDD14CBC"/>
    <w:rsid w:val="FFFFC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styleId="4">
    <w:name w:val="heading 1"/>
    <w:basedOn w:val="1"/>
    <w:next w:val="1"/>
    <w:link w:val="75"/>
    <w:qFormat/>
    <w:uiPriority w:val="0"/>
    <w:pPr>
      <w:keepNext/>
      <w:keepLines/>
      <w:spacing w:line="360" w:lineRule="auto"/>
      <w:jc w:val="center"/>
      <w:outlineLvl w:val="0"/>
    </w:pPr>
    <w:rPr>
      <w:rFonts w:eastAsia="黑体"/>
      <w:b/>
      <w:bCs/>
      <w:kern w:val="44"/>
      <w:sz w:val="36"/>
      <w:szCs w:val="44"/>
    </w:rPr>
  </w:style>
  <w:style w:type="paragraph" w:styleId="5">
    <w:name w:val="heading 2"/>
    <w:basedOn w:val="1"/>
    <w:next w:val="1"/>
    <w:link w:val="146"/>
    <w:qFormat/>
    <w:uiPriority w:val="0"/>
    <w:pPr>
      <w:keepNext/>
      <w:keepLines/>
      <w:adjustRightInd w:val="0"/>
      <w:snapToGrid w:val="0"/>
      <w:spacing w:line="360" w:lineRule="auto"/>
      <w:jc w:val="left"/>
      <w:outlineLvl w:val="1"/>
    </w:pPr>
    <w:rPr>
      <w:rFonts w:ascii="Arial" w:hAnsi="Arial" w:eastAsia="黑体"/>
      <w:b/>
      <w:bCs/>
      <w:kern w:val="0"/>
      <w:sz w:val="28"/>
      <w:szCs w:val="32"/>
    </w:rPr>
  </w:style>
  <w:style w:type="paragraph" w:styleId="6">
    <w:name w:val="heading 3"/>
    <w:basedOn w:val="1"/>
    <w:next w:val="1"/>
    <w:link w:val="111"/>
    <w:qFormat/>
    <w:uiPriority w:val="9"/>
    <w:pPr>
      <w:keepNext/>
      <w:keepLines/>
      <w:spacing w:line="360" w:lineRule="auto"/>
      <w:outlineLvl w:val="2"/>
    </w:pPr>
    <w:rPr>
      <w:rFonts w:eastAsia="黑体"/>
      <w:b/>
      <w:bCs/>
      <w:kern w:val="0"/>
      <w:sz w:val="28"/>
      <w:szCs w:val="32"/>
    </w:rPr>
  </w:style>
  <w:style w:type="paragraph" w:styleId="7">
    <w:name w:val="heading 4"/>
    <w:basedOn w:val="1"/>
    <w:next w:val="1"/>
    <w:link w:val="73"/>
    <w:qFormat/>
    <w:uiPriority w:val="0"/>
    <w:pPr>
      <w:keepNext/>
      <w:jc w:val="center"/>
      <w:outlineLvl w:val="3"/>
    </w:pPr>
    <w:rPr>
      <w:b/>
      <w:bCs/>
      <w:spacing w:val="-2"/>
      <w:kern w:val="0"/>
      <w:sz w:val="24"/>
      <w:szCs w:val="20"/>
    </w:rPr>
  </w:style>
  <w:style w:type="paragraph" w:styleId="8">
    <w:name w:val="heading 5"/>
    <w:basedOn w:val="1"/>
    <w:next w:val="1"/>
    <w:link w:val="61"/>
    <w:qFormat/>
    <w:uiPriority w:val="0"/>
    <w:pPr>
      <w:keepNext/>
      <w:keepLines/>
      <w:spacing w:before="280" w:after="290" w:line="374" w:lineRule="auto"/>
      <w:outlineLvl w:val="4"/>
    </w:pPr>
    <w:rPr>
      <w:b/>
      <w:bCs/>
      <w:sz w:val="28"/>
      <w:szCs w:val="28"/>
    </w:rPr>
  </w:style>
  <w:style w:type="paragraph" w:styleId="9">
    <w:name w:val="heading 6"/>
    <w:basedOn w:val="1"/>
    <w:next w:val="1"/>
    <w:link w:val="80"/>
    <w:qFormat/>
    <w:uiPriority w:val="0"/>
    <w:pPr>
      <w:keepNext/>
      <w:keepLines/>
      <w:spacing w:before="240" w:after="64" w:line="320" w:lineRule="auto"/>
      <w:outlineLvl w:val="5"/>
    </w:pPr>
    <w:rPr>
      <w:rFonts w:ascii="Cambria" w:hAnsi="Cambria"/>
      <w:b/>
      <w:bCs/>
      <w:sz w:val="24"/>
    </w:rPr>
  </w:style>
  <w:style w:type="paragraph" w:styleId="10">
    <w:name w:val="heading 7"/>
    <w:basedOn w:val="1"/>
    <w:next w:val="1"/>
    <w:link w:val="153"/>
    <w:qFormat/>
    <w:uiPriority w:val="0"/>
    <w:pPr>
      <w:keepNext/>
      <w:keepLines/>
      <w:spacing w:before="240" w:after="64" w:line="320" w:lineRule="auto"/>
      <w:outlineLvl w:val="6"/>
    </w:pPr>
    <w:rPr>
      <w:b/>
      <w:bCs/>
      <w:kern w:val="0"/>
      <w:sz w:val="24"/>
    </w:rPr>
  </w:style>
  <w:style w:type="paragraph" w:styleId="11">
    <w:name w:val="heading 8"/>
    <w:basedOn w:val="1"/>
    <w:next w:val="1"/>
    <w:link w:val="95"/>
    <w:qFormat/>
    <w:uiPriority w:val="0"/>
    <w:pPr>
      <w:keepNext/>
      <w:keepLines/>
      <w:spacing w:before="240" w:after="64" w:line="320" w:lineRule="auto"/>
      <w:outlineLvl w:val="7"/>
    </w:pPr>
    <w:rPr>
      <w:rFonts w:ascii="Cambria" w:hAnsi="Cambria"/>
      <w:sz w:val="24"/>
    </w:rPr>
  </w:style>
  <w:style w:type="paragraph" w:styleId="12">
    <w:name w:val="heading 9"/>
    <w:basedOn w:val="1"/>
    <w:next w:val="1"/>
    <w:link w:val="143"/>
    <w:qFormat/>
    <w:uiPriority w:val="0"/>
    <w:pPr>
      <w:keepNext/>
      <w:keepLines/>
      <w:spacing w:before="240" w:after="64" w:line="320" w:lineRule="auto"/>
      <w:outlineLvl w:val="8"/>
    </w:pPr>
    <w:rPr>
      <w:rFonts w:ascii="Arial" w:hAnsi="Arial" w:eastAsia="黑体"/>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40"/>
    <w:qFormat/>
    <w:uiPriority w:val="99"/>
    <w:pPr>
      <w:ind w:firstLine="420" w:firstLineChars="200"/>
    </w:pPr>
    <w:rPr>
      <w:szCs w:val="20"/>
    </w:rPr>
  </w:style>
  <w:style w:type="paragraph" w:styleId="3">
    <w:name w:val="Body Text Indent"/>
    <w:basedOn w:val="1"/>
    <w:link w:val="60"/>
    <w:qFormat/>
    <w:uiPriority w:val="99"/>
    <w:pPr>
      <w:spacing w:after="120"/>
      <w:ind w:left="420" w:leftChars="200"/>
    </w:pPr>
  </w:style>
  <w:style w:type="paragraph" w:styleId="13">
    <w:name w:val="toc 7"/>
    <w:basedOn w:val="1"/>
    <w:next w:val="1"/>
    <w:qFormat/>
    <w:uiPriority w:val="39"/>
    <w:pPr>
      <w:ind w:left="1260"/>
      <w:jc w:val="left"/>
    </w:pPr>
    <w:rPr>
      <w:sz w:val="18"/>
      <w:szCs w:val="18"/>
    </w:rPr>
  </w:style>
  <w:style w:type="paragraph" w:styleId="14">
    <w:name w:val="table of authorities"/>
    <w:basedOn w:val="1"/>
    <w:next w:val="1"/>
    <w:qFormat/>
    <w:uiPriority w:val="0"/>
    <w:pPr>
      <w:spacing w:line="360" w:lineRule="auto"/>
      <w:ind w:left="200" w:leftChars="200"/>
    </w:pPr>
    <w:rPr>
      <w:sz w:val="24"/>
      <w:szCs w:val="20"/>
    </w:rPr>
  </w:style>
  <w:style w:type="paragraph" w:styleId="15">
    <w:name w:val="Normal Indent"/>
    <w:basedOn w:val="1"/>
    <w:link w:val="112"/>
    <w:qFormat/>
    <w:uiPriority w:val="0"/>
    <w:pPr>
      <w:ind w:firstLine="420"/>
    </w:pPr>
    <w:rPr>
      <w:szCs w:val="20"/>
    </w:rPr>
  </w:style>
  <w:style w:type="paragraph" w:styleId="16">
    <w:name w:val="caption"/>
    <w:basedOn w:val="1"/>
    <w:next w:val="1"/>
    <w:qFormat/>
    <w:uiPriority w:val="0"/>
    <w:rPr>
      <w:rFonts w:ascii="Arial" w:hAnsi="Arial" w:eastAsia="黑体" w:cs="Arial"/>
      <w:sz w:val="20"/>
      <w:szCs w:val="20"/>
    </w:rPr>
  </w:style>
  <w:style w:type="paragraph" w:styleId="17">
    <w:name w:val="Document Map"/>
    <w:basedOn w:val="1"/>
    <w:link w:val="62"/>
    <w:qFormat/>
    <w:uiPriority w:val="0"/>
    <w:pPr>
      <w:shd w:val="clear" w:color="auto" w:fill="000080"/>
    </w:pPr>
  </w:style>
  <w:style w:type="paragraph" w:styleId="18">
    <w:name w:val="annotation text"/>
    <w:basedOn w:val="1"/>
    <w:link w:val="137"/>
    <w:qFormat/>
    <w:uiPriority w:val="0"/>
    <w:pPr>
      <w:jc w:val="left"/>
    </w:pPr>
  </w:style>
  <w:style w:type="paragraph" w:styleId="19">
    <w:name w:val="Salutation"/>
    <w:basedOn w:val="1"/>
    <w:next w:val="1"/>
    <w:qFormat/>
    <w:uiPriority w:val="0"/>
  </w:style>
  <w:style w:type="paragraph" w:styleId="20">
    <w:name w:val="Body Text 3"/>
    <w:basedOn w:val="1"/>
    <w:link w:val="152"/>
    <w:unhideWhenUsed/>
    <w:qFormat/>
    <w:uiPriority w:val="0"/>
    <w:pPr>
      <w:spacing w:after="120"/>
      <w:jc w:val="center"/>
    </w:pPr>
    <w:rPr>
      <w:rFonts w:eastAsia="黑体"/>
      <w:sz w:val="52"/>
      <w:szCs w:val="16"/>
    </w:rPr>
  </w:style>
  <w:style w:type="paragraph" w:styleId="21">
    <w:name w:val="Body Text"/>
    <w:basedOn w:val="1"/>
    <w:link w:val="109"/>
    <w:qFormat/>
    <w:uiPriority w:val="1"/>
    <w:rPr>
      <w:rFonts w:ascii="宋体" w:hAnsi="宋体"/>
      <w:sz w:val="24"/>
    </w:rPr>
  </w:style>
  <w:style w:type="paragraph" w:styleId="22">
    <w:name w:val="List 2"/>
    <w:basedOn w:val="1"/>
    <w:qFormat/>
    <w:uiPriority w:val="0"/>
    <w:pPr>
      <w:widowControl/>
      <w:spacing w:before="20" w:after="20"/>
    </w:pPr>
    <w:rPr>
      <w:rFonts w:eastAsia="仿宋_GB2312"/>
      <w:kern w:val="0"/>
      <w:sz w:val="24"/>
      <w:szCs w:val="20"/>
    </w:rPr>
  </w:style>
  <w:style w:type="paragraph" w:styleId="23">
    <w:name w:val="Block Text"/>
    <w:basedOn w:val="1"/>
    <w:qFormat/>
    <w:uiPriority w:val="0"/>
    <w:pPr>
      <w:spacing w:after="120" w:line="360" w:lineRule="auto"/>
      <w:ind w:left="700" w:leftChars="700" w:right="700" w:rightChars="700"/>
    </w:pPr>
    <w:rPr>
      <w:rFonts w:ascii="楷体_GB2312" w:hAnsi="宋体" w:eastAsia="楷体_GB2312"/>
      <w:b/>
      <w:sz w:val="32"/>
      <w:szCs w:val="32"/>
    </w:rPr>
  </w:style>
  <w:style w:type="paragraph" w:styleId="24">
    <w:name w:val="toc 5"/>
    <w:basedOn w:val="1"/>
    <w:next w:val="1"/>
    <w:qFormat/>
    <w:uiPriority w:val="39"/>
    <w:pPr>
      <w:ind w:left="840"/>
      <w:jc w:val="left"/>
    </w:pPr>
    <w:rPr>
      <w:sz w:val="18"/>
      <w:szCs w:val="18"/>
    </w:rPr>
  </w:style>
  <w:style w:type="paragraph" w:styleId="25">
    <w:name w:val="toc 3"/>
    <w:basedOn w:val="1"/>
    <w:next w:val="1"/>
    <w:qFormat/>
    <w:uiPriority w:val="39"/>
    <w:pPr>
      <w:ind w:left="420"/>
      <w:jc w:val="left"/>
    </w:pPr>
    <w:rPr>
      <w:i/>
      <w:iCs/>
      <w:sz w:val="20"/>
      <w:szCs w:val="20"/>
    </w:rPr>
  </w:style>
  <w:style w:type="paragraph" w:styleId="26">
    <w:name w:val="Plain Text"/>
    <w:basedOn w:val="1"/>
    <w:link w:val="118"/>
    <w:qFormat/>
    <w:uiPriority w:val="0"/>
    <w:rPr>
      <w:rFonts w:ascii="宋体" w:hAnsi="Courier New"/>
      <w:szCs w:val="21"/>
    </w:rPr>
  </w:style>
  <w:style w:type="paragraph" w:styleId="27">
    <w:name w:val="toc 8"/>
    <w:basedOn w:val="1"/>
    <w:next w:val="1"/>
    <w:qFormat/>
    <w:uiPriority w:val="39"/>
    <w:pPr>
      <w:ind w:left="1470"/>
      <w:jc w:val="left"/>
    </w:pPr>
    <w:rPr>
      <w:sz w:val="18"/>
      <w:szCs w:val="18"/>
    </w:rPr>
  </w:style>
  <w:style w:type="paragraph" w:styleId="28">
    <w:name w:val="Date"/>
    <w:basedOn w:val="1"/>
    <w:next w:val="1"/>
    <w:link w:val="83"/>
    <w:qFormat/>
    <w:uiPriority w:val="0"/>
    <w:pPr>
      <w:ind w:left="100" w:leftChars="2500"/>
    </w:pPr>
    <w:rPr>
      <w:rFonts w:ascii="宋体" w:hAnsi="宋体"/>
      <w:kern w:val="0"/>
      <w:sz w:val="24"/>
      <w:szCs w:val="21"/>
    </w:rPr>
  </w:style>
  <w:style w:type="paragraph" w:styleId="29">
    <w:name w:val="Body Text Indent 2"/>
    <w:basedOn w:val="1"/>
    <w:link w:val="89"/>
    <w:qFormat/>
    <w:uiPriority w:val="0"/>
    <w:pPr>
      <w:spacing w:after="120" w:line="480" w:lineRule="auto"/>
      <w:ind w:left="420" w:leftChars="200"/>
    </w:pPr>
    <w:rPr>
      <w:kern w:val="0"/>
      <w:sz w:val="20"/>
    </w:rPr>
  </w:style>
  <w:style w:type="paragraph" w:styleId="30">
    <w:name w:val="endnote text"/>
    <w:basedOn w:val="1"/>
    <w:link w:val="72"/>
    <w:qFormat/>
    <w:uiPriority w:val="0"/>
    <w:pPr>
      <w:snapToGrid w:val="0"/>
      <w:jc w:val="left"/>
    </w:pPr>
  </w:style>
  <w:style w:type="paragraph" w:styleId="31">
    <w:name w:val="Balloon Text"/>
    <w:basedOn w:val="1"/>
    <w:link w:val="103"/>
    <w:qFormat/>
    <w:uiPriority w:val="0"/>
    <w:rPr>
      <w:sz w:val="18"/>
      <w:szCs w:val="18"/>
    </w:rPr>
  </w:style>
  <w:style w:type="paragraph" w:styleId="32">
    <w:name w:val="footer"/>
    <w:basedOn w:val="1"/>
    <w:link w:val="74"/>
    <w:qFormat/>
    <w:uiPriority w:val="99"/>
    <w:pPr>
      <w:tabs>
        <w:tab w:val="center" w:pos="4153"/>
        <w:tab w:val="right" w:pos="8306"/>
      </w:tabs>
      <w:snapToGrid w:val="0"/>
      <w:jc w:val="left"/>
    </w:pPr>
    <w:rPr>
      <w:sz w:val="18"/>
      <w:szCs w:val="18"/>
    </w:rPr>
  </w:style>
  <w:style w:type="paragraph" w:styleId="33">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spacing w:before="120" w:after="120"/>
      <w:jc w:val="left"/>
    </w:pPr>
    <w:rPr>
      <w:b/>
      <w:bCs/>
      <w:caps/>
      <w:sz w:val="20"/>
      <w:szCs w:val="20"/>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139"/>
    <w:qFormat/>
    <w:uiPriority w:val="0"/>
    <w:pPr>
      <w:spacing w:line="360" w:lineRule="auto"/>
      <w:jc w:val="center"/>
      <w:outlineLvl w:val="1"/>
    </w:pPr>
    <w:rPr>
      <w:rFonts w:ascii="Cambria" w:hAnsi="Cambria"/>
      <w:b/>
      <w:bCs/>
      <w:kern w:val="28"/>
      <w:sz w:val="32"/>
      <w:szCs w:val="32"/>
    </w:rPr>
  </w:style>
  <w:style w:type="paragraph" w:styleId="37">
    <w:name w:val="footnote text"/>
    <w:basedOn w:val="1"/>
    <w:link w:val="113"/>
    <w:qFormat/>
    <w:uiPriority w:val="0"/>
    <w:pPr>
      <w:snapToGrid w:val="0"/>
      <w:jc w:val="left"/>
    </w:pPr>
    <w:rPr>
      <w:sz w:val="18"/>
      <w:szCs w:val="18"/>
    </w:rPr>
  </w:style>
  <w:style w:type="paragraph" w:styleId="38">
    <w:name w:val="toc 6"/>
    <w:basedOn w:val="1"/>
    <w:next w:val="1"/>
    <w:qFormat/>
    <w:uiPriority w:val="39"/>
    <w:pPr>
      <w:ind w:left="1050"/>
      <w:jc w:val="left"/>
    </w:pPr>
    <w:rPr>
      <w:sz w:val="18"/>
      <w:szCs w:val="18"/>
    </w:rPr>
  </w:style>
  <w:style w:type="paragraph" w:styleId="39">
    <w:name w:val="Body Text Indent 3"/>
    <w:basedOn w:val="1"/>
    <w:link w:val="106"/>
    <w:qFormat/>
    <w:uiPriority w:val="0"/>
    <w:pPr>
      <w:spacing w:line="440" w:lineRule="exact"/>
      <w:ind w:firstLine="480"/>
    </w:pPr>
    <w:rPr>
      <w:rFonts w:ascii="宋体" w:hAnsi="宋体"/>
      <w:kern w:val="0"/>
      <w:sz w:val="24"/>
    </w:rPr>
  </w:style>
  <w:style w:type="paragraph" w:styleId="40">
    <w:name w:val="toc 2"/>
    <w:basedOn w:val="1"/>
    <w:next w:val="1"/>
    <w:qFormat/>
    <w:uiPriority w:val="39"/>
    <w:pPr>
      <w:tabs>
        <w:tab w:val="right" w:leader="dot" w:pos="9282"/>
      </w:tabs>
      <w:spacing w:line="480" w:lineRule="auto"/>
      <w:ind w:left="210"/>
      <w:jc w:val="left"/>
    </w:pPr>
    <w:rPr>
      <w:smallCaps/>
      <w:sz w:val="24"/>
    </w:rPr>
  </w:style>
  <w:style w:type="paragraph" w:styleId="41">
    <w:name w:val="toc 9"/>
    <w:basedOn w:val="1"/>
    <w:next w:val="1"/>
    <w:qFormat/>
    <w:uiPriority w:val="39"/>
    <w:pPr>
      <w:ind w:left="1680"/>
      <w:jc w:val="left"/>
    </w:pPr>
    <w:rPr>
      <w:sz w:val="18"/>
      <w:szCs w:val="18"/>
    </w:rPr>
  </w:style>
  <w:style w:type="paragraph" w:styleId="42">
    <w:name w:val="Body Text 2"/>
    <w:basedOn w:val="1"/>
    <w:link w:val="101"/>
    <w:qFormat/>
    <w:uiPriority w:val="0"/>
    <w:pPr>
      <w:spacing w:line="240" w:lineRule="atLeast"/>
      <w:jc w:val="center"/>
    </w:pPr>
    <w:rPr>
      <w:kern w:val="0"/>
      <w:sz w:val="20"/>
      <w:szCs w:val="20"/>
    </w:rPr>
  </w:style>
  <w:style w:type="paragraph" w:styleId="43">
    <w:name w:val="HTML Preformatted"/>
    <w:basedOn w:val="1"/>
    <w:link w:val="11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4">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45">
    <w:name w:val="index 1"/>
    <w:basedOn w:val="1"/>
    <w:next w:val="1"/>
    <w:qFormat/>
    <w:uiPriority w:val="0"/>
  </w:style>
  <w:style w:type="paragraph" w:styleId="46">
    <w:name w:val="Title"/>
    <w:basedOn w:val="1"/>
    <w:link w:val="87"/>
    <w:qFormat/>
    <w:uiPriority w:val="0"/>
    <w:pPr>
      <w:tabs>
        <w:tab w:val="left" w:pos="360"/>
      </w:tabs>
      <w:spacing w:line="360" w:lineRule="auto"/>
      <w:ind w:left="360" w:hanging="360" w:hangingChars="200"/>
      <w:jc w:val="center"/>
    </w:pPr>
    <w:rPr>
      <w:rFonts w:ascii="宋体" w:hAnsi="宋体" w:eastAsia="楷体"/>
      <w:b/>
      <w:bCs/>
      <w:kern w:val="44"/>
      <w:sz w:val="84"/>
      <w:szCs w:val="44"/>
    </w:rPr>
  </w:style>
  <w:style w:type="paragraph" w:styleId="47">
    <w:name w:val="annotation subject"/>
    <w:basedOn w:val="18"/>
    <w:next w:val="18"/>
    <w:link w:val="93"/>
    <w:qFormat/>
    <w:uiPriority w:val="0"/>
    <w:rPr>
      <w:b/>
      <w:bCs/>
    </w:r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endnote reference"/>
    <w:qFormat/>
    <w:uiPriority w:val="0"/>
    <w:rPr>
      <w:vertAlign w:val="superscript"/>
    </w:rPr>
  </w:style>
  <w:style w:type="character" w:styleId="53">
    <w:name w:val="page number"/>
    <w:basedOn w:val="50"/>
    <w:qFormat/>
    <w:uiPriority w:val="0"/>
  </w:style>
  <w:style w:type="character" w:styleId="54">
    <w:name w:val="FollowedHyperlink"/>
    <w:qFormat/>
    <w:uiPriority w:val="0"/>
    <w:rPr>
      <w:color w:val="800080"/>
      <w:u w:val="single"/>
    </w:rPr>
  </w:style>
  <w:style w:type="character" w:styleId="55">
    <w:name w:val="Emphasis"/>
    <w:qFormat/>
    <w:uiPriority w:val="0"/>
    <w:rPr>
      <w:rFonts w:ascii="宋体" w:eastAsia="宋体"/>
      <w:i/>
      <w:iCs/>
      <w:sz w:val="24"/>
    </w:rPr>
  </w:style>
  <w:style w:type="character" w:styleId="56">
    <w:name w:val="Hyperlink"/>
    <w:unhideWhenUsed/>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Char Char15"/>
    <w:qFormat/>
    <w:uiPriority w:val="0"/>
    <w:rPr>
      <w:rFonts w:ascii="Arial" w:hAnsi="Arial" w:eastAsia="黑体"/>
      <w:b/>
      <w:bCs/>
      <w:kern w:val="2"/>
      <w:sz w:val="28"/>
      <w:szCs w:val="28"/>
    </w:rPr>
  </w:style>
  <w:style w:type="character" w:customStyle="1" w:styleId="60">
    <w:name w:val="正文文本缩进 字符"/>
    <w:link w:val="3"/>
    <w:qFormat/>
    <w:uiPriority w:val="99"/>
    <w:rPr>
      <w:kern w:val="2"/>
      <w:sz w:val="21"/>
      <w:szCs w:val="24"/>
    </w:rPr>
  </w:style>
  <w:style w:type="character" w:customStyle="1" w:styleId="61">
    <w:name w:val="标题 5 字符"/>
    <w:link w:val="8"/>
    <w:qFormat/>
    <w:uiPriority w:val="0"/>
    <w:rPr>
      <w:b/>
      <w:bCs/>
      <w:kern w:val="2"/>
      <w:sz w:val="28"/>
      <w:szCs w:val="28"/>
    </w:rPr>
  </w:style>
  <w:style w:type="character" w:customStyle="1" w:styleId="62">
    <w:name w:val="文档结构图 字符"/>
    <w:link w:val="17"/>
    <w:qFormat/>
    <w:uiPriority w:val="0"/>
    <w:rPr>
      <w:kern w:val="2"/>
      <w:sz w:val="21"/>
      <w:szCs w:val="24"/>
      <w:shd w:val="clear" w:color="auto" w:fill="000080"/>
    </w:rPr>
  </w:style>
  <w:style w:type="character" w:customStyle="1" w:styleId="63">
    <w:name w:val="标题 9 Char"/>
    <w:qFormat/>
    <w:uiPriority w:val="0"/>
    <w:rPr>
      <w:rFonts w:ascii="Arial" w:hAnsi="Arial" w:eastAsia="黑体"/>
      <w:kern w:val="2"/>
      <w:sz w:val="21"/>
      <w:szCs w:val="21"/>
    </w:rPr>
  </w:style>
  <w:style w:type="character" w:customStyle="1" w:styleId="64">
    <w:name w:val="正文文本缩进 2 Char"/>
    <w:qFormat/>
    <w:uiPriority w:val="0"/>
    <w:rPr>
      <w:szCs w:val="24"/>
    </w:rPr>
  </w:style>
  <w:style w:type="character" w:customStyle="1" w:styleId="65">
    <w:name w:val="xiaozi01 style46"/>
    <w:basedOn w:val="50"/>
    <w:qFormat/>
    <w:uiPriority w:val="0"/>
  </w:style>
  <w:style w:type="character" w:customStyle="1" w:styleId="66">
    <w:name w:val="Char Char8"/>
    <w:qFormat/>
    <w:uiPriority w:val="0"/>
    <w:rPr>
      <w:kern w:val="2"/>
      <w:sz w:val="21"/>
      <w:szCs w:val="24"/>
    </w:rPr>
  </w:style>
  <w:style w:type="character" w:customStyle="1" w:styleId="67">
    <w:name w:val="ca-4"/>
    <w:qFormat/>
    <w:uiPriority w:val="0"/>
  </w:style>
  <w:style w:type="character" w:customStyle="1" w:styleId="68">
    <w:name w:val="标题 2 Char"/>
    <w:qFormat/>
    <w:uiPriority w:val="0"/>
    <w:rPr>
      <w:rFonts w:ascii="Arial" w:hAnsi="Arial" w:eastAsia="方正兰亭超细黑简体" w:cs="Times New Roman"/>
      <w:b/>
      <w:bCs/>
      <w:sz w:val="28"/>
      <w:szCs w:val="32"/>
    </w:rPr>
  </w:style>
  <w:style w:type="character" w:customStyle="1" w:styleId="69">
    <w:name w:val="纯文本 字符1"/>
    <w:qFormat/>
    <w:uiPriority w:val="0"/>
    <w:rPr>
      <w:rFonts w:ascii="宋体" w:hAnsi="Courier New" w:eastAsia="宋体" w:cs="Courier New"/>
      <w:kern w:val="2"/>
      <w:sz w:val="21"/>
      <w:szCs w:val="21"/>
      <w:lang w:val="en-US" w:eastAsia="zh-CN" w:bidi="ar-SA"/>
    </w:rPr>
  </w:style>
  <w:style w:type="character" w:customStyle="1" w:styleId="70">
    <w:name w:val="Char Char12"/>
    <w:qFormat/>
    <w:uiPriority w:val="0"/>
    <w:rPr>
      <w:rFonts w:ascii="Arial" w:hAnsi="Arial" w:eastAsia="黑体"/>
      <w:sz w:val="24"/>
      <w:szCs w:val="24"/>
    </w:rPr>
  </w:style>
  <w:style w:type="character" w:customStyle="1" w:styleId="71">
    <w:name w:val="标题 1 Char"/>
    <w:qFormat/>
    <w:uiPriority w:val="0"/>
    <w:rPr>
      <w:rFonts w:eastAsia="黑体"/>
      <w:b/>
      <w:bCs/>
      <w:kern w:val="44"/>
      <w:sz w:val="52"/>
      <w:szCs w:val="44"/>
    </w:rPr>
  </w:style>
  <w:style w:type="character" w:customStyle="1" w:styleId="72">
    <w:name w:val="尾注文本 字符"/>
    <w:link w:val="30"/>
    <w:qFormat/>
    <w:uiPriority w:val="0"/>
    <w:rPr>
      <w:kern w:val="2"/>
      <w:sz w:val="21"/>
      <w:szCs w:val="24"/>
    </w:rPr>
  </w:style>
  <w:style w:type="character" w:customStyle="1" w:styleId="73">
    <w:name w:val="标题 4 字符"/>
    <w:link w:val="7"/>
    <w:qFormat/>
    <w:uiPriority w:val="0"/>
    <w:rPr>
      <w:rFonts w:cs="Times New Roman"/>
      <w:b/>
      <w:bCs/>
      <w:spacing w:val="-2"/>
      <w:sz w:val="24"/>
    </w:rPr>
  </w:style>
  <w:style w:type="character" w:customStyle="1" w:styleId="74">
    <w:name w:val="页脚 字符"/>
    <w:link w:val="32"/>
    <w:qFormat/>
    <w:uiPriority w:val="99"/>
    <w:rPr>
      <w:kern w:val="2"/>
      <w:sz w:val="18"/>
      <w:szCs w:val="18"/>
    </w:rPr>
  </w:style>
  <w:style w:type="character" w:customStyle="1" w:styleId="75">
    <w:name w:val="标题 1 字符"/>
    <w:link w:val="4"/>
    <w:qFormat/>
    <w:uiPriority w:val="0"/>
    <w:rPr>
      <w:rFonts w:eastAsia="黑体"/>
      <w:b/>
      <w:bCs/>
      <w:kern w:val="44"/>
      <w:sz w:val="36"/>
      <w:szCs w:val="44"/>
    </w:rPr>
  </w:style>
  <w:style w:type="character" w:customStyle="1" w:styleId="76">
    <w:name w:val="纯文本 Char1"/>
    <w:qFormat/>
    <w:uiPriority w:val="0"/>
    <w:rPr>
      <w:rFonts w:ascii="宋体" w:hAnsi="Courier New" w:eastAsia="宋体" w:cs="Courier New"/>
      <w:kern w:val="2"/>
      <w:sz w:val="21"/>
      <w:szCs w:val="21"/>
      <w:lang w:val="en-US" w:eastAsia="zh-CN" w:bidi="ar-SA"/>
    </w:rPr>
  </w:style>
  <w:style w:type="character" w:customStyle="1" w:styleId="77">
    <w:name w:val="标题 5 Char"/>
    <w:qFormat/>
    <w:uiPriority w:val="0"/>
    <w:rPr>
      <w:b/>
      <w:bCs/>
      <w:kern w:val="2"/>
      <w:sz w:val="28"/>
      <w:szCs w:val="28"/>
    </w:rPr>
  </w:style>
  <w:style w:type="character" w:customStyle="1" w:styleId="78">
    <w:name w:val="副标题 Char"/>
    <w:qFormat/>
    <w:uiPriority w:val="0"/>
    <w:rPr>
      <w:rFonts w:ascii="Cambria" w:hAnsi="Cambria"/>
      <w:b/>
      <w:bCs/>
      <w:kern w:val="28"/>
      <w:sz w:val="32"/>
      <w:szCs w:val="32"/>
    </w:rPr>
  </w:style>
  <w:style w:type="character" w:customStyle="1" w:styleId="79">
    <w:name w:val="标题 Char"/>
    <w:qFormat/>
    <w:uiPriority w:val="0"/>
    <w:rPr>
      <w:rFonts w:ascii="宋体" w:hAnsi="宋体" w:eastAsia="黑体"/>
      <w:b/>
      <w:bCs/>
      <w:kern w:val="44"/>
      <w:sz w:val="52"/>
      <w:szCs w:val="44"/>
    </w:rPr>
  </w:style>
  <w:style w:type="character" w:customStyle="1" w:styleId="80">
    <w:name w:val="标题 6 字符"/>
    <w:link w:val="9"/>
    <w:qFormat/>
    <w:uiPriority w:val="0"/>
    <w:rPr>
      <w:rFonts w:ascii="Cambria" w:hAnsi="Cambria" w:cs="Times New Roman"/>
      <w:b/>
      <w:bCs/>
      <w:kern w:val="2"/>
      <w:sz w:val="24"/>
      <w:szCs w:val="24"/>
    </w:rPr>
  </w:style>
  <w:style w:type="character" w:customStyle="1" w:styleId="81">
    <w:name w:val="unnamed11"/>
    <w:qFormat/>
    <w:uiPriority w:val="0"/>
    <w:rPr>
      <w:sz w:val="21"/>
      <w:szCs w:val="21"/>
    </w:rPr>
  </w:style>
  <w:style w:type="character" w:customStyle="1" w:styleId="82">
    <w:name w:val="Char Char16"/>
    <w:qFormat/>
    <w:uiPriority w:val="0"/>
    <w:rPr>
      <w:b/>
      <w:bCs/>
      <w:kern w:val="2"/>
      <w:sz w:val="32"/>
      <w:szCs w:val="32"/>
    </w:rPr>
  </w:style>
  <w:style w:type="character" w:customStyle="1" w:styleId="83">
    <w:name w:val="日期 字符"/>
    <w:link w:val="28"/>
    <w:qFormat/>
    <w:uiPriority w:val="0"/>
    <w:rPr>
      <w:rFonts w:ascii="宋体" w:hAnsi="宋体"/>
      <w:sz w:val="24"/>
      <w:szCs w:val="21"/>
    </w:rPr>
  </w:style>
  <w:style w:type="character" w:customStyle="1" w:styleId="84">
    <w:name w:val="Char Char13"/>
    <w:qFormat/>
    <w:uiPriority w:val="0"/>
    <w:rPr>
      <w:b/>
      <w:bCs/>
      <w:sz w:val="24"/>
      <w:szCs w:val="24"/>
    </w:rPr>
  </w:style>
  <w:style w:type="character" w:customStyle="1" w:styleId="85">
    <w:name w:val="使用正文 Char"/>
    <w:link w:val="86"/>
    <w:qFormat/>
    <w:uiPriority w:val="0"/>
    <w:rPr>
      <w:rFonts w:eastAsia="仿宋_GB2312"/>
      <w:sz w:val="24"/>
      <w:lang w:val="en-US" w:eastAsia="zh-CN" w:bidi="ar-SA"/>
    </w:rPr>
  </w:style>
  <w:style w:type="paragraph" w:customStyle="1" w:styleId="86">
    <w:name w:val="使用正文"/>
    <w:link w:val="85"/>
    <w:qFormat/>
    <w:uiPriority w:val="0"/>
    <w:pPr>
      <w:widowControl w:val="0"/>
      <w:adjustRightInd w:val="0"/>
      <w:snapToGrid w:val="0"/>
      <w:spacing w:after="160" w:line="288" w:lineRule="auto"/>
      <w:ind w:firstLine="482"/>
      <w:jc w:val="both"/>
    </w:pPr>
    <w:rPr>
      <w:rFonts w:ascii="Calibri" w:hAnsi="Calibri" w:eastAsia="仿宋_GB2312" w:cs="Times New Roman"/>
      <w:sz w:val="24"/>
      <w:lang w:val="en-US" w:eastAsia="zh-CN" w:bidi="ar-SA"/>
    </w:rPr>
  </w:style>
  <w:style w:type="character" w:customStyle="1" w:styleId="87">
    <w:name w:val="标题 字符"/>
    <w:link w:val="46"/>
    <w:qFormat/>
    <w:uiPriority w:val="0"/>
    <w:rPr>
      <w:rFonts w:ascii="宋体" w:hAnsi="宋体" w:eastAsia="楷体" w:cs="Times New Roman"/>
      <w:b/>
      <w:bCs/>
      <w:kern w:val="44"/>
      <w:sz w:val="84"/>
      <w:szCs w:val="44"/>
    </w:rPr>
  </w:style>
  <w:style w:type="character" w:customStyle="1" w:styleId="88">
    <w:name w:val="标题 6 Char"/>
    <w:qFormat/>
    <w:uiPriority w:val="0"/>
    <w:rPr>
      <w:rFonts w:ascii="Cambria" w:hAnsi="Cambria"/>
      <w:b/>
      <w:bCs/>
      <w:kern w:val="2"/>
      <w:sz w:val="24"/>
      <w:szCs w:val="24"/>
    </w:rPr>
  </w:style>
  <w:style w:type="character" w:customStyle="1" w:styleId="89">
    <w:name w:val="正文文本缩进 2 字符"/>
    <w:link w:val="29"/>
    <w:qFormat/>
    <w:uiPriority w:val="0"/>
    <w:rPr>
      <w:szCs w:val="24"/>
    </w:rPr>
  </w:style>
  <w:style w:type="character" w:customStyle="1" w:styleId="90">
    <w:name w:val="脚注文本 Char"/>
    <w:qFormat/>
    <w:uiPriority w:val="0"/>
    <w:rPr>
      <w:rFonts w:eastAsia="宋体"/>
      <w:kern w:val="2"/>
      <w:sz w:val="18"/>
      <w:szCs w:val="18"/>
      <w:lang w:val="en-US" w:eastAsia="zh-CN" w:bidi="ar-SA"/>
    </w:rPr>
  </w:style>
  <w:style w:type="character" w:customStyle="1" w:styleId="91">
    <w:name w:val="内容 Char"/>
    <w:link w:val="92"/>
    <w:qFormat/>
    <w:uiPriority w:val="0"/>
    <w:rPr>
      <w:szCs w:val="24"/>
    </w:rPr>
  </w:style>
  <w:style w:type="paragraph" w:customStyle="1" w:styleId="92">
    <w:name w:val="内容"/>
    <w:basedOn w:val="1"/>
    <w:link w:val="91"/>
    <w:qFormat/>
    <w:uiPriority w:val="0"/>
    <w:pPr>
      <w:spacing w:line="480" w:lineRule="exact"/>
      <w:ind w:firstLine="200" w:firstLineChars="200"/>
    </w:pPr>
    <w:rPr>
      <w:kern w:val="0"/>
      <w:sz w:val="20"/>
    </w:rPr>
  </w:style>
  <w:style w:type="character" w:customStyle="1" w:styleId="93">
    <w:name w:val="批注主题 字符"/>
    <w:link w:val="47"/>
    <w:qFormat/>
    <w:uiPriority w:val="0"/>
    <w:rPr>
      <w:b/>
      <w:bCs/>
      <w:kern w:val="2"/>
      <w:sz w:val="21"/>
      <w:szCs w:val="24"/>
    </w:rPr>
  </w:style>
  <w:style w:type="character" w:customStyle="1" w:styleId="94">
    <w:name w:val="正文文本 3 Char"/>
    <w:qFormat/>
    <w:uiPriority w:val="0"/>
    <w:rPr>
      <w:rFonts w:ascii="Calibri" w:hAnsi="Calibri"/>
      <w:kern w:val="2"/>
      <w:sz w:val="16"/>
      <w:szCs w:val="16"/>
    </w:rPr>
  </w:style>
  <w:style w:type="character" w:customStyle="1" w:styleId="95">
    <w:name w:val="标题 8 字符"/>
    <w:link w:val="11"/>
    <w:qFormat/>
    <w:uiPriority w:val="0"/>
    <w:rPr>
      <w:rFonts w:ascii="Cambria" w:hAnsi="Cambria" w:cs="Times New Roman"/>
      <w:kern w:val="2"/>
      <w:sz w:val="24"/>
      <w:szCs w:val="24"/>
    </w:rPr>
  </w:style>
  <w:style w:type="character" w:customStyle="1" w:styleId="96">
    <w:name w:val="标题 7 Char"/>
    <w:qFormat/>
    <w:uiPriority w:val="0"/>
    <w:rPr>
      <w:b/>
      <w:bCs/>
      <w:sz w:val="24"/>
      <w:szCs w:val="24"/>
    </w:rPr>
  </w:style>
  <w:style w:type="character" w:customStyle="1" w:styleId="97">
    <w:name w:val="Char Char5"/>
    <w:qFormat/>
    <w:uiPriority w:val="0"/>
    <w:rPr>
      <w:kern w:val="2"/>
      <w:sz w:val="18"/>
      <w:szCs w:val="18"/>
    </w:rPr>
  </w:style>
  <w:style w:type="character" w:customStyle="1" w:styleId="98">
    <w:name w:val="正文文本缩进 3 Char"/>
    <w:qFormat/>
    <w:uiPriority w:val="0"/>
    <w:rPr>
      <w:rFonts w:ascii="宋体" w:hAnsi="宋体"/>
      <w:sz w:val="24"/>
      <w:szCs w:val="24"/>
    </w:rPr>
  </w:style>
  <w:style w:type="character" w:customStyle="1" w:styleId="99">
    <w:name w:val="unnamed2"/>
    <w:qFormat/>
    <w:uiPriority w:val="0"/>
  </w:style>
  <w:style w:type="character" w:customStyle="1" w:styleId="100">
    <w:name w:val="尾注文本 Char"/>
    <w:qFormat/>
    <w:uiPriority w:val="99"/>
    <w:rPr>
      <w:kern w:val="2"/>
      <w:sz w:val="21"/>
      <w:szCs w:val="24"/>
    </w:rPr>
  </w:style>
  <w:style w:type="character" w:customStyle="1" w:styleId="101">
    <w:name w:val="正文文本 2 字符"/>
    <w:basedOn w:val="50"/>
    <w:link w:val="42"/>
    <w:qFormat/>
    <w:uiPriority w:val="0"/>
  </w:style>
  <w:style w:type="character" w:customStyle="1" w:styleId="102">
    <w:name w:val="Char Char11"/>
    <w:qFormat/>
    <w:uiPriority w:val="0"/>
    <w:rPr>
      <w:rFonts w:ascii="Arial" w:hAnsi="Arial" w:eastAsia="黑体"/>
      <w:sz w:val="21"/>
      <w:szCs w:val="21"/>
    </w:rPr>
  </w:style>
  <w:style w:type="character" w:customStyle="1" w:styleId="103">
    <w:name w:val="批注框文本 字符"/>
    <w:link w:val="31"/>
    <w:qFormat/>
    <w:uiPriority w:val="0"/>
    <w:rPr>
      <w:kern w:val="2"/>
      <w:sz w:val="18"/>
      <w:szCs w:val="18"/>
    </w:rPr>
  </w:style>
  <w:style w:type="character" w:customStyle="1" w:styleId="104">
    <w:name w:val="纯文本 Char2"/>
    <w:qFormat/>
    <w:uiPriority w:val="0"/>
    <w:rPr>
      <w:rFonts w:ascii="宋体" w:hAnsi="Courier New" w:eastAsia="宋体" w:cs="Courier New"/>
      <w:kern w:val="2"/>
      <w:sz w:val="21"/>
      <w:szCs w:val="21"/>
      <w:lang w:val="en-US" w:eastAsia="zh-CN" w:bidi="ar-SA"/>
    </w:rPr>
  </w:style>
  <w:style w:type="character" w:customStyle="1" w:styleId="105">
    <w:name w:val="日期 Char"/>
    <w:qFormat/>
    <w:uiPriority w:val="0"/>
    <w:rPr>
      <w:rFonts w:ascii="宋体" w:hAnsi="宋体"/>
      <w:sz w:val="24"/>
      <w:szCs w:val="21"/>
    </w:rPr>
  </w:style>
  <w:style w:type="character" w:customStyle="1" w:styleId="106">
    <w:name w:val="正文文本缩进 3 字符"/>
    <w:link w:val="39"/>
    <w:qFormat/>
    <w:uiPriority w:val="0"/>
    <w:rPr>
      <w:rFonts w:ascii="宋体" w:hAnsi="宋体"/>
      <w:sz w:val="24"/>
      <w:szCs w:val="24"/>
    </w:rPr>
  </w:style>
  <w:style w:type="character" w:customStyle="1" w:styleId="107">
    <w:name w:val="Char Char"/>
    <w:qFormat/>
    <w:uiPriority w:val="0"/>
    <w:rPr>
      <w:kern w:val="2"/>
      <w:sz w:val="21"/>
      <w:szCs w:val="24"/>
    </w:rPr>
  </w:style>
  <w:style w:type="character" w:customStyle="1" w:styleId="108">
    <w:name w:val="ca-3"/>
    <w:basedOn w:val="50"/>
    <w:qFormat/>
    <w:uiPriority w:val="0"/>
  </w:style>
  <w:style w:type="character" w:customStyle="1" w:styleId="109">
    <w:name w:val="正文文本 字符"/>
    <w:link w:val="21"/>
    <w:qFormat/>
    <w:uiPriority w:val="1"/>
    <w:rPr>
      <w:rFonts w:ascii="宋体" w:hAnsi="宋体" w:cs="宋体"/>
      <w:kern w:val="2"/>
      <w:sz w:val="24"/>
      <w:szCs w:val="24"/>
    </w:rPr>
  </w:style>
  <w:style w:type="character" w:customStyle="1" w:styleId="110">
    <w:name w:val="批注主题 Char"/>
    <w:qFormat/>
    <w:uiPriority w:val="0"/>
    <w:rPr>
      <w:b/>
      <w:bCs/>
      <w:kern w:val="2"/>
      <w:sz w:val="21"/>
      <w:szCs w:val="24"/>
    </w:rPr>
  </w:style>
  <w:style w:type="character" w:customStyle="1" w:styleId="111">
    <w:name w:val="标题 3 字符"/>
    <w:link w:val="6"/>
    <w:qFormat/>
    <w:uiPriority w:val="9"/>
    <w:rPr>
      <w:rFonts w:eastAsia="黑体"/>
      <w:b/>
      <w:bCs/>
      <w:sz w:val="28"/>
      <w:szCs w:val="32"/>
    </w:rPr>
  </w:style>
  <w:style w:type="character" w:customStyle="1" w:styleId="112">
    <w:name w:val="正文缩进 字符"/>
    <w:link w:val="15"/>
    <w:qFormat/>
    <w:uiPriority w:val="0"/>
    <w:rPr>
      <w:kern w:val="2"/>
      <w:sz w:val="21"/>
    </w:rPr>
  </w:style>
  <w:style w:type="character" w:customStyle="1" w:styleId="113">
    <w:name w:val="脚注文本 字符1"/>
    <w:link w:val="37"/>
    <w:qFormat/>
    <w:uiPriority w:val="0"/>
    <w:rPr>
      <w:rFonts w:eastAsia="宋体"/>
      <w:kern w:val="2"/>
      <w:sz w:val="18"/>
      <w:szCs w:val="18"/>
      <w:lang w:val="en-US" w:eastAsia="zh-CN" w:bidi="ar-SA"/>
    </w:rPr>
  </w:style>
  <w:style w:type="character" w:customStyle="1" w:styleId="114">
    <w:name w:val="页脚 Char"/>
    <w:qFormat/>
    <w:uiPriority w:val="99"/>
    <w:rPr>
      <w:kern w:val="2"/>
      <w:sz w:val="18"/>
      <w:szCs w:val="18"/>
    </w:rPr>
  </w:style>
  <w:style w:type="character" w:customStyle="1" w:styleId="115">
    <w:name w:val="文档结构图 Char"/>
    <w:qFormat/>
    <w:uiPriority w:val="0"/>
    <w:rPr>
      <w:kern w:val="2"/>
      <w:sz w:val="21"/>
      <w:szCs w:val="24"/>
      <w:shd w:val="clear" w:color="auto" w:fill="000080"/>
    </w:rPr>
  </w:style>
  <w:style w:type="character" w:customStyle="1" w:styleId="116">
    <w:name w:val="Char Char6"/>
    <w:qFormat/>
    <w:uiPriority w:val="0"/>
    <w:rPr>
      <w:kern w:val="2"/>
      <w:sz w:val="16"/>
      <w:szCs w:val="16"/>
    </w:rPr>
  </w:style>
  <w:style w:type="character" w:customStyle="1" w:styleId="117">
    <w:name w:val="fontstyle01"/>
    <w:qFormat/>
    <w:uiPriority w:val="0"/>
    <w:rPr>
      <w:rFonts w:hint="eastAsia" w:ascii="宋体" w:hAnsi="宋体" w:eastAsia="宋体"/>
      <w:color w:val="000000"/>
      <w:sz w:val="28"/>
      <w:szCs w:val="28"/>
    </w:rPr>
  </w:style>
  <w:style w:type="character" w:customStyle="1" w:styleId="118">
    <w:name w:val="纯文本 字符2"/>
    <w:link w:val="26"/>
    <w:qFormat/>
    <w:uiPriority w:val="0"/>
    <w:rPr>
      <w:rFonts w:ascii="宋体" w:hAnsi="Courier New" w:cs="Courier New"/>
      <w:kern w:val="2"/>
      <w:sz w:val="21"/>
      <w:szCs w:val="21"/>
    </w:rPr>
  </w:style>
  <w:style w:type="character" w:customStyle="1" w:styleId="119">
    <w:name w:val="HTML 预设格式 字符"/>
    <w:link w:val="43"/>
    <w:qFormat/>
    <w:uiPriority w:val="99"/>
    <w:rPr>
      <w:rFonts w:ascii="宋体" w:hAnsi="宋体" w:cs="宋体"/>
      <w:sz w:val="24"/>
      <w:szCs w:val="24"/>
    </w:rPr>
  </w:style>
  <w:style w:type="character" w:customStyle="1" w:styleId="120">
    <w:name w:val="正文文本缩进 Char"/>
    <w:qFormat/>
    <w:uiPriority w:val="0"/>
    <w:rPr>
      <w:kern w:val="2"/>
      <w:sz w:val="21"/>
      <w:szCs w:val="24"/>
    </w:rPr>
  </w:style>
  <w:style w:type="character" w:customStyle="1" w:styleId="121">
    <w:name w:val="页眉 Char"/>
    <w:qFormat/>
    <w:uiPriority w:val="0"/>
    <w:rPr>
      <w:kern w:val="2"/>
      <w:sz w:val="18"/>
      <w:szCs w:val="18"/>
    </w:rPr>
  </w:style>
  <w:style w:type="character" w:customStyle="1" w:styleId="122">
    <w:name w:val="14-6/6-2题"/>
    <w:qFormat/>
    <w:uiPriority w:val="0"/>
    <w:rPr>
      <w:spacing w:val="0"/>
      <w:kern w:val="28"/>
      <w:position w:val="-4"/>
      <w:sz w:val="15"/>
    </w:rPr>
  </w:style>
  <w:style w:type="character" w:customStyle="1" w:styleId="123">
    <w:name w:val="fontstyle21"/>
    <w:qFormat/>
    <w:uiPriority w:val="0"/>
    <w:rPr>
      <w:rFonts w:hint="default" w:ascii="Calibri-Bold" w:hAnsi="Calibri-Bold"/>
      <w:b/>
      <w:bCs/>
      <w:color w:val="000000"/>
      <w:sz w:val="18"/>
      <w:szCs w:val="18"/>
    </w:rPr>
  </w:style>
  <w:style w:type="character" w:customStyle="1" w:styleId="124">
    <w:name w:val="Char Char3"/>
    <w:qFormat/>
    <w:uiPriority w:val="0"/>
    <w:rPr>
      <w:rFonts w:ascii="仿宋_GB2312" w:eastAsia="仿宋_GB2312"/>
      <w:kern w:val="2"/>
      <w:sz w:val="28"/>
      <w:szCs w:val="24"/>
    </w:rPr>
  </w:style>
  <w:style w:type="character" w:customStyle="1" w:styleId="125">
    <w:name w:val="普通文字 Char Char"/>
    <w:qFormat/>
    <w:uiPriority w:val="0"/>
    <w:rPr>
      <w:rFonts w:ascii="宋体" w:hAnsi="Courier New" w:eastAsia="宋体" w:cs="Courier New"/>
      <w:kern w:val="2"/>
      <w:sz w:val="21"/>
      <w:szCs w:val="21"/>
      <w:lang w:val="en-US" w:eastAsia="zh-CN" w:bidi="ar-SA"/>
    </w:rPr>
  </w:style>
  <w:style w:type="character" w:customStyle="1" w:styleId="126">
    <w:name w:val="标题 8 Char"/>
    <w:qFormat/>
    <w:uiPriority w:val="0"/>
    <w:rPr>
      <w:rFonts w:ascii="Cambria" w:hAnsi="Cambria"/>
      <w:kern w:val="2"/>
      <w:sz w:val="24"/>
      <w:szCs w:val="24"/>
    </w:rPr>
  </w:style>
  <w:style w:type="character" w:customStyle="1" w:styleId="127">
    <w:name w:val="Char Char17"/>
    <w:qFormat/>
    <w:uiPriority w:val="0"/>
    <w:rPr>
      <w:rFonts w:ascii="Arial" w:hAnsi="Arial" w:eastAsia="黑体"/>
      <w:b/>
      <w:bCs/>
      <w:kern w:val="2"/>
      <w:sz w:val="32"/>
      <w:szCs w:val="32"/>
    </w:rPr>
  </w:style>
  <w:style w:type="character" w:customStyle="1" w:styleId="128">
    <w:name w:val="Char Char4"/>
    <w:qFormat/>
    <w:uiPriority w:val="0"/>
    <w:rPr>
      <w:kern w:val="2"/>
      <w:sz w:val="21"/>
      <w:szCs w:val="24"/>
      <w:shd w:val="clear" w:color="auto" w:fill="000080"/>
    </w:rPr>
  </w:style>
  <w:style w:type="character" w:customStyle="1" w:styleId="129">
    <w:name w:val="正文文字4 Char Char"/>
    <w:qFormat/>
    <w:uiPriority w:val="0"/>
    <w:rPr>
      <w:kern w:val="2"/>
      <w:sz w:val="21"/>
      <w:szCs w:val="24"/>
    </w:rPr>
  </w:style>
  <w:style w:type="character" w:customStyle="1" w:styleId="130">
    <w:name w:val="font161"/>
    <w:qFormat/>
    <w:uiPriority w:val="0"/>
    <w:rPr>
      <w:b/>
      <w:bCs/>
      <w:sz w:val="32"/>
      <w:szCs w:val="32"/>
    </w:rPr>
  </w:style>
  <w:style w:type="character" w:customStyle="1" w:styleId="131">
    <w:name w:val="fontstyle31"/>
    <w:qFormat/>
    <w:uiPriority w:val="0"/>
    <w:rPr>
      <w:rFonts w:hint="default" w:ascii="Calibri" w:hAnsi="Calibri"/>
      <w:color w:val="000000"/>
      <w:sz w:val="18"/>
      <w:szCs w:val="18"/>
    </w:rPr>
  </w:style>
  <w:style w:type="character" w:customStyle="1" w:styleId="132">
    <w:name w:val="批注文字 Char"/>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手改 Char Char"/>
    <w:qFormat/>
    <w:uiPriority w:val="0"/>
    <w:rPr>
      <w:kern w:val="2"/>
      <w:sz w:val="21"/>
      <w:szCs w:val="24"/>
    </w:rPr>
  </w:style>
  <w:style w:type="character" w:customStyle="1" w:styleId="135">
    <w:name w:val="Char Char14"/>
    <w:qFormat/>
    <w:uiPriority w:val="0"/>
    <w:rPr>
      <w:rFonts w:ascii="Arial" w:hAnsi="Arial" w:eastAsia="黑体"/>
      <w:b/>
      <w:bCs/>
      <w:sz w:val="24"/>
      <w:szCs w:val="24"/>
    </w:rPr>
  </w:style>
  <w:style w:type="character" w:customStyle="1" w:styleId="136">
    <w:name w:val="ca-7"/>
    <w:qFormat/>
    <w:uiPriority w:val="0"/>
  </w:style>
  <w:style w:type="character" w:customStyle="1" w:styleId="137">
    <w:name w:val="批注文字 字符"/>
    <w:link w:val="18"/>
    <w:qFormat/>
    <w:uiPriority w:val="0"/>
    <w:rPr>
      <w:kern w:val="2"/>
      <w:sz w:val="21"/>
      <w:szCs w:val="24"/>
    </w:rPr>
  </w:style>
  <w:style w:type="character" w:customStyle="1" w:styleId="138">
    <w:name w:val="Char Char10"/>
    <w:qFormat/>
    <w:uiPriority w:val="0"/>
    <w:rPr>
      <w:rFonts w:eastAsia="宋体"/>
      <w:b/>
      <w:bCs/>
      <w:kern w:val="2"/>
      <w:sz w:val="32"/>
      <w:szCs w:val="32"/>
      <w:lang w:val="en-US" w:eastAsia="zh-CN" w:bidi="ar-SA"/>
    </w:rPr>
  </w:style>
  <w:style w:type="character" w:customStyle="1" w:styleId="139">
    <w:name w:val="副标题 字符"/>
    <w:link w:val="36"/>
    <w:qFormat/>
    <w:uiPriority w:val="0"/>
    <w:rPr>
      <w:rFonts w:ascii="Cambria" w:hAnsi="Cambria" w:cs="Times New Roman"/>
      <w:b/>
      <w:bCs/>
      <w:kern w:val="28"/>
      <w:sz w:val="32"/>
      <w:szCs w:val="32"/>
    </w:rPr>
  </w:style>
  <w:style w:type="character" w:customStyle="1" w:styleId="140">
    <w:name w:val="正文文本首行缩进 2 字符"/>
    <w:basedOn w:val="60"/>
    <w:link w:val="2"/>
    <w:qFormat/>
    <w:uiPriority w:val="99"/>
    <w:rPr>
      <w:kern w:val="2"/>
      <w:sz w:val="21"/>
      <w:szCs w:val="24"/>
    </w:rPr>
  </w:style>
  <w:style w:type="character" w:customStyle="1" w:styleId="141">
    <w:name w:val="正文文本 + 间距 0 pt"/>
    <w:qFormat/>
    <w:uiPriority w:val="0"/>
    <w:rPr>
      <w:rFonts w:ascii="MingLiU" w:hAnsi="Times New Roman" w:eastAsia="MingLiU" w:cs="MingLiU"/>
      <w:spacing w:val="-10"/>
      <w:kern w:val="0"/>
      <w:sz w:val="21"/>
      <w:szCs w:val="21"/>
      <w:u w:val="none"/>
      <w:lang w:val="en-US" w:eastAsia="en-US"/>
    </w:rPr>
  </w:style>
  <w:style w:type="character" w:customStyle="1" w:styleId="142">
    <w:name w:val="页脚 Char1"/>
    <w:qFormat/>
    <w:uiPriority w:val="99"/>
    <w:rPr>
      <w:rFonts w:ascii="Times New Roman" w:hAnsi="Times New Roman" w:eastAsia="宋体" w:cs="Times New Roman"/>
      <w:sz w:val="18"/>
      <w:szCs w:val="18"/>
    </w:rPr>
  </w:style>
  <w:style w:type="character" w:customStyle="1" w:styleId="143">
    <w:name w:val="标题 9 字符"/>
    <w:link w:val="12"/>
    <w:qFormat/>
    <w:uiPriority w:val="0"/>
    <w:rPr>
      <w:rFonts w:ascii="Arial" w:hAnsi="Arial" w:eastAsia="黑体" w:cs="Times New Roman"/>
      <w:kern w:val="2"/>
      <w:sz w:val="21"/>
      <w:szCs w:val="21"/>
    </w:rPr>
  </w:style>
  <w:style w:type="character" w:customStyle="1" w:styleId="144">
    <w:name w:val="正文首行缩进 2 Char2"/>
    <w:qFormat/>
    <w:uiPriority w:val="0"/>
    <w:rPr>
      <w:kern w:val="2"/>
      <w:sz w:val="21"/>
    </w:rPr>
  </w:style>
  <w:style w:type="character" w:customStyle="1" w:styleId="145">
    <w:name w:val="正文首行缩进 2 Char"/>
    <w:qFormat/>
    <w:uiPriority w:val="0"/>
    <w:rPr>
      <w:kern w:val="2"/>
      <w:sz w:val="21"/>
    </w:rPr>
  </w:style>
  <w:style w:type="character" w:customStyle="1" w:styleId="146">
    <w:name w:val="标题 2 字符"/>
    <w:link w:val="5"/>
    <w:qFormat/>
    <w:uiPriority w:val="0"/>
    <w:rPr>
      <w:rFonts w:ascii="Arial" w:hAnsi="Arial" w:eastAsia="黑体" w:cs="Times New Roman"/>
      <w:b/>
      <w:bCs/>
      <w:sz w:val="28"/>
      <w:szCs w:val="32"/>
    </w:rPr>
  </w:style>
  <w:style w:type="character" w:customStyle="1" w:styleId="147">
    <w:name w:val="apple-converted-space"/>
    <w:basedOn w:val="50"/>
    <w:qFormat/>
    <w:uiPriority w:val="0"/>
  </w:style>
  <w:style w:type="character" w:customStyle="1" w:styleId="148">
    <w:name w:val="Char Char2"/>
    <w:qFormat/>
    <w:uiPriority w:val="0"/>
    <w:rPr>
      <w:rFonts w:ascii="宋体" w:hAnsi="Courier New"/>
      <w:color w:val="000000"/>
      <w:kern w:val="2"/>
      <w:sz w:val="21"/>
    </w:rPr>
  </w:style>
  <w:style w:type="character" w:customStyle="1" w:styleId="149">
    <w:name w:val="Char Char9"/>
    <w:qFormat/>
    <w:uiPriority w:val="0"/>
    <w:rPr>
      <w:rFonts w:eastAsia="宋体"/>
      <w:b/>
      <w:bCs/>
      <w:kern w:val="2"/>
      <w:sz w:val="32"/>
      <w:szCs w:val="32"/>
      <w:lang w:val="en-US" w:eastAsia="zh-CN" w:bidi="ar-SA"/>
    </w:rPr>
  </w:style>
  <w:style w:type="character" w:customStyle="1" w:styleId="150">
    <w:name w:val="正文文本 2 Char"/>
    <w:basedOn w:val="50"/>
    <w:qFormat/>
    <w:uiPriority w:val="0"/>
  </w:style>
  <w:style w:type="character" w:customStyle="1" w:styleId="151">
    <w:name w:val="纯文本 字符"/>
    <w:qFormat/>
    <w:uiPriority w:val="0"/>
    <w:rPr>
      <w:rFonts w:ascii="Courier New" w:hAnsi="Courier New"/>
      <w:kern w:val="2"/>
      <w:sz w:val="21"/>
    </w:rPr>
  </w:style>
  <w:style w:type="character" w:customStyle="1" w:styleId="152">
    <w:name w:val="正文文本 3 字符"/>
    <w:link w:val="20"/>
    <w:qFormat/>
    <w:uiPriority w:val="0"/>
    <w:rPr>
      <w:rFonts w:ascii="Calibri" w:hAnsi="Calibri" w:eastAsia="黑体"/>
      <w:kern w:val="2"/>
      <w:sz w:val="52"/>
      <w:szCs w:val="16"/>
    </w:rPr>
  </w:style>
  <w:style w:type="character" w:customStyle="1" w:styleId="153">
    <w:name w:val="标题 7 字符"/>
    <w:link w:val="10"/>
    <w:qFormat/>
    <w:uiPriority w:val="0"/>
    <w:rPr>
      <w:b/>
      <w:bCs/>
      <w:sz w:val="24"/>
      <w:szCs w:val="24"/>
    </w:rPr>
  </w:style>
  <w:style w:type="character" w:customStyle="1" w:styleId="154">
    <w:name w:val="文档结构图 Char1"/>
    <w:qFormat/>
    <w:uiPriority w:val="0"/>
    <w:rPr>
      <w:rFonts w:ascii="宋体"/>
      <w:kern w:val="2"/>
      <w:sz w:val="18"/>
      <w:szCs w:val="18"/>
    </w:rPr>
  </w:style>
  <w:style w:type="character" w:customStyle="1" w:styleId="155">
    <w:name w:val="样式1 Char"/>
    <w:basedOn w:val="73"/>
    <w:link w:val="156"/>
    <w:qFormat/>
    <w:uiPriority w:val="0"/>
    <w:rPr>
      <w:rFonts w:cs="Times New Roman"/>
      <w:spacing w:val="-2"/>
      <w:sz w:val="24"/>
    </w:rPr>
  </w:style>
  <w:style w:type="paragraph" w:customStyle="1" w:styleId="156">
    <w:name w:val="样式1"/>
    <w:basedOn w:val="7"/>
    <w:link w:val="155"/>
    <w:qFormat/>
    <w:uiPriority w:val="0"/>
  </w:style>
  <w:style w:type="character" w:customStyle="1" w:styleId="157">
    <w:name w:val="正文文本 Char"/>
    <w:qFormat/>
    <w:uiPriority w:val="0"/>
    <w:rPr>
      <w:rFonts w:ascii="宋体" w:hAnsi="宋体" w:cs="宋体"/>
      <w:kern w:val="2"/>
      <w:sz w:val="24"/>
      <w:szCs w:val="24"/>
    </w:rPr>
  </w:style>
  <w:style w:type="character" w:customStyle="1" w:styleId="158">
    <w:name w:val="普通文字 Char1"/>
    <w:qFormat/>
    <w:uiPriority w:val="0"/>
    <w:rPr>
      <w:rFonts w:ascii="宋体" w:hAnsi="Courier New" w:eastAsia="宋体" w:cs="Courier New"/>
      <w:kern w:val="2"/>
      <w:sz w:val="21"/>
      <w:szCs w:val="21"/>
      <w:lang w:val="en-US" w:eastAsia="zh-CN" w:bidi="ar-SA"/>
    </w:rPr>
  </w:style>
  <w:style w:type="character" w:customStyle="1" w:styleId="159">
    <w:name w:val="脚注文本 Char1"/>
    <w:qFormat/>
    <w:uiPriority w:val="0"/>
    <w:rPr>
      <w:rFonts w:eastAsia="宋体"/>
      <w:kern w:val="2"/>
      <w:sz w:val="18"/>
      <w:szCs w:val="18"/>
      <w:lang w:val="en-US" w:eastAsia="zh-CN" w:bidi="ar-SA"/>
    </w:rPr>
  </w:style>
  <w:style w:type="character" w:customStyle="1" w:styleId="160">
    <w:name w:val="脚注文本 字符"/>
    <w:qFormat/>
    <w:uiPriority w:val="0"/>
    <w:rPr>
      <w:rFonts w:eastAsia="宋体"/>
      <w:kern w:val="2"/>
      <w:sz w:val="18"/>
      <w:szCs w:val="18"/>
      <w:lang w:val="en-US" w:eastAsia="zh-CN" w:bidi="ar-SA"/>
    </w:rPr>
  </w:style>
  <w:style w:type="character" w:customStyle="1" w:styleId="161">
    <w:name w:val="批注框文本 Char"/>
    <w:qFormat/>
    <w:uiPriority w:val="0"/>
    <w:rPr>
      <w:kern w:val="2"/>
      <w:sz w:val="18"/>
      <w:szCs w:val="18"/>
    </w:rPr>
  </w:style>
  <w:style w:type="character" w:customStyle="1" w:styleId="162">
    <w:name w:val="Char Char7"/>
    <w:qFormat/>
    <w:uiPriority w:val="0"/>
    <w:rPr>
      <w:rFonts w:ascii="Arial" w:hAnsi="Arial"/>
      <w:b/>
      <w:bCs/>
      <w:sz w:val="32"/>
    </w:rPr>
  </w:style>
  <w:style w:type="character" w:customStyle="1" w:styleId="163">
    <w:name w:val="Char Char1"/>
    <w:qFormat/>
    <w:uiPriority w:val="0"/>
    <w:rPr>
      <w:rFonts w:hint="eastAsia" w:ascii="宋体" w:hAnsi="宋体" w:eastAsia="宋体"/>
      <w:kern w:val="2"/>
      <w:sz w:val="18"/>
      <w:szCs w:val="18"/>
      <w:lang w:val="en-US" w:eastAsia="zh-CN" w:bidi="ar-SA"/>
    </w:rPr>
  </w:style>
  <w:style w:type="paragraph" w:customStyle="1" w:styleId="164">
    <w:name w:val="CM43"/>
    <w:basedOn w:val="165"/>
    <w:next w:val="165"/>
    <w:qFormat/>
    <w:uiPriority w:val="0"/>
    <w:rPr>
      <w:rFonts w:ascii="HiddenHorzOCl" w:eastAsia="HiddenHorzOCl" w:cs="Times New Roman"/>
      <w:color w:val="auto"/>
    </w:rPr>
  </w:style>
  <w:style w:type="paragraph" w:customStyle="1" w:styleId="165">
    <w:name w:val="Default"/>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paragraph" w:styleId="166">
    <w:name w:val="No Spacing"/>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customStyle="1" w:styleId="167">
    <w:name w:val="Char Char Char Char Char Char1 Char Char Char Char Char Char Char Char Char Char Char Char Char"/>
    <w:basedOn w:val="1"/>
    <w:qFormat/>
    <w:uiPriority w:val="0"/>
  </w:style>
  <w:style w:type="paragraph" w:customStyle="1" w:styleId="168">
    <w:name w:val="CM9"/>
    <w:basedOn w:val="165"/>
    <w:next w:val="165"/>
    <w:qFormat/>
    <w:uiPriority w:val="0"/>
    <w:rPr>
      <w:rFonts w:ascii="HiddenHorzOCl" w:eastAsia="HiddenHorzOCl" w:cs="Times New Roman"/>
      <w:color w:val="auto"/>
    </w:rPr>
  </w:style>
  <w:style w:type="paragraph" w:customStyle="1" w:styleId="169">
    <w:name w:val="目录 31"/>
    <w:basedOn w:val="1"/>
    <w:qFormat/>
    <w:uiPriority w:val="1"/>
    <w:pPr>
      <w:spacing w:before="178"/>
      <w:ind w:left="428"/>
      <w:jc w:val="left"/>
    </w:pPr>
    <w:rPr>
      <w:rFonts w:ascii="宋体" w:hAnsi="宋体" w:cs="宋体"/>
      <w:kern w:val="0"/>
      <w:sz w:val="20"/>
      <w:szCs w:val="20"/>
      <w:lang w:eastAsia="en-US"/>
    </w:rPr>
  </w:style>
  <w:style w:type="paragraph" w:customStyle="1" w:styleId="170">
    <w:name w:val="xl31"/>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71">
    <w:name w:val="CM4"/>
    <w:basedOn w:val="165"/>
    <w:next w:val="165"/>
    <w:qFormat/>
    <w:uiPriority w:val="0"/>
    <w:pPr>
      <w:spacing w:line="613" w:lineRule="atLeast"/>
    </w:pPr>
    <w:rPr>
      <w:rFonts w:ascii="HiddenHorzOCl" w:eastAsia="HiddenHorzOCl" w:cs="Times New Roman"/>
      <w:color w:val="auto"/>
    </w:rPr>
  </w:style>
  <w:style w:type="paragraph" w:customStyle="1" w:styleId="172">
    <w:name w:val="标题 81"/>
    <w:basedOn w:val="1"/>
    <w:qFormat/>
    <w:uiPriority w:val="1"/>
    <w:pPr>
      <w:spacing w:before="4"/>
      <w:ind w:left="1669"/>
      <w:jc w:val="left"/>
      <w:outlineLvl w:val="8"/>
    </w:pPr>
    <w:rPr>
      <w:rFonts w:ascii="黑体" w:hAnsi="黑体" w:eastAsia="黑体" w:cs="黑体"/>
      <w:kern w:val="0"/>
      <w:sz w:val="31"/>
      <w:szCs w:val="31"/>
      <w:u w:val="single" w:color="000000"/>
      <w:lang w:eastAsia="en-US"/>
    </w:rPr>
  </w:style>
  <w:style w:type="paragraph" w:customStyle="1" w:styleId="173">
    <w:name w:val="条款"/>
    <w:basedOn w:val="1"/>
    <w:qFormat/>
    <w:uiPriority w:val="0"/>
    <w:pPr>
      <w:spacing w:line="480" w:lineRule="exact"/>
    </w:pPr>
    <w:rPr>
      <w:rFonts w:eastAsia="黑体"/>
      <w:sz w:val="24"/>
      <w:szCs w:val="18"/>
    </w:rPr>
  </w:style>
  <w:style w:type="paragraph" w:styleId="174">
    <w:name w:val="List Paragraph"/>
    <w:basedOn w:val="1"/>
    <w:qFormat/>
    <w:uiPriority w:val="34"/>
    <w:pPr>
      <w:spacing w:line="360" w:lineRule="auto"/>
      <w:ind w:firstLine="420"/>
    </w:pPr>
    <w:rPr>
      <w:sz w:val="24"/>
      <w:szCs w:val="20"/>
    </w:rPr>
  </w:style>
  <w:style w:type="paragraph" w:customStyle="1" w:styleId="175">
    <w:name w:val="表格文字居中"/>
    <w:basedOn w:val="1"/>
    <w:next w:val="1"/>
    <w:qFormat/>
    <w:uiPriority w:val="0"/>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paragraph" w:customStyle="1" w:styleId="176">
    <w:name w:val="CM37"/>
    <w:basedOn w:val="165"/>
    <w:next w:val="165"/>
    <w:qFormat/>
    <w:uiPriority w:val="0"/>
    <w:rPr>
      <w:rFonts w:ascii="HiddenHorzOCl" w:eastAsia="HiddenHorzOCl" w:cs="Times New Roman"/>
      <w:color w:val="auto"/>
    </w:rPr>
  </w:style>
  <w:style w:type="paragraph" w:customStyle="1" w:styleId="177">
    <w:name w:val="Char2"/>
    <w:basedOn w:val="1"/>
    <w:qFormat/>
    <w:uiPriority w:val="0"/>
    <w:pPr>
      <w:tabs>
        <w:tab w:val="left" w:pos="360"/>
      </w:tabs>
      <w:spacing w:line="360" w:lineRule="auto"/>
    </w:pPr>
    <w:rPr>
      <w:sz w:val="24"/>
    </w:rPr>
  </w:style>
  <w:style w:type="paragraph" w:customStyle="1" w:styleId="178">
    <w:name w:val="Char Char Char Char1"/>
    <w:basedOn w:val="1"/>
    <w:qFormat/>
    <w:uiPriority w:val="0"/>
    <w:pPr>
      <w:adjustRightInd w:val="0"/>
      <w:snapToGrid w:val="0"/>
      <w:spacing w:line="360" w:lineRule="auto"/>
      <w:ind w:firstLine="200"/>
      <w:jc w:val="left"/>
    </w:pPr>
    <w:rPr>
      <w:rFonts w:ascii="仿宋_GB2312" w:hAnsi="仿宋_GB2312" w:eastAsia="仿宋_GB2312"/>
      <w:sz w:val="24"/>
    </w:rPr>
  </w:style>
  <w:style w:type="paragraph" w:customStyle="1" w:styleId="179">
    <w:name w:val="CM15"/>
    <w:basedOn w:val="165"/>
    <w:next w:val="165"/>
    <w:qFormat/>
    <w:uiPriority w:val="0"/>
    <w:rPr>
      <w:rFonts w:ascii="HiddenHorzOCl" w:eastAsia="HiddenHorzOCl" w:cs="Times New Roman"/>
      <w:color w:val="auto"/>
    </w:rPr>
  </w:style>
  <w:style w:type="paragraph" w:customStyle="1" w:styleId="180">
    <w:name w:val="CM31"/>
    <w:basedOn w:val="165"/>
    <w:next w:val="165"/>
    <w:qFormat/>
    <w:uiPriority w:val="0"/>
    <w:rPr>
      <w:rFonts w:ascii="HiddenHorzOCl" w:eastAsia="HiddenHorzOCl" w:cs="Times New Roman"/>
      <w:color w:val="auto"/>
    </w:rPr>
  </w:style>
  <w:style w:type="paragraph" w:customStyle="1" w:styleId="181">
    <w:name w:val="CM42"/>
    <w:basedOn w:val="165"/>
    <w:next w:val="165"/>
    <w:qFormat/>
    <w:uiPriority w:val="0"/>
    <w:rPr>
      <w:rFonts w:ascii="HiddenHorzOCl" w:eastAsia="HiddenHorzOCl" w:cs="Times New Roman"/>
      <w:color w:val="auto"/>
    </w:rPr>
  </w:style>
  <w:style w:type="paragraph" w:customStyle="1" w:styleId="182">
    <w:name w:val="Char Char Char Char"/>
    <w:basedOn w:val="1"/>
    <w:qFormat/>
    <w:uiPriority w:val="0"/>
    <w:rPr>
      <w:szCs w:val="21"/>
    </w:rPr>
  </w:style>
  <w:style w:type="paragraph" w:customStyle="1" w:styleId="183">
    <w:name w:val="CM1"/>
    <w:basedOn w:val="165"/>
    <w:next w:val="165"/>
    <w:qFormat/>
    <w:uiPriority w:val="0"/>
    <w:rPr>
      <w:rFonts w:ascii="HiddenHorzOCl" w:eastAsia="HiddenHorzOCl" w:cs="Times New Roman"/>
      <w:color w:val="auto"/>
    </w:rPr>
  </w:style>
  <w:style w:type="paragraph" w:customStyle="1" w:styleId="184">
    <w:name w:val="CM5"/>
    <w:basedOn w:val="165"/>
    <w:next w:val="165"/>
    <w:qFormat/>
    <w:uiPriority w:val="0"/>
    <w:rPr>
      <w:rFonts w:ascii="HiddenHorzOCl" w:eastAsia="HiddenHorzOCl" w:cs="Times New Roman"/>
      <w:color w:val="auto"/>
    </w:rPr>
  </w:style>
  <w:style w:type="paragraph" w:customStyle="1" w:styleId="185">
    <w:name w:val="Char Char Char Char Char"/>
    <w:basedOn w:val="1"/>
    <w:qFormat/>
    <w:uiPriority w:val="0"/>
    <w:pPr>
      <w:adjustRightInd w:val="0"/>
      <w:snapToGrid w:val="0"/>
      <w:spacing w:line="360" w:lineRule="auto"/>
      <w:ind w:firstLine="200"/>
      <w:jc w:val="left"/>
    </w:pPr>
    <w:rPr>
      <w:rFonts w:ascii="仿宋_GB2312" w:hAnsi="仿宋_GB2312" w:eastAsia="仿宋_GB2312"/>
      <w:sz w:val="24"/>
    </w:rPr>
  </w:style>
  <w:style w:type="paragraph" w:customStyle="1" w:styleId="186">
    <w:name w:val="CM20"/>
    <w:basedOn w:val="165"/>
    <w:next w:val="165"/>
    <w:qFormat/>
    <w:uiPriority w:val="0"/>
    <w:pPr>
      <w:spacing w:line="576" w:lineRule="atLeast"/>
    </w:pPr>
    <w:rPr>
      <w:rFonts w:ascii="HiddenHorzOCl" w:eastAsia="HiddenHorzOCl" w:cs="Times New Roman"/>
      <w:color w:val="auto"/>
    </w:rPr>
  </w:style>
  <w:style w:type="paragraph" w:customStyle="1" w:styleId="187">
    <w:name w:val="CM8"/>
    <w:basedOn w:val="165"/>
    <w:next w:val="165"/>
    <w:qFormat/>
    <w:uiPriority w:val="0"/>
    <w:rPr>
      <w:rFonts w:ascii="HiddenHorzOCl" w:eastAsia="HiddenHorzOCl" w:cs="Times New Roman"/>
      <w:color w:val="auto"/>
    </w:rPr>
  </w:style>
  <w:style w:type="paragraph" w:customStyle="1" w:styleId="18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89">
    <w:name w:val="表格文字"/>
    <w:basedOn w:val="1"/>
    <w:qFormat/>
    <w:uiPriority w:val="0"/>
    <w:pPr>
      <w:adjustRightInd w:val="0"/>
      <w:spacing w:line="420" w:lineRule="atLeast"/>
      <w:jc w:val="left"/>
      <w:textAlignment w:val="baseline"/>
    </w:pPr>
    <w:rPr>
      <w:kern w:val="0"/>
      <w:szCs w:val="20"/>
    </w:rPr>
  </w:style>
  <w:style w:type="paragraph" w:customStyle="1" w:styleId="190">
    <w:name w:val="片头题目"/>
    <w:basedOn w:val="26"/>
    <w:next w:val="46"/>
    <w:qFormat/>
    <w:uiPriority w:val="0"/>
    <w:pPr>
      <w:spacing w:line="360" w:lineRule="auto"/>
      <w:ind w:left="495"/>
      <w:jc w:val="center"/>
    </w:pPr>
    <w:rPr>
      <w:rFonts w:hAnsi="宋体"/>
      <w:b/>
      <w:kern w:val="0"/>
      <w:sz w:val="32"/>
    </w:rPr>
  </w:style>
  <w:style w:type="paragraph" w:customStyle="1" w:styleId="191">
    <w:name w:val="Char Char Char Char Char Char1 Char Char Char Char Char Char Char"/>
    <w:basedOn w:val="1"/>
    <w:qFormat/>
    <w:uiPriority w:val="0"/>
  </w:style>
  <w:style w:type="paragraph" w:customStyle="1" w:styleId="192">
    <w:name w:val="CM29"/>
    <w:basedOn w:val="165"/>
    <w:next w:val="165"/>
    <w:qFormat/>
    <w:uiPriority w:val="0"/>
    <w:rPr>
      <w:rFonts w:ascii="HiddenHorzOCl" w:eastAsia="HiddenHorzOCl" w:cs="Times New Roman"/>
      <w:color w:val="auto"/>
    </w:rPr>
  </w:style>
  <w:style w:type="paragraph" w:customStyle="1" w:styleId="193">
    <w:name w:val="样式4"/>
    <w:basedOn w:val="33"/>
    <w:qFormat/>
    <w:uiPriority w:val="0"/>
    <w:pPr>
      <w:jc w:val="both"/>
    </w:pPr>
    <w:rPr>
      <w:sz w:val="21"/>
    </w:rPr>
  </w:style>
  <w:style w:type="paragraph" w:customStyle="1" w:styleId="194">
    <w:name w:val="Char Char5 Char Char Char Char"/>
    <w:basedOn w:val="1"/>
    <w:qFormat/>
    <w:uiPriority w:val="0"/>
  </w:style>
  <w:style w:type="paragraph" w:customStyle="1" w:styleId="195">
    <w:name w:val="zh正文"/>
    <w:basedOn w:val="1"/>
    <w:qFormat/>
    <w:uiPriority w:val="0"/>
    <w:pPr>
      <w:spacing w:line="360" w:lineRule="exact"/>
      <w:ind w:firstLine="560" w:firstLineChars="200"/>
    </w:pPr>
    <w:rPr>
      <w:rFonts w:ascii="宋体" w:hAnsi="宋体"/>
      <w:sz w:val="28"/>
      <w:szCs w:val="20"/>
    </w:rPr>
  </w:style>
  <w:style w:type="paragraph" w:customStyle="1" w:styleId="196">
    <w:name w:val="2"/>
    <w:basedOn w:val="1"/>
    <w:next w:val="26"/>
    <w:qFormat/>
    <w:uiPriority w:val="0"/>
    <w:rPr>
      <w:rFonts w:ascii="宋体" w:hAnsi="Roman 10cpi"/>
      <w:szCs w:val="20"/>
    </w:rPr>
  </w:style>
  <w:style w:type="paragraph" w:customStyle="1" w:styleId="197">
    <w:name w:val="修订1"/>
    <w:qFormat/>
    <w:uiPriority w:val="0"/>
    <w:pPr>
      <w:spacing w:after="160" w:line="278" w:lineRule="auto"/>
    </w:pPr>
    <w:rPr>
      <w:rFonts w:ascii="Calibri" w:hAnsi="Calibri" w:eastAsia="宋体" w:cs="Times New Roman"/>
      <w:kern w:val="2"/>
      <w:sz w:val="21"/>
      <w:szCs w:val="24"/>
      <w:lang w:val="en-US" w:eastAsia="zh-CN" w:bidi="ar-SA"/>
    </w:rPr>
  </w:style>
  <w:style w:type="paragraph" w:customStyle="1" w:styleId="198">
    <w:name w:val="标题 31"/>
    <w:basedOn w:val="1"/>
    <w:qFormat/>
    <w:uiPriority w:val="1"/>
    <w:pPr>
      <w:spacing w:line="661" w:lineRule="exact"/>
      <w:ind w:left="57"/>
      <w:jc w:val="left"/>
      <w:outlineLvl w:val="3"/>
    </w:pPr>
    <w:rPr>
      <w:rFonts w:ascii="黑体" w:hAnsi="黑体" w:eastAsia="黑体" w:cs="黑体"/>
      <w:kern w:val="0"/>
      <w:sz w:val="56"/>
      <w:szCs w:val="56"/>
      <w:lang w:eastAsia="en-US"/>
    </w:rPr>
  </w:style>
  <w:style w:type="paragraph" w:customStyle="1" w:styleId="199">
    <w:name w:val="标题二"/>
    <w:basedOn w:val="5"/>
    <w:qFormat/>
    <w:uiPriority w:val="0"/>
    <w:pPr>
      <w:keepLines w:val="0"/>
      <w:jc w:val="center"/>
    </w:pPr>
    <w:rPr>
      <w:rFonts w:ascii="Cambria" w:hAnsi="Cambria" w:eastAsia="宋体"/>
      <w:b w:val="0"/>
      <w:kern w:val="2"/>
      <w:sz w:val="44"/>
      <w:szCs w:val="24"/>
    </w:rPr>
  </w:style>
  <w:style w:type="paragraph" w:customStyle="1" w:styleId="200">
    <w:name w:val="样式2"/>
    <w:basedOn w:val="2"/>
    <w:qFormat/>
    <w:uiPriority w:val="0"/>
    <w:pPr>
      <w:tabs>
        <w:tab w:val="left" w:pos="360"/>
      </w:tabs>
      <w:spacing w:after="0" w:line="480" w:lineRule="exact"/>
      <w:ind w:left="360" w:leftChars="0" w:hanging="360" w:hangingChars="200"/>
    </w:pPr>
    <w:rPr>
      <w:rFonts w:eastAsia="黑体"/>
      <w:kern w:val="0"/>
      <w:sz w:val="24"/>
      <w:szCs w:val="18"/>
    </w:rPr>
  </w:style>
  <w:style w:type="paragraph" w:customStyle="1" w:styleId="201">
    <w:name w:val="Char Char Char Char Char Char2 Char"/>
    <w:basedOn w:val="1"/>
    <w:qFormat/>
    <w:uiPriority w:val="0"/>
    <w:pPr>
      <w:spacing w:line="360" w:lineRule="auto"/>
      <w:ind w:firstLine="200" w:firstLineChars="200"/>
    </w:pPr>
    <w:rPr>
      <w:rFonts w:ascii="宋体" w:hAnsi="宋体" w:cs="宋体"/>
      <w:sz w:val="24"/>
    </w:rPr>
  </w:style>
  <w:style w:type="paragraph" w:customStyle="1" w:styleId="202">
    <w:name w:val="CM39"/>
    <w:basedOn w:val="165"/>
    <w:next w:val="165"/>
    <w:qFormat/>
    <w:uiPriority w:val="0"/>
    <w:rPr>
      <w:rFonts w:ascii="HiddenHorzOCl" w:eastAsia="HiddenHorzOCl" w:cs="Times New Roman"/>
      <w:color w:val="auto"/>
    </w:rPr>
  </w:style>
  <w:style w:type="paragraph" w:customStyle="1" w:styleId="203">
    <w:name w:val="CM19"/>
    <w:basedOn w:val="165"/>
    <w:next w:val="165"/>
    <w:qFormat/>
    <w:uiPriority w:val="0"/>
    <w:pPr>
      <w:spacing w:line="588" w:lineRule="atLeast"/>
    </w:pPr>
    <w:rPr>
      <w:rFonts w:ascii="HiddenHorzOCl" w:eastAsia="HiddenHorzOCl" w:cs="Times New Roman"/>
      <w:color w:val="auto"/>
    </w:rPr>
  </w:style>
  <w:style w:type="paragraph" w:customStyle="1" w:styleId="204">
    <w:name w:val="CM17"/>
    <w:basedOn w:val="165"/>
    <w:next w:val="165"/>
    <w:qFormat/>
    <w:uiPriority w:val="0"/>
    <w:pPr>
      <w:spacing w:line="573" w:lineRule="atLeast"/>
    </w:pPr>
    <w:rPr>
      <w:rFonts w:ascii="HiddenHorzOCl" w:eastAsia="HiddenHorzOCl" w:cs="Times New Roman"/>
      <w:color w:val="auto"/>
    </w:rPr>
  </w:style>
  <w:style w:type="paragraph" w:customStyle="1" w:styleId="205">
    <w:name w:val="CM13"/>
    <w:basedOn w:val="165"/>
    <w:next w:val="165"/>
    <w:qFormat/>
    <w:uiPriority w:val="0"/>
    <w:pPr>
      <w:spacing w:line="583" w:lineRule="atLeast"/>
    </w:pPr>
    <w:rPr>
      <w:rFonts w:ascii="HiddenHorzOCl" w:eastAsia="HiddenHorzOCl" w:cs="Times New Roman"/>
      <w:color w:val="auto"/>
    </w:rPr>
  </w:style>
  <w:style w:type="paragraph" w:customStyle="1" w:styleId="206">
    <w:name w:val="CM41"/>
    <w:basedOn w:val="165"/>
    <w:next w:val="165"/>
    <w:qFormat/>
    <w:uiPriority w:val="0"/>
    <w:rPr>
      <w:rFonts w:ascii="HiddenHorzOCl" w:eastAsia="HiddenHorzOCl" w:cs="Times New Roman"/>
      <w:color w:val="auto"/>
    </w:rPr>
  </w:style>
  <w:style w:type="paragraph" w:customStyle="1" w:styleId="207">
    <w:name w:val="目录 11"/>
    <w:basedOn w:val="1"/>
    <w:qFormat/>
    <w:uiPriority w:val="1"/>
    <w:pPr>
      <w:spacing w:before="162"/>
      <w:ind w:left="29"/>
      <w:jc w:val="center"/>
    </w:pPr>
    <w:rPr>
      <w:rFonts w:ascii="黑体" w:hAnsi="黑体" w:eastAsia="黑体" w:cs="黑体"/>
      <w:kern w:val="0"/>
      <w:sz w:val="20"/>
      <w:szCs w:val="20"/>
      <w:lang w:eastAsia="en-US"/>
    </w:rPr>
  </w:style>
  <w:style w:type="paragraph" w:customStyle="1" w:styleId="208">
    <w:name w:val="CM27"/>
    <w:basedOn w:val="165"/>
    <w:next w:val="165"/>
    <w:qFormat/>
    <w:uiPriority w:val="0"/>
    <w:rPr>
      <w:rFonts w:ascii="HiddenHorzOCl" w:eastAsia="HiddenHorzOCl" w:cs="Times New Roman"/>
      <w:color w:val="auto"/>
    </w:rPr>
  </w:style>
  <w:style w:type="paragraph" w:customStyle="1" w:styleId="209">
    <w:name w:val="修订2"/>
    <w:unhideWhenUsed/>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210">
    <w:name w:val="样式 标题 1 + 黑体 三号 非加粗 居中 段前: 6 磅 段后: 6 磅 行距: 固定值 20 磅"/>
    <w:basedOn w:val="4"/>
    <w:qFormat/>
    <w:uiPriority w:val="0"/>
    <w:pPr>
      <w:spacing w:before="120" w:after="120" w:line="400" w:lineRule="exact"/>
    </w:pPr>
    <w:rPr>
      <w:rFonts w:ascii="黑体" w:hAnsi="黑体"/>
      <w:b w:val="0"/>
      <w:bCs w:val="0"/>
      <w:szCs w:val="20"/>
    </w:rPr>
  </w:style>
  <w:style w:type="paragraph" w:customStyle="1" w:styleId="211">
    <w:name w:val="CM38"/>
    <w:basedOn w:val="165"/>
    <w:next w:val="165"/>
    <w:qFormat/>
    <w:uiPriority w:val="0"/>
    <w:rPr>
      <w:rFonts w:ascii="HiddenHorzOCl" w:eastAsia="HiddenHorzOCl" w:cs="Times New Roman"/>
      <w:color w:val="auto"/>
    </w:rPr>
  </w:style>
  <w:style w:type="paragraph" w:customStyle="1" w:styleId="212">
    <w:name w:val="CM16"/>
    <w:basedOn w:val="165"/>
    <w:next w:val="165"/>
    <w:qFormat/>
    <w:uiPriority w:val="0"/>
    <w:rPr>
      <w:rFonts w:ascii="HiddenHorzOCl" w:eastAsia="HiddenHorzOCl" w:cs="Times New Roman"/>
      <w:color w:val="auto"/>
    </w:rPr>
  </w:style>
  <w:style w:type="paragraph" w:customStyle="1" w:styleId="213">
    <w:name w:val="样式 悬挂缩进: 2.07 字符 行距: 固定值 20 磅"/>
    <w:basedOn w:val="1"/>
    <w:qFormat/>
    <w:uiPriority w:val="0"/>
    <w:pPr>
      <w:spacing w:line="400" w:lineRule="exact"/>
    </w:pPr>
    <w:rPr>
      <w:rFonts w:ascii="宋体" w:hAnsi="宋体"/>
      <w:color w:val="FF0000"/>
      <w:sz w:val="24"/>
    </w:rPr>
  </w:style>
  <w:style w:type="paragraph" w:customStyle="1" w:styleId="214">
    <w:name w:val="CM36"/>
    <w:basedOn w:val="165"/>
    <w:next w:val="165"/>
    <w:qFormat/>
    <w:uiPriority w:val="0"/>
    <w:rPr>
      <w:rFonts w:ascii="HiddenHorzOCl" w:eastAsia="HiddenHorzOCl" w:cs="Times New Roman"/>
      <w:color w:val="auto"/>
    </w:rPr>
  </w:style>
  <w:style w:type="paragraph" w:customStyle="1" w:styleId="215">
    <w:name w:val="CM28"/>
    <w:basedOn w:val="165"/>
    <w:next w:val="165"/>
    <w:qFormat/>
    <w:uiPriority w:val="0"/>
    <w:rPr>
      <w:rFonts w:ascii="HiddenHorzOCl" w:eastAsia="HiddenHorzOCl" w:cs="Times New Roman"/>
      <w:color w:val="auto"/>
    </w:rPr>
  </w:style>
  <w:style w:type="paragraph" w:customStyle="1" w:styleId="216">
    <w:name w:val="超级链接"/>
    <w:basedOn w:val="1"/>
    <w:qFormat/>
    <w:uiPriority w:val="0"/>
  </w:style>
  <w:style w:type="paragraph" w:customStyle="1" w:styleId="217">
    <w:name w:val="Char1"/>
    <w:basedOn w:val="14"/>
    <w:qFormat/>
    <w:uiPriority w:val="0"/>
    <w:pPr>
      <w:tabs>
        <w:tab w:val="right" w:pos="-2120"/>
      </w:tabs>
      <w:snapToGrid w:val="0"/>
    </w:pPr>
    <w:rPr>
      <w:rFonts w:ascii="Tahoma" w:hAnsi="Tahoma" w:eastAsia="仿宋_GB2312"/>
      <w:spacing w:val="6"/>
      <w:sz w:val="28"/>
    </w:rPr>
  </w:style>
  <w:style w:type="paragraph" w:customStyle="1" w:styleId="218">
    <w:name w:val="CM14"/>
    <w:basedOn w:val="165"/>
    <w:next w:val="165"/>
    <w:qFormat/>
    <w:uiPriority w:val="0"/>
    <w:pPr>
      <w:spacing w:line="573" w:lineRule="atLeast"/>
    </w:pPr>
    <w:rPr>
      <w:rFonts w:ascii="HiddenHorzOCl" w:eastAsia="HiddenHorzOCl" w:cs="Times New Roman"/>
      <w:color w:val="auto"/>
    </w:rPr>
  </w:style>
  <w:style w:type="paragraph" w:customStyle="1" w:styleId="219">
    <w:name w:val="标题一"/>
    <w:basedOn w:val="4"/>
    <w:qFormat/>
    <w:uiPriority w:val="0"/>
    <w:pPr>
      <w:keepLines w:val="0"/>
      <w:spacing w:before="100" w:beforeAutospacing="1" w:after="100" w:afterAutospacing="1"/>
    </w:pPr>
    <w:rPr>
      <w:kern w:val="2"/>
      <w:szCs w:val="72"/>
    </w:rPr>
  </w:style>
  <w:style w:type="paragraph" w:customStyle="1" w:styleId="220">
    <w:name w:val="标题 61"/>
    <w:basedOn w:val="1"/>
    <w:qFormat/>
    <w:uiPriority w:val="1"/>
    <w:pPr>
      <w:spacing w:line="530" w:lineRule="exact"/>
      <w:ind w:left="2380"/>
      <w:jc w:val="left"/>
      <w:outlineLvl w:val="6"/>
    </w:pPr>
    <w:rPr>
      <w:rFonts w:ascii="黑体" w:hAnsi="黑体" w:eastAsia="黑体" w:cs="黑体"/>
      <w:kern w:val="0"/>
      <w:sz w:val="42"/>
      <w:szCs w:val="42"/>
      <w:lang w:eastAsia="en-US"/>
    </w:rPr>
  </w:style>
  <w:style w:type="paragraph" w:customStyle="1" w:styleId="221">
    <w:name w:val="Char Char Char Char Char Char Char Char Char Char Char Char Char Char Char Char Char Char Char"/>
    <w:basedOn w:val="1"/>
    <w:qFormat/>
    <w:uiPriority w:val="0"/>
    <w:pPr>
      <w:spacing w:line="360" w:lineRule="auto"/>
      <w:ind w:firstLine="200" w:firstLineChars="200"/>
    </w:pPr>
    <w:rPr>
      <w:rFonts w:ascii="宋体" w:hAnsi="宋体" w:cs="宋体"/>
      <w:sz w:val="24"/>
    </w:rPr>
  </w:style>
  <w:style w:type="paragraph" w:customStyle="1" w:styleId="222">
    <w:name w:val="p0"/>
    <w:basedOn w:val="1"/>
    <w:qFormat/>
    <w:uiPriority w:val="0"/>
    <w:pPr>
      <w:widowControl/>
    </w:pPr>
    <w:rPr>
      <w:kern w:val="0"/>
      <w:szCs w:val="21"/>
    </w:rPr>
  </w:style>
  <w:style w:type="paragraph" w:customStyle="1" w:styleId="223">
    <w:name w:val="CM30"/>
    <w:basedOn w:val="165"/>
    <w:next w:val="165"/>
    <w:qFormat/>
    <w:uiPriority w:val="0"/>
    <w:rPr>
      <w:rFonts w:ascii="HiddenHorzOCl" w:eastAsia="HiddenHorzOCl" w:cs="Times New Roman"/>
      <w:color w:val="auto"/>
    </w:rPr>
  </w:style>
  <w:style w:type="paragraph" w:customStyle="1" w:styleId="224">
    <w:name w:val="样式3"/>
    <w:basedOn w:val="33"/>
    <w:qFormat/>
    <w:uiPriority w:val="0"/>
    <w:pPr>
      <w:jc w:val="both"/>
    </w:pPr>
    <w:rPr>
      <w:sz w:val="21"/>
    </w:rPr>
  </w:style>
  <w:style w:type="paragraph" w:customStyle="1" w:styleId="225">
    <w:name w:val="CM7"/>
    <w:basedOn w:val="165"/>
    <w:next w:val="165"/>
    <w:qFormat/>
    <w:uiPriority w:val="0"/>
    <w:rPr>
      <w:rFonts w:ascii="HiddenHorzOCl" w:eastAsia="HiddenHorzOCl" w:cs="Times New Roman"/>
      <w:color w:val="auto"/>
    </w:rPr>
  </w:style>
  <w:style w:type="paragraph" w:customStyle="1" w:styleId="226">
    <w:name w:val="图标"/>
    <w:basedOn w:val="16"/>
    <w:qFormat/>
    <w:uiPriority w:val="0"/>
    <w:pPr>
      <w:adjustRightInd w:val="0"/>
      <w:spacing w:beforeLines="100" w:line="400" w:lineRule="exact"/>
      <w:ind w:firstLine="200"/>
      <w:jc w:val="center"/>
    </w:pPr>
    <w:rPr>
      <w:rFonts w:ascii="Times New Roman" w:hAnsi="Times New Roman" w:eastAsia="宋体" w:cs="Times New Roman"/>
      <w:b/>
      <w:sz w:val="24"/>
    </w:rPr>
  </w:style>
  <w:style w:type="paragraph" w:customStyle="1" w:styleId="227">
    <w:name w:val="Char6"/>
    <w:basedOn w:val="1"/>
    <w:qFormat/>
    <w:uiPriority w:val="0"/>
    <w:pPr>
      <w:widowControl/>
      <w:spacing w:line="240" w:lineRule="exact"/>
      <w:jc w:val="left"/>
    </w:pPr>
    <w:rPr>
      <w:rFonts w:ascii="Arial" w:hAnsi="Arial" w:eastAsia="Times New Roman" w:cs="Verdana"/>
      <w:b/>
      <w:kern w:val="0"/>
      <w:sz w:val="24"/>
      <w:lang w:eastAsia="en-US"/>
    </w:rPr>
  </w:style>
  <w:style w:type="paragraph" w:customStyle="1" w:styleId="228">
    <w:name w:val="默认段落字体 Para Char"/>
    <w:basedOn w:val="1"/>
    <w:qFormat/>
    <w:uiPriority w:val="0"/>
    <w:pPr>
      <w:spacing w:line="360" w:lineRule="auto"/>
      <w:ind w:firstLine="200" w:firstLineChars="200"/>
    </w:pPr>
    <w:rPr>
      <w:rFonts w:ascii="宋体" w:hAnsi="宋体" w:cs="宋体"/>
      <w:sz w:val="24"/>
    </w:rPr>
  </w:style>
  <w:style w:type="paragraph" w:customStyle="1" w:styleId="229">
    <w:name w:val="CM45"/>
    <w:basedOn w:val="165"/>
    <w:next w:val="165"/>
    <w:qFormat/>
    <w:uiPriority w:val="0"/>
    <w:rPr>
      <w:rFonts w:ascii="HiddenHorzOCl" w:eastAsia="HiddenHorzOCl" w:cs="Times New Roman"/>
      <w:color w:val="auto"/>
    </w:rPr>
  </w:style>
  <w:style w:type="paragraph" w:customStyle="1" w:styleId="230">
    <w:name w:val="CM35"/>
    <w:basedOn w:val="165"/>
    <w:next w:val="165"/>
    <w:qFormat/>
    <w:uiPriority w:val="0"/>
    <w:rPr>
      <w:rFonts w:ascii="HiddenHorzOCl" w:eastAsia="HiddenHorzOCl" w:cs="Times New Roman"/>
      <w:color w:val="auto"/>
    </w:rPr>
  </w:style>
  <w:style w:type="paragraph" w:customStyle="1" w:styleId="231">
    <w:name w:val="Char Char Char Char Char Char Char Char Char Char"/>
    <w:basedOn w:val="1"/>
    <w:qFormat/>
    <w:uiPriority w:val="0"/>
    <w:pPr>
      <w:widowControl/>
      <w:spacing w:line="240" w:lineRule="exact"/>
      <w:jc w:val="left"/>
    </w:pPr>
    <w:rPr>
      <w:rFonts w:ascii="Arial" w:hAnsi="Arial" w:eastAsia="Times New Roman" w:cs="Verdana"/>
      <w:b/>
      <w:kern w:val="0"/>
      <w:sz w:val="24"/>
      <w:lang w:eastAsia="en-US"/>
    </w:rPr>
  </w:style>
  <w:style w:type="paragraph" w:customStyle="1" w:styleId="232">
    <w:name w:val="CM23"/>
    <w:basedOn w:val="165"/>
    <w:next w:val="165"/>
    <w:qFormat/>
    <w:uiPriority w:val="0"/>
    <w:rPr>
      <w:rFonts w:ascii="HiddenHorzOCl" w:eastAsia="HiddenHorzOCl" w:cs="Times New Roman"/>
      <w:color w:val="auto"/>
    </w:rPr>
  </w:style>
  <w:style w:type="paragraph" w:customStyle="1" w:styleId="233">
    <w:name w:val="样式 宋体 二号 加粗 居中"/>
    <w:basedOn w:val="4"/>
    <w:qFormat/>
    <w:uiPriority w:val="0"/>
    <w:pPr>
      <w:keepLines w:val="0"/>
      <w:spacing w:before="100" w:beforeAutospacing="1" w:after="100" w:afterAutospacing="1"/>
    </w:pPr>
    <w:rPr>
      <w:rFonts w:ascii="宋体" w:hAnsi="宋体"/>
      <w:kern w:val="2"/>
      <w:szCs w:val="72"/>
    </w:rPr>
  </w:style>
  <w:style w:type="paragraph" w:customStyle="1" w:styleId="234">
    <w:name w:val="CM40"/>
    <w:basedOn w:val="165"/>
    <w:next w:val="165"/>
    <w:qFormat/>
    <w:uiPriority w:val="0"/>
    <w:rPr>
      <w:rFonts w:ascii="HiddenHorzOCl" w:eastAsia="HiddenHorzOCl" w:cs="Times New Roman"/>
      <w:color w:val="auto"/>
    </w:rPr>
  </w:style>
  <w:style w:type="paragraph" w:customStyle="1" w:styleId="235">
    <w:name w:val="CM24"/>
    <w:basedOn w:val="165"/>
    <w:next w:val="165"/>
    <w:qFormat/>
    <w:uiPriority w:val="0"/>
    <w:rPr>
      <w:rFonts w:ascii="HiddenHorzOCl" w:eastAsia="HiddenHorzOCl" w:cs="Times New Roman"/>
      <w:color w:val="auto"/>
    </w:rPr>
  </w:style>
  <w:style w:type="paragraph" w:customStyle="1" w:styleId="236">
    <w:name w:val="Char"/>
    <w:basedOn w:val="1"/>
    <w:qFormat/>
    <w:uiPriority w:val="0"/>
    <w:rPr>
      <w:szCs w:val="21"/>
    </w:rPr>
  </w:style>
  <w:style w:type="paragraph" w:customStyle="1" w:styleId="237">
    <w:name w:val="CM32"/>
    <w:basedOn w:val="165"/>
    <w:next w:val="165"/>
    <w:qFormat/>
    <w:uiPriority w:val="0"/>
    <w:rPr>
      <w:rFonts w:ascii="HiddenHorzOCl" w:eastAsia="HiddenHorzOCl" w:cs="Times New Roman"/>
      <w:color w:val="auto"/>
    </w:rPr>
  </w:style>
  <w:style w:type="paragraph" w:customStyle="1" w:styleId="238">
    <w:name w:val="CM3"/>
    <w:basedOn w:val="165"/>
    <w:next w:val="165"/>
    <w:qFormat/>
    <w:uiPriority w:val="0"/>
    <w:pPr>
      <w:spacing w:line="578" w:lineRule="atLeast"/>
    </w:pPr>
    <w:rPr>
      <w:rFonts w:ascii="HiddenHorzOCl" w:eastAsia="HiddenHorzOCl" w:cs="Times New Roman"/>
      <w:color w:val="auto"/>
    </w:rPr>
  </w:style>
  <w:style w:type="paragraph" w:customStyle="1" w:styleId="239">
    <w:name w:val="标题 51"/>
    <w:basedOn w:val="1"/>
    <w:qFormat/>
    <w:uiPriority w:val="1"/>
    <w:pPr>
      <w:spacing w:line="530" w:lineRule="exact"/>
      <w:ind w:left="105" w:right="104"/>
      <w:jc w:val="left"/>
      <w:outlineLvl w:val="5"/>
    </w:pPr>
    <w:rPr>
      <w:rFonts w:ascii="黑体" w:hAnsi="黑体" w:eastAsia="黑体" w:cs="黑体"/>
      <w:b/>
      <w:bCs/>
      <w:kern w:val="0"/>
      <w:sz w:val="42"/>
      <w:szCs w:val="42"/>
      <w:lang w:eastAsia="en-US"/>
    </w:rPr>
  </w:style>
  <w:style w:type="paragraph" w:customStyle="1" w:styleId="240">
    <w:name w:val="3级"/>
    <w:basedOn w:val="1"/>
    <w:qFormat/>
    <w:uiPriority w:val="0"/>
    <w:pPr>
      <w:spacing w:line="360" w:lineRule="auto"/>
      <w:outlineLvl w:val="2"/>
    </w:pPr>
    <w:rPr>
      <w:rFonts w:ascii="黑体" w:hAnsi="宋体" w:eastAsia="黑体" w:cs="宋体"/>
      <w:kern w:val="0"/>
      <w:sz w:val="28"/>
      <w:szCs w:val="44"/>
    </w:rPr>
  </w:style>
  <w:style w:type="paragraph" w:customStyle="1" w:styleId="241">
    <w:name w:val="标题 11"/>
    <w:basedOn w:val="1"/>
    <w:qFormat/>
    <w:uiPriority w:val="1"/>
    <w:pPr>
      <w:spacing w:line="860" w:lineRule="exact"/>
      <w:ind w:left="2401"/>
      <w:jc w:val="left"/>
      <w:outlineLvl w:val="1"/>
    </w:pPr>
    <w:rPr>
      <w:rFonts w:ascii="黑体" w:hAnsi="黑体" w:eastAsia="黑体" w:cs="黑体"/>
      <w:kern w:val="0"/>
      <w:sz w:val="76"/>
      <w:szCs w:val="76"/>
      <w:lang w:eastAsia="en-US"/>
    </w:rPr>
  </w:style>
  <w:style w:type="paragraph" w:customStyle="1" w:styleId="242">
    <w:name w:val="Char Char Char Char Char Char1 Char Char Char Char"/>
    <w:basedOn w:val="1"/>
    <w:qFormat/>
    <w:uiPriority w:val="0"/>
  </w:style>
  <w:style w:type="paragraph" w:customStyle="1" w:styleId="243">
    <w:name w:val="Char Char Char Char Char Char3 Char Char Char Char"/>
    <w:basedOn w:val="1"/>
    <w:next w:val="1"/>
    <w:qFormat/>
    <w:uiPriority w:val="0"/>
    <w:pPr>
      <w:spacing w:line="360" w:lineRule="auto"/>
    </w:pPr>
    <w:rPr>
      <w:rFonts w:eastAsia="黑体"/>
      <w:sz w:val="28"/>
    </w:rPr>
  </w:style>
  <w:style w:type="paragraph" w:customStyle="1" w:styleId="244">
    <w:name w:val="目录 21"/>
    <w:basedOn w:val="1"/>
    <w:qFormat/>
    <w:uiPriority w:val="1"/>
    <w:pPr>
      <w:spacing w:before="178"/>
      <w:ind w:left="144"/>
      <w:jc w:val="left"/>
    </w:pPr>
    <w:rPr>
      <w:rFonts w:ascii="黑体" w:hAnsi="黑体" w:eastAsia="黑体" w:cs="黑体"/>
      <w:kern w:val="0"/>
      <w:sz w:val="20"/>
      <w:szCs w:val="20"/>
      <w:lang w:eastAsia="en-US"/>
    </w:rPr>
  </w:style>
  <w:style w:type="paragraph" w:customStyle="1" w:styleId="245">
    <w:name w:val="目录 41"/>
    <w:basedOn w:val="1"/>
    <w:qFormat/>
    <w:uiPriority w:val="1"/>
    <w:pPr>
      <w:spacing w:before="178"/>
      <w:ind w:left="710"/>
      <w:jc w:val="left"/>
    </w:pPr>
    <w:rPr>
      <w:rFonts w:ascii="宋体" w:hAnsi="宋体" w:cs="宋体"/>
      <w:kern w:val="0"/>
      <w:sz w:val="20"/>
      <w:szCs w:val="20"/>
      <w:lang w:eastAsia="en-US"/>
    </w:rPr>
  </w:style>
  <w:style w:type="paragraph" w:customStyle="1" w:styleId="246">
    <w:name w:val="CM25"/>
    <w:basedOn w:val="165"/>
    <w:next w:val="165"/>
    <w:qFormat/>
    <w:uiPriority w:val="0"/>
    <w:rPr>
      <w:rFonts w:ascii="HiddenHorzOCl" w:eastAsia="HiddenHorzOCl" w:cs="Times New Roman"/>
      <w:color w:val="auto"/>
    </w:rPr>
  </w:style>
  <w:style w:type="paragraph" w:customStyle="1" w:styleId="247">
    <w:name w:val="xl22"/>
    <w:basedOn w:val="1"/>
    <w:qFormat/>
    <w:uiPriority w:val="0"/>
    <w:pPr>
      <w:widowControl/>
      <w:spacing w:line="360" w:lineRule="auto"/>
      <w:jc w:val="center"/>
    </w:pPr>
    <w:rPr>
      <w:rFonts w:ascii="宋体" w:hAnsi="宋体"/>
      <w:kern w:val="0"/>
      <w:sz w:val="24"/>
    </w:rPr>
  </w:style>
  <w:style w:type="paragraph" w:customStyle="1" w:styleId="248">
    <w:name w:val="1"/>
    <w:basedOn w:val="1"/>
    <w:next w:val="216"/>
    <w:qFormat/>
    <w:uiPriority w:val="0"/>
  </w:style>
  <w:style w:type="paragraph" w:customStyle="1" w:styleId="249">
    <w:name w:val="CM6"/>
    <w:basedOn w:val="165"/>
    <w:next w:val="165"/>
    <w:qFormat/>
    <w:uiPriority w:val="0"/>
    <w:rPr>
      <w:rFonts w:ascii="HiddenHorzOCl" w:eastAsia="HiddenHorzOCl" w:cs="Times New Roman"/>
      <w:color w:val="auto"/>
    </w:rPr>
  </w:style>
  <w:style w:type="paragraph" w:customStyle="1" w:styleId="250">
    <w:name w:val="样式5"/>
    <w:basedOn w:val="193"/>
    <w:next w:val="193"/>
    <w:qFormat/>
    <w:uiPriority w:val="0"/>
    <w:pPr>
      <w:pBdr>
        <w:bottom w:val="thinThickSmallGap" w:color="auto" w:sz="12" w:space="1"/>
      </w:pBdr>
    </w:pPr>
  </w:style>
  <w:style w:type="paragraph" w:customStyle="1" w:styleId="251">
    <w:name w:val="TOC 标题1"/>
    <w:basedOn w:val="4"/>
    <w:next w:val="1"/>
    <w:qFormat/>
    <w:uiPriority w:val="39"/>
    <w:pPr>
      <w:widowControl/>
      <w:spacing w:before="480" w:line="276" w:lineRule="auto"/>
      <w:jc w:val="left"/>
      <w:outlineLvl w:val="9"/>
    </w:pPr>
    <w:rPr>
      <w:rFonts w:ascii="Cambria" w:hAnsi="Cambria" w:eastAsia="宋体"/>
      <w:color w:val="365F91"/>
      <w:kern w:val="0"/>
      <w:sz w:val="28"/>
      <w:szCs w:val="28"/>
    </w:rPr>
  </w:style>
  <w:style w:type="paragraph" w:customStyle="1" w:styleId="252">
    <w:name w:val="正文缩进（自定义）"/>
    <w:basedOn w:val="1"/>
    <w:qFormat/>
    <w:uiPriority w:val="0"/>
    <w:pPr>
      <w:spacing w:before="120" w:after="120" w:line="360" w:lineRule="auto"/>
      <w:ind w:firstLine="480" w:firstLineChars="200"/>
    </w:pPr>
    <w:rPr>
      <w:rFonts w:ascii="Century Gothic" w:hAnsi="Century Gothic"/>
      <w:kern w:val="0"/>
      <w:sz w:val="24"/>
    </w:rPr>
  </w:style>
  <w:style w:type="paragraph" w:customStyle="1" w:styleId="253">
    <w:name w:val="Char Char Char Char Char Char Char Char Char Char Char Char Char Char Char Char Char Char1 Char Char Char Char"/>
    <w:basedOn w:val="1"/>
    <w:qFormat/>
    <w:uiPriority w:val="0"/>
  </w:style>
  <w:style w:type="paragraph" w:customStyle="1" w:styleId="254">
    <w:name w:val="TOC 标题11"/>
    <w:basedOn w:val="4"/>
    <w:next w:val="1"/>
    <w:qFormat/>
    <w:uiPriority w:val="39"/>
    <w:pPr>
      <w:widowControl/>
      <w:spacing w:before="480" w:line="276" w:lineRule="auto"/>
      <w:jc w:val="left"/>
      <w:outlineLvl w:val="9"/>
    </w:pPr>
    <w:rPr>
      <w:rFonts w:ascii="Cambria" w:hAnsi="Cambria"/>
      <w:color w:val="365F91"/>
      <w:kern w:val="0"/>
      <w:sz w:val="28"/>
      <w:szCs w:val="48"/>
    </w:rPr>
  </w:style>
  <w:style w:type="paragraph" w:customStyle="1" w:styleId="255">
    <w:name w:val="xl25"/>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56">
    <w:name w:val="CM12"/>
    <w:basedOn w:val="165"/>
    <w:next w:val="165"/>
    <w:qFormat/>
    <w:uiPriority w:val="0"/>
    <w:rPr>
      <w:rFonts w:ascii="HiddenHorzOCl" w:eastAsia="HiddenHorzOCl" w:cs="Times New Roman"/>
      <w:color w:val="auto"/>
    </w:rPr>
  </w:style>
  <w:style w:type="paragraph" w:customStyle="1" w:styleId="257">
    <w:name w:val="样式 标题 2 + Times New Roman 四号 非加粗 段前: 5 磅 段后: 0 磅 行距: 固定值 20..."/>
    <w:basedOn w:val="5"/>
    <w:qFormat/>
    <w:uiPriority w:val="0"/>
    <w:pPr>
      <w:spacing w:before="100" w:line="400" w:lineRule="exact"/>
    </w:pPr>
    <w:rPr>
      <w:rFonts w:ascii="Times New Roman" w:hAnsi="Times New Roman"/>
      <w:b w:val="0"/>
      <w:bCs w:val="0"/>
      <w:kern w:val="2"/>
      <w:szCs w:val="20"/>
    </w:rPr>
  </w:style>
  <w:style w:type="paragraph" w:customStyle="1" w:styleId="258">
    <w:name w:val="内容 Char Char"/>
    <w:basedOn w:val="1"/>
    <w:qFormat/>
    <w:uiPriority w:val="0"/>
    <w:pPr>
      <w:spacing w:line="480" w:lineRule="exact"/>
      <w:ind w:firstLine="200" w:firstLineChars="200"/>
    </w:pPr>
    <w:rPr>
      <w:sz w:val="24"/>
    </w:rPr>
  </w:style>
  <w:style w:type="paragraph" w:customStyle="1" w:styleId="259">
    <w:name w:val="规范文本"/>
    <w:basedOn w:val="1"/>
    <w:qFormat/>
    <w:uiPriority w:val="0"/>
    <w:pPr>
      <w:adjustRightInd w:val="0"/>
      <w:snapToGrid w:val="0"/>
      <w:spacing w:line="360" w:lineRule="atLeast"/>
      <w:ind w:firstLine="420"/>
    </w:pPr>
    <w:rPr>
      <w:rFonts w:ascii="宋体" w:hAnsi="Courier New"/>
      <w:kern w:val="0"/>
      <w:sz w:val="24"/>
      <w:szCs w:val="20"/>
    </w:rPr>
  </w:style>
  <w:style w:type="paragraph" w:customStyle="1" w:styleId="260">
    <w:name w:val="样式 标题 2 + Times New Roman 四号 非加粗 行距: 单倍行距"/>
    <w:basedOn w:val="5"/>
    <w:qFormat/>
    <w:uiPriority w:val="0"/>
    <w:pPr>
      <w:spacing w:line="240" w:lineRule="auto"/>
    </w:pPr>
    <w:rPr>
      <w:rFonts w:ascii="Times New Roman" w:hAnsi="Times New Roman" w:cs="宋体"/>
      <w:b w:val="0"/>
      <w:bCs w:val="0"/>
      <w:kern w:val="44"/>
      <w:szCs w:val="20"/>
    </w:rPr>
  </w:style>
  <w:style w:type="paragraph" w:customStyle="1" w:styleId="261">
    <w:name w:val="表格"/>
    <w:basedOn w:val="1"/>
    <w:qFormat/>
    <w:uiPriority w:val="0"/>
    <w:pPr>
      <w:jc w:val="center"/>
    </w:pPr>
    <w:rPr>
      <w:rFonts w:ascii="华文细黑" w:hAnsi="华文细黑"/>
      <w:kern w:val="0"/>
      <w:szCs w:val="20"/>
    </w:rPr>
  </w:style>
  <w:style w:type="paragraph" w:customStyle="1" w:styleId="262">
    <w:name w:val="标题 21"/>
    <w:basedOn w:val="1"/>
    <w:qFormat/>
    <w:uiPriority w:val="1"/>
    <w:pPr>
      <w:ind w:left="37"/>
      <w:jc w:val="center"/>
      <w:outlineLvl w:val="2"/>
    </w:pPr>
    <w:rPr>
      <w:rFonts w:ascii="黑体" w:hAnsi="黑体" w:eastAsia="黑体" w:cs="黑体"/>
      <w:kern w:val="0"/>
      <w:sz w:val="72"/>
      <w:szCs w:val="72"/>
      <w:lang w:eastAsia="en-US"/>
    </w:rPr>
  </w:style>
  <w:style w:type="paragraph" w:customStyle="1" w:styleId="263">
    <w:name w:val="公文编号（中）"/>
    <w:qFormat/>
    <w:uiPriority w:val="0"/>
    <w:pPr>
      <w:spacing w:after="160" w:line="278" w:lineRule="auto"/>
      <w:jc w:val="center"/>
    </w:pPr>
    <w:rPr>
      <w:rFonts w:ascii="Calibri" w:hAnsi="Calibri" w:eastAsia="仿宋_GB2312" w:cs="Times New Roman"/>
      <w:sz w:val="32"/>
      <w:lang w:val="en-US" w:eastAsia="zh-CN" w:bidi="ar-SA"/>
    </w:rPr>
  </w:style>
  <w:style w:type="paragraph" w:customStyle="1" w:styleId="264">
    <w:name w:val="CM18"/>
    <w:basedOn w:val="165"/>
    <w:next w:val="165"/>
    <w:qFormat/>
    <w:uiPriority w:val="0"/>
    <w:rPr>
      <w:rFonts w:ascii="HiddenHorzOCl" w:eastAsia="HiddenHorzOCl" w:cs="Times New Roman"/>
      <w:color w:val="auto"/>
    </w:rPr>
  </w:style>
  <w:style w:type="paragraph" w:customStyle="1" w:styleId="265">
    <w:name w:val="CM2"/>
    <w:basedOn w:val="165"/>
    <w:next w:val="165"/>
    <w:qFormat/>
    <w:uiPriority w:val="0"/>
    <w:rPr>
      <w:rFonts w:ascii="HiddenHorzOCl" w:eastAsia="HiddenHorzOCl" w:cs="Times New Roman"/>
      <w:color w:val="auto"/>
    </w:rPr>
  </w:style>
  <w:style w:type="paragraph" w:customStyle="1" w:styleId="266">
    <w:name w:val="CM33"/>
    <w:basedOn w:val="165"/>
    <w:next w:val="165"/>
    <w:qFormat/>
    <w:uiPriority w:val="0"/>
    <w:rPr>
      <w:rFonts w:ascii="HiddenHorzOCl" w:eastAsia="HiddenHorzOCl" w:cs="Times New Roman"/>
      <w:color w:val="auto"/>
    </w:rPr>
  </w:style>
  <w:style w:type="paragraph" w:customStyle="1" w:styleId="267">
    <w:name w:val="Table Paragraph"/>
    <w:basedOn w:val="1"/>
    <w:qFormat/>
    <w:uiPriority w:val="1"/>
    <w:rPr>
      <w:rFonts w:ascii="宋体" w:hAnsi="宋体" w:cs="宋体"/>
    </w:rPr>
  </w:style>
  <w:style w:type="paragraph" w:customStyle="1" w:styleId="268">
    <w:name w:val="样式1-正文"/>
    <w:basedOn w:val="1"/>
    <w:qFormat/>
    <w:uiPriority w:val="0"/>
    <w:pPr>
      <w:adjustRightInd w:val="0"/>
      <w:snapToGrid w:val="0"/>
      <w:spacing w:line="500" w:lineRule="exact"/>
      <w:ind w:left="680" w:firstLine="454"/>
    </w:pPr>
    <w:rPr>
      <w:sz w:val="24"/>
    </w:rPr>
  </w:style>
  <w:style w:type="paragraph" w:customStyle="1" w:styleId="269">
    <w:name w:val="标题 41"/>
    <w:basedOn w:val="1"/>
    <w:qFormat/>
    <w:uiPriority w:val="1"/>
    <w:pPr>
      <w:spacing w:line="541" w:lineRule="exact"/>
      <w:ind w:right="250"/>
      <w:jc w:val="left"/>
      <w:outlineLvl w:val="4"/>
    </w:pPr>
    <w:rPr>
      <w:rFonts w:ascii="黑体" w:hAnsi="黑体" w:eastAsia="黑体" w:cs="黑体"/>
      <w:kern w:val="0"/>
      <w:sz w:val="44"/>
      <w:szCs w:val="44"/>
      <w:lang w:eastAsia="en-US"/>
    </w:rPr>
  </w:style>
  <w:style w:type="paragraph" w:customStyle="1" w:styleId="270">
    <w:name w:val="标题 71"/>
    <w:basedOn w:val="1"/>
    <w:qFormat/>
    <w:uiPriority w:val="1"/>
    <w:pPr>
      <w:spacing w:before="2"/>
      <w:jc w:val="center"/>
      <w:outlineLvl w:val="7"/>
    </w:pPr>
    <w:rPr>
      <w:rFonts w:ascii="黑体" w:hAnsi="黑体" w:eastAsia="黑体" w:cs="黑体"/>
      <w:kern w:val="0"/>
      <w:sz w:val="32"/>
      <w:szCs w:val="32"/>
      <w:lang w:eastAsia="en-US"/>
    </w:rPr>
  </w:style>
  <w:style w:type="paragraph" w:customStyle="1" w:styleId="271">
    <w:name w:val="标准 4"/>
    <w:basedOn w:val="1"/>
    <w:qFormat/>
    <w:uiPriority w:val="0"/>
    <w:pPr>
      <w:spacing w:line="540" w:lineRule="exact"/>
      <w:ind w:firstLine="240" w:firstLineChars="100"/>
    </w:pPr>
    <w:rPr>
      <w:rFonts w:ascii="宋体" w:hAnsi="宋体"/>
      <w:color w:val="000000"/>
      <w:sz w:val="24"/>
    </w:rPr>
  </w:style>
  <w:style w:type="paragraph" w:customStyle="1" w:styleId="272">
    <w:name w:val="CM34"/>
    <w:basedOn w:val="165"/>
    <w:next w:val="165"/>
    <w:qFormat/>
    <w:uiPriority w:val="0"/>
    <w:rPr>
      <w:rFonts w:ascii="HiddenHorzOCl" w:eastAsia="HiddenHorzOCl" w:cs="Times New Roman"/>
      <w:color w:val="auto"/>
    </w:rPr>
  </w:style>
  <w:style w:type="paragraph" w:customStyle="1" w:styleId="273">
    <w:name w:val="CM44"/>
    <w:basedOn w:val="165"/>
    <w:next w:val="165"/>
    <w:qFormat/>
    <w:uiPriority w:val="0"/>
    <w:rPr>
      <w:rFonts w:ascii="HiddenHorzOCl" w:eastAsia="HiddenHorzOCl" w:cs="Times New Roman"/>
      <w:color w:val="auto"/>
    </w:rPr>
  </w:style>
  <w:style w:type="paragraph" w:customStyle="1" w:styleId="274">
    <w:name w:val="目录 51"/>
    <w:basedOn w:val="1"/>
    <w:qFormat/>
    <w:uiPriority w:val="1"/>
    <w:pPr>
      <w:spacing w:before="178"/>
      <w:ind w:left="993"/>
      <w:jc w:val="left"/>
    </w:pPr>
    <w:rPr>
      <w:rFonts w:ascii="宋体" w:hAnsi="宋体" w:cs="宋体"/>
      <w:kern w:val="0"/>
      <w:sz w:val="20"/>
      <w:szCs w:val="20"/>
      <w:lang w:eastAsia="en-US"/>
    </w:rPr>
  </w:style>
  <w:style w:type="paragraph" w:customStyle="1" w:styleId="275">
    <w:name w:val="CM10"/>
    <w:basedOn w:val="165"/>
    <w:next w:val="165"/>
    <w:qFormat/>
    <w:uiPriority w:val="0"/>
    <w:rPr>
      <w:rFonts w:ascii="HiddenHorzOCl" w:eastAsia="HiddenHorzOCl" w:cs="Times New Roman"/>
      <w:color w:val="auto"/>
    </w:rPr>
  </w:style>
  <w:style w:type="paragraph" w:customStyle="1" w:styleId="276">
    <w:name w:val="样式王"/>
    <w:basedOn w:val="1"/>
    <w:qFormat/>
    <w:uiPriority w:val="0"/>
  </w:style>
  <w:style w:type="paragraph" w:customStyle="1" w:styleId="277">
    <w:name w:val="CM26"/>
    <w:basedOn w:val="1"/>
    <w:next w:val="1"/>
    <w:qFormat/>
    <w:uiPriority w:val="0"/>
    <w:pPr>
      <w:autoSpaceDE w:val="0"/>
      <w:autoSpaceDN w:val="0"/>
      <w:adjustRightInd w:val="0"/>
      <w:jc w:val="left"/>
    </w:pPr>
    <w:rPr>
      <w:rFonts w:ascii="HiddenHorzOCl" w:eastAsia="HiddenHorzOCl"/>
      <w:kern w:val="0"/>
      <w:sz w:val="24"/>
    </w:rPr>
  </w:style>
  <w:style w:type="paragraph" w:customStyle="1" w:styleId="278">
    <w:name w:val="小标题"/>
    <w:basedOn w:val="46"/>
    <w:qFormat/>
    <w:uiPriority w:val="0"/>
    <w:pPr>
      <w:tabs>
        <w:tab w:val="clear" w:pos="360"/>
      </w:tabs>
      <w:spacing w:before="120" w:after="60"/>
      <w:ind w:left="0" w:firstLine="0" w:firstLineChars="0"/>
      <w:jc w:val="left"/>
      <w:outlineLvl w:val="0"/>
    </w:pPr>
    <w:rPr>
      <w:rFonts w:ascii="Arial" w:hAnsi="Arial" w:cs="Arial"/>
      <w:b w:val="0"/>
      <w:kern w:val="2"/>
      <w:sz w:val="24"/>
      <w:szCs w:val="24"/>
    </w:rPr>
  </w:style>
  <w:style w:type="paragraph" w:customStyle="1" w:styleId="279">
    <w:name w:val="标题 91"/>
    <w:basedOn w:val="1"/>
    <w:qFormat/>
    <w:uiPriority w:val="1"/>
    <w:pPr>
      <w:spacing w:before="7"/>
      <w:ind w:right="488"/>
      <w:jc w:val="center"/>
    </w:pPr>
    <w:rPr>
      <w:rFonts w:ascii="宋体" w:hAnsi="宋体" w:cs="宋体"/>
      <w:b/>
      <w:bCs/>
      <w:kern w:val="0"/>
      <w:sz w:val="30"/>
      <w:szCs w:val="30"/>
      <w:lang w:eastAsia="en-US"/>
    </w:rPr>
  </w:style>
  <w:style w:type="paragraph" w:customStyle="1" w:styleId="280">
    <w:name w:val="CM21"/>
    <w:basedOn w:val="165"/>
    <w:next w:val="165"/>
    <w:qFormat/>
    <w:uiPriority w:val="0"/>
    <w:pPr>
      <w:spacing w:line="588" w:lineRule="atLeast"/>
    </w:pPr>
    <w:rPr>
      <w:rFonts w:ascii="HiddenHorzOCl" w:eastAsia="HiddenHorzOCl" w:cs="Times New Roman"/>
      <w:color w:val="auto"/>
    </w:rPr>
  </w:style>
  <w:style w:type="paragraph" w:customStyle="1" w:styleId="281">
    <w:name w:val="6'"/>
    <w:basedOn w:val="1"/>
    <w:qFormat/>
    <w:uiPriority w:val="0"/>
    <w:pPr>
      <w:autoSpaceDE w:val="0"/>
      <w:autoSpaceDN w:val="0"/>
      <w:adjustRightInd w:val="0"/>
      <w:snapToGrid w:val="0"/>
      <w:spacing w:line="320" w:lineRule="exact"/>
      <w:jc w:val="center"/>
    </w:pPr>
    <w:rPr>
      <w:spacing w:val="20"/>
      <w:kern w:val="28"/>
      <w:szCs w:val="20"/>
    </w:rPr>
  </w:style>
  <w:style w:type="paragraph" w:customStyle="1" w:styleId="282">
    <w:name w:val="Char Char Char Char Char Char1 Char"/>
    <w:basedOn w:val="1"/>
    <w:qFormat/>
    <w:uiPriority w:val="0"/>
  </w:style>
  <w:style w:type="paragraph" w:customStyle="1" w:styleId="283">
    <w:name w:val="CM22"/>
    <w:basedOn w:val="165"/>
    <w:next w:val="165"/>
    <w:qFormat/>
    <w:uiPriority w:val="0"/>
    <w:pPr>
      <w:spacing w:line="586" w:lineRule="atLeast"/>
    </w:pPr>
    <w:rPr>
      <w:rFonts w:ascii="HiddenHorzOCl" w:eastAsia="HiddenHorzOCl" w:cs="Times New Roman"/>
      <w:color w:val="auto"/>
    </w:rPr>
  </w:style>
  <w:style w:type="paragraph" w:customStyle="1" w:styleId="284">
    <w:name w:val="Section VII Header2"/>
    <w:basedOn w:val="4"/>
    <w:qFormat/>
    <w:uiPriority w:val="0"/>
    <w:pPr>
      <w:keepNext w:val="0"/>
      <w:keepLines w:val="0"/>
      <w:spacing w:before="120" w:after="120"/>
      <w:jc w:val="left"/>
      <w:outlineLvl w:val="9"/>
    </w:pPr>
    <w:rPr>
      <w:rFonts w:ascii="Arial" w:hAnsi="Arial" w:cs="Arial"/>
      <w:kern w:val="0"/>
      <w:sz w:val="20"/>
      <w:szCs w:val="20"/>
      <w:lang w:eastAsia="en-US"/>
    </w:rPr>
  </w:style>
  <w:style w:type="paragraph" w:customStyle="1" w:styleId="285">
    <w:name w:val="CM11"/>
    <w:basedOn w:val="165"/>
    <w:next w:val="165"/>
    <w:qFormat/>
    <w:uiPriority w:val="0"/>
    <w:pPr>
      <w:spacing w:line="600" w:lineRule="atLeast"/>
    </w:pPr>
    <w:rPr>
      <w:rFonts w:ascii="HiddenHorzOCl" w:eastAsia="HiddenHorzOCl" w:cs="Times New Roman"/>
      <w:color w:val="auto"/>
    </w:rPr>
  </w:style>
  <w:style w:type="paragraph" w:customStyle="1" w:styleId="286">
    <w:name w:val="样式 (符号) Times New Roman 小四 非加粗 行距: 1.5 倍行距"/>
    <w:basedOn w:val="1"/>
    <w:next w:val="287"/>
    <w:qFormat/>
    <w:uiPriority w:val="0"/>
    <w:pPr>
      <w:spacing w:line="360" w:lineRule="auto"/>
    </w:pPr>
    <w:rPr>
      <w:rFonts w:ascii="楷体_GB2312" w:eastAsia="楷体_GB2312"/>
      <w:sz w:val="24"/>
      <w:szCs w:val="20"/>
    </w:rPr>
  </w:style>
  <w:style w:type="paragraph" w:customStyle="1" w:styleId="287">
    <w:name w:val="文字块"/>
    <w:basedOn w:val="1"/>
    <w:qFormat/>
    <w:uiPriority w:val="0"/>
  </w:style>
  <w:style w:type="paragraph" w:customStyle="1" w:styleId="288">
    <w:name w:val="正文文字缩进"/>
    <w:basedOn w:val="1"/>
    <w:qFormat/>
    <w:uiPriority w:val="0"/>
    <w:pPr>
      <w:widowControl/>
      <w:spacing w:before="100" w:beforeAutospacing="1" w:after="100" w:afterAutospacing="1"/>
      <w:jc w:val="left"/>
    </w:pPr>
    <w:rPr>
      <w:rFonts w:ascii="宋体" w:hAnsi="宋体" w:cs="宋体"/>
      <w:kern w:val="0"/>
      <w:sz w:val="24"/>
    </w:rPr>
  </w:style>
  <w:style w:type="table" w:customStyle="1" w:styleId="289">
    <w:name w:val="Table Normal"/>
    <w:unhideWhenUsed/>
    <w:qFormat/>
    <w:uiPriority w:val="2"/>
    <w:pPr>
      <w:widowControl w:val="0"/>
    </w:pPr>
    <w:rPr>
      <w:sz w:val="22"/>
      <w:szCs w:val="22"/>
      <w:lang w:eastAsia="en-US"/>
    </w:rPr>
    <w:tblPr>
      <w:tblCellMar>
        <w:top w:w="0" w:type="dxa"/>
        <w:left w:w="0" w:type="dxa"/>
        <w:bottom w:w="0" w:type="dxa"/>
        <w:right w:w="0" w:type="dxa"/>
      </w:tblCellMar>
    </w:tblPr>
  </w:style>
  <w:style w:type="character" w:customStyle="1" w:styleId="290">
    <w:name w:val="标题 1 Char2"/>
    <w:qFormat/>
    <w:uiPriority w:val="0"/>
    <w:rPr>
      <w:rFonts w:eastAsia="黑体"/>
      <w:b/>
      <w:bCs/>
      <w:kern w:val="44"/>
      <w:sz w:val="52"/>
      <w:szCs w:val="44"/>
    </w:rPr>
  </w:style>
  <w:style w:type="character" w:customStyle="1" w:styleId="291">
    <w:name w:val="脚注文本 Char3"/>
    <w:qFormat/>
    <w:uiPriority w:val="0"/>
    <w:rPr>
      <w:rFonts w:eastAsia="宋体"/>
      <w:kern w:val="2"/>
      <w:sz w:val="18"/>
      <w:szCs w:val="18"/>
      <w:lang w:val="en-US" w:eastAsia="zh-CN" w:bidi="ar-SA"/>
    </w:rPr>
  </w:style>
  <w:style w:type="paragraph" w:customStyle="1" w:styleId="292">
    <w:name w:val="正文_0_0_0"/>
    <w:next w:val="2"/>
    <w:qFormat/>
    <w:uiPriority w:val="0"/>
    <w:pPr>
      <w:widowControl w:val="0"/>
      <w:spacing w:after="160" w:line="278" w:lineRule="auto"/>
      <w:jc w:val="both"/>
    </w:pPr>
    <w:rPr>
      <w:rFonts w:ascii="Times New Roman" w:hAnsi="Times New Roman" w:eastAsia="宋体" w:cs="Times New Roman"/>
      <w:kern w:val="2"/>
      <w:sz w:val="21"/>
      <w:szCs w:val="22"/>
      <w:lang w:val="en-US" w:eastAsia="zh-CN" w:bidi="ar-SA"/>
    </w:rPr>
  </w:style>
  <w:style w:type="paragraph" w:customStyle="1" w:styleId="293">
    <w:name w:val="纯文本4"/>
    <w:basedOn w:val="1"/>
    <w:qFormat/>
    <w:uiPriority w:val="0"/>
    <w:rPr>
      <w:rFonts w:ascii="宋体" w:hAnsi="Courier New"/>
      <w:szCs w:val="21"/>
    </w:rPr>
  </w:style>
  <w:style w:type="paragraph" w:customStyle="1" w:styleId="294">
    <w:name w:val="正文_0_0_0_1"/>
    <w:next w:val="295"/>
    <w:qFormat/>
    <w:uiPriority w:val="0"/>
    <w:pPr>
      <w:widowControl w:val="0"/>
      <w:spacing w:after="160" w:line="278" w:lineRule="auto"/>
      <w:jc w:val="both"/>
    </w:pPr>
    <w:rPr>
      <w:rFonts w:ascii="Times New Roman" w:hAnsi="Times New Roman" w:eastAsia="宋体" w:cs="Times New Roman"/>
      <w:kern w:val="2"/>
      <w:sz w:val="21"/>
      <w:szCs w:val="22"/>
      <w:lang w:val="en-US" w:eastAsia="zh-CN" w:bidi="ar-SA"/>
    </w:rPr>
  </w:style>
  <w:style w:type="paragraph" w:customStyle="1" w:styleId="295">
    <w:name w:val="正文首行缩进 2_0"/>
    <w:basedOn w:val="296"/>
    <w:qFormat/>
    <w:uiPriority w:val="0"/>
    <w:pPr>
      <w:ind w:firstLine="420" w:firstLineChars="200"/>
    </w:pPr>
    <w:rPr>
      <w:szCs w:val="20"/>
    </w:rPr>
  </w:style>
  <w:style w:type="paragraph" w:customStyle="1" w:styleId="296">
    <w:name w:val="正文文本缩进_0"/>
    <w:basedOn w:val="297"/>
    <w:qFormat/>
    <w:uiPriority w:val="99"/>
    <w:pPr>
      <w:spacing w:after="120"/>
      <w:ind w:left="420" w:leftChars="200"/>
    </w:pPr>
  </w:style>
  <w:style w:type="paragraph" w:customStyle="1" w:styleId="297">
    <w:name w:val="正文_0_0"/>
    <w:next w:val="295"/>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customStyle="1" w:styleId="298">
    <w:name w:val="样式王_7"/>
    <w:basedOn w:val="299"/>
    <w:qFormat/>
    <w:uiPriority w:val="0"/>
  </w:style>
  <w:style w:type="paragraph" w:customStyle="1" w:styleId="299">
    <w:name w:val="Normal_22_0"/>
    <w:next w:val="300"/>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customStyle="1" w:styleId="300">
    <w:name w:val="正文首行缩进 21"/>
    <w:basedOn w:val="301"/>
    <w:unhideWhenUsed/>
    <w:qFormat/>
    <w:uiPriority w:val="0"/>
    <w:pPr>
      <w:ind w:firstLine="420" w:firstLineChars="200"/>
    </w:pPr>
  </w:style>
  <w:style w:type="paragraph" w:customStyle="1" w:styleId="301">
    <w:name w:val="正文_0_0_4_0"/>
    <w:next w:val="302"/>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customStyle="1" w:styleId="302">
    <w:name w:val="正文文本_0_0_2"/>
    <w:basedOn w:val="303"/>
    <w:unhideWhenUsed/>
    <w:qFormat/>
    <w:uiPriority w:val="99"/>
    <w:pPr>
      <w:spacing w:after="120"/>
    </w:pPr>
  </w:style>
  <w:style w:type="paragraph" w:customStyle="1" w:styleId="303">
    <w:name w:val="正文_0_1_2"/>
    <w:next w:val="302"/>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customStyle="1" w:styleId="304">
    <w:name w:val="批注文字 字符1"/>
    <w:qFormat/>
    <w:uiPriority w:val="0"/>
    <w:rPr>
      <w:kern w:val="2"/>
      <w:sz w:val="21"/>
      <w:szCs w:val="24"/>
    </w:rPr>
  </w:style>
  <w:style w:type="paragraph" w:customStyle="1" w:styleId="305">
    <w:name w:val="修订3"/>
    <w:hidden/>
    <w:unhideWhenUsed/>
    <w:qFormat/>
    <w:uiPriority w:val="99"/>
    <w:pPr>
      <w:spacing w:after="0" w:line="240" w:lineRule="auto"/>
    </w:pPr>
    <w:rPr>
      <w:rFonts w:ascii="Calibri" w:hAnsi="Calibri" w:eastAsia="宋体" w:cs="Times New Roman"/>
      <w:kern w:val="2"/>
      <w:sz w:val="21"/>
      <w:szCs w:val="24"/>
      <w:lang w:val="en-US" w:eastAsia="zh-CN" w:bidi="ar-SA"/>
    </w:rPr>
  </w:style>
  <w:style w:type="paragraph" w:customStyle="1" w:styleId="306">
    <w:name w:val="Revision"/>
    <w:hidden/>
    <w:unhideWhenUsed/>
    <w:qFormat/>
    <w:uiPriority w:val="99"/>
    <w:pPr>
      <w:spacing w:after="0" w:line="240" w:lineRule="auto"/>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fontTable" Target="fontTable.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theme" Target="theme/theme1.xml"/><Relationship Id="rId34" Type="http://schemas.openxmlformats.org/officeDocument/2006/relationships/footer" Target="footer19.xml"/><Relationship Id="rId33" Type="http://schemas.openxmlformats.org/officeDocument/2006/relationships/footer" Target="footer18.xml"/><Relationship Id="rId32" Type="http://schemas.openxmlformats.org/officeDocument/2006/relationships/footer" Target="footer17.xml"/><Relationship Id="rId31" Type="http://schemas.openxmlformats.org/officeDocument/2006/relationships/footer" Target="footer16.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header" Target="header11.xml"/><Relationship Id="rId28" Type="http://schemas.openxmlformats.org/officeDocument/2006/relationships/footer" Target="footer14.xml"/><Relationship Id="rId27" Type="http://schemas.openxmlformats.org/officeDocument/2006/relationships/footer" Target="footer13.xml"/><Relationship Id="rId26" Type="http://schemas.openxmlformats.org/officeDocument/2006/relationships/header" Target="header10.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9.xml"/><Relationship Id="rId22" Type="http://schemas.openxmlformats.org/officeDocument/2006/relationships/header" Target="header8.xml"/><Relationship Id="rId21" Type="http://schemas.openxmlformats.org/officeDocument/2006/relationships/header" Target="header7.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255</Pages>
  <Words>18627</Words>
  <Characters>106175</Characters>
  <Lines>884</Lines>
  <Paragraphs>249</Paragraphs>
  <TotalTime>6</TotalTime>
  <ScaleCrop>false</ScaleCrop>
  <LinksUpToDate>false</LinksUpToDate>
  <CharactersWithSpaces>124553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2025-07-06T17:54:00Z</dcterms:created>
  <dc:creator>pc</dc:creator>
  <cp:lastModifiedBy>肥圆</cp:lastModifiedBy>
  <cp:lastPrinted>2022-08-02T17:01:00Z</cp:lastPrinted>
  <dcterms:modified xsi:type="dcterms:W3CDTF">2025-07-22T10:44:01Z</dcterms:modified>
  <dc:title>四川省交通运输厅</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2DB6F082565E47C5BC48D1A9D0BFA15A_13</vt:lpwstr>
  </property>
</Properties>
</file>